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9899A">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一、建设项目基本情况</w:t>
      </w:r>
    </w:p>
    <w:tbl>
      <w:tblPr>
        <w:tblStyle w:val="26"/>
        <w:tblW w:w="493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37"/>
        <w:gridCol w:w="1118"/>
        <w:gridCol w:w="1861"/>
        <w:gridCol w:w="1859"/>
        <w:gridCol w:w="3173"/>
      </w:tblGrid>
      <w:tr w14:paraId="78FEA9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0B4DB66E">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建设项目名称</w:t>
            </w:r>
          </w:p>
        </w:tc>
        <w:tc>
          <w:tcPr>
            <w:tcW w:w="3939" w:type="pct"/>
            <w:gridSpan w:val="3"/>
            <w:noWrap w:val="0"/>
            <w:vAlign w:val="center"/>
          </w:tcPr>
          <w:p w14:paraId="6E48F3C2">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年产中</w:t>
            </w:r>
            <w:r>
              <w:rPr>
                <w:rFonts w:hint="eastAsia" w:ascii="Times New Roman" w:hAnsi="Times New Roman" w:cs="Times New Roman"/>
                <w:color w:val="000000" w:themeColor="text1"/>
                <w:sz w:val="24"/>
                <w:szCs w:val="24"/>
                <w:lang w:val="en-US" w:eastAsia="zh-CN"/>
                <w14:textFill>
                  <w14:solidFill>
                    <w14:schemeClr w14:val="tx1"/>
                  </w14:solidFill>
                </w14:textFill>
              </w:rPr>
              <w:t>药制剂</w:t>
            </w:r>
            <w:r>
              <w:rPr>
                <w:rFonts w:hint="eastAsia" w:cs="Times New Roman"/>
                <w:color w:val="000000" w:themeColor="text1"/>
                <w:sz w:val="24"/>
                <w:szCs w:val="24"/>
                <w:lang w:val="en-US" w:eastAsia="zh-CN"/>
                <w14:textFill>
                  <w14:solidFill>
                    <w14:schemeClr w14:val="tx1"/>
                  </w14:solidFill>
                </w14:textFill>
              </w:rPr>
              <w:t>13.5</w:t>
            </w:r>
            <w:r>
              <w:rPr>
                <w:rFonts w:hint="eastAsia" w:ascii="Times New Roman" w:hAnsi="Times New Roman" w:cs="Times New Roman"/>
                <w:color w:val="000000" w:themeColor="text1"/>
                <w:sz w:val="24"/>
                <w:szCs w:val="24"/>
                <w:lang w:val="en-US" w:eastAsia="zh-CN"/>
                <w14:textFill>
                  <w14:solidFill>
                    <w14:schemeClr w14:val="tx1"/>
                  </w14:solidFill>
                </w14:textFill>
              </w:rPr>
              <w:t>亿粒/片/瓶/袋药品生产项目</w:t>
            </w:r>
          </w:p>
        </w:tc>
      </w:tr>
      <w:tr w14:paraId="29CDA4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538C63CA">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项目代码</w:t>
            </w:r>
          </w:p>
        </w:tc>
        <w:tc>
          <w:tcPr>
            <w:tcW w:w="3939" w:type="pct"/>
            <w:gridSpan w:val="3"/>
            <w:noWrap w:val="0"/>
            <w:vAlign w:val="center"/>
          </w:tcPr>
          <w:p w14:paraId="1B6DF8B3">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2401-410523-04-01-569209</w:t>
            </w:r>
          </w:p>
        </w:tc>
      </w:tr>
      <w:tr w14:paraId="6069DC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2ED5E498">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建设单位联系人</w:t>
            </w:r>
          </w:p>
        </w:tc>
        <w:tc>
          <w:tcPr>
            <w:tcW w:w="1063" w:type="pct"/>
            <w:noWrap w:val="0"/>
            <w:vAlign w:val="center"/>
          </w:tcPr>
          <w:p w14:paraId="7F5773D1">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p>
        </w:tc>
        <w:tc>
          <w:tcPr>
            <w:tcW w:w="1062" w:type="pct"/>
            <w:noWrap w:val="0"/>
            <w:vAlign w:val="center"/>
          </w:tcPr>
          <w:p w14:paraId="637A1004">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联系方式</w:t>
            </w:r>
          </w:p>
        </w:tc>
        <w:tc>
          <w:tcPr>
            <w:tcW w:w="1813" w:type="pct"/>
            <w:noWrap w:val="0"/>
            <w:vAlign w:val="center"/>
          </w:tcPr>
          <w:p w14:paraId="232F042F">
            <w:pPr>
              <w:adjustRightInd w:val="0"/>
              <w:snapToGrid w:val="0"/>
              <w:jc w:val="center"/>
              <w:rPr>
                <w:rFonts w:hint="default" w:ascii="Times New Roman" w:hAnsi="Times New Roman" w:cs="Times New Roman"/>
                <w:color w:val="000000" w:themeColor="text1"/>
                <w:sz w:val="24"/>
                <w:szCs w:val="24"/>
                <w:lang w:val="en-US"/>
                <w14:textFill>
                  <w14:solidFill>
                    <w14:schemeClr w14:val="tx1"/>
                  </w14:solidFill>
                </w14:textFill>
              </w:rPr>
            </w:pPr>
            <w:bookmarkStart w:id="6" w:name="_GoBack"/>
            <w:bookmarkEnd w:id="6"/>
          </w:p>
        </w:tc>
      </w:tr>
      <w:tr w14:paraId="6DC237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20D47656">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建设地点</w:t>
            </w:r>
          </w:p>
        </w:tc>
        <w:tc>
          <w:tcPr>
            <w:tcW w:w="3939" w:type="pct"/>
            <w:gridSpan w:val="3"/>
            <w:noWrap w:val="0"/>
            <w:vAlign w:val="center"/>
          </w:tcPr>
          <w:p w14:paraId="2541232E">
            <w:pPr>
              <w:adjustRightInd w:val="0"/>
              <w:snapToGrid w:val="0"/>
              <w:jc w:val="center"/>
              <w:rPr>
                <w:rFonts w:hint="default"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河南省安阳市汤阴县安阳市汤阴县医药产业集聚区医药园汤伏路与复兴大道交叉口西南角</w:t>
            </w:r>
          </w:p>
        </w:tc>
      </w:tr>
      <w:tr w14:paraId="1EBEB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54FF1356">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地理坐标</w:t>
            </w:r>
          </w:p>
        </w:tc>
        <w:tc>
          <w:tcPr>
            <w:tcW w:w="3939" w:type="pct"/>
            <w:gridSpan w:val="3"/>
            <w:noWrap w:val="0"/>
            <w:vAlign w:val="center"/>
          </w:tcPr>
          <w:p w14:paraId="153760C7">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eastAsia" w:ascii="Times New Roman" w:hAnsi="Times New Roman" w:cs="Times New Roman"/>
                <w:color w:val="000000" w:themeColor="text1"/>
                <w:sz w:val="24"/>
                <w:szCs w:val="24"/>
                <w:u w:val="single"/>
                <w:lang w:val="en-US" w:eastAsia="zh-CN"/>
                <w14:textFill>
                  <w14:solidFill>
                    <w14:schemeClr w14:val="tx1"/>
                  </w14:solidFill>
                </w14:textFill>
              </w:rPr>
              <w:t>11</w:t>
            </w:r>
            <w:r>
              <w:rPr>
                <w:rFonts w:hint="eastAsia" w:cs="Times New Roman"/>
                <w:color w:val="000000" w:themeColor="text1"/>
                <w:sz w:val="24"/>
                <w:szCs w:val="24"/>
                <w:u w:val="single"/>
                <w:lang w:val="en-US" w:eastAsia="zh-CN"/>
                <w14:textFill>
                  <w14:solidFill>
                    <w14:schemeClr w14:val="tx1"/>
                  </w14:solidFill>
                </w14:textFill>
              </w:rPr>
              <w:t>4</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度</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lang w:val="en-US" w:eastAsia="zh-CN"/>
                <w14:textFill>
                  <w14:solidFill>
                    <w14:schemeClr w14:val="tx1"/>
                  </w14:solidFill>
                </w14:textFill>
              </w:rPr>
              <w:t>24</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分</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lang w:val="en-US" w:eastAsia="zh-CN"/>
                <w14:textFill>
                  <w14:solidFill>
                    <w14:schemeClr w14:val="tx1"/>
                  </w14:solidFill>
                </w14:textFill>
              </w:rPr>
              <w:t>46.381</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秒，</w:t>
            </w:r>
            <w:r>
              <w:rPr>
                <w:rFonts w:hint="default" w:ascii="Times New Roman" w:hAnsi="Times New Roman" w:cs="Times New Roman"/>
                <w:color w:val="000000" w:themeColor="text1"/>
                <w:sz w:val="24"/>
                <w:szCs w:val="24"/>
                <w:u w:val="single"/>
                <w14:textFill>
                  <w14:solidFill>
                    <w14:schemeClr w14:val="tx1"/>
                  </w14:solidFill>
                </w14:textFill>
              </w:rPr>
              <w:t xml:space="preserve">  3</w:t>
            </w:r>
            <w:r>
              <w:rPr>
                <w:rFonts w:hint="eastAsia" w:cs="Times New Roman"/>
                <w:color w:val="000000" w:themeColor="text1"/>
                <w:sz w:val="24"/>
                <w:szCs w:val="24"/>
                <w:u w:val="single"/>
                <w:lang w:val="en-US" w:eastAsia="zh-CN"/>
                <w14:textFill>
                  <w14:solidFill>
                    <w14:schemeClr w14:val="tx1"/>
                  </w14:solidFill>
                </w14:textFill>
              </w:rPr>
              <w:t>5</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度</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lang w:val="en-US" w:eastAsia="zh-CN"/>
                <w14:textFill>
                  <w14:solidFill>
                    <w14:schemeClr w14:val="tx1"/>
                  </w14:solidFill>
                </w14:textFill>
              </w:rPr>
              <w:t>53</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分</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lang w:val="en-US" w:eastAsia="zh-CN"/>
                <w14:textFill>
                  <w14:solidFill>
                    <w14:schemeClr w14:val="tx1"/>
                  </w14:solidFill>
                </w14:textFill>
              </w:rPr>
              <w:t>32.723</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秒）</w:t>
            </w:r>
          </w:p>
        </w:tc>
      </w:tr>
      <w:tr w14:paraId="38F8A8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04B844A7">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国民经济</w:t>
            </w:r>
          </w:p>
          <w:p w14:paraId="658454AF">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行业类别</w:t>
            </w:r>
          </w:p>
        </w:tc>
        <w:tc>
          <w:tcPr>
            <w:tcW w:w="1063" w:type="pct"/>
            <w:noWrap w:val="0"/>
            <w:vAlign w:val="center"/>
          </w:tcPr>
          <w:p w14:paraId="784E99AE">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C</w:t>
            </w:r>
            <w:r>
              <w:rPr>
                <w:rFonts w:hint="eastAsia" w:cs="Times New Roman"/>
                <w:color w:val="000000" w:themeColor="text1"/>
                <w:sz w:val="24"/>
                <w:szCs w:val="24"/>
                <w:lang w:val="en-US" w:eastAsia="zh-CN"/>
                <w14:textFill>
                  <w14:solidFill>
                    <w14:schemeClr w14:val="tx1"/>
                  </w14:solidFill>
                </w14:textFill>
              </w:rPr>
              <w:t>2740中成药生产</w:t>
            </w:r>
          </w:p>
        </w:tc>
        <w:tc>
          <w:tcPr>
            <w:tcW w:w="1062" w:type="pct"/>
            <w:noWrap w:val="0"/>
            <w:vAlign w:val="center"/>
          </w:tcPr>
          <w:p w14:paraId="60C0D740">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bookmarkStart w:id="0" w:name="_Hlk49843745"/>
            <w:r>
              <w:rPr>
                <w:rFonts w:hint="default" w:ascii="Times New Roman" w:hAnsi="Times New Roman" w:cs="Times New Roman"/>
                <w:color w:val="000000" w:themeColor="text1"/>
                <w:sz w:val="24"/>
                <w:szCs w:val="24"/>
                <w14:textFill>
                  <w14:solidFill>
                    <w14:schemeClr w14:val="tx1"/>
                  </w14:solidFill>
                </w14:textFill>
              </w:rPr>
              <w:t>建设项目</w:t>
            </w:r>
          </w:p>
          <w:p w14:paraId="559B3280">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行业类别</w:t>
            </w:r>
            <w:bookmarkEnd w:id="0"/>
          </w:p>
        </w:tc>
        <w:tc>
          <w:tcPr>
            <w:tcW w:w="1813" w:type="pct"/>
            <w:noWrap w:val="0"/>
            <w:vAlign w:val="center"/>
          </w:tcPr>
          <w:p w14:paraId="4B01AEFF">
            <w:pPr>
              <w:adjustRightInd w:val="0"/>
              <w:snapToGrid w:val="0"/>
              <w:jc w:val="center"/>
              <w:rPr>
                <w:rFonts w:hint="default" w:ascii="Times New Roman" w:hAnsi="Times New Roman" w:cs="Times New Roman"/>
                <w:color w:val="000000" w:themeColor="text1"/>
                <w:sz w:val="24"/>
                <w:szCs w:val="24"/>
                <w:lang w:val="en-US"/>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二十四</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医药制造业27—48中药饮片加工273；中成药生产274-其他（单纯切片、制干、打包的除外）</w:t>
            </w:r>
          </w:p>
        </w:tc>
      </w:tr>
      <w:tr w14:paraId="722BB7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0781EE55">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建设性质</w:t>
            </w:r>
          </w:p>
        </w:tc>
        <w:tc>
          <w:tcPr>
            <w:tcW w:w="1063" w:type="pct"/>
            <w:noWrap w:val="0"/>
            <w:vAlign w:val="center"/>
          </w:tcPr>
          <w:p w14:paraId="449B1527">
            <w:pPr>
              <w:jc w:val="left"/>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新建（迁建）</w:t>
            </w:r>
          </w:p>
          <w:p w14:paraId="074B3376">
            <w:pPr>
              <w:jc w:val="left"/>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改建</w:t>
            </w:r>
          </w:p>
          <w:p w14:paraId="4A60AD6A">
            <w:pPr>
              <w:jc w:val="left"/>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扩建</w:t>
            </w:r>
          </w:p>
          <w:p w14:paraId="36E74820">
            <w:pPr>
              <w:jc w:val="left"/>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技术改造</w:t>
            </w:r>
          </w:p>
        </w:tc>
        <w:tc>
          <w:tcPr>
            <w:tcW w:w="1062" w:type="pct"/>
            <w:noWrap w:val="0"/>
            <w:vAlign w:val="center"/>
          </w:tcPr>
          <w:p w14:paraId="260031DB">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建设项目</w:t>
            </w:r>
          </w:p>
          <w:p w14:paraId="62478199">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申报情形</w:t>
            </w:r>
          </w:p>
        </w:tc>
        <w:tc>
          <w:tcPr>
            <w:tcW w:w="1813" w:type="pct"/>
            <w:noWrap w:val="0"/>
            <w:vAlign w:val="center"/>
          </w:tcPr>
          <w:p w14:paraId="2D4A57D8">
            <w:pPr>
              <w:jc w:val="left"/>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首次申报项目             </w:t>
            </w:r>
          </w:p>
          <w:p w14:paraId="729FBF13">
            <w:pPr>
              <w:jc w:val="left"/>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不予批准后再次申报项目</w:t>
            </w:r>
          </w:p>
          <w:p w14:paraId="29CF37C5">
            <w:pPr>
              <w:jc w:val="left"/>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超五年重新审核项目     </w:t>
            </w:r>
          </w:p>
          <w:p w14:paraId="5BC4F303">
            <w:pPr>
              <w:jc w:val="left"/>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重大变动重新报批项目</w:t>
            </w:r>
          </w:p>
        </w:tc>
      </w:tr>
      <w:tr w14:paraId="7301EE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2E2AE5FB">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项目审批（核准/</w:t>
            </w:r>
          </w:p>
          <w:p w14:paraId="2B3E5936">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备案）部门（选填）</w:t>
            </w:r>
          </w:p>
        </w:tc>
        <w:tc>
          <w:tcPr>
            <w:tcW w:w="1063" w:type="pct"/>
            <w:noWrap w:val="0"/>
            <w:vAlign w:val="center"/>
          </w:tcPr>
          <w:p w14:paraId="68AE15CF">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汤阴县发展和改革委员会</w:t>
            </w:r>
          </w:p>
        </w:tc>
        <w:tc>
          <w:tcPr>
            <w:tcW w:w="1062" w:type="pct"/>
            <w:noWrap w:val="0"/>
            <w:vAlign w:val="center"/>
          </w:tcPr>
          <w:p w14:paraId="13A87673">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项目审批（核准/</w:t>
            </w:r>
          </w:p>
          <w:p w14:paraId="609AA11F">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备案）文号（选填）</w:t>
            </w:r>
          </w:p>
        </w:tc>
        <w:tc>
          <w:tcPr>
            <w:tcW w:w="1813" w:type="pct"/>
            <w:noWrap w:val="0"/>
            <w:vAlign w:val="center"/>
          </w:tcPr>
          <w:p w14:paraId="55F81B13">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2401-410523-04-01-569209</w:t>
            </w:r>
          </w:p>
        </w:tc>
      </w:tr>
      <w:tr w14:paraId="210581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2A22B2F6">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总投资（万元）</w:t>
            </w:r>
          </w:p>
        </w:tc>
        <w:tc>
          <w:tcPr>
            <w:tcW w:w="1063" w:type="pct"/>
            <w:noWrap w:val="0"/>
            <w:vAlign w:val="center"/>
          </w:tcPr>
          <w:p w14:paraId="38DFD595">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15000</w:t>
            </w:r>
          </w:p>
        </w:tc>
        <w:tc>
          <w:tcPr>
            <w:tcW w:w="1062" w:type="pct"/>
            <w:noWrap w:val="0"/>
            <w:tcMar>
              <w:top w:w="16" w:type="dxa"/>
              <w:left w:w="16" w:type="dxa"/>
              <w:right w:w="16" w:type="dxa"/>
            </w:tcMar>
            <w:vAlign w:val="center"/>
          </w:tcPr>
          <w:p w14:paraId="3ACB11F4">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环保投资（万元）</w:t>
            </w:r>
          </w:p>
        </w:tc>
        <w:tc>
          <w:tcPr>
            <w:tcW w:w="1813" w:type="pct"/>
            <w:noWrap w:val="0"/>
            <w:vAlign w:val="center"/>
          </w:tcPr>
          <w:p w14:paraId="540BAB62">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308</w:t>
            </w:r>
          </w:p>
        </w:tc>
      </w:tr>
      <w:tr w14:paraId="1EF4EF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0E9ED440">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环保投资占比（%）</w:t>
            </w:r>
          </w:p>
        </w:tc>
        <w:tc>
          <w:tcPr>
            <w:tcW w:w="1063" w:type="pct"/>
            <w:noWrap w:val="0"/>
            <w:vAlign w:val="center"/>
          </w:tcPr>
          <w:p w14:paraId="5DE82914">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2.05</w:t>
            </w:r>
          </w:p>
        </w:tc>
        <w:tc>
          <w:tcPr>
            <w:tcW w:w="1062" w:type="pct"/>
            <w:noWrap w:val="0"/>
            <w:tcMar>
              <w:top w:w="16" w:type="dxa"/>
              <w:left w:w="16" w:type="dxa"/>
              <w:right w:w="16" w:type="dxa"/>
            </w:tcMar>
            <w:vAlign w:val="center"/>
          </w:tcPr>
          <w:p w14:paraId="409BB1C9">
            <w:pPr>
              <w:adjustRightInd w:val="0"/>
              <w:snapToGrid w:val="0"/>
              <w:jc w:val="center"/>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施工工期</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月</w:t>
            </w:r>
            <w:r>
              <w:rPr>
                <w:rFonts w:hint="eastAsia" w:ascii="Times New Roman" w:hAnsi="Times New Roman" w:cs="Times New Roman"/>
                <w:color w:val="000000" w:themeColor="text1"/>
                <w:sz w:val="24"/>
                <w:szCs w:val="24"/>
                <w:lang w:eastAsia="zh-CN"/>
                <w14:textFill>
                  <w14:solidFill>
                    <w14:schemeClr w14:val="tx1"/>
                  </w14:solidFill>
                </w14:textFill>
              </w:rPr>
              <w:t>）</w:t>
            </w:r>
          </w:p>
        </w:tc>
        <w:tc>
          <w:tcPr>
            <w:tcW w:w="1813" w:type="pct"/>
            <w:noWrap w:val="0"/>
            <w:vAlign w:val="center"/>
          </w:tcPr>
          <w:p w14:paraId="1D2E6019">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12</w:t>
            </w:r>
          </w:p>
        </w:tc>
      </w:tr>
      <w:tr w14:paraId="1EC1B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60" w:type="pct"/>
            <w:gridSpan w:val="2"/>
            <w:noWrap w:val="0"/>
            <w:tcMar>
              <w:top w:w="16" w:type="dxa"/>
              <w:left w:w="16" w:type="dxa"/>
              <w:right w:w="16" w:type="dxa"/>
            </w:tcMar>
            <w:vAlign w:val="center"/>
          </w:tcPr>
          <w:p w14:paraId="660B2DEC">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是否开工建设</w:t>
            </w:r>
          </w:p>
        </w:tc>
        <w:tc>
          <w:tcPr>
            <w:tcW w:w="1063" w:type="pct"/>
            <w:noWrap w:val="0"/>
            <w:vAlign w:val="center"/>
          </w:tcPr>
          <w:p w14:paraId="44D19F7B">
            <w:pPr>
              <w:adjustRightInd w:val="0"/>
              <w:snapToGrid w:val="0"/>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否</w:t>
            </w:r>
          </w:p>
          <w:p w14:paraId="41C144AD">
            <w:pPr>
              <w:adjustRightInd w:val="0"/>
              <w:snapToGrid w:val="0"/>
              <w:rPr>
                <w:rFonts w:hint="default" w:ascii="Times New Roman" w:hAnsi="Times New Roman" w:eastAsia="宋体" w:cs="Times New Roman"/>
                <w:color w:val="000000" w:themeColor="text1"/>
                <w:sz w:val="24"/>
                <w:szCs w:val="24"/>
                <w:u w:val="single"/>
                <w:lang w:val="en-US" w:eastAsia="zh-CN"/>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是：</w:t>
            </w:r>
            <w:r>
              <w:rPr>
                <w:rFonts w:hint="eastAsia" w:cs="Times New Roman"/>
                <w:color w:val="000000" w:themeColor="text1"/>
                <w:sz w:val="24"/>
                <w:szCs w:val="24"/>
                <w:u w:val="single"/>
                <w:lang w:val="en-US" w:eastAsia="zh-CN"/>
                <w14:textFill>
                  <w14:solidFill>
                    <w14:schemeClr w14:val="tx1"/>
                  </w14:solidFill>
                </w14:textFill>
              </w:rPr>
              <w:t xml:space="preserve">            </w:t>
            </w:r>
          </w:p>
        </w:tc>
        <w:tc>
          <w:tcPr>
            <w:tcW w:w="1062" w:type="pct"/>
            <w:noWrap w:val="0"/>
            <w:tcMar>
              <w:top w:w="16" w:type="dxa"/>
              <w:left w:w="16" w:type="dxa"/>
              <w:right w:w="16" w:type="dxa"/>
            </w:tcMar>
            <w:vAlign w:val="center"/>
          </w:tcPr>
          <w:p w14:paraId="5E3B483F">
            <w:pPr>
              <w:adjustRightInd w:val="0"/>
              <w:snapToGrid w:val="0"/>
              <w:jc w:val="center"/>
              <w:rPr>
                <w:rFonts w:hint="default" w:ascii="Times New Roman" w:hAnsi="Times New Roman" w:cs="Times New Roman"/>
                <w:color w:val="000000" w:themeColor="text1"/>
                <w:spacing w:val="-6"/>
                <w:sz w:val="24"/>
                <w:szCs w:val="24"/>
                <w14:textFill>
                  <w14:solidFill>
                    <w14:schemeClr w14:val="tx1"/>
                  </w14:solidFill>
                </w14:textFill>
              </w:rPr>
            </w:pPr>
            <w:r>
              <w:rPr>
                <w:rFonts w:hint="default" w:ascii="Times New Roman" w:hAnsi="Times New Roman" w:cs="Times New Roman"/>
                <w:color w:val="000000" w:themeColor="text1"/>
                <w:spacing w:val="-6"/>
                <w:sz w:val="24"/>
                <w:szCs w:val="24"/>
                <w14:textFill>
                  <w14:solidFill>
                    <w14:schemeClr w14:val="tx1"/>
                  </w14:solidFill>
                </w14:textFill>
              </w:rPr>
              <w:t>用地（用海）</w:t>
            </w:r>
          </w:p>
          <w:p w14:paraId="1EC6EBB5">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pacing w:val="-6"/>
                <w:sz w:val="24"/>
                <w:szCs w:val="24"/>
                <w14:textFill>
                  <w14:solidFill>
                    <w14:schemeClr w14:val="tx1"/>
                  </w14:solidFill>
                </w14:textFill>
              </w:rPr>
              <w:t>面积（m</w:t>
            </w:r>
            <w:r>
              <w:rPr>
                <w:rFonts w:hint="default" w:ascii="Times New Roman" w:hAnsi="Times New Roman" w:cs="Times New Roman"/>
                <w:color w:val="000000" w:themeColor="text1"/>
                <w:spacing w:val="-6"/>
                <w:sz w:val="24"/>
                <w:szCs w:val="24"/>
                <w:vertAlign w:val="superscript"/>
                <w14:textFill>
                  <w14:solidFill>
                    <w14:schemeClr w14:val="tx1"/>
                  </w14:solidFill>
                </w14:textFill>
              </w:rPr>
              <w:t>2</w:t>
            </w:r>
            <w:r>
              <w:rPr>
                <w:rFonts w:hint="default" w:ascii="Times New Roman" w:hAnsi="Times New Roman" w:cs="Times New Roman"/>
                <w:color w:val="000000" w:themeColor="text1"/>
                <w:spacing w:val="-6"/>
                <w:sz w:val="24"/>
                <w:szCs w:val="24"/>
                <w14:textFill>
                  <w14:solidFill>
                    <w14:schemeClr w14:val="tx1"/>
                  </w14:solidFill>
                </w14:textFill>
              </w:rPr>
              <w:t>）</w:t>
            </w:r>
          </w:p>
        </w:tc>
        <w:tc>
          <w:tcPr>
            <w:tcW w:w="1813" w:type="pct"/>
            <w:noWrap w:val="0"/>
            <w:vAlign w:val="center"/>
          </w:tcPr>
          <w:p w14:paraId="49EF3BB8">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27433.86</w:t>
            </w:r>
          </w:p>
        </w:tc>
      </w:tr>
      <w:tr w14:paraId="589858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60" w:type="pct"/>
            <w:gridSpan w:val="2"/>
            <w:noWrap w:val="0"/>
            <w:vAlign w:val="center"/>
          </w:tcPr>
          <w:p w14:paraId="61910C97">
            <w:pPr>
              <w:autoSpaceDE w:val="0"/>
              <w:autoSpaceDN w:val="0"/>
              <w:adjustRightInd w:val="0"/>
              <w:snapToGrid w:val="0"/>
              <w:jc w:val="cente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专项评价设置情况</w:t>
            </w:r>
          </w:p>
        </w:tc>
        <w:tc>
          <w:tcPr>
            <w:tcW w:w="3939" w:type="pct"/>
            <w:gridSpan w:val="3"/>
            <w:noWrap w:val="0"/>
            <w:vAlign w:val="center"/>
          </w:tcPr>
          <w:p w14:paraId="522A8F4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outlineLvl w:val="0"/>
              <w:rPr>
                <w:rFonts w:hint="default"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无</w:t>
            </w:r>
          </w:p>
        </w:tc>
      </w:tr>
      <w:tr w14:paraId="046B40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pct"/>
            <w:noWrap w:val="0"/>
            <w:vAlign w:val="center"/>
          </w:tcPr>
          <w:p w14:paraId="61D1A594">
            <w:pPr>
              <w:autoSpaceDE w:val="0"/>
              <w:autoSpaceDN w:val="0"/>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规划情况</w:t>
            </w:r>
          </w:p>
        </w:tc>
        <w:tc>
          <w:tcPr>
            <w:tcW w:w="4578" w:type="pct"/>
            <w:gridSpan w:val="4"/>
            <w:noWrap w:val="0"/>
            <w:vAlign w:val="center"/>
          </w:tcPr>
          <w:p w14:paraId="04556666">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textAlignment w:val="auto"/>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规划</w:t>
            </w:r>
            <w:r>
              <w:rPr>
                <w:rFonts w:cs="宋体"/>
                <w:color w:val="000000" w:themeColor="text1"/>
                <w:kern w:val="0"/>
                <w:sz w:val="24"/>
                <w14:textFill>
                  <w14:solidFill>
                    <w14:schemeClr w14:val="tx1"/>
                  </w14:solidFill>
                </w14:textFill>
              </w:rPr>
              <w:t>名称</w:t>
            </w:r>
            <w:r>
              <w:rPr>
                <w:rFonts w:hint="eastAsia" w:cs="宋体"/>
                <w:color w:val="000000" w:themeColor="text1"/>
                <w:kern w:val="0"/>
                <w:sz w:val="24"/>
                <w14:textFill>
                  <w14:solidFill>
                    <w14:schemeClr w14:val="tx1"/>
                  </w14:solidFill>
                </w14:textFill>
              </w:rPr>
              <w:t>：</w:t>
            </w:r>
            <w:r>
              <w:rPr>
                <w:rFonts w:hint="eastAsia"/>
                <w:color w:val="000000" w:themeColor="text1"/>
                <w:kern w:val="0"/>
                <w:sz w:val="24"/>
                <w14:textFill>
                  <w14:solidFill>
                    <w14:schemeClr w14:val="tx1"/>
                  </w14:solidFill>
                </w14:textFill>
              </w:rPr>
              <w:t>《汤阴县产业集聚区发展规划调整方案（2017-2020）》、《汤阴高新技术产业开发区总体发展规划（2022-2035）》（</w:t>
            </w:r>
            <w:r>
              <w:rPr>
                <w:rFonts w:hint="eastAsia"/>
                <w:color w:val="000000" w:themeColor="text1"/>
                <w:kern w:val="0"/>
                <w:sz w:val="24"/>
                <w:lang w:val="en-US" w:eastAsia="zh-CN"/>
                <w14:textFill>
                  <w14:solidFill>
                    <w14:schemeClr w14:val="tx1"/>
                  </w14:solidFill>
                </w14:textFill>
              </w:rPr>
              <w:t>初</w:t>
            </w:r>
            <w:r>
              <w:rPr>
                <w:rFonts w:hint="eastAsia"/>
                <w:color w:val="000000" w:themeColor="text1"/>
                <w:kern w:val="0"/>
                <w:sz w:val="24"/>
                <w14:textFill>
                  <w14:solidFill>
                    <w14:schemeClr w14:val="tx1"/>
                  </w14:solidFill>
                </w14:textFill>
              </w:rPr>
              <w:t>稿）</w:t>
            </w:r>
            <w:r>
              <w:rPr>
                <w:rFonts w:hint="eastAsia" w:cs="宋体"/>
                <w:color w:val="000000" w:themeColor="text1"/>
                <w:kern w:val="0"/>
                <w:sz w:val="24"/>
                <w14:textFill>
                  <w14:solidFill>
                    <w14:schemeClr w14:val="tx1"/>
                  </w14:solidFill>
                </w14:textFill>
              </w:rPr>
              <w:t>；</w:t>
            </w:r>
            <w:r>
              <w:rPr>
                <w:rFonts w:cs="宋体"/>
                <w:color w:val="000000" w:themeColor="text1"/>
                <w:kern w:val="0"/>
                <w:sz w:val="24"/>
                <w14:textFill>
                  <w14:solidFill>
                    <w14:schemeClr w14:val="tx1"/>
                  </w14:solidFill>
                </w14:textFill>
              </w:rPr>
              <w:t xml:space="preserve"> </w:t>
            </w:r>
          </w:p>
          <w:p w14:paraId="531EE2E5">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审批机关：河南省发展和改革委员会</w:t>
            </w:r>
            <w:r>
              <w:rPr>
                <w:rFonts w:cs="宋体"/>
                <w:color w:val="000000" w:themeColor="text1"/>
                <w:kern w:val="0"/>
                <w:sz w:val="24"/>
                <w14:textFill>
                  <w14:solidFill>
                    <w14:schemeClr w14:val="tx1"/>
                  </w14:solidFill>
                </w14:textFill>
              </w:rPr>
              <w:t>；</w:t>
            </w:r>
          </w:p>
          <w:p w14:paraId="51CAEBF9">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0" w:firstLineChars="0"/>
              <w:jc w:val="left"/>
              <w:textAlignment w:val="auto"/>
              <w:outlineLvl w:val="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宋体"/>
                <w:color w:val="000000" w:themeColor="text1"/>
                <w:kern w:val="0"/>
                <w:sz w:val="24"/>
                <w14:textFill>
                  <w14:solidFill>
                    <w14:schemeClr w14:val="tx1"/>
                  </w14:solidFill>
                </w14:textFill>
              </w:rPr>
              <w:t>审批文件名称</w:t>
            </w:r>
            <w:r>
              <w:rPr>
                <w:rFonts w:cs="宋体"/>
                <w:color w:val="000000" w:themeColor="text1"/>
                <w:kern w:val="0"/>
                <w:sz w:val="24"/>
                <w14:textFill>
                  <w14:solidFill>
                    <w14:schemeClr w14:val="tx1"/>
                  </w14:solidFill>
                </w14:textFill>
              </w:rPr>
              <w:t>及文号：</w:t>
            </w:r>
            <w:r>
              <w:rPr>
                <w:rFonts w:hint="eastAsia" w:cs="宋体"/>
                <w:color w:val="000000" w:themeColor="text1"/>
                <w:kern w:val="0"/>
                <w:sz w:val="24"/>
                <w14:textFill>
                  <w14:solidFill>
                    <w14:schemeClr w14:val="tx1"/>
                  </w14:solidFill>
                </w14:textFill>
              </w:rPr>
              <w:t>豫发改工业[2012]1076号</w:t>
            </w:r>
            <w:r>
              <w:rPr>
                <w:rFonts w:hint="eastAsia" w:cs="宋体"/>
                <w:color w:val="000000" w:themeColor="text1"/>
                <w:kern w:val="0"/>
                <w:sz w:val="24"/>
                <w:lang w:val="en-US" w:eastAsia="zh-CN"/>
                <w14:textFill>
                  <w14:solidFill>
                    <w14:schemeClr w14:val="tx1"/>
                  </w14:solidFill>
                </w14:textFill>
              </w:rPr>
              <w:t xml:space="preserve">。   </w:t>
            </w:r>
          </w:p>
        </w:tc>
      </w:tr>
      <w:tr w14:paraId="03140C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01" w:hRule="atLeast"/>
          <w:jc w:val="center"/>
        </w:trPr>
        <w:tc>
          <w:tcPr>
            <w:tcW w:w="421" w:type="pct"/>
            <w:noWrap w:val="0"/>
            <w:vAlign w:val="center"/>
          </w:tcPr>
          <w:p w14:paraId="7C0CFF71">
            <w:pPr>
              <w:adjustRightInd w:val="0"/>
              <w:snapToGrid w:val="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规划环境影响</w:t>
            </w:r>
          </w:p>
          <w:p w14:paraId="3EEBA5A5">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评价情况</w:t>
            </w:r>
          </w:p>
        </w:tc>
        <w:tc>
          <w:tcPr>
            <w:tcW w:w="4578" w:type="pct"/>
            <w:gridSpan w:val="4"/>
            <w:noWrap w:val="0"/>
            <w:vAlign w:val="center"/>
          </w:tcPr>
          <w:p w14:paraId="1AB3FE41">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规划</w:t>
            </w:r>
            <w:r>
              <w:rPr>
                <w:rFonts w:cs="宋体"/>
                <w:color w:val="000000" w:themeColor="text1"/>
                <w:kern w:val="0"/>
                <w:sz w:val="24"/>
                <w14:textFill>
                  <w14:solidFill>
                    <w14:schemeClr w14:val="tx1"/>
                  </w14:solidFill>
                </w14:textFill>
              </w:rPr>
              <w:t>环评文件名称：</w:t>
            </w:r>
            <w:r>
              <w:rPr>
                <w:rFonts w:hint="eastAsia" w:cs="宋体"/>
                <w:color w:val="000000" w:themeColor="text1"/>
                <w:kern w:val="0"/>
                <w:sz w:val="24"/>
                <w:lang w:eastAsia="zh-CN"/>
                <w14:textFill>
                  <w14:solidFill>
                    <w14:schemeClr w14:val="tx1"/>
                  </w14:solidFill>
                </w14:textFill>
              </w:rPr>
              <w:t>《汤阴县产业集聚区发展规划调整方案（2017-2020）环境影响报告书》、《汤阴高新技术产业开发区总体发展规划（2022-2035）环境影响报告书》（送审稿）</w:t>
            </w:r>
            <w:r>
              <w:rPr>
                <w:rFonts w:hint="eastAsia" w:cs="宋体"/>
                <w:color w:val="000000" w:themeColor="text1"/>
                <w:kern w:val="0"/>
                <w:sz w:val="24"/>
                <w14:textFill>
                  <w14:solidFill>
                    <w14:schemeClr w14:val="tx1"/>
                  </w14:solidFill>
                </w14:textFill>
              </w:rPr>
              <w:t>；</w:t>
            </w:r>
          </w:p>
          <w:p w14:paraId="3DF9289F">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审查机关</w:t>
            </w:r>
            <w:r>
              <w:rPr>
                <w:rFonts w:cs="宋体"/>
                <w:color w:val="000000" w:themeColor="text1"/>
                <w:kern w:val="0"/>
                <w:sz w:val="24"/>
                <w14:textFill>
                  <w14:solidFill>
                    <w14:schemeClr w14:val="tx1"/>
                  </w14:solidFill>
                </w14:textFill>
              </w:rPr>
              <w:t>：</w:t>
            </w:r>
            <w:r>
              <w:rPr>
                <w:rFonts w:hint="eastAsia" w:cs="宋体"/>
                <w:color w:val="000000" w:themeColor="text1"/>
                <w:kern w:val="0"/>
                <w:sz w:val="24"/>
                <w14:textFill>
                  <w14:solidFill>
                    <w14:schemeClr w14:val="tx1"/>
                  </w14:solidFill>
                </w14:textFill>
              </w:rPr>
              <w:t>河南省环境保护厅</w:t>
            </w:r>
            <w:r>
              <w:rPr>
                <w:rFonts w:cs="宋体"/>
                <w:color w:val="000000" w:themeColor="text1"/>
                <w:kern w:val="0"/>
                <w:sz w:val="24"/>
                <w14:textFill>
                  <w14:solidFill>
                    <w14:schemeClr w14:val="tx1"/>
                  </w14:solidFill>
                </w14:textFill>
              </w:rPr>
              <w:t>；</w:t>
            </w:r>
          </w:p>
          <w:p w14:paraId="488AE21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outlineLvl w:val="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cs="宋体"/>
                <w:color w:val="000000" w:themeColor="text1"/>
                <w:kern w:val="0"/>
                <w:sz w:val="24"/>
                <w14:textFill>
                  <w14:solidFill>
                    <w14:schemeClr w14:val="tx1"/>
                  </w14:solidFill>
                </w14:textFill>
              </w:rPr>
              <w:t>审查文件名称</w:t>
            </w:r>
            <w:r>
              <w:rPr>
                <w:rFonts w:hint="eastAsia" w:cs="宋体"/>
                <w:color w:val="000000" w:themeColor="text1"/>
                <w:kern w:val="0"/>
                <w:sz w:val="24"/>
                <w14:textFill>
                  <w14:solidFill>
                    <w14:schemeClr w14:val="tx1"/>
                  </w14:solidFill>
                </w14:textFill>
              </w:rPr>
              <w:t>及</w:t>
            </w:r>
            <w:r>
              <w:rPr>
                <w:rFonts w:cs="宋体"/>
                <w:color w:val="000000" w:themeColor="text1"/>
                <w:kern w:val="0"/>
                <w:sz w:val="24"/>
                <w14:textFill>
                  <w14:solidFill>
                    <w14:schemeClr w14:val="tx1"/>
                  </w14:solidFill>
                </w14:textFill>
              </w:rPr>
              <w:t>文号：</w:t>
            </w:r>
            <w:r>
              <w:rPr>
                <w:rFonts w:hint="eastAsia" w:cs="宋体"/>
                <w:color w:val="000000" w:themeColor="text1"/>
                <w:kern w:val="0"/>
                <w:sz w:val="24"/>
                <w14:textFill>
                  <w14:solidFill>
                    <w14:schemeClr w14:val="tx1"/>
                  </w14:solidFill>
                </w14:textFill>
              </w:rPr>
              <w:t>豫环函[2017]251号；</w:t>
            </w:r>
          </w:p>
        </w:tc>
      </w:tr>
      <w:tr w14:paraId="569925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421" w:type="pct"/>
            <w:noWrap w:val="0"/>
            <w:vAlign w:val="center"/>
          </w:tcPr>
          <w:p w14:paraId="60056DD4">
            <w:pPr>
              <w:autoSpaceDE w:val="0"/>
              <w:autoSpaceDN w:val="0"/>
              <w:adjustRightInd w:val="0"/>
              <w:snapToGrid w:val="0"/>
              <w:ind w:left="-199" w:leftChars="-95" w:right="-252" w:rightChars="-12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规划</w:t>
            </w:r>
          </w:p>
          <w:p w14:paraId="7148BCA1">
            <w:pPr>
              <w:autoSpaceDE w:val="0"/>
              <w:autoSpaceDN w:val="0"/>
              <w:adjustRightInd w:val="0"/>
              <w:snapToGrid w:val="0"/>
              <w:ind w:left="-199" w:leftChars="-95" w:right="-252" w:rightChars="-12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及</w:t>
            </w:r>
          </w:p>
          <w:p w14:paraId="14B13F1F">
            <w:pPr>
              <w:autoSpaceDE w:val="0"/>
              <w:autoSpaceDN w:val="0"/>
              <w:adjustRightInd w:val="0"/>
              <w:snapToGrid w:val="0"/>
              <w:ind w:left="-199" w:leftChars="-95" w:right="-252" w:rightChars="-12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规划</w:t>
            </w:r>
          </w:p>
          <w:p w14:paraId="5AF8697E">
            <w:pPr>
              <w:autoSpaceDE w:val="0"/>
              <w:autoSpaceDN w:val="0"/>
              <w:adjustRightInd w:val="0"/>
              <w:snapToGrid w:val="0"/>
              <w:ind w:left="-199" w:leftChars="-95" w:right="-252" w:rightChars="-12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环境</w:t>
            </w:r>
          </w:p>
          <w:p w14:paraId="4FF890EC">
            <w:pPr>
              <w:autoSpaceDE w:val="0"/>
              <w:autoSpaceDN w:val="0"/>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影响评价符合性分析</w:t>
            </w:r>
          </w:p>
        </w:tc>
        <w:tc>
          <w:tcPr>
            <w:tcW w:w="4578" w:type="pct"/>
            <w:gridSpan w:val="4"/>
            <w:noWrap w:val="0"/>
            <w:vAlign w:val="center"/>
          </w:tcPr>
          <w:p w14:paraId="12E2D5EC">
            <w:pPr>
              <w:pStyle w:val="68"/>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eastAsia"/>
                <w:b w:val="0"/>
                <w:bCs/>
                <w:color w:val="000000" w:themeColor="text1"/>
                <w:sz w:val="24"/>
                <w:szCs w:val="24"/>
                <w14:textFill>
                  <w14:solidFill>
                    <w14:schemeClr w14:val="tx1"/>
                  </w14:solidFill>
                </w14:textFill>
              </w:rPr>
            </w:pPr>
            <w:r>
              <w:rPr>
                <w:rFonts w:hint="eastAsia"/>
                <w:b w:val="0"/>
                <w:bCs/>
                <w:color w:val="000000" w:themeColor="text1"/>
                <w:sz w:val="24"/>
                <w:szCs w:val="24"/>
                <w:lang w:val="en-US" w:eastAsia="zh-CN"/>
                <w14:textFill>
                  <w14:solidFill>
                    <w14:schemeClr w14:val="tx1"/>
                  </w14:solidFill>
                </w14:textFill>
              </w:rPr>
              <w:t>一、</w:t>
            </w:r>
            <w:r>
              <w:rPr>
                <w:rFonts w:hint="eastAsia"/>
                <w:b w:val="0"/>
                <w:bCs/>
                <w:color w:val="000000" w:themeColor="text1"/>
                <w:sz w:val="24"/>
                <w:szCs w:val="24"/>
                <w14:textFill>
                  <w14:solidFill>
                    <w14:schemeClr w14:val="tx1"/>
                  </w14:solidFill>
                </w14:textFill>
              </w:rPr>
              <w:t>与</w:t>
            </w:r>
            <w:r>
              <w:rPr>
                <w:rFonts w:hint="eastAsia"/>
                <w:b w:val="0"/>
                <w:bCs/>
                <w:color w:val="000000" w:themeColor="text1"/>
                <w:sz w:val="24"/>
                <w:szCs w:val="24"/>
                <w:lang w:val="en-US" w:eastAsia="zh-CN"/>
                <w14:textFill>
                  <w14:solidFill>
                    <w14:schemeClr w14:val="tx1"/>
                  </w14:solidFill>
                </w14:textFill>
              </w:rPr>
              <w:t>《汤阴县产业集聚区发展规划调整方案（2017-2020）》及规划</w:t>
            </w:r>
            <w:r>
              <w:rPr>
                <w:rFonts w:hint="eastAsia"/>
                <w:b w:val="0"/>
                <w:bCs/>
                <w:color w:val="000000" w:themeColor="text1"/>
                <w:sz w:val="24"/>
                <w:szCs w:val="24"/>
                <w14:textFill>
                  <w14:solidFill>
                    <w14:schemeClr w14:val="tx1"/>
                  </w14:solidFill>
                </w14:textFill>
              </w:rPr>
              <w:t>环评符合性</w:t>
            </w:r>
            <w:r>
              <w:rPr>
                <w:b w:val="0"/>
                <w:bCs/>
                <w:color w:val="000000" w:themeColor="text1"/>
                <w:sz w:val="24"/>
                <w:szCs w:val="24"/>
                <w14:textFill>
                  <w14:solidFill>
                    <w14:schemeClr w14:val="tx1"/>
                  </w14:solidFill>
                </w14:textFill>
              </w:rPr>
              <w:t>分析</w:t>
            </w:r>
          </w:p>
          <w:p w14:paraId="003CF0B3">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汤阴县产业集聚区成立于2007年，2009年被批准为首批180家省级产业集聚区之一。2022年2月《河南省发展和改革委员会以关于同意安阳市开发区整合方案的函》 （豫发改工业函[2022]40号）文件，汤阴县产业集聚区整合更名为汤阴高新技术产业开发区，整合后，开发区的主导产业仍为食品、精品钢及深加工、医药。本项目仍位于整合后的规划范围内。目前，汤阴高新技术产业开发区规划及规划环评正在编制过程中。本次环评重点对本次工程与原规划相符性进行分析。</w:t>
            </w:r>
          </w:p>
          <w:p w14:paraId="3280802A">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汤阴县产业集聚区总体发展规划（2009～2020）》编制于2009年，河南省环保厅以豫环审[2010]44号文通过了其规划环评审查。随着汤阴县中心城区的不断发展，2012年汤阴县产业集聚区进行了调整，河南省发展和改革委员会在《河南省发展和改革委员会关于汤阴县产业集聚区发展规划调整方案的批复》（豫发改工业[2012]1076号）中，同意对汤阴县产业集聚区发展规划进行调整，调整后汤阴县产业集聚区总规划面积为23.4平方公里。2017年河南省环保厅以豫环函[2017]251号文通过了《汤阴县产业集聚区发展规划调整方案（2017-2020）环境影响报告书》审查。</w:t>
            </w:r>
          </w:p>
          <w:p w14:paraId="437C6AC5">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1、规划期限</w:t>
            </w:r>
          </w:p>
          <w:p w14:paraId="7523D61D">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规划期限为2017～2020年。</w:t>
            </w:r>
          </w:p>
          <w:p w14:paraId="26400EA6">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2、规划目标</w:t>
            </w:r>
          </w:p>
          <w:p w14:paraId="161CE866">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重点发展现代食品产业、医药产业、商贸物流产业和城市服务业，着力打造“一心、五区”，把汤阴集聚区建设成为产业集聚、布局合理、功能完善、环境优美的新兴工业城区，成为豫北地区经济发展的重要增长极。</w:t>
            </w:r>
          </w:p>
          <w:p w14:paraId="006D306D">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3、规划区范围</w:t>
            </w:r>
          </w:p>
          <w:p w14:paraId="3AD95FE4">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东至徐伏路—汤伏路一线，西至107国道，南至制造四路向东1.5km向北取直接晋豫鲁铁道大通道，北至工横三街—精忠路—302省道一线。</w:t>
            </w:r>
          </w:p>
          <w:p w14:paraId="02346E85">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汤阴县产业集聚区占地总面积23.4km</w:t>
            </w:r>
            <w:r>
              <w:rPr>
                <w:rFonts w:hint="eastAsia"/>
                <w:color w:val="000000" w:themeColor="text1"/>
                <w:sz w:val="24"/>
                <w:szCs w:val="24"/>
                <w:vertAlign w:val="superscript"/>
                <w14:textFill>
                  <w14:solidFill>
                    <w14:schemeClr w14:val="tx1"/>
                  </w14:solidFill>
                </w14:textFill>
              </w:rPr>
              <w:t>2</w:t>
            </w:r>
            <w:r>
              <w:rPr>
                <w:rFonts w:hint="eastAsia"/>
                <w:color w:val="000000" w:themeColor="text1"/>
                <w:sz w:val="24"/>
                <w:szCs w:val="24"/>
                <w14:textFill>
                  <w14:solidFill>
                    <w14:schemeClr w14:val="tx1"/>
                  </w14:solidFill>
                </w14:textFill>
              </w:rPr>
              <w:t>，其中，建成区面积6.7km</w:t>
            </w:r>
            <w:r>
              <w:rPr>
                <w:rFonts w:hint="eastAsia"/>
                <w:color w:val="000000" w:themeColor="text1"/>
                <w:sz w:val="24"/>
                <w:szCs w:val="24"/>
                <w:vertAlign w:val="superscript"/>
                <w14:textFill>
                  <w14:solidFill>
                    <w14:schemeClr w14:val="tx1"/>
                  </w14:solidFill>
                </w14:textFill>
              </w:rPr>
              <w:t>2</w:t>
            </w:r>
            <w:r>
              <w:rPr>
                <w:rFonts w:hint="eastAsia"/>
                <w:color w:val="000000" w:themeColor="text1"/>
                <w:sz w:val="24"/>
                <w:szCs w:val="24"/>
                <w14:textFill>
                  <w14:solidFill>
                    <w14:schemeClr w14:val="tx1"/>
                  </w14:solidFill>
                </w14:textFill>
              </w:rPr>
              <w:t>，发展区面积7km</w:t>
            </w:r>
            <w:r>
              <w:rPr>
                <w:rFonts w:hint="eastAsia"/>
                <w:color w:val="000000" w:themeColor="text1"/>
                <w:sz w:val="24"/>
                <w:szCs w:val="24"/>
                <w:vertAlign w:val="superscript"/>
                <w14:textFill>
                  <w14:solidFill>
                    <w14:schemeClr w14:val="tx1"/>
                  </w14:solidFill>
                </w14:textFill>
              </w:rPr>
              <w:t>2</w:t>
            </w:r>
            <w:r>
              <w:rPr>
                <w:rFonts w:hint="eastAsia"/>
                <w:color w:val="000000" w:themeColor="text1"/>
                <w:sz w:val="24"/>
                <w:szCs w:val="24"/>
                <w14:textFill>
                  <w14:solidFill>
                    <w14:schemeClr w14:val="tx1"/>
                  </w14:solidFill>
                </w14:textFill>
              </w:rPr>
              <w:t>，控制区面积9.7km</w:t>
            </w:r>
            <w:r>
              <w:rPr>
                <w:rFonts w:hint="eastAsia"/>
                <w:color w:val="000000" w:themeColor="text1"/>
                <w:sz w:val="24"/>
                <w:szCs w:val="24"/>
                <w:vertAlign w:val="superscript"/>
                <w14:textFill>
                  <w14:solidFill>
                    <w14:schemeClr w14:val="tx1"/>
                  </w14:solidFill>
                </w14:textFill>
              </w:rPr>
              <w:t>2</w:t>
            </w:r>
            <w:r>
              <w:rPr>
                <w:rFonts w:hint="eastAsia"/>
                <w:color w:val="000000" w:themeColor="text1"/>
                <w:sz w:val="24"/>
                <w:szCs w:val="24"/>
                <w14:textFill>
                  <w14:solidFill>
                    <w14:schemeClr w14:val="tx1"/>
                  </w14:solidFill>
                </w14:textFill>
              </w:rPr>
              <w:t>。</w:t>
            </w:r>
          </w:p>
          <w:p w14:paraId="4772C323">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4、产业定位</w:t>
            </w:r>
          </w:p>
          <w:p w14:paraId="64883B80">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集聚区规划为重点发展现代食品和医药产业。其中食品产业鼓励发展食品的深加工和精加工，限制发展屠宰类食品工业，鼓励发展休闲食品系列；医药产业以发展中药制药和混装制剂为主，适当发展化学合成制药低排水产品和提取制药类，限制发展发酵制药以及生物制药类。</w:t>
            </w:r>
          </w:p>
          <w:p w14:paraId="41EB1BD0">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5、产业结构及土地利用规划</w:t>
            </w:r>
          </w:p>
          <w:p w14:paraId="7AE9A859">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集聚区规划用地布局为“一心、五区”。“一心”结合管委会等服务设施，建设集商务、商业设施居住片区形成的商贸、教育体育等综合服务中心。“五区”医药园区、两个食品工业园区、制造业园区和仓储物流区。其中，医药园区用地规划为二类工业用地。</w:t>
            </w:r>
          </w:p>
          <w:p w14:paraId="21E204D2">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6、产业集聚区基础设施情况</w:t>
            </w:r>
          </w:p>
          <w:p w14:paraId="7F04E43E">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（1）供水</w:t>
            </w:r>
          </w:p>
          <w:p w14:paraId="54345A1C">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规划产业集聚区用水主要由城区第二水厂供给，由第一水厂和第三水厂作为补充。</w:t>
            </w:r>
          </w:p>
          <w:p w14:paraId="3B9695E1">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保留现状第一水厂（区外），供水规模为2万立方米/日，占地1.4公顷，水源由现状地下水改为南水北调水。</w:t>
            </w:r>
          </w:p>
          <w:p w14:paraId="6C628EEC">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新建第二水厂（区外），厂址位于中华路东侧、南绕城路北侧，供水规模为5万立方米/日，占地3.5公顷，水源为南水北调水，地下水为补充。</w:t>
            </w:r>
          </w:p>
          <w:p w14:paraId="0AD0381F">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新建第三水厂（区外），厂址位于文王路以南、汤河以北，供水规模为5万立方米/日，占地1.5公顷，水源为地下水。产业集聚区内原有的地下水源井加强保护，作为城市用水的备用水源。</w:t>
            </w:r>
          </w:p>
          <w:p w14:paraId="6F69A737">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w:t>
            </w:r>
            <w:r>
              <w:rPr>
                <w:rFonts w:hint="eastAsia"/>
                <w:color w:val="000000" w:themeColor="text1"/>
                <w:sz w:val="24"/>
                <w:szCs w:val="24"/>
                <w:lang w:val="en-US" w:eastAsia="zh-CN"/>
                <w14:textFill>
                  <w14:solidFill>
                    <w14:schemeClr w14:val="tx1"/>
                  </w14:solidFill>
                </w14:textFill>
              </w:rPr>
              <w:t>项目</w:t>
            </w:r>
            <w:r>
              <w:rPr>
                <w:rFonts w:hint="eastAsia"/>
                <w:color w:val="000000" w:themeColor="text1"/>
                <w:sz w:val="24"/>
                <w:szCs w:val="24"/>
                <w14:textFill>
                  <w14:solidFill>
                    <w14:schemeClr w14:val="tx1"/>
                  </w14:solidFill>
                </w14:textFill>
              </w:rPr>
              <w:t>由开发区市政集中供水，符合开发区规划。</w:t>
            </w:r>
          </w:p>
          <w:p w14:paraId="0BAF67B7">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（2）供热</w:t>
            </w:r>
          </w:p>
          <w:p w14:paraId="2B8B68B1">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规划新建热电厂一座，位于众品大道和汤伏路交叉口东北角，新建3台150t/h高温高压燃煤锅炉和2×B12MW级背压式汽轮机。园区集中供热设施建成前，企业可自备燃气锅炉临时供热；园区集中供热设施建成后，企业的自备燃气锅炉作为备用热源（集中供热设施检修、供热负荷不稳定时段）。</w:t>
            </w:r>
          </w:p>
          <w:p w14:paraId="6B9C777B">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汤阴县人民政府已与华能安阳热电有限责任公司签订了集中供热协议。华能安阳热电有限责任公司总体建设规模为100MW背压式热电机组及配套的热网工程。集中供热项目占地面积500亩。</w:t>
            </w:r>
          </w:p>
          <w:p w14:paraId="479318AE">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根据调查，2021年3月开发区已经集中供热，</w:t>
            </w:r>
            <w:r>
              <w:rPr>
                <w:rFonts w:hint="eastAsia"/>
                <w:color w:val="000000" w:themeColor="text1"/>
                <w:sz w:val="24"/>
                <w:szCs w:val="24"/>
                <w:lang w:val="en-US" w:eastAsia="zh-CN"/>
                <w14:textFill>
                  <w14:solidFill>
                    <w14:schemeClr w14:val="tx1"/>
                  </w14:solidFill>
                </w14:textFill>
              </w:rPr>
              <w:t>公司</w:t>
            </w:r>
            <w:r>
              <w:rPr>
                <w:rFonts w:hint="eastAsia"/>
                <w:color w:val="000000" w:themeColor="text1"/>
                <w:sz w:val="24"/>
                <w:szCs w:val="24"/>
                <w14:textFill>
                  <w14:solidFill>
                    <w14:schemeClr w14:val="tx1"/>
                  </w14:solidFill>
                </w14:textFill>
              </w:rPr>
              <w:t>现有</w:t>
            </w:r>
            <w:r>
              <w:rPr>
                <w:rFonts w:hint="eastAsia"/>
                <w:color w:val="000000" w:themeColor="text1"/>
                <w:sz w:val="24"/>
                <w:szCs w:val="24"/>
                <w:lang w:val="en-US" w:eastAsia="zh-CN"/>
                <w14:textFill>
                  <w14:solidFill>
                    <w14:schemeClr w14:val="tx1"/>
                  </w14:solidFill>
                </w14:textFill>
              </w:rPr>
              <w:t>一期</w:t>
            </w:r>
            <w:r>
              <w:rPr>
                <w:rFonts w:hint="eastAsia"/>
                <w:color w:val="000000" w:themeColor="text1"/>
                <w:sz w:val="24"/>
                <w:szCs w:val="24"/>
                <w14:textFill>
                  <w14:solidFill>
                    <w14:schemeClr w14:val="tx1"/>
                  </w14:solidFill>
                </w14:textFill>
              </w:rPr>
              <w:t>工程已经采用集中供热，热源为华能安阳热电有限责任公司。</w:t>
            </w:r>
          </w:p>
          <w:p w14:paraId="4021A04D">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（3）排水</w:t>
            </w:r>
          </w:p>
          <w:p w14:paraId="47E19DDB">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规划产业集聚区新建一座工业污水处理厂，厂址位于众品大道以北，汤伏路以东。设计规模为2万m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/d，产业集聚区废水全部送集聚区污水处理厂处理。水解酸化+A</w:t>
            </w:r>
            <w:r>
              <w:rPr>
                <w:rFonts w:hint="eastAsia"/>
                <w:color w:val="000000" w:themeColor="text1"/>
                <w:sz w:val="24"/>
                <w:szCs w:val="24"/>
                <w:vertAlign w:val="superscript"/>
                <w14:textFill>
                  <w14:solidFill>
                    <w14:schemeClr w14:val="tx1"/>
                  </w14:solidFill>
                </w14:textFill>
              </w:rPr>
              <w:t>2</w:t>
            </w:r>
            <w:r>
              <w:rPr>
                <w:rFonts w:hint="eastAsia"/>
                <w:color w:val="000000" w:themeColor="text1"/>
                <w:sz w:val="24"/>
                <w:szCs w:val="24"/>
                <w14:textFill>
                  <w14:solidFill>
                    <w14:schemeClr w14:val="tx1"/>
                  </w14:solidFill>
                </w14:textFill>
              </w:rPr>
              <w:t xml:space="preserve">O池+絮凝沉淀，设计进水水质：COD </w:t>
            </w:r>
            <w:r>
              <w:rPr>
                <w:rFonts w:hint="eastAsia"/>
                <w:color w:val="000000" w:themeColor="text1"/>
                <w:sz w:val="24"/>
                <w:szCs w:val="24"/>
                <w:lang w:val="en-US" w:eastAsia="zh-CN"/>
                <w14:textFill>
                  <w14:solidFill>
                    <w14:schemeClr w14:val="tx1"/>
                  </w14:solidFill>
                </w14:textFill>
              </w:rPr>
              <w:t>45</w:t>
            </w:r>
            <w:r>
              <w:rPr>
                <w:rFonts w:hint="eastAsia"/>
                <w:color w:val="000000" w:themeColor="text1"/>
                <w:sz w:val="24"/>
                <w:szCs w:val="24"/>
                <w14:textFill>
                  <w14:solidFill>
                    <w14:schemeClr w14:val="tx1"/>
                  </w14:solidFill>
                </w14:textFill>
              </w:rPr>
              <w:t>0mg/L、BOD</w:t>
            </w:r>
            <w:r>
              <w:rPr>
                <w:rFonts w:hint="eastAsia"/>
                <w:color w:val="000000" w:themeColor="text1"/>
                <w:sz w:val="24"/>
                <w:szCs w:val="24"/>
                <w:vertAlign w:val="subscript"/>
                <w14:textFill>
                  <w14:solidFill>
                    <w14:schemeClr w14:val="tx1"/>
                  </w14:solidFill>
                </w14:textFill>
              </w:rPr>
              <w:t>5</w:t>
            </w:r>
            <w:r>
              <w:rPr>
                <w:rFonts w:hint="eastAsia"/>
                <w:color w:val="000000" w:themeColor="text1"/>
                <w:sz w:val="24"/>
                <w:szCs w:val="24"/>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0</w:t>
            </w:r>
            <w:r>
              <w:rPr>
                <w:rFonts w:hint="eastAsia"/>
                <w:color w:val="000000" w:themeColor="text1"/>
                <w:sz w:val="24"/>
                <w:szCs w:val="24"/>
                <w14:textFill>
                  <w14:solidFill>
                    <w14:schemeClr w14:val="tx1"/>
                  </w14:solidFill>
                </w14:textFill>
              </w:rPr>
              <w:t>0mg/L、SS</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14:textFill>
                  <w14:solidFill>
                    <w14:schemeClr w14:val="tx1"/>
                  </w14:solidFill>
                </w14:textFill>
              </w:rPr>
              <w:t>00mg/L、TN</w:t>
            </w:r>
            <w:r>
              <w:rPr>
                <w:rFonts w:hint="eastAsia"/>
                <w:color w:val="000000" w:themeColor="text1"/>
                <w:sz w:val="24"/>
                <w:szCs w:val="24"/>
                <w:lang w:val="en-US" w:eastAsia="zh-CN"/>
                <w14:textFill>
                  <w14:solidFill>
                    <w14:schemeClr w14:val="tx1"/>
                  </w14:solidFill>
                </w14:textFill>
              </w:rPr>
              <w:t>60</w:t>
            </w:r>
            <w:r>
              <w:rPr>
                <w:rFonts w:hint="eastAsia"/>
                <w:color w:val="000000" w:themeColor="text1"/>
                <w:sz w:val="24"/>
                <w:szCs w:val="24"/>
                <w14:textFill>
                  <w14:solidFill>
                    <w14:schemeClr w14:val="tx1"/>
                  </w14:solidFill>
                </w14:textFill>
              </w:rPr>
              <w:t>mg/L、氨氮40mg/L、TP</w:t>
            </w:r>
            <w:r>
              <w:rPr>
                <w:rFonts w:hint="eastAsia"/>
                <w:color w:val="000000" w:themeColor="text1"/>
                <w:sz w:val="24"/>
                <w:szCs w:val="24"/>
                <w:lang w:val="en-US" w:eastAsia="zh-CN"/>
                <w14:textFill>
                  <w14:solidFill>
                    <w14:schemeClr w14:val="tx1"/>
                  </w14:solidFill>
                </w14:textFill>
              </w:rPr>
              <w:t>4.5</w:t>
            </w:r>
            <w:r>
              <w:rPr>
                <w:rFonts w:hint="eastAsia"/>
                <w:color w:val="000000" w:themeColor="text1"/>
                <w:sz w:val="24"/>
                <w:szCs w:val="24"/>
                <w14:textFill>
                  <w14:solidFill>
                    <w14:schemeClr w14:val="tx1"/>
                  </w14:solidFill>
                </w14:textFill>
              </w:rPr>
              <w:t>mg/L、pH6.5-9.5；设计出水水质：COD 50mg/L、BOD</w:t>
            </w:r>
            <w:r>
              <w:rPr>
                <w:rFonts w:hint="eastAsia"/>
                <w:color w:val="000000" w:themeColor="text1"/>
                <w:sz w:val="24"/>
                <w:szCs w:val="24"/>
                <w:vertAlign w:val="subscript"/>
                <w14:textFill>
                  <w14:solidFill>
                    <w14:schemeClr w14:val="tx1"/>
                  </w14:solidFill>
                </w14:textFill>
              </w:rPr>
              <w:t>5</w:t>
            </w:r>
            <w:r>
              <w:rPr>
                <w:rFonts w:hint="eastAsia"/>
                <w:color w:val="000000" w:themeColor="text1"/>
                <w:sz w:val="24"/>
                <w:szCs w:val="24"/>
                <w14:textFill>
                  <w14:solidFill>
                    <w14:schemeClr w14:val="tx1"/>
                  </w14:solidFill>
                </w14:textFill>
              </w:rPr>
              <w:t>10mg/L、SS10mg/L、TN15mg/L、氨氮5mg/L、TP0.5mg/L。</w:t>
            </w:r>
          </w:p>
          <w:p w14:paraId="74C841A6">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调查，汤阴高新技术产业开发区目前有三个污水处理厂，分别为汤阴县城东污水处理厂（汤阴豫源清污水处理有限公司）、城南污水处理厂、工业污水处理厂，均已建成运营。汤阴县城东污水处理厂（汤阴豫源清污水处理有限公司）收水分为为精忠路以北、扁鹊路以东所合围的开发区范围，目前设计规模为4万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/d，实际处理规模4万m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/d，远期处理规模扩大为5万m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/d；城南污水处理厂位于汤阴县高新技术产业开发区外，收水范围为京港澳高速以西，铁路以南区域，设计处理规模为</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14:textFill>
                  <w14:solidFill>
                    <w14:schemeClr w14:val="tx1"/>
                  </w14:solidFill>
                </w14:textFill>
              </w:rPr>
              <w:t>万m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/d，目前实际处理规模为2.4万m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/d；已建成的工业污水处理厂精忠路以南，京港澳高速以北所合围的开发区范围，设计规模为2万m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/d，目前实际处理规模为1.68m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/d。</w:t>
            </w:r>
          </w:p>
          <w:p w14:paraId="44834CF2">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本项目位于安阳市汤阴县产业集聚区汤伏路与复兴大道交叉口西南角，</w:t>
            </w:r>
            <w:r>
              <w:rPr>
                <w:rFonts w:hint="eastAsia"/>
                <w:color w:val="000000" w:themeColor="text1"/>
                <w:sz w:val="24"/>
                <w:szCs w:val="24"/>
                <w:lang w:val="en-US" w:eastAsia="zh-CN"/>
                <w14:textFill>
                  <w14:solidFill>
                    <w14:schemeClr w14:val="tx1"/>
                  </w14:solidFill>
                </w14:textFill>
              </w:rPr>
              <w:t>位于医药</w:t>
            </w:r>
            <w:r>
              <w:rPr>
                <w:rFonts w:hint="eastAsia"/>
                <w:color w:val="000000" w:themeColor="text1"/>
                <w:sz w:val="24"/>
                <w:szCs w:val="24"/>
                <w14:textFill>
                  <w14:solidFill>
                    <w14:schemeClr w14:val="tx1"/>
                  </w14:solidFill>
                </w14:textFill>
              </w:rPr>
              <w:t>工业区内（见附图</w:t>
            </w:r>
            <w:r>
              <w:rPr>
                <w:rFonts w:hint="eastAsia"/>
                <w:color w:val="000000" w:themeColor="text1"/>
                <w:sz w:val="24"/>
                <w:szCs w:val="24"/>
                <w:lang w:val="en-US" w:eastAsia="zh-CN"/>
                <w14:textFill>
                  <w14:solidFill>
                    <w14:schemeClr w14:val="tx1"/>
                  </w14:solidFill>
                </w14:textFill>
              </w:rPr>
              <w:t>二</w:t>
            </w:r>
            <w:r>
              <w:rPr>
                <w:rFonts w:hint="eastAsia"/>
                <w:color w:val="000000" w:themeColor="text1"/>
                <w:sz w:val="24"/>
                <w:szCs w:val="24"/>
                <w14:textFill>
                  <w14:solidFill>
                    <w14:schemeClr w14:val="tx1"/>
                  </w14:solidFill>
                </w14:textFill>
              </w:rPr>
              <w:t>），用地为工业用地，符合汤阴县产业集聚区规划。</w:t>
            </w:r>
            <w:r>
              <w:rPr>
                <w:rFonts w:hint="eastAsia"/>
                <w:color w:val="000000" w:themeColor="text1"/>
                <w:sz w:val="24"/>
                <w:szCs w:val="24"/>
                <w:lang w:val="en-US" w:eastAsia="zh-CN"/>
                <w14:textFill>
                  <w14:solidFill>
                    <w14:schemeClr w14:val="tx1"/>
                  </w14:solidFill>
                </w14:textFill>
              </w:rPr>
              <w:t>本项目位于</w:t>
            </w:r>
            <w:r>
              <w:rPr>
                <w:rFonts w:hint="eastAsia"/>
                <w:color w:val="000000" w:themeColor="text1"/>
                <w:sz w:val="24"/>
                <w:szCs w:val="24"/>
                <w14:textFill>
                  <w14:solidFill>
                    <w14:schemeClr w14:val="tx1"/>
                  </w14:solidFill>
                </w14:textFill>
              </w:rPr>
              <w:t>已建成的工业污水处理厂</w:t>
            </w:r>
            <w:r>
              <w:rPr>
                <w:rFonts w:hint="eastAsia"/>
                <w:color w:val="000000" w:themeColor="text1"/>
                <w:sz w:val="24"/>
                <w:szCs w:val="24"/>
                <w:lang w:val="en-US" w:eastAsia="zh-CN"/>
                <w14:textFill>
                  <w14:solidFill>
                    <w14:schemeClr w14:val="tx1"/>
                  </w14:solidFill>
                </w14:textFill>
              </w:rPr>
              <w:t>收水范围内，因此，本项目废水经厂内污水处理站处理达标后经市政污水管网排入</w:t>
            </w:r>
            <w:r>
              <w:rPr>
                <w:rFonts w:hint="eastAsia"/>
                <w:color w:val="000000" w:themeColor="text1"/>
                <w:sz w:val="24"/>
                <w:szCs w:val="24"/>
                <w14:textFill>
                  <w14:solidFill>
                    <w14:schemeClr w14:val="tx1"/>
                  </w14:solidFill>
                </w14:textFill>
              </w:rPr>
              <w:t>工业污水处理厂</w:t>
            </w:r>
            <w:r>
              <w:rPr>
                <w:rFonts w:hint="eastAsia"/>
                <w:color w:val="000000" w:themeColor="text1"/>
                <w:sz w:val="24"/>
                <w:szCs w:val="24"/>
                <w:lang w:val="en-US" w:eastAsia="zh-CN"/>
                <w14:textFill>
                  <w14:solidFill>
                    <w14:schemeClr w14:val="tx1"/>
                  </w14:solidFill>
                </w14:textFill>
              </w:rPr>
              <w:t>（汤阴天雨污水净化有限公司）处理可行。</w:t>
            </w:r>
          </w:p>
          <w:p w14:paraId="010CEB58">
            <w:pPr>
              <w:pStyle w:val="68"/>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eastAsia"/>
                <w:b w:val="0"/>
                <w:bCs/>
                <w:i w:val="0"/>
                <w:iCs w:val="0"/>
                <w:color w:val="000000" w:themeColor="text1"/>
                <w:sz w:val="24"/>
                <w:szCs w:val="24"/>
                <w:lang w:val="en-US" w:eastAsia="zh-CN"/>
                <w14:textFill>
                  <w14:solidFill>
                    <w14:schemeClr w14:val="tx1"/>
                  </w14:solidFill>
                </w14:textFill>
              </w:rPr>
            </w:pPr>
          </w:p>
          <w:p w14:paraId="7EC728C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0"/>
              <w:rPr>
                <w:rFonts w:hint="default"/>
                <w:b w:val="0"/>
                <w:bCs/>
                <w:i w:val="0"/>
                <w:iCs w:val="0"/>
                <w:color w:val="000000" w:themeColor="text1"/>
                <w:sz w:val="24"/>
                <w:szCs w:val="24"/>
                <w:lang w:val="en-US" w:eastAsia="zh-CN"/>
                <w14:textFill>
                  <w14:solidFill>
                    <w14:schemeClr w14:val="tx1"/>
                  </w14:solidFill>
                </w14:textFill>
              </w:rPr>
            </w:pPr>
            <w:r>
              <w:rPr>
                <w:rFonts w:hint="eastAsia"/>
                <w:b w:val="0"/>
                <w:bCs/>
                <w:i w:val="0"/>
                <w:iCs w:val="0"/>
                <w:color w:val="000000" w:themeColor="text1"/>
                <w:sz w:val="24"/>
                <w:szCs w:val="24"/>
                <w:lang w:val="en-US" w:eastAsia="zh-CN"/>
                <w14:textFill>
                  <w14:solidFill>
                    <w14:schemeClr w14:val="tx1"/>
                  </w14:solidFill>
                </w14:textFill>
              </w:rPr>
              <w:t>二、与汤阴县产业集聚区负面清单及准入条件相符性分析</w:t>
            </w:r>
          </w:p>
          <w:p w14:paraId="37CE3B1E">
            <w:pPr>
              <w:pStyle w:val="81"/>
              <w:keepNext w:val="0"/>
              <w:keepLines w:val="0"/>
              <w:pageBreakBefore w:val="0"/>
              <w:widowControl w:val="0"/>
              <w:kinsoku/>
              <w:wordWrap/>
              <w:overflowPunct/>
              <w:topLinePunct w:val="0"/>
              <w:autoSpaceDE/>
              <w:autoSpaceDN/>
              <w:bidi w:val="0"/>
              <w:adjustRightInd/>
              <w:snapToGrid w:val="0"/>
              <w:spacing w:line="240" w:lineRule="auto"/>
              <w:ind w:firstLine="420" w:firstLineChars="175"/>
              <w:jc w:val="center"/>
              <w:textAlignment w:val="auto"/>
              <w:rPr>
                <w:rFonts w:hint="default" w:asciiTheme="minorEastAsia" w:hAnsiTheme="minorEastAsia" w:eastAsiaTheme="minorEastAsia" w:cs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表1 与</w:t>
            </w:r>
            <w:r>
              <w:rPr>
                <w:rFonts w:hint="eastAsia" w:asciiTheme="minorEastAsia" w:hAnsiTheme="minorEastAsia" w:eastAsiaTheme="minorEastAsia" w:cstheme="minorEastAsia"/>
                <w:color w:val="000000" w:themeColor="text1"/>
                <w:sz w:val="24"/>
                <w14:textFill>
                  <w14:solidFill>
                    <w14:schemeClr w14:val="tx1"/>
                  </w14:solidFill>
                </w14:textFill>
              </w:rPr>
              <w:t>汤阴县产业集聚区负面清单</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相符性分析</w:t>
            </w:r>
          </w:p>
          <w:tbl>
            <w:tblPr>
              <w:tblStyle w:val="26"/>
              <w:tblW w:w="7804" w:type="dxa"/>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57" w:type="dxa"/>
                <w:bottom w:w="0" w:type="dxa"/>
                <w:right w:w="57" w:type="dxa"/>
              </w:tblCellMar>
            </w:tblPr>
            <w:tblGrid>
              <w:gridCol w:w="560"/>
              <w:gridCol w:w="4752"/>
              <w:gridCol w:w="2492"/>
            </w:tblGrid>
            <w:tr w14:paraId="3B362AD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Align w:val="center"/>
                </w:tcPr>
                <w:p w14:paraId="37CD67EF">
                  <w:pPr>
                    <w:jc w:val="center"/>
                    <w:rPr>
                      <w:color w:val="000000" w:themeColor="text1"/>
                      <w14:textFill>
                        <w14:solidFill>
                          <w14:schemeClr w14:val="tx1"/>
                        </w14:solidFill>
                      </w14:textFill>
                    </w:rPr>
                  </w:pPr>
                  <w:r>
                    <w:rPr>
                      <w:color w:val="000000" w:themeColor="text1"/>
                      <w14:textFill>
                        <w14:solidFill>
                          <w14:schemeClr w14:val="tx1"/>
                        </w14:solidFill>
                      </w14:textFill>
                    </w:rPr>
                    <w:t>类别</w:t>
                  </w:r>
                </w:p>
              </w:tc>
              <w:tc>
                <w:tcPr>
                  <w:tcW w:w="4752" w:type="dxa"/>
                  <w:vAlign w:val="center"/>
                </w:tcPr>
                <w:p w14:paraId="4CF70AF1">
                  <w:pPr>
                    <w:jc w:val="center"/>
                    <w:rPr>
                      <w:color w:val="000000" w:themeColor="text1"/>
                      <w14:textFill>
                        <w14:solidFill>
                          <w14:schemeClr w14:val="tx1"/>
                        </w14:solidFill>
                      </w14:textFill>
                    </w:rPr>
                  </w:pPr>
                  <w:r>
                    <w:rPr>
                      <w:color w:val="000000" w:themeColor="text1"/>
                      <w14:textFill>
                        <w14:solidFill>
                          <w14:schemeClr w14:val="tx1"/>
                        </w14:solidFill>
                      </w14:textFill>
                    </w:rPr>
                    <w:t>负面清单</w:t>
                  </w:r>
                </w:p>
              </w:tc>
              <w:tc>
                <w:tcPr>
                  <w:tcW w:w="2492" w:type="dxa"/>
                  <w:vAlign w:val="center"/>
                </w:tcPr>
                <w:p w14:paraId="0E2A0FFD">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相符性分析</w:t>
                  </w:r>
                </w:p>
              </w:tc>
            </w:tr>
            <w:tr w14:paraId="086A3C0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restart"/>
                  <w:vAlign w:val="center"/>
                </w:tcPr>
                <w:p w14:paraId="608A27DC">
                  <w:pPr>
                    <w:jc w:val="center"/>
                    <w:rPr>
                      <w:color w:val="000000" w:themeColor="text1"/>
                      <w14:textFill>
                        <w14:solidFill>
                          <w14:schemeClr w14:val="tx1"/>
                        </w14:solidFill>
                      </w14:textFill>
                    </w:rPr>
                  </w:pPr>
                  <w:r>
                    <w:rPr>
                      <w:color w:val="000000" w:themeColor="text1"/>
                      <w14:textFill>
                        <w14:solidFill>
                          <w14:schemeClr w14:val="tx1"/>
                        </w14:solidFill>
                      </w14:textFill>
                    </w:rPr>
                    <w:t>管理</w:t>
                  </w:r>
                </w:p>
                <w:p w14:paraId="2D83A3ED">
                  <w:pPr>
                    <w:jc w:val="center"/>
                    <w:rPr>
                      <w:color w:val="000000" w:themeColor="text1"/>
                      <w14:textFill>
                        <w14:solidFill>
                          <w14:schemeClr w14:val="tx1"/>
                        </w14:solidFill>
                      </w14:textFill>
                    </w:rPr>
                  </w:pPr>
                  <w:r>
                    <w:rPr>
                      <w:color w:val="000000" w:themeColor="text1"/>
                      <w14:textFill>
                        <w14:solidFill>
                          <w14:schemeClr w14:val="tx1"/>
                        </w14:solidFill>
                      </w14:textFill>
                    </w:rPr>
                    <w:t>要求</w:t>
                  </w:r>
                </w:p>
              </w:tc>
              <w:tc>
                <w:tcPr>
                  <w:tcW w:w="4752" w:type="dxa"/>
                  <w:vAlign w:val="center"/>
                </w:tcPr>
                <w:p w14:paraId="2EF248D6">
                  <w:pPr>
                    <w:rPr>
                      <w:color w:val="000000" w:themeColor="text1"/>
                      <w14:textFill>
                        <w14:solidFill>
                          <w14:schemeClr w14:val="tx1"/>
                        </w14:solidFill>
                      </w14:textFill>
                    </w:rPr>
                  </w:pPr>
                  <w:r>
                    <w:rPr>
                      <w:color w:val="000000" w:themeColor="text1"/>
                      <w14:textFill>
                        <w14:solidFill>
                          <w14:schemeClr w14:val="tx1"/>
                        </w14:solidFill>
                      </w14:textFill>
                    </w:rPr>
                    <w:t>禁止入驻国家产业结构调整指导目录淘汰、限制类项目</w:t>
                  </w:r>
                </w:p>
              </w:tc>
              <w:tc>
                <w:tcPr>
                  <w:tcW w:w="2492" w:type="dxa"/>
                  <w:shd w:val="clear" w:color="auto" w:fill="auto"/>
                  <w:vAlign w:val="center"/>
                </w:tcPr>
                <w:p w14:paraId="6372EDA4">
                  <w:pPr>
                    <w:spacing w:line="28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对照《产业结构调整指导目录》（2024年本），本项目属于允许类项目。</w:t>
                  </w:r>
                </w:p>
              </w:tc>
            </w:tr>
            <w:tr w14:paraId="47FE635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42F57528">
                  <w:pPr>
                    <w:jc w:val="center"/>
                    <w:rPr>
                      <w:color w:val="000000" w:themeColor="text1"/>
                      <w14:textFill>
                        <w14:solidFill>
                          <w14:schemeClr w14:val="tx1"/>
                        </w14:solidFill>
                      </w14:textFill>
                    </w:rPr>
                  </w:pPr>
                </w:p>
              </w:tc>
              <w:tc>
                <w:tcPr>
                  <w:tcW w:w="4752" w:type="dxa"/>
                  <w:vAlign w:val="center"/>
                </w:tcPr>
                <w:p w14:paraId="3389DB0D">
                  <w:pPr>
                    <w:rPr>
                      <w:color w:val="000000" w:themeColor="text1"/>
                      <w14:textFill>
                        <w14:solidFill>
                          <w14:schemeClr w14:val="tx1"/>
                        </w14:solidFill>
                      </w14:textFill>
                    </w:rPr>
                  </w:pPr>
                  <w:r>
                    <w:rPr>
                      <w:color w:val="000000" w:themeColor="text1"/>
                      <w14:textFill>
                        <w14:solidFill>
                          <w14:schemeClr w14:val="tx1"/>
                        </w14:solidFill>
                      </w14:textFill>
                    </w:rPr>
                    <w:t>禁止投资建设列入禁止用地目录、限制用地目录的项目</w:t>
                  </w:r>
                </w:p>
              </w:tc>
              <w:tc>
                <w:tcPr>
                  <w:tcW w:w="2492" w:type="dxa"/>
                  <w:shd w:val="clear" w:color="auto" w:fill="auto"/>
                  <w:vAlign w:val="center"/>
                </w:tcPr>
                <w:p w14:paraId="0E5756C0">
                  <w:pPr>
                    <w:spacing w:line="28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本项目不属于禁止用地目录、限制用地目录的项目。</w:t>
                  </w:r>
                </w:p>
              </w:tc>
            </w:tr>
            <w:tr w14:paraId="60B10FB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5532E616">
                  <w:pPr>
                    <w:jc w:val="center"/>
                    <w:rPr>
                      <w:color w:val="000000" w:themeColor="text1"/>
                      <w14:textFill>
                        <w14:solidFill>
                          <w14:schemeClr w14:val="tx1"/>
                        </w14:solidFill>
                      </w14:textFill>
                    </w:rPr>
                  </w:pPr>
                </w:p>
              </w:tc>
              <w:tc>
                <w:tcPr>
                  <w:tcW w:w="4752" w:type="dxa"/>
                  <w:vAlign w:val="center"/>
                </w:tcPr>
                <w:p w14:paraId="7C02EA19">
                  <w:pPr>
                    <w:rPr>
                      <w:color w:val="000000" w:themeColor="text1"/>
                      <w14:textFill>
                        <w14:solidFill>
                          <w14:schemeClr w14:val="tx1"/>
                        </w14:solidFill>
                      </w14:textFill>
                    </w:rPr>
                  </w:pPr>
                  <w:r>
                    <w:rPr>
                      <w:color w:val="000000" w:themeColor="text1"/>
                      <w14:textFill>
                        <w14:solidFill>
                          <w14:schemeClr w14:val="tx1"/>
                        </w14:solidFill>
                      </w14:textFill>
                    </w:rPr>
                    <w:t>禁止建设《国务院关于化解产能严重过剩矛盾的指导意见》（国发[2013]41号）明确产能严重过剩行业的新增产能项目</w:t>
                  </w:r>
                </w:p>
              </w:tc>
              <w:tc>
                <w:tcPr>
                  <w:tcW w:w="2492" w:type="dxa"/>
                  <w:shd w:val="clear" w:color="auto" w:fill="auto"/>
                  <w:vAlign w:val="center"/>
                </w:tcPr>
                <w:p w14:paraId="77340A7A">
                  <w:pPr>
                    <w:spacing w:line="28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本项目不属于严重产能过剩行业项目。</w:t>
                  </w:r>
                </w:p>
              </w:tc>
            </w:tr>
            <w:tr w14:paraId="05B66D7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3FA20B2C">
                  <w:pPr>
                    <w:jc w:val="center"/>
                    <w:rPr>
                      <w:color w:val="000000" w:themeColor="text1"/>
                      <w14:textFill>
                        <w14:solidFill>
                          <w14:schemeClr w14:val="tx1"/>
                        </w14:solidFill>
                      </w14:textFill>
                    </w:rPr>
                  </w:pPr>
                </w:p>
              </w:tc>
              <w:tc>
                <w:tcPr>
                  <w:tcW w:w="4752" w:type="dxa"/>
                  <w:vAlign w:val="center"/>
                </w:tcPr>
                <w:p w14:paraId="1F75C124">
                  <w:pPr>
                    <w:rPr>
                      <w:color w:val="000000" w:themeColor="text1"/>
                      <w14:textFill>
                        <w14:solidFill>
                          <w14:schemeClr w14:val="tx1"/>
                        </w14:solidFill>
                      </w14:textFill>
                    </w:rPr>
                  </w:pPr>
                  <w:r>
                    <w:rPr>
                      <w:color w:val="000000" w:themeColor="text1"/>
                      <w14:textFill>
                        <w14:solidFill>
                          <w14:schemeClr w14:val="tx1"/>
                        </w14:solidFill>
                      </w14:textFill>
                    </w:rPr>
                    <w:t>禁止入驻投资强度较小，不能满足《河南省人民政府关于进一步加强节约集约用地的意见》（豫政[2015]66号）文件要求的建设项目</w:t>
                  </w:r>
                </w:p>
              </w:tc>
              <w:tc>
                <w:tcPr>
                  <w:tcW w:w="2492" w:type="dxa"/>
                  <w:shd w:val="clear" w:color="auto" w:fill="auto"/>
                  <w:vAlign w:val="center"/>
                </w:tcPr>
                <w:p w14:paraId="49796B66">
                  <w:pPr>
                    <w:spacing w:line="28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w:t>
                  </w:r>
                  <w:r>
                    <w:rPr>
                      <w:rFonts w:hint="eastAsia"/>
                      <w:color w:val="000000" w:themeColor="text1"/>
                      <w:szCs w:val="21"/>
                      <w14:textFill>
                        <w14:solidFill>
                          <w14:schemeClr w14:val="tx1"/>
                        </w14:solidFill>
                      </w14:textFill>
                    </w:rPr>
                    <w:t>满足《河南省人民政府关于进一步加强节约集约用地的意见》（豫政[2015]66号）文件要求</w:t>
                  </w:r>
                  <w:r>
                    <w:rPr>
                      <w:color w:val="000000" w:themeColor="text1"/>
                      <w:szCs w:val="21"/>
                      <w14:textFill>
                        <w14:solidFill>
                          <w14:schemeClr w14:val="tx1"/>
                        </w14:solidFill>
                      </w14:textFill>
                    </w:rPr>
                    <w:t>。</w:t>
                  </w:r>
                </w:p>
              </w:tc>
            </w:tr>
            <w:tr w14:paraId="616BE3B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291640A7">
                  <w:pPr>
                    <w:jc w:val="center"/>
                    <w:rPr>
                      <w:color w:val="000000" w:themeColor="text1"/>
                      <w14:textFill>
                        <w14:solidFill>
                          <w14:schemeClr w14:val="tx1"/>
                        </w14:solidFill>
                      </w14:textFill>
                    </w:rPr>
                  </w:pPr>
                </w:p>
              </w:tc>
              <w:tc>
                <w:tcPr>
                  <w:tcW w:w="4752" w:type="dxa"/>
                  <w:vAlign w:val="center"/>
                </w:tcPr>
                <w:p w14:paraId="70EA645D">
                  <w:pPr>
                    <w:rPr>
                      <w:color w:val="000000" w:themeColor="text1"/>
                      <w14:textFill>
                        <w14:solidFill>
                          <w14:schemeClr w14:val="tx1"/>
                        </w14:solidFill>
                      </w14:textFill>
                    </w:rPr>
                  </w:pPr>
                  <w:r>
                    <w:rPr>
                      <w:color w:val="000000" w:themeColor="text1"/>
                      <w14:textFill>
                        <w14:solidFill>
                          <w14:schemeClr w14:val="tx1"/>
                        </w14:solidFill>
                      </w14:textFill>
                    </w:rPr>
                    <w:t>禁止入驻煤化工、石油化工、制浆造纸、水泥、陶瓷、农药、制革及毛皮鞣制等高水耗、高能耗、污染排放量较大的行业。</w:t>
                  </w:r>
                </w:p>
              </w:tc>
              <w:tc>
                <w:tcPr>
                  <w:tcW w:w="2492" w:type="dxa"/>
                  <w:shd w:val="clear" w:color="auto" w:fill="auto"/>
                  <w:vAlign w:val="center"/>
                </w:tcPr>
                <w:p w14:paraId="6F0EE381">
                  <w:pPr>
                    <w:spacing w:line="28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本项目不属于禁止入驻类</w:t>
                  </w:r>
                </w:p>
                <w:p w14:paraId="4529899C">
                  <w:pPr>
                    <w:spacing w:line="28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项目。</w:t>
                  </w:r>
                </w:p>
              </w:tc>
            </w:tr>
            <w:tr w14:paraId="52AB560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7E850FFD">
                  <w:pPr>
                    <w:jc w:val="center"/>
                    <w:rPr>
                      <w:color w:val="000000" w:themeColor="text1"/>
                      <w14:textFill>
                        <w14:solidFill>
                          <w14:schemeClr w14:val="tx1"/>
                        </w14:solidFill>
                      </w14:textFill>
                    </w:rPr>
                  </w:pPr>
                </w:p>
              </w:tc>
              <w:tc>
                <w:tcPr>
                  <w:tcW w:w="4752" w:type="dxa"/>
                  <w:vAlign w:val="center"/>
                </w:tcPr>
                <w:p w14:paraId="5045EBBC">
                  <w:pPr>
                    <w:rPr>
                      <w:color w:val="000000" w:themeColor="text1"/>
                      <w14:textFill>
                        <w14:solidFill>
                          <w14:schemeClr w14:val="tx1"/>
                        </w14:solidFill>
                      </w14:textFill>
                    </w:rPr>
                  </w:pPr>
                  <w:r>
                    <w:rPr>
                      <w:color w:val="000000" w:themeColor="text1"/>
                      <w14:textFill>
                        <w14:solidFill>
                          <w14:schemeClr w14:val="tx1"/>
                        </w14:solidFill>
                      </w14:textFill>
                    </w:rPr>
                    <w:t>禁止引进三废处理技术不成熟、经济不可行的项目</w:t>
                  </w:r>
                </w:p>
              </w:tc>
              <w:tc>
                <w:tcPr>
                  <w:tcW w:w="2492" w:type="dxa"/>
                  <w:shd w:val="clear" w:color="auto" w:fill="auto"/>
                  <w:vAlign w:val="center"/>
                </w:tcPr>
                <w:p w14:paraId="4FCDC9C2">
                  <w:pPr>
                    <w:spacing w:line="28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企业</w:t>
                  </w:r>
                  <w:r>
                    <w:rPr>
                      <w:color w:val="000000" w:themeColor="text1"/>
                      <w:szCs w:val="21"/>
                      <w14:textFill>
                        <w14:solidFill>
                          <w14:schemeClr w14:val="tx1"/>
                        </w14:solidFill>
                      </w14:textFill>
                    </w:rPr>
                    <w:t>采用的三废处理技术均技术成熟、经济可行。</w:t>
                  </w:r>
                </w:p>
              </w:tc>
            </w:tr>
            <w:tr w14:paraId="6150751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798706B7">
                  <w:pPr>
                    <w:jc w:val="center"/>
                    <w:rPr>
                      <w:color w:val="000000" w:themeColor="text1"/>
                      <w14:textFill>
                        <w14:solidFill>
                          <w14:schemeClr w14:val="tx1"/>
                        </w14:solidFill>
                      </w14:textFill>
                    </w:rPr>
                  </w:pPr>
                </w:p>
              </w:tc>
              <w:tc>
                <w:tcPr>
                  <w:tcW w:w="4752" w:type="dxa"/>
                  <w:vAlign w:val="center"/>
                </w:tcPr>
                <w:p w14:paraId="0A777026">
                  <w:pPr>
                    <w:rPr>
                      <w:color w:val="000000" w:themeColor="text1"/>
                      <w14:textFill>
                        <w14:solidFill>
                          <w14:schemeClr w14:val="tx1"/>
                        </w14:solidFill>
                      </w14:textFill>
                    </w:rPr>
                  </w:pPr>
                  <w:r>
                    <w:rPr>
                      <w:color w:val="000000" w:themeColor="text1"/>
                      <w14:textFill>
                        <w14:solidFill>
                          <w14:schemeClr w14:val="tx1"/>
                        </w14:solidFill>
                      </w14:textFill>
                    </w:rPr>
                    <w:t>禁止新增非集中供热性质的燃煤锅炉</w:t>
                  </w:r>
                </w:p>
              </w:tc>
              <w:tc>
                <w:tcPr>
                  <w:tcW w:w="2492" w:type="dxa"/>
                  <w:shd w:val="clear" w:color="auto" w:fill="auto"/>
                  <w:vAlign w:val="center"/>
                </w:tcPr>
                <w:p w14:paraId="037B363D">
                  <w:pPr>
                    <w:spacing w:line="28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w:t>
                  </w:r>
                  <w:r>
                    <w:rPr>
                      <w:rFonts w:hint="eastAsia"/>
                      <w:color w:val="000000" w:themeColor="text1"/>
                      <w:szCs w:val="21"/>
                      <w:lang w:val="en-US" w:eastAsia="zh-CN"/>
                      <w14:textFill>
                        <w14:solidFill>
                          <w14:schemeClr w14:val="tx1"/>
                        </w14:solidFill>
                      </w14:textFill>
                    </w:rPr>
                    <w:t>采用园区集中供热，</w:t>
                  </w:r>
                  <w:r>
                    <w:rPr>
                      <w:color w:val="000000" w:themeColor="text1"/>
                      <w:szCs w:val="21"/>
                      <w14:textFill>
                        <w14:solidFill>
                          <w14:schemeClr w14:val="tx1"/>
                        </w14:solidFill>
                      </w14:textFill>
                    </w:rPr>
                    <w:t>不涉及</w:t>
                  </w:r>
                  <w:r>
                    <w:rPr>
                      <w:rFonts w:hint="eastAsia"/>
                      <w:color w:val="000000" w:themeColor="text1"/>
                      <w:szCs w:val="21"/>
                      <w:lang w:val="en-US" w:eastAsia="zh-CN"/>
                      <w14:textFill>
                        <w14:solidFill>
                          <w14:schemeClr w14:val="tx1"/>
                        </w14:solidFill>
                      </w14:textFill>
                    </w:rPr>
                    <w:t>燃煤锅炉</w:t>
                  </w:r>
                  <w:r>
                    <w:rPr>
                      <w:color w:val="000000" w:themeColor="text1"/>
                      <w:szCs w:val="21"/>
                      <w14:textFill>
                        <w14:solidFill>
                          <w14:schemeClr w14:val="tx1"/>
                        </w14:solidFill>
                      </w14:textFill>
                    </w:rPr>
                    <w:t>。</w:t>
                  </w:r>
                </w:p>
              </w:tc>
            </w:tr>
            <w:tr w14:paraId="4D2E15E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689691AF">
                  <w:pPr>
                    <w:jc w:val="center"/>
                    <w:rPr>
                      <w:color w:val="000000" w:themeColor="text1"/>
                      <w14:textFill>
                        <w14:solidFill>
                          <w14:schemeClr w14:val="tx1"/>
                        </w14:solidFill>
                      </w14:textFill>
                    </w:rPr>
                  </w:pPr>
                </w:p>
              </w:tc>
              <w:tc>
                <w:tcPr>
                  <w:tcW w:w="4752" w:type="dxa"/>
                  <w:vAlign w:val="center"/>
                </w:tcPr>
                <w:p w14:paraId="60B54A0E">
                  <w:pPr>
                    <w:rPr>
                      <w:color w:val="000000" w:themeColor="text1"/>
                      <w14:textFill>
                        <w14:solidFill>
                          <w14:schemeClr w14:val="tx1"/>
                        </w14:solidFill>
                      </w14:textFill>
                    </w:rPr>
                  </w:pPr>
                  <w:r>
                    <w:rPr>
                      <w:color w:val="000000" w:themeColor="text1"/>
                      <w14:textFill>
                        <w14:solidFill>
                          <w14:schemeClr w14:val="tx1"/>
                        </w14:solidFill>
                      </w14:textFill>
                    </w:rPr>
                    <w:t>禁止入驻低于国家二级清洁生产标准要求的建设项目</w:t>
                  </w:r>
                </w:p>
              </w:tc>
              <w:tc>
                <w:tcPr>
                  <w:tcW w:w="2492" w:type="dxa"/>
                  <w:shd w:val="clear" w:color="auto" w:fill="auto"/>
                  <w:vAlign w:val="center"/>
                </w:tcPr>
                <w:p w14:paraId="50E17C58">
                  <w:pPr>
                    <w:spacing w:line="28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本项目清洁生产水平达到国内先进水平。</w:t>
                  </w:r>
                </w:p>
              </w:tc>
            </w:tr>
            <w:tr w14:paraId="411734A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7B4D72C2">
                  <w:pPr>
                    <w:jc w:val="center"/>
                    <w:rPr>
                      <w:color w:val="000000" w:themeColor="text1"/>
                      <w14:textFill>
                        <w14:solidFill>
                          <w14:schemeClr w14:val="tx1"/>
                        </w14:solidFill>
                      </w14:textFill>
                    </w:rPr>
                  </w:pPr>
                </w:p>
              </w:tc>
              <w:tc>
                <w:tcPr>
                  <w:tcW w:w="4752" w:type="dxa"/>
                  <w:vAlign w:val="center"/>
                </w:tcPr>
                <w:p w14:paraId="3DBF1D73">
                  <w:pPr>
                    <w:rPr>
                      <w:color w:val="000000" w:themeColor="text1"/>
                      <w14:textFill>
                        <w14:solidFill>
                          <w14:schemeClr w14:val="tx1"/>
                        </w14:solidFill>
                      </w14:textFill>
                    </w:rPr>
                  </w:pPr>
                  <w:r>
                    <w:rPr>
                      <w:color w:val="000000" w:themeColor="text1"/>
                      <w14:textFill>
                        <w14:solidFill>
                          <w14:schemeClr w14:val="tx1"/>
                        </w14:solidFill>
                      </w14:textFill>
                    </w:rPr>
                    <w:t>禁止污染严重，破坏自然生态和损害人体健康，公众反对意愿强烈的项目</w:t>
                  </w:r>
                </w:p>
              </w:tc>
              <w:tc>
                <w:tcPr>
                  <w:tcW w:w="2492" w:type="dxa"/>
                  <w:shd w:val="clear" w:color="auto" w:fill="auto"/>
                  <w:vAlign w:val="center"/>
                </w:tcPr>
                <w:p w14:paraId="156A8790">
                  <w:pPr>
                    <w:spacing w:line="28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本项目采用成熟先进的污染防治措施，对自然生态和人体健康影响较小。</w:t>
                  </w:r>
                </w:p>
              </w:tc>
            </w:tr>
            <w:tr w14:paraId="39D7308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restart"/>
                  <w:vAlign w:val="center"/>
                </w:tcPr>
                <w:p w14:paraId="299EC3A0">
                  <w:pPr>
                    <w:jc w:val="center"/>
                    <w:rPr>
                      <w:color w:val="000000" w:themeColor="text1"/>
                      <w14:textFill>
                        <w14:solidFill>
                          <w14:schemeClr w14:val="tx1"/>
                        </w14:solidFill>
                      </w14:textFill>
                    </w:rPr>
                  </w:pPr>
                  <w:r>
                    <w:rPr>
                      <w:color w:val="000000" w:themeColor="text1"/>
                      <w14:textFill>
                        <w14:solidFill>
                          <w14:schemeClr w14:val="tx1"/>
                        </w14:solidFill>
                      </w14:textFill>
                    </w:rPr>
                    <w:t>医药行业</w:t>
                  </w:r>
                </w:p>
              </w:tc>
              <w:tc>
                <w:tcPr>
                  <w:tcW w:w="4752" w:type="dxa"/>
                  <w:vAlign w:val="center"/>
                </w:tcPr>
                <w:p w14:paraId="532DB748">
                  <w:pPr>
                    <w:rPr>
                      <w:color w:val="000000" w:themeColor="text1"/>
                      <w14:textFill>
                        <w14:solidFill>
                          <w14:schemeClr w14:val="tx1"/>
                        </w14:solidFill>
                      </w14:textFill>
                    </w:rPr>
                  </w:pPr>
                  <w:r>
                    <w:rPr>
                      <w:color w:val="000000" w:themeColor="text1"/>
                      <w14:textFill>
                        <w14:solidFill>
                          <w14:schemeClr w14:val="tx1"/>
                        </w14:solidFill>
                      </w14:textFill>
                    </w:rPr>
                    <w:t>禁止入驻呋喃唑酮、氢化可的松、盐酸赛庚啶等排水量较大的化学合成类制药项目</w:t>
                  </w:r>
                </w:p>
              </w:tc>
              <w:tc>
                <w:tcPr>
                  <w:tcW w:w="2492" w:type="dxa"/>
                  <w:shd w:val="clear" w:color="auto" w:fill="auto"/>
                  <w:vAlign w:val="center"/>
                </w:tcPr>
                <w:p w14:paraId="692253B7">
                  <w:pPr>
                    <w:spacing w:line="28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本项目不涉及</w:t>
                  </w:r>
                  <w:r>
                    <w:rPr>
                      <w:rFonts w:hint="eastAsia"/>
                      <w:color w:val="000000" w:themeColor="text1"/>
                      <w:szCs w:val="21"/>
                      <w14:textFill>
                        <w14:solidFill>
                          <w14:schemeClr w14:val="tx1"/>
                        </w14:solidFill>
                      </w14:textFill>
                    </w:rPr>
                    <w:t>化学合成类制药项目</w:t>
                  </w:r>
                  <w:r>
                    <w:rPr>
                      <w:color w:val="000000" w:themeColor="text1"/>
                      <w:szCs w:val="21"/>
                      <w14:textFill>
                        <w14:solidFill>
                          <w14:schemeClr w14:val="tx1"/>
                        </w14:solidFill>
                      </w14:textFill>
                    </w:rPr>
                    <w:t>。</w:t>
                  </w:r>
                </w:p>
              </w:tc>
            </w:tr>
            <w:tr w14:paraId="096E07D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305CC203">
                  <w:pPr>
                    <w:jc w:val="center"/>
                    <w:rPr>
                      <w:color w:val="000000" w:themeColor="text1"/>
                      <w14:textFill>
                        <w14:solidFill>
                          <w14:schemeClr w14:val="tx1"/>
                        </w14:solidFill>
                      </w14:textFill>
                    </w:rPr>
                  </w:pPr>
                </w:p>
              </w:tc>
              <w:tc>
                <w:tcPr>
                  <w:tcW w:w="4752" w:type="dxa"/>
                  <w:vAlign w:val="center"/>
                </w:tcPr>
                <w:p w14:paraId="52AC8913">
                  <w:pPr>
                    <w:rPr>
                      <w:color w:val="000000" w:themeColor="text1"/>
                      <w14:textFill>
                        <w14:solidFill>
                          <w14:schemeClr w14:val="tx1"/>
                        </w14:solidFill>
                      </w14:textFill>
                    </w:rPr>
                  </w:pPr>
                  <w:r>
                    <w:rPr>
                      <w:color w:val="000000" w:themeColor="text1"/>
                      <w14:textFill>
                        <w14:solidFill>
                          <w14:schemeClr w14:val="tx1"/>
                        </w14:solidFill>
                      </w14:textFill>
                    </w:rPr>
                    <w:t>禁止入驻氨基糖苷类抗生素、多肽类抗生素、β-内酰胺类抗生素、洁霉素、阿霉素、利福霉素等排水量较大的发酵类制药项目</w:t>
                  </w:r>
                </w:p>
              </w:tc>
              <w:tc>
                <w:tcPr>
                  <w:tcW w:w="2492" w:type="dxa"/>
                  <w:vAlign w:val="center"/>
                </w:tcPr>
                <w:p w14:paraId="46CF2911">
                  <w:pPr>
                    <w:jc w:val="both"/>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本项目不涉及发酵类制药项目。</w:t>
                  </w:r>
                </w:p>
              </w:tc>
            </w:tr>
            <w:tr w14:paraId="2D64C3B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79CDDAC9">
                  <w:pPr>
                    <w:jc w:val="center"/>
                    <w:rPr>
                      <w:color w:val="000000" w:themeColor="text1"/>
                      <w14:textFill>
                        <w14:solidFill>
                          <w14:schemeClr w14:val="tx1"/>
                        </w14:solidFill>
                      </w14:textFill>
                    </w:rPr>
                  </w:pPr>
                </w:p>
              </w:tc>
              <w:tc>
                <w:tcPr>
                  <w:tcW w:w="4752" w:type="dxa"/>
                  <w:vAlign w:val="center"/>
                </w:tcPr>
                <w:p w14:paraId="32F63B1E">
                  <w:pPr>
                    <w:rPr>
                      <w:color w:val="000000" w:themeColor="text1"/>
                      <w14:textFill>
                        <w14:solidFill>
                          <w14:schemeClr w14:val="tx1"/>
                        </w14:solidFill>
                      </w14:textFill>
                    </w:rPr>
                  </w:pPr>
                  <w:r>
                    <w:rPr>
                      <w:color w:val="000000" w:themeColor="text1"/>
                      <w14:textFill>
                        <w14:solidFill>
                          <w14:schemeClr w14:val="tx1"/>
                        </w14:solidFill>
                      </w14:textFill>
                    </w:rPr>
                    <w:t>禁止入驻采用重污染工艺的制药类项目，包括：</w:t>
                  </w:r>
                </w:p>
                <w:p w14:paraId="668D2FD3">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禁止入驻采用化学法工艺生产阿莫西林的项目</w:t>
                  </w:r>
                </w:p>
                <w:p w14:paraId="70E8F12A">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禁止入驻采用植物提取工艺生产盐酸小檗碱（盐磺酸黄连素）的项目</w:t>
                  </w:r>
                </w:p>
                <w:p w14:paraId="4022B7E2">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禁止入驻采用钠硼氢工艺生产泛昔洛韦中间体酰化物的项目</w:t>
                  </w:r>
                </w:p>
                <w:p w14:paraId="6D813FE4">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禁止入驻采用甲醛氧化工艺生产氨基比林的项目</w:t>
                  </w:r>
                </w:p>
                <w:p w14:paraId="47820AC1">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color w:val="000000" w:themeColor="text1"/>
                      <w14:textFill>
                        <w14:solidFill>
                          <w14:schemeClr w14:val="tx1"/>
                        </w14:solidFill>
                      </w14:textFill>
                    </w:rPr>
                    <w:t>禁止入驻采用丙炔醇法工艺生产磺胺嘧啶的项目</w:t>
                  </w:r>
                </w:p>
                <w:p w14:paraId="6806B9E4">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⑥</w:t>
                  </w:r>
                  <w:r>
                    <w:rPr>
                      <w:color w:val="000000" w:themeColor="text1"/>
                      <w14:textFill>
                        <w14:solidFill>
                          <w14:schemeClr w14:val="tx1"/>
                        </w14:solidFill>
                      </w14:textFill>
                    </w:rPr>
                    <w:t>禁止入驻采用传统工艺生产叶酸的项目</w:t>
                  </w:r>
                </w:p>
                <w:p w14:paraId="40E40127">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⑦</w:t>
                  </w:r>
                  <w:r>
                    <w:rPr>
                      <w:color w:val="000000" w:themeColor="text1"/>
                      <w14:textFill>
                        <w14:solidFill>
                          <w14:schemeClr w14:val="tx1"/>
                        </w14:solidFill>
                      </w14:textFill>
                    </w:rPr>
                    <w:t>禁止入驻采用溶剂法工艺生产中药橡胶膏剂的项目</w:t>
                  </w:r>
                </w:p>
              </w:tc>
              <w:tc>
                <w:tcPr>
                  <w:tcW w:w="2492" w:type="dxa"/>
                  <w:vAlign w:val="center"/>
                </w:tcPr>
                <w:p w14:paraId="04CD3E8A">
                  <w:pPr>
                    <w:jc w:val="both"/>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本项目不涉及重污染工艺的制药类项目。</w:t>
                  </w:r>
                </w:p>
              </w:tc>
            </w:tr>
            <w:tr w14:paraId="43F0CA3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Align w:val="center"/>
                </w:tcPr>
                <w:p w14:paraId="774C413D">
                  <w:pPr>
                    <w:jc w:val="center"/>
                    <w:rPr>
                      <w:color w:val="000000" w:themeColor="text1"/>
                      <w14:textFill>
                        <w14:solidFill>
                          <w14:schemeClr w14:val="tx1"/>
                        </w14:solidFill>
                      </w14:textFill>
                    </w:rPr>
                  </w:pPr>
                  <w:r>
                    <w:rPr>
                      <w:color w:val="000000" w:themeColor="text1"/>
                      <w14:textFill>
                        <w14:solidFill>
                          <w14:schemeClr w14:val="tx1"/>
                        </w14:solidFill>
                      </w14:textFill>
                    </w:rPr>
                    <w:t>食品行业</w:t>
                  </w:r>
                </w:p>
              </w:tc>
              <w:tc>
                <w:tcPr>
                  <w:tcW w:w="4752" w:type="dxa"/>
                  <w:vAlign w:val="center"/>
                </w:tcPr>
                <w:p w14:paraId="69A7A06E">
                  <w:pPr>
                    <w:rPr>
                      <w:color w:val="000000" w:themeColor="text1"/>
                      <w14:textFill>
                        <w14:solidFill>
                          <w14:schemeClr w14:val="tx1"/>
                        </w14:solidFill>
                      </w14:textFill>
                    </w:rPr>
                  </w:pPr>
                  <w:r>
                    <w:rPr>
                      <w:color w:val="000000" w:themeColor="text1"/>
                      <w14:textFill>
                        <w14:solidFill>
                          <w14:schemeClr w14:val="tx1"/>
                        </w14:solidFill>
                      </w14:textFill>
                    </w:rPr>
                    <w:t>禁止入驻采用重污染工艺的食品类项目：</w:t>
                  </w:r>
                </w:p>
                <w:p w14:paraId="6099315A">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禁止入驻采用毛发水解法工艺生产小品种氨基酸的项目</w:t>
                  </w:r>
                </w:p>
                <w:p w14:paraId="2AB13F77">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禁止入驻采用一次浓缩结晶工艺生产衣康酸的项目</w:t>
                  </w:r>
                </w:p>
              </w:tc>
              <w:tc>
                <w:tcPr>
                  <w:tcW w:w="2492" w:type="dxa"/>
                  <w:shd w:val="clear" w:color="auto" w:fill="auto"/>
                  <w:vAlign w:val="center"/>
                </w:tcPr>
                <w:p w14:paraId="021E0E28">
                  <w:pPr>
                    <w:spacing w:line="30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本项目不涉及食品类项目。</w:t>
                  </w:r>
                </w:p>
              </w:tc>
            </w:tr>
            <w:tr w14:paraId="05B4ABB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restart"/>
                  <w:vAlign w:val="center"/>
                </w:tcPr>
                <w:p w14:paraId="7BA94311">
                  <w:pPr>
                    <w:jc w:val="center"/>
                    <w:rPr>
                      <w:color w:val="000000" w:themeColor="text1"/>
                      <w14:textFill>
                        <w14:solidFill>
                          <w14:schemeClr w14:val="tx1"/>
                        </w14:solidFill>
                      </w14:textFill>
                    </w:rPr>
                  </w:pPr>
                  <w:r>
                    <w:rPr>
                      <w:color w:val="000000" w:themeColor="text1"/>
                      <w14:textFill>
                        <w14:solidFill>
                          <w14:schemeClr w14:val="tx1"/>
                        </w14:solidFill>
                      </w14:textFill>
                    </w:rPr>
                    <w:t>加工制造</w:t>
                  </w:r>
                </w:p>
              </w:tc>
              <w:tc>
                <w:tcPr>
                  <w:tcW w:w="4752" w:type="dxa"/>
                  <w:vAlign w:val="center"/>
                </w:tcPr>
                <w:p w14:paraId="4EC8C137">
                  <w:pPr>
                    <w:rPr>
                      <w:color w:val="000000" w:themeColor="text1"/>
                      <w14:textFill>
                        <w14:solidFill>
                          <w14:schemeClr w14:val="tx1"/>
                        </w14:solidFill>
                      </w14:textFill>
                    </w:rPr>
                  </w:pPr>
                  <w:r>
                    <w:rPr>
                      <w:color w:val="000000" w:themeColor="text1"/>
                      <w14:textFill>
                        <w14:solidFill>
                          <w14:schemeClr w14:val="tx1"/>
                        </w14:solidFill>
                      </w14:textFill>
                    </w:rPr>
                    <w:t>禁止入驻冶金、钢铁、铁合金等行业。已经入驻的应禁止其生产规模继续扩大</w:t>
                  </w:r>
                </w:p>
              </w:tc>
              <w:tc>
                <w:tcPr>
                  <w:tcW w:w="2492" w:type="dxa"/>
                  <w:shd w:val="clear" w:color="auto" w:fill="auto"/>
                  <w:vAlign w:val="center"/>
                </w:tcPr>
                <w:p w14:paraId="49D9E8A7">
                  <w:pPr>
                    <w:spacing w:line="30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本项目不涉及冶金、钢铁、铁合金项目。</w:t>
                  </w:r>
                </w:p>
              </w:tc>
            </w:tr>
            <w:tr w14:paraId="3CB94E4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74B86878">
                  <w:pPr>
                    <w:jc w:val="center"/>
                    <w:rPr>
                      <w:color w:val="000000" w:themeColor="text1"/>
                      <w14:textFill>
                        <w14:solidFill>
                          <w14:schemeClr w14:val="tx1"/>
                        </w14:solidFill>
                      </w14:textFill>
                    </w:rPr>
                  </w:pPr>
                </w:p>
              </w:tc>
              <w:tc>
                <w:tcPr>
                  <w:tcW w:w="4752" w:type="dxa"/>
                  <w:vAlign w:val="center"/>
                </w:tcPr>
                <w:p w14:paraId="5E6549EF">
                  <w:pPr>
                    <w:rPr>
                      <w:color w:val="000000" w:themeColor="text1"/>
                      <w14:textFill>
                        <w14:solidFill>
                          <w14:schemeClr w14:val="tx1"/>
                        </w14:solidFill>
                      </w14:textFill>
                    </w:rPr>
                  </w:pPr>
                  <w:r>
                    <w:rPr>
                      <w:color w:val="000000" w:themeColor="text1"/>
                      <w14:textFill>
                        <w14:solidFill>
                          <w14:schemeClr w14:val="tx1"/>
                        </w14:solidFill>
                      </w14:textFill>
                    </w:rPr>
                    <w:t>禁止入驻未达到 《电镀行业清洁生产评价指标体系》（国家发改委、环保部、工信部公告2015年第25号）综合评价指数</w:t>
                  </w:r>
                  <w:r>
                    <w:rPr>
                      <w:rFonts w:hint="eastAsia" w:ascii="宋体" w:hAnsi="宋体" w:cs="宋体"/>
                      <w:color w:val="000000" w:themeColor="text1"/>
                      <w14:textFill>
                        <w14:solidFill>
                          <w14:schemeClr w14:val="tx1"/>
                        </w14:solidFill>
                      </w14:textFill>
                    </w:rPr>
                    <w:t>Ⅰ</w:t>
                  </w:r>
                  <w:r>
                    <w:rPr>
                      <w:color w:val="000000" w:themeColor="text1"/>
                      <w14:textFill>
                        <w14:solidFill>
                          <w14:schemeClr w14:val="tx1"/>
                        </w14:solidFill>
                      </w14:textFill>
                    </w:rPr>
                    <w:t>级要求的新建、扩建的电镀项目</w:t>
                  </w:r>
                </w:p>
              </w:tc>
              <w:tc>
                <w:tcPr>
                  <w:tcW w:w="2492" w:type="dxa"/>
                  <w:shd w:val="clear" w:color="auto" w:fill="auto"/>
                  <w:vAlign w:val="center"/>
                </w:tcPr>
                <w:p w14:paraId="1878BFFC">
                  <w:pPr>
                    <w:spacing w:line="30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本项目不涉及电镀项目。</w:t>
                  </w:r>
                </w:p>
              </w:tc>
            </w:tr>
            <w:tr w14:paraId="2C41018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Merge w:val="continue"/>
                  <w:vAlign w:val="center"/>
                </w:tcPr>
                <w:p w14:paraId="0771043E">
                  <w:pPr>
                    <w:jc w:val="center"/>
                    <w:rPr>
                      <w:color w:val="000000" w:themeColor="text1"/>
                      <w14:textFill>
                        <w14:solidFill>
                          <w14:schemeClr w14:val="tx1"/>
                        </w14:solidFill>
                      </w14:textFill>
                    </w:rPr>
                  </w:pPr>
                </w:p>
              </w:tc>
              <w:tc>
                <w:tcPr>
                  <w:tcW w:w="4752" w:type="dxa"/>
                  <w:vAlign w:val="center"/>
                </w:tcPr>
                <w:p w14:paraId="1A2B071D">
                  <w:pPr>
                    <w:rPr>
                      <w:color w:val="000000" w:themeColor="text1"/>
                      <w14:textFill>
                        <w14:solidFill>
                          <w14:schemeClr w14:val="tx1"/>
                        </w14:solidFill>
                      </w14:textFill>
                    </w:rPr>
                  </w:pPr>
                  <w:r>
                    <w:rPr>
                      <w:color w:val="000000" w:themeColor="text1"/>
                      <w14:textFill>
                        <w14:solidFill>
                          <w14:schemeClr w14:val="tx1"/>
                        </w14:solidFill>
                      </w14:textFill>
                    </w:rPr>
                    <w:t>禁止入驻含重点控制重金属铬、镍、铅、镉的电镀废水没有全部回用的含电镀工段的项目</w:t>
                  </w:r>
                </w:p>
              </w:tc>
              <w:tc>
                <w:tcPr>
                  <w:tcW w:w="2492" w:type="dxa"/>
                  <w:shd w:val="clear" w:color="auto" w:fill="auto"/>
                  <w:vAlign w:val="center"/>
                </w:tcPr>
                <w:p w14:paraId="3AC52E10">
                  <w:pPr>
                    <w:spacing w:line="30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本项目不涉及</w:t>
                  </w:r>
                  <w:r>
                    <w:rPr>
                      <w:rFonts w:hint="eastAsia"/>
                      <w:color w:val="000000" w:themeColor="text1"/>
                      <w:szCs w:val="21"/>
                      <w14:textFill>
                        <w14:solidFill>
                          <w14:schemeClr w14:val="tx1"/>
                        </w14:solidFill>
                      </w14:textFill>
                    </w:rPr>
                    <w:t>含电镀工段的项目</w:t>
                  </w:r>
                  <w:r>
                    <w:rPr>
                      <w:color w:val="000000" w:themeColor="text1"/>
                      <w:szCs w:val="21"/>
                      <w14:textFill>
                        <w14:solidFill>
                          <w14:schemeClr w14:val="tx1"/>
                        </w14:solidFill>
                      </w14:textFill>
                    </w:rPr>
                    <w:t>。</w:t>
                  </w:r>
                </w:p>
              </w:tc>
            </w:tr>
            <w:tr w14:paraId="4056240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454" w:hRule="atLeast"/>
              </w:trPr>
              <w:tc>
                <w:tcPr>
                  <w:tcW w:w="560" w:type="dxa"/>
                  <w:vAlign w:val="center"/>
                </w:tcPr>
                <w:p w14:paraId="3275D3C5">
                  <w:pPr>
                    <w:jc w:val="center"/>
                    <w:rPr>
                      <w:color w:val="000000" w:themeColor="text1"/>
                      <w14:textFill>
                        <w14:solidFill>
                          <w14:schemeClr w14:val="tx1"/>
                        </w14:solidFill>
                      </w14:textFill>
                    </w:rPr>
                  </w:pPr>
                  <w:r>
                    <w:rPr>
                      <w:color w:val="000000" w:themeColor="text1"/>
                      <w14:textFill>
                        <w14:solidFill>
                          <w14:schemeClr w14:val="tx1"/>
                        </w14:solidFill>
                      </w14:textFill>
                    </w:rPr>
                    <w:t>其他</w:t>
                  </w:r>
                </w:p>
              </w:tc>
              <w:tc>
                <w:tcPr>
                  <w:tcW w:w="4752" w:type="dxa"/>
                  <w:vAlign w:val="center"/>
                </w:tcPr>
                <w:p w14:paraId="7917C676">
                  <w:pPr>
                    <w:rPr>
                      <w:color w:val="000000" w:themeColor="text1"/>
                      <w14:textFill>
                        <w14:solidFill>
                          <w14:schemeClr w14:val="tx1"/>
                        </w14:solidFill>
                      </w14:textFill>
                    </w:rPr>
                  </w:pPr>
                  <w:r>
                    <w:rPr>
                      <w:color w:val="000000" w:themeColor="text1"/>
                      <w14:textFill>
                        <w14:solidFill>
                          <w14:schemeClr w14:val="tx1"/>
                        </w14:solidFill>
                      </w14:textFill>
                    </w:rPr>
                    <w:t>在产业集聚区内涉及南水北调二级保护范围的区域，划定为南水北调二级保护范围限制建设区，要求在该区域内：</w:t>
                  </w:r>
                </w:p>
                <w:p w14:paraId="5611E8D3">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禁止向环境排放废水、废渣类污染物；</w:t>
                  </w:r>
                </w:p>
                <w:p w14:paraId="5BAB907A">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禁止新建、扩建污染较重的废水排污口，设置医疗废水排污口；</w:t>
                  </w:r>
                </w:p>
                <w:p w14:paraId="677668B0">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禁止新建、扩建污染重的化工、电镀、皮革加工、造纸、印染、生物发酵、选矿、冶炼、炼焦、炼油和规模化禽畜养殖以及其他污染重的建设项目；</w:t>
                  </w:r>
                </w:p>
                <w:p w14:paraId="37CEC471">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禁止设置生活垃圾、医疗垃圾、工业危险废物等集中转运、堆放、填埋和焚烧设施：</w:t>
                  </w:r>
                </w:p>
                <w:p w14:paraId="0903590B">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color w:val="000000" w:themeColor="text1"/>
                      <w14:textFill>
                        <w14:solidFill>
                          <w14:schemeClr w14:val="tx1"/>
                        </w14:solidFill>
                      </w14:textFill>
                    </w:rPr>
                    <w:t>禁止设置危险品转运和贮存设施、新建加油站及油库；</w:t>
                  </w:r>
                </w:p>
                <w:p w14:paraId="50BF6912">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⑥</w:t>
                  </w:r>
                  <w:r>
                    <w:rPr>
                      <w:color w:val="000000" w:themeColor="text1"/>
                      <w14:textFill>
                        <w14:solidFill>
                          <w14:schemeClr w14:val="tx1"/>
                        </w14:solidFill>
                      </w14:textFill>
                    </w:rPr>
                    <w:t>禁止使用不符合国家有关农药安全使用和环保规定、标准的高毒和高残留农药；</w:t>
                  </w:r>
                </w:p>
                <w:p w14:paraId="4F719FBA">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⑦</w:t>
                  </w:r>
                  <w:r>
                    <w:rPr>
                      <w:color w:val="000000" w:themeColor="text1"/>
                      <w14:textFill>
                        <w14:solidFill>
                          <w14:schemeClr w14:val="tx1"/>
                        </w14:solidFill>
                      </w14:textFill>
                    </w:rPr>
                    <w:t>禁止将不符合《生活饮用水卫生标准（GB5749-</w:t>
                  </w:r>
                  <w:r>
                    <w:rPr>
                      <w:rFonts w:hint="eastAsia"/>
                      <w:color w:val="000000" w:themeColor="text1"/>
                      <w:lang w:val="en-US" w:eastAsia="zh-CN"/>
                      <w14:textFill>
                        <w14:solidFill>
                          <w14:schemeClr w14:val="tx1"/>
                        </w14:solidFill>
                      </w14:textFill>
                    </w:rPr>
                    <w:t xml:space="preserve"> </w:t>
                  </w:r>
                  <w:r>
                    <w:rPr>
                      <w:color w:val="000000" w:themeColor="text1"/>
                      <w14:textFill>
                        <w14:solidFill>
                          <w14:schemeClr w14:val="tx1"/>
                        </w14:solidFill>
                      </w14:textFill>
                    </w:rPr>
                    <w:t>2006）》和有关规定的水人工直接回灌补给地下水；</w:t>
                  </w:r>
                </w:p>
                <w:p w14:paraId="057806B5">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⑧</w:t>
                  </w:r>
                  <w:r>
                    <w:rPr>
                      <w:color w:val="000000" w:themeColor="text1"/>
                      <w14:textFill>
                        <w14:solidFill>
                          <w14:schemeClr w14:val="tx1"/>
                        </w14:solidFill>
                      </w14:textFill>
                    </w:rPr>
                    <w:t>禁止采取地下灌注方式处理废水；</w:t>
                  </w:r>
                </w:p>
                <w:p w14:paraId="11B3F1D6">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⑨</w:t>
                  </w:r>
                  <w:r>
                    <w:rPr>
                      <w:color w:val="000000" w:themeColor="text1"/>
                      <w14:textFill>
                        <w14:solidFill>
                          <w14:schemeClr w14:val="tx1"/>
                        </w14:solidFill>
                      </w14:textFill>
                    </w:rPr>
                    <w:t>禁止建立公共墓地和掩埋动物尸体；</w:t>
                  </w:r>
                </w:p>
                <w:p w14:paraId="78CA35A5">
                  <w:pP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⑩</w:t>
                  </w:r>
                  <w:r>
                    <w:rPr>
                      <w:color w:val="000000" w:themeColor="text1"/>
                      <w14:textFill>
                        <w14:solidFill>
                          <w14:schemeClr w14:val="tx1"/>
                        </w14:solidFill>
                      </w14:textFill>
                    </w:rPr>
                    <w:t>禁止利用沟渠、渗坑、渗井、裂隙、溶洞以及漫流等方式排放工业废水、医疗废水和其他有毒有害废水；</w:t>
                  </w:r>
                </w:p>
                <w:p w14:paraId="64D7838F">
                  <w:pPr>
                    <w:rPr>
                      <w:color w:val="000000" w:themeColor="text1"/>
                      <w14:textFill>
                        <w14:solidFill>
                          <w14:schemeClr w14:val="tx1"/>
                        </w14:solidFill>
                      </w14:textFill>
                    </w:rPr>
                  </w:pPr>
                  <w:r>
                    <w:rPr>
                      <w:rFonts w:ascii="Cambria Math" w:hAnsi="Cambria Math" w:cs="Cambria Math"/>
                      <w:color w:val="000000" w:themeColor="text1"/>
                      <w14:textFill>
                        <w14:solidFill>
                          <w14:schemeClr w14:val="tx1"/>
                        </w14:solidFill>
                      </w14:textFill>
                    </w:rPr>
                    <w:t>⑪</w:t>
                  </w:r>
                  <w:r>
                    <w:rPr>
                      <w:color w:val="000000" w:themeColor="text1"/>
                      <w14:textFill>
                        <w14:solidFill>
                          <w14:schemeClr w14:val="tx1"/>
                        </w14:solidFill>
                      </w14:textFill>
                    </w:rPr>
                    <w:t>禁止将剧毒、持久性和放射性废物以及含有重金属废物等危险废物直接倾倒或埋入地下。已排放、倾倒和填埋的，按国家环保有关法律、法规的规定，在限期内进行治理。</w:t>
                  </w:r>
                </w:p>
              </w:tc>
              <w:tc>
                <w:tcPr>
                  <w:tcW w:w="2492" w:type="dxa"/>
                  <w:shd w:val="clear" w:color="auto" w:fill="auto"/>
                  <w:vAlign w:val="center"/>
                </w:tcPr>
                <w:p w14:paraId="66CC6855">
                  <w:pPr>
                    <w:spacing w:line="30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本项目</w:t>
                  </w:r>
                  <w:r>
                    <w:rPr>
                      <w:rFonts w:hint="eastAsia"/>
                      <w:color w:val="000000" w:themeColor="text1"/>
                      <w:szCs w:val="21"/>
                      <w:lang w:val="en-US" w:eastAsia="zh-CN"/>
                      <w14:textFill>
                        <w14:solidFill>
                          <w14:schemeClr w14:val="tx1"/>
                        </w14:solidFill>
                      </w14:textFill>
                    </w:rPr>
                    <w:t>不涉及南水北调二级保护范围的区域</w:t>
                  </w:r>
                  <w:r>
                    <w:rPr>
                      <w:color w:val="000000" w:themeColor="text1"/>
                      <w:szCs w:val="21"/>
                      <w14:textFill>
                        <w14:solidFill>
                          <w14:schemeClr w14:val="tx1"/>
                        </w14:solidFill>
                      </w14:textFill>
                    </w:rPr>
                    <w:t>，不在限制建设区内。</w:t>
                  </w:r>
                </w:p>
              </w:tc>
            </w:tr>
          </w:tbl>
          <w:p w14:paraId="3DBCFC6E">
            <w:pPr>
              <w:pStyle w:val="81"/>
              <w:keepNext w:val="0"/>
              <w:keepLines w:val="0"/>
              <w:pageBreakBefore w:val="0"/>
              <w:widowControl w:val="0"/>
              <w:kinsoku/>
              <w:wordWrap/>
              <w:overflowPunct/>
              <w:topLinePunct w:val="0"/>
              <w:autoSpaceDE/>
              <w:autoSpaceDN/>
              <w:bidi w:val="0"/>
              <w:adjustRightInd/>
              <w:snapToGrid w:val="0"/>
              <w:spacing w:before="157" w:beforeLines="50" w:line="240" w:lineRule="auto"/>
              <w:ind w:firstLine="420" w:firstLineChars="175"/>
              <w:jc w:val="center"/>
              <w:textAlignment w:val="auto"/>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表2 与</w:t>
            </w:r>
            <w:r>
              <w:rPr>
                <w:rFonts w:hint="eastAsia" w:asciiTheme="minorEastAsia" w:hAnsiTheme="minorEastAsia" w:eastAsiaTheme="minorEastAsia" w:cstheme="minorEastAsia"/>
                <w:color w:val="000000" w:themeColor="text1"/>
                <w:sz w:val="24"/>
                <w14:textFill>
                  <w14:solidFill>
                    <w14:schemeClr w14:val="tx1"/>
                  </w14:solidFill>
                </w14:textFill>
              </w:rPr>
              <w:t>汤阴县产业集聚区环境准入条件</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相符性分析</w:t>
            </w:r>
          </w:p>
          <w:tbl>
            <w:tblPr>
              <w:tblStyle w:val="26"/>
              <w:tblW w:w="7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66"/>
              <w:gridCol w:w="650"/>
              <w:gridCol w:w="4100"/>
              <w:gridCol w:w="2488"/>
            </w:tblGrid>
            <w:tr w14:paraId="6404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vAlign w:val="center"/>
                </w:tcPr>
                <w:p w14:paraId="628AFA59">
                  <w:pPr>
                    <w:jc w:val="center"/>
                    <w:rPr>
                      <w:color w:val="000000" w:themeColor="text1"/>
                      <w14:textFill>
                        <w14:solidFill>
                          <w14:schemeClr w14:val="tx1"/>
                        </w14:solidFill>
                      </w14:textFill>
                    </w:rPr>
                  </w:pPr>
                  <w:r>
                    <w:rPr>
                      <w:color w:val="000000" w:themeColor="text1"/>
                      <w14:textFill>
                        <w14:solidFill>
                          <w14:schemeClr w14:val="tx1"/>
                        </w14:solidFill>
                      </w14:textFill>
                    </w:rPr>
                    <w:t>项目类别</w:t>
                  </w:r>
                </w:p>
              </w:tc>
              <w:tc>
                <w:tcPr>
                  <w:tcW w:w="4750" w:type="dxa"/>
                  <w:gridSpan w:val="2"/>
                  <w:vAlign w:val="center"/>
                </w:tcPr>
                <w:p w14:paraId="4B60E5E5">
                  <w:pPr>
                    <w:jc w:val="center"/>
                    <w:rPr>
                      <w:color w:val="000000" w:themeColor="text1"/>
                      <w14:textFill>
                        <w14:solidFill>
                          <w14:schemeClr w14:val="tx1"/>
                        </w14:solidFill>
                      </w14:textFill>
                    </w:rPr>
                  </w:pPr>
                  <w:r>
                    <w:rPr>
                      <w:color w:val="000000" w:themeColor="text1"/>
                      <w14:textFill>
                        <w14:solidFill>
                          <w14:schemeClr w14:val="tx1"/>
                        </w14:solidFill>
                      </w14:textFill>
                    </w:rPr>
                    <w:t>环境准入条件</w:t>
                  </w:r>
                </w:p>
              </w:tc>
              <w:tc>
                <w:tcPr>
                  <w:tcW w:w="2488" w:type="dxa"/>
                  <w:vAlign w:val="center"/>
                </w:tcPr>
                <w:p w14:paraId="3FF4DE32">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相符性分析</w:t>
                  </w:r>
                </w:p>
              </w:tc>
            </w:tr>
            <w:tr w14:paraId="45BB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vAlign w:val="center"/>
                </w:tcPr>
                <w:p w14:paraId="415619A1">
                  <w:pPr>
                    <w:jc w:val="center"/>
                    <w:rPr>
                      <w:color w:val="000000" w:themeColor="text1"/>
                      <w14:textFill>
                        <w14:solidFill>
                          <w14:schemeClr w14:val="tx1"/>
                        </w14:solidFill>
                      </w14:textFill>
                    </w:rPr>
                  </w:pPr>
                  <w:r>
                    <w:rPr>
                      <w:color w:val="000000" w:themeColor="text1"/>
                      <w14:textFill>
                        <w14:solidFill>
                          <w14:schemeClr w14:val="tx1"/>
                        </w14:solidFill>
                      </w14:textFill>
                    </w:rPr>
                    <w:t>鼓励类</w:t>
                  </w:r>
                </w:p>
              </w:tc>
              <w:tc>
                <w:tcPr>
                  <w:tcW w:w="4750" w:type="dxa"/>
                  <w:gridSpan w:val="2"/>
                  <w:vAlign w:val="center"/>
                </w:tcPr>
                <w:p w14:paraId="38FCA775">
                  <w:pPr>
                    <w:rPr>
                      <w:color w:val="000000" w:themeColor="text1"/>
                      <w14:textFill>
                        <w14:solidFill>
                          <w14:schemeClr w14:val="tx1"/>
                        </w14:solidFill>
                      </w14:textFill>
                    </w:rPr>
                  </w:pPr>
                  <w:r>
                    <w:rPr>
                      <w:color w:val="000000" w:themeColor="text1"/>
                      <w14:textFill>
                        <w14:solidFill>
                          <w14:schemeClr w14:val="tx1"/>
                        </w14:solidFill>
                      </w14:textFill>
                    </w:rPr>
                    <w:t>（1）鼓励符合集聚区产业定位且列入国家产业结构调整指导目录鼓励类的项目入驻；</w:t>
                  </w:r>
                </w:p>
                <w:p w14:paraId="5A0F0895">
                  <w:pPr>
                    <w:rPr>
                      <w:color w:val="000000" w:themeColor="text1"/>
                      <w14:textFill>
                        <w14:solidFill>
                          <w14:schemeClr w14:val="tx1"/>
                        </w14:solidFill>
                      </w14:textFill>
                    </w:rPr>
                  </w:pPr>
                  <w:r>
                    <w:rPr>
                      <w:color w:val="000000" w:themeColor="text1"/>
                      <w14:textFill>
                        <w14:solidFill>
                          <w14:schemeClr w14:val="tx1"/>
                        </w14:solidFill>
                      </w14:textFill>
                    </w:rPr>
                    <w:t>（2）鼓励有利于集聚区产业链条延伸的项目、市政基础设施入驻；</w:t>
                  </w:r>
                </w:p>
                <w:p w14:paraId="0B7F4E6D">
                  <w:pPr>
                    <w:rPr>
                      <w:color w:val="000000" w:themeColor="text1"/>
                      <w14:textFill>
                        <w14:solidFill>
                          <w14:schemeClr w14:val="tx1"/>
                        </w14:solidFill>
                      </w14:textFill>
                    </w:rPr>
                  </w:pPr>
                  <w:r>
                    <w:rPr>
                      <w:color w:val="000000" w:themeColor="text1"/>
                      <w14:textFill>
                        <w14:solidFill>
                          <w14:schemeClr w14:val="tx1"/>
                        </w14:solidFill>
                      </w14:textFill>
                    </w:rPr>
                    <w:t>（3）鼓励利用集聚区产生的固废综合利用项目入驻；</w:t>
                  </w:r>
                </w:p>
                <w:p w14:paraId="20791050">
                  <w:pPr>
                    <w:rPr>
                      <w:color w:val="000000" w:themeColor="text1"/>
                      <w14:textFill>
                        <w14:solidFill>
                          <w14:schemeClr w14:val="tx1"/>
                        </w14:solidFill>
                      </w14:textFill>
                    </w:rPr>
                  </w:pPr>
                  <w:r>
                    <w:rPr>
                      <w:color w:val="000000" w:themeColor="text1"/>
                      <w14:textFill>
                        <w14:solidFill>
                          <w14:schemeClr w14:val="tx1"/>
                        </w14:solidFill>
                      </w14:textFill>
                    </w:rPr>
                    <w:t>（4）鼓励有利于节能减排的技术改造项目入驻；</w:t>
                  </w:r>
                </w:p>
                <w:p w14:paraId="5EAC66C0">
                  <w:pPr>
                    <w:rPr>
                      <w:color w:val="000000" w:themeColor="text1"/>
                      <w14:textFill>
                        <w14:solidFill>
                          <w14:schemeClr w14:val="tx1"/>
                        </w14:solidFill>
                      </w14:textFill>
                    </w:rPr>
                  </w:pPr>
                  <w:r>
                    <w:rPr>
                      <w:color w:val="000000" w:themeColor="text1"/>
                      <w14:textFill>
                        <w14:solidFill>
                          <w14:schemeClr w14:val="tx1"/>
                        </w14:solidFill>
                      </w14:textFill>
                    </w:rPr>
                    <w:t>（5）鼓励利于消耗中水的项目入驻；</w:t>
                  </w:r>
                </w:p>
                <w:p w14:paraId="327FCEBF">
                  <w:pPr>
                    <w:rPr>
                      <w:color w:val="000000" w:themeColor="text1"/>
                      <w14:textFill>
                        <w14:solidFill>
                          <w14:schemeClr w14:val="tx1"/>
                        </w14:solidFill>
                      </w14:textFill>
                    </w:rPr>
                  </w:pPr>
                  <w:r>
                    <w:rPr>
                      <w:color w:val="000000" w:themeColor="text1"/>
                      <w14:textFill>
                        <w14:solidFill>
                          <w14:schemeClr w14:val="tx1"/>
                        </w14:solidFill>
                      </w14:textFill>
                    </w:rPr>
                    <w:t>（6）鼓励现有符合产业定位的高能耗、高水耗企业的清洁生产、技术升级改造；</w:t>
                  </w:r>
                </w:p>
                <w:p w14:paraId="6BB8F67F">
                  <w:pPr>
                    <w:rPr>
                      <w:color w:val="000000" w:themeColor="text1"/>
                      <w14:textFill>
                        <w14:solidFill>
                          <w14:schemeClr w14:val="tx1"/>
                        </w14:solidFill>
                      </w14:textFill>
                    </w:rPr>
                  </w:pPr>
                  <w:r>
                    <w:rPr>
                      <w:color w:val="000000" w:themeColor="text1"/>
                      <w14:textFill>
                        <w14:solidFill>
                          <w14:schemeClr w14:val="tx1"/>
                        </w14:solidFill>
                      </w14:textFill>
                    </w:rPr>
                    <w:t>（7）鼓励符合国家产业政策和集聚区产业定位的退城入园项目。</w:t>
                  </w:r>
                </w:p>
              </w:tc>
              <w:tc>
                <w:tcPr>
                  <w:tcW w:w="2488" w:type="dxa"/>
                  <w:vAlign w:val="center"/>
                </w:tcPr>
                <w:p w14:paraId="475AA6CA">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本项目不涉及鼓励类项目</w:t>
                  </w:r>
                </w:p>
              </w:tc>
            </w:tr>
            <w:tr w14:paraId="2218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shd w:val="clear" w:color="auto" w:fill="auto"/>
                  <w:vAlign w:val="center"/>
                </w:tcPr>
                <w:p w14:paraId="6DF02179">
                  <w:pPr>
                    <w:adjustRightInd w:val="0"/>
                    <w:snapToGrid w:val="0"/>
                    <w:spacing w:line="34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允许类</w:t>
                  </w:r>
                </w:p>
              </w:tc>
              <w:tc>
                <w:tcPr>
                  <w:tcW w:w="4750" w:type="dxa"/>
                  <w:gridSpan w:val="2"/>
                  <w:shd w:val="clear" w:color="auto" w:fill="auto"/>
                  <w:vAlign w:val="center"/>
                </w:tcPr>
                <w:p w14:paraId="15B0C5B1">
                  <w:pPr>
                    <w:adjustRightInd w:val="0"/>
                    <w:snapToGrid w:val="0"/>
                    <w:spacing w:line="340" w:lineRule="exact"/>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（1）不属于禁止、限制、鼓励行业的其余行业均为允许行业；</w:t>
                  </w:r>
                </w:p>
                <w:p w14:paraId="2EB103E5">
                  <w:pPr>
                    <w:adjustRightInd w:val="0"/>
                    <w:snapToGrid w:val="0"/>
                    <w:spacing w:line="340" w:lineRule="exact"/>
                    <w:jc w:val="left"/>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（2）允许与集聚区及周边企业相配套的产业链条延伸项目入驻。</w:t>
                  </w:r>
                </w:p>
              </w:tc>
              <w:tc>
                <w:tcPr>
                  <w:tcW w:w="2488" w:type="dxa"/>
                  <w:vAlign w:val="center"/>
                </w:tcPr>
                <w:p w14:paraId="60310408">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本项目为中药生产，属于允许类</w:t>
                  </w:r>
                </w:p>
              </w:tc>
            </w:tr>
            <w:tr w14:paraId="3FE7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vAlign w:val="center"/>
                </w:tcPr>
                <w:p w14:paraId="4A8CE7D0">
                  <w:pPr>
                    <w:jc w:val="center"/>
                    <w:rPr>
                      <w:color w:val="000000" w:themeColor="text1"/>
                      <w14:textFill>
                        <w14:solidFill>
                          <w14:schemeClr w14:val="tx1"/>
                        </w14:solidFill>
                      </w14:textFill>
                    </w:rPr>
                  </w:pPr>
                  <w:r>
                    <w:rPr>
                      <w:color w:val="000000" w:themeColor="text1"/>
                      <w14:textFill>
                        <w14:solidFill>
                          <w14:schemeClr w14:val="tx1"/>
                        </w14:solidFill>
                      </w14:textFill>
                    </w:rPr>
                    <w:t>禁止类</w:t>
                  </w:r>
                </w:p>
              </w:tc>
              <w:tc>
                <w:tcPr>
                  <w:tcW w:w="4750" w:type="dxa"/>
                  <w:gridSpan w:val="2"/>
                  <w:vAlign w:val="center"/>
                </w:tcPr>
                <w:p w14:paraId="1DCF1D9D">
                  <w:pPr>
                    <w:rPr>
                      <w:color w:val="000000" w:themeColor="text1"/>
                      <w14:textFill>
                        <w14:solidFill>
                          <w14:schemeClr w14:val="tx1"/>
                        </w14:solidFill>
                      </w14:textFill>
                    </w:rPr>
                  </w:pPr>
                  <w:r>
                    <w:rPr>
                      <w:color w:val="000000" w:themeColor="text1"/>
                      <w14:textFill>
                        <w14:solidFill>
                          <w14:schemeClr w14:val="tx1"/>
                        </w14:solidFill>
                      </w14:textFill>
                    </w:rPr>
                    <w:t>禁止入驻列入汤阴县产业集聚区负面清单中的项目</w:t>
                  </w:r>
                </w:p>
              </w:tc>
              <w:tc>
                <w:tcPr>
                  <w:tcW w:w="2488" w:type="dxa"/>
                  <w:vAlign w:val="center"/>
                </w:tcPr>
                <w:p w14:paraId="1F6EBB15">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本项目不属于</w:t>
                  </w:r>
                  <w:r>
                    <w:rPr>
                      <w:color w:val="000000" w:themeColor="text1"/>
                      <w14:textFill>
                        <w14:solidFill>
                          <w14:schemeClr w14:val="tx1"/>
                        </w14:solidFill>
                      </w14:textFill>
                    </w:rPr>
                    <w:t>负面清单中的项目</w:t>
                  </w:r>
                </w:p>
              </w:tc>
            </w:tr>
            <w:tr w14:paraId="3C1D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vMerge w:val="restart"/>
                  <w:vAlign w:val="center"/>
                </w:tcPr>
                <w:p w14:paraId="0094699A">
                  <w:pPr>
                    <w:jc w:val="center"/>
                    <w:rPr>
                      <w:color w:val="000000" w:themeColor="text1"/>
                      <w14:textFill>
                        <w14:solidFill>
                          <w14:schemeClr w14:val="tx1"/>
                        </w14:solidFill>
                      </w14:textFill>
                    </w:rPr>
                  </w:pPr>
                  <w:r>
                    <w:rPr>
                      <w:color w:val="000000" w:themeColor="text1"/>
                      <w14:textFill>
                        <w14:solidFill>
                          <w14:schemeClr w14:val="tx1"/>
                        </w14:solidFill>
                      </w14:textFill>
                    </w:rPr>
                    <w:t>产业发展</w:t>
                  </w:r>
                </w:p>
              </w:tc>
              <w:tc>
                <w:tcPr>
                  <w:tcW w:w="650" w:type="dxa"/>
                  <w:vAlign w:val="center"/>
                </w:tcPr>
                <w:p w14:paraId="61DC37F6">
                  <w:pPr>
                    <w:jc w:val="center"/>
                    <w:rPr>
                      <w:color w:val="000000" w:themeColor="text1"/>
                      <w14:textFill>
                        <w14:solidFill>
                          <w14:schemeClr w14:val="tx1"/>
                        </w14:solidFill>
                      </w14:textFill>
                    </w:rPr>
                  </w:pPr>
                  <w:r>
                    <w:rPr>
                      <w:color w:val="000000" w:themeColor="text1"/>
                      <w14:textFill>
                        <w14:solidFill>
                          <w14:schemeClr w14:val="tx1"/>
                        </w14:solidFill>
                      </w14:textFill>
                    </w:rPr>
                    <w:t>医药行业</w:t>
                  </w:r>
                </w:p>
              </w:tc>
              <w:tc>
                <w:tcPr>
                  <w:tcW w:w="4100" w:type="dxa"/>
                  <w:vAlign w:val="center"/>
                </w:tcPr>
                <w:p w14:paraId="7E5CDCDD">
                  <w:pPr>
                    <w:rPr>
                      <w:color w:val="000000" w:themeColor="text1"/>
                      <w14:textFill>
                        <w14:solidFill>
                          <w14:schemeClr w14:val="tx1"/>
                        </w14:solidFill>
                      </w14:textFill>
                    </w:rPr>
                  </w:pPr>
                  <w:r>
                    <w:rPr>
                      <w:color w:val="000000" w:themeColor="text1"/>
                      <w14:textFill>
                        <w14:solidFill>
                          <w14:schemeClr w14:val="tx1"/>
                        </w14:solidFill>
                      </w14:textFill>
                    </w:rPr>
                    <w:t>重点发展中药类制药、混装制剂类制药、提取类制药以及生物工程类制药</w:t>
                  </w:r>
                </w:p>
              </w:tc>
              <w:tc>
                <w:tcPr>
                  <w:tcW w:w="2488" w:type="dxa"/>
                  <w:vAlign w:val="center"/>
                </w:tcPr>
                <w:p w14:paraId="2053E70B">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本项目属于</w:t>
                  </w:r>
                  <w:r>
                    <w:rPr>
                      <w:color w:val="000000" w:themeColor="text1"/>
                      <w14:textFill>
                        <w14:solidFill>
                          <w14:schemeClr w14:val="tx1"/>
                        </w14:solidFill>
                      </w14:textFill>
                    </w:rPr>
                    <w:t>中药类制药</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符合产业集聚区重点发展方向</w:t>
                  </w:r>
                </w:p>
              </w:tc>
            </w:tr>
            <w:tr w14:paraId="1615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vMerge w:val="continue"/>
                  <w:vAlign w:val="center"/>
                </w:tcPr>
                <w:p w14:paraId="77185B3B">
                  <w:pPr>
                    <w:jc w:val="center"/>
                    <w:rPr>
                      <w:color w:val="000000" w:themeColor="text1"/>
                      <w14:textFill>
                        <w14:solidFill>
                          <w14:schemeClr w14:val="tx1"/>
                        </w14:solidFill>
                      </w14:textFill>
                    </w:rPr>
                  </w:pPr>
                </w:p>
              </w:tc>
              <w:tc>
                <w:tcPr>
                  <w:tcW w:w="650" w:type="dxa"/>
                  <w:vAlign w:val="center"/>
                </w:tcPr>
                <w:p w14:paraId="48217FBC">
                  <w:pPr>
                    <w:jc w:val="center"/>
                    <w:rPr>
                      <w:color w:val="000000" w:themeColor="text1"/>
                      <w14:textFill>
                        <w14:solidFill>
                          <w14:schemeClr w14:val="tx1"/>
                        </w14:solidFill>
                      </w14:textFill>
                    </w:rPr>
                  </w:pPr>
                  <w:r>
                    <w:rPr>
                      <w:color w:val="000000" w:themeColor="text1"/>
                      <w14:textFill>
                        <w14:solidFill>
                          <w14:schemeClr w14:val="tx1"/>
                        </w14:solidFill>
                      </w14:textFill>
                    </w:rPr>
                    <w:t>食品行业</w:t>
                  </w:r>
                </w:p>
              </w:tc>
              <w:tc>
                <w:tcPr>
                  <w:tcW w:w="4100" w:type="dxa"/>
                  <w:vAlign w:val="center"/>
                </w:tcPr>
                <w:p w14:paraId="369E1C98">
                  <w:pPr>
                    <w:rPr>
                      <w:color w:val="000000" w:themeColor="text1"/>
                      <w14:textFill>
                        <w14:solidFill>
                          <w14:schemeClr w14:val="tx1"/>
                        </w14:solidFill>
                      </w14:textFill>
                    </w:rPr>
                  </w:pPr>
                  <w:r>
                    <w:rPr>
                      <w:color w:val="000000" w:themeColor="text1"/>
                      <w14:textFill>
                        <w14:solidFill>
                          <w14:schemeClr w14:val="tx1"/>
                        </w14:solidFill>
                      </w14:textFill>
                    </w:rPr>
                    <w:t>重点发展农副食品加工工业和食品制造业；适当发展酒、饮料和精制茶制造业。鼓励发展膨化食品、饼干等后续加工高附加值的休闲食品类项目</w:t>
                  </w:r>
                </w:p>
              </w:tc>
              <w:tc>
                <w:tcPr>
                  <w:tcW w:w="2488" w:type="dxa"/>
                  <w:vAlign w:val="center"/>
                </w:tcPr>
                <w:p w14:paraId="65F2A9FC">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本项目不涉及食品行业</w:t>
                  </w:r>
                </w:p>
              </w:tc>
            </w:tr>
            <w:tr w14:paraId="6BC2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vMerge w:val="continue"/>
                  <w:vAlign w:val="center"/>
                </w:tcPr>
                <w:p w14:paraId="29F3D6EF">
                  <w:pPr>
                    <w:jc w:val="center"/>
                    <w:rPr>
                      <w:color w:val="000000" w:themeColor="text1"/>
                      <w14:textFill>
                        <w14:solidFill>
                          <w14:schemeClr w14:val="tx1"/>
                        </w14:solidFill>
                      </w14:textFill>
                    </w:rPr>
                  </w:pPr>
                </w:p>
              </w:tc>
              <w:tc>
                <w:tcPr>
                  <w:tcW w:w="650" w:type="dxa"/>
                  <w:vAlign w:val="center"/>
                </w:tcPr>
                <w:p w14:paraId="12056494">
                  <w:pPr>
                    <w:jc w:val="center"/>
                    <w:rPr>
                      <w:color w:val="000000" w:themeColor="text1"/>
                      <w14:textFill>
                        <w14:solidFill>
                          <w14:schemeClr w14:val="tx1"/>
                        </w14:solidFill>
                      </w14:textFill>
                    </w:rPr>
                  </w:pPr>
                  <w:r>
                    <w:rPr>
                      <w:color w:val="000000" w:themeColor="text1"/>
                      <w14:textFill>
                        <w14:solidFill>
                          <w14:schemeClr w14:val="tx1"/>
                        </w14:solidFill>
                      </w14:textFill>
                    </w:rPr>
                    <w:t>加工制造</w:t>
                  </w:r>
                </w:p>
              </w:tc>
              <w:tc>
                <w:tcPr>
                  <w:tcW w:w="4100" w:type="dxa"/>
                  <w:vAlign w:val="center"/>
                </w:tcPr>
                <w:p w14:paraId="4A944AE0">
                  <w:pPr>
                    <w:rPr>
                      <w:color w:val="000000" w:themeColor="text1"/>
                      <w14:textFill>
                        <w14:solidFill>
                          <w14:schemeClr w14:val="tx1"/>
                        </w14:solidFill>
                      </w14:textFill>
                    </w:rPr>
                  </w:pPr>
                  <w:r>
                    <w:rPr>
                      <w:color w:val="000000" w:themeColor="text1"/>
                      <w14:textFill>
                        <w14:solidFill>
                          <w14:schemeClr w14:val="tx1"/>
                        </w14:solidFill>
                      </w14:textFill>
                    </w:rPr>
                    <w:t>重点发展装备制造业和专用装备制造，鼓励发展与集聚区产业定位相关联的加工项目，如医药、食品包装加工等上下游配套产品类项目</w:t>
                  </w:r>
                </w:p>
              </w:tc>
              <w:tc>
                <w:tcPr>
                  <w:tcW w:w="2488" w:type="dxa"/>
                  <w:vAlign w:val="center"/>
                </w:tcPr>
                <w:p w14:paraId="44DAD8E2">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本项目不涉及其他加工制造行业</w:t>
                  </w:r>
                </w:p>
              </w:tc>
            </w:tr>
            <w:tr w14:paraId="0CC0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vAlign w:val="center"/>
                </w:tcPr>
                <w:p w14:paraId="2E313515">
                  <w:pPr>
                    <w:jc w:val="center"/>
                    <w:rPr>
                      <w:color w:val="000000" w:themeColor="text1"/>
                      <w14:textFill>
                        <w14:solidFill>
                          <w14:schemeClr w14:val="tx1"/>
                        </w14:solidFill>
                      </w14:textFill>
                    </w:rPr>
                  </w:pPr>
                  <w:r>
                    <w:rPr>
                      <w:color w:val="000000" w:themeColor="text1"/>
                      <w14:textFill>
                        <w14:solidFill>
                          <w14:schemeClr w14:val="tx1"/>
                        </w14:solidFill>
                      </w14:textFill>
                    </w:rPr>
                    <w:t>生产规模和工艺技术先进性要求</w:t>
                  </w:r>
                </w:p>
              </w:tc>
              <w:tc>
                <w:tcPr>
                  <w:tcW w:w="4750" w:type="dxa"/>
                  <w:gridSpan w:val="2"/>
                  <w:vAlign w:val="center"/>
                </w:tcPr>
                <w:p w14:paraId="6314BC12">
                  <w:pPr>
                    <w:rPr>
                      <w:color w:val="000000" w:themeColor="text1"/>
                      <w14:textFill>
                        <w14:solidFill>
                          <w14:schemeClr w14:val="tx1"/>
                        </w14:solidFill>
                      </w14:textFill>
                    </w:rPr>
                  </w:pPr>
                  <w:r>
                    <w:rPr>
                      <w:color w:val="000000" w:themeColor="text1"/>
                      <w14:textFill>
                        <w14:solidFill>
                          <w14:schemeClr w14:val="tx1"/>
                        </w14:solidFill>
                      </w14:textFill>
                    </w:rPr>
                    <w:t>（1）在工艺技术水平上，要求入驻聚集区的项目必须达到国内同行业领先水平或具备国际先进水平；</w:t>
                  </w:r>
                </w:p>
                <w:p w14:paraId="299DA865">
                  <w:pPr>
                    <w:rPr>
                      <w:color w:val="000000" w:themeColor="text1"/>
                      <w14:textFill>
                        <w14:solidFill>
                          <w14:schemeClr w14:val="tx1"/>
                        </w14:solidFill>
                      </w14:textFill>
                    </w:rPr>
                  </w:pPr>
                  <w:r>
                    <w:rPr>
                      <w:color w:val="000000" w:themeColor="text1"/>
                      <w14:textFill>
                        <w14:solidFill>
                          <w14:schemeClr w14:val="tx1"/>
                        </w14:solidFill>
                      </w14:textFill>
                    </w:rPr>
                    <w:t>（2）建设规模应符合国家产业政策对相关经济规模的限制性要求；</w:t>
                  </w:r>
                </w:p>
                <w:p w14:paraId="557C69B4">
                  <w:pPr>
                    <w:rPr>
                      <w:color w:val="000000" w:themeColor="text1"/>
                      <w14:textFill>
                        <w14:solidFill>
                          <w14:schemeClr w14:val="tx1"/>
                        </w14:solidFill>
                      </w14:textFill>
                    </w:rPr>
                  </w:pPr>
                  <w:r>
                    <w:rPr>
                      <w:color w:val="000000" w:themeColor="text1"/>
                      <w14:textFill>
                        <w14:solidFill>
                          <w14:schemeClr w14:val="tx1"/>
                        </w14:solidFill>
                      </w14:textFill>
                    </w:rPr>
                    <w:t>（3）市区环保搬迁入住聚集区的企业应进行产品和生产技术的升级改造，达到国家相关规定的要求。</w:t>
                  </w:r>
                </w:p>
              </w:tc>
              <w:tc>
                <w:tcPr>
                  <w:tcW w:w="2488" w:type="dxa"/>
                  <w:vAlign w:val="center"/>
                </w:tcPr>
                <w:p w14:paraId="2D289B84">
                  <w:pPr>
                    <w:jc w:val="center"/>
                    <w:rPr>
                      <w:rFonts w:hint="default"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本项目工艺技术</w:t>
                  </w:r>
                  <w:r>
                    <w:rPr>
                      <w:rFonts w:hint="eastAsia"/>
                      <w:color w:val="000000" w:themeColor="text1"/>
                      <w:lang w:val="en-US" w:eastAsia="zh-CN"/>
                      <w14:textFill>
                        <w14:solidFill>
                          <w14:schemeClr w14:val="tx1"/>
                        </w14:solidFill>
                      </w14:textFill>
                    </w:rPr>
                    <w:t>按照</w:t>
                  </w:r>
                  <w:r>
                    <w:rPr>
                      <w:color w:val="000000" w:themeColor="text1"/>
                      <w14:textFill>
                        <w14:solidFill>
                          <w14:schemeClr w14:val="tx1"/>
                        </w14:solidFill>
                      </w14:textFill>
                    </w:rPr>
                    <w:t>国内同行业领先水平</w:t>
                  </w:r>
                  <w:r>
                    <w:rPr>
                      <w:rFonts w:hint="eastAsia"/>
                      <w:color w:val="000000" w:themeColor="text1"/>
                      <w:lang w:val="en-US" w:eastAsia="zh-CN"/>
                      <w14:textFill>
                        <w14:solidFill>
                          <w14:schemeClr w14:val="tx1"/>
                        </w14:solidFill>
                      </w14:textFill>
                    </w:rPr>
                    <w:t>设计</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生产规模符合</w:t>
                  </w:r>
                  <w:r>
                    <w:rPr>
                      <w:color w:val="000000" w:themeColor="text1"/>
                      <w14:textFill>
                        <w14:solidFill>
                          <w14:schemeClr w14:val="tx1"/>
                        </w14:solidFill>
                      </w14:textFill>
                    </w:rPr>
                    <w:t>国家产业政策</w:t>
                  </w:r>
                </w:p>
              </w:tc>
            </w:tr>
            <w:tr w14:paraId="2F27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vAlign w:val="center"/>
                </w:tcPr>
                <w:p w14:paraId="6144CEFD">
                  <w:pPr>
                    <w:jc w:val="center"/>
                    <w:rPr>
                      <w:color w:val="000000" w:themeColor="text1"/>
                      <w14:textFill>
                        <w14:solidFill>
                          <w14:schemeClr w14:val="tx1"/>
                        </w14:solidFill>
                      </w14:textFill>
                    </w:rPr>
                  </w:pPr>
                  <w:r>
                    <w:rPr>
                      <w:color w:val="000000" w:themeColor="text1"/>
                      <w14:textFill>
                        <w14:solidFill>
                          <w14:schemeClr w14:val="tx1"/>
                        </w14:solidFill>
                      </w14:textFill>
                    </w:rPr>
                    <w:t>清洁生产水平</w:t>
                  </w:r>
                </w:p>
              </w:tc>
              <w:tc>
                <w:tcPr>
                  <w:tcW w:w="4750" w:type="dxa"/>
                  <w:gridSpan w:val="2"/>
                  <w:vAlign w:val="center"/>
                </w:tcPr>
                <w:p w14:paraId="7371F87C">
                  <w:pPr>
                    <w:rPr>
                      <w:color w:val="000000" w:themeColor="text1"/>
                      <w14:textFill>
                        <w14:solidFill>
                          <w14:schemeClr w14:val="tx1"/>
                        </w14:solidFill>
                      </w14:textFill>
                    </w:rPr>
                  </w:pPr>
                  <w:r>
                    <w:rPr>
                      <w:color w:val="000000" w:themeColor="text1"/>
                      <w14:textFill>
                        <w14:solidFill>
                          <w14:schemeClr w14:val="tx1"/>
                        </w14:solidFill>
                      </w14:textFill>
                    </w:rPr>
                    <w:t>（1）应选择使用原料和产品为环境友好型的项目，避免聚集区大规模建设造成的不良辐射效应，诱使国家明令禁止项目在聚集区周边出现；</w:t>
                  </w:r>
                </w:p>
                <w:p w14:paraId="1D81A708">
                  <w:pPr>
                    <w:rPr>
                      <w:color w:val="000000" w:themeColor="text1"/>
                      <w14:textFill>
                        <w14:solidFill>
                          <w14:schemeClr w14:val="tx1"/>
                        </w14:solidFill>
                      </w14:textFill>
                    </w:rPr>
                  </w:pPr>
                  <w:r>
                    <w:rPr>
                      <w:color w:val="000000" w:themeColor="text1"/>
                      <w14:textFill>
                        <w14:solidFill>
                          <w14:schemeClr w14:val="tx1"/>
                        </w14:solidFill>
                      </w14:textFill>
                    </w:rPr>
                    <w:t>（2）入聚集区的新建项目的单位产品水耗、单位产品污染物排放量等清洁生产指标应达到国内同行业领先或国际先进水平。项目整体清洁生产水平应达到或超过国内清洁生产先进水平；</w:t>
                  </w:r>
                </w:p>
                <w:p w14:paraId="366C7931">
                  <w:pPr>
                    <w:rPr>
                      <w:color w:val="000000" w:themeColor="text1"/>
                      <w14:textFill>
                        <w14:solidFill>
                          <w14:schemeClr w14:val="tx1"/>
                        </w14:solidFill>
                      </w14:textFill>
                    </w:rPr>
                  </w:pPr>
                  <w:r>
                    <w:rPr>
                      <w:color w:val="000000" w:themeColor="text1"/>
                      <w14:textFill>
                        <w14:solidFill>
                          <w14:schemeClr w14:val="tx1"/>
                        </w14:solidFill>
                      </w14:textFill>
                    </w:rPr>
                    <w:t>（3）市区环保搬迁企业的清洁生产指标应达到国内同行业先进或领先水平。</w:t>
                  </w:r>
                </w:p>
              </w:tc>
              <w:tc>
                <w:tcPr>
                  <w:tcW w:w="2488" w:type="dxa"/>
                  <w:vAlign w:val="center"/>
                </w:tcPr>
                <w:p w14:paraId="3789A73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本项目建设能够达到</w:t>
                  </w:r>
                  <w:r>
                    <w:rPr>
                      <w:color w:val="000000" w:themeColor="text1"/>
                      <w14:textFill>
                        <w14:solidFill>
                          <w14:schemeClr w14:val="tx1"/>
                        </w14:solidFill>
                      </w14:textFill>
                    </w:rPr>
                    <w:t>国内同行业领先水平</w:t>
                  </w:r>
                </w:p>
              </w:tc>
            </w:tr>
            <w:tr w14:paraId="53A9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vAlign w:val="center"/>
                </w:tcPr>
                <w:p w14:paraId="396EA0E5">
                  <w:pPr>
                    <w:jc w:val="center"/>
                    <w:rPr>
                      <w:color w:val="000000" w:themeColor="text1"/>
                      <w14:textFill>
                        <w14:solidFill>
                          <w14:schemeClr w14:val="tx1"/>
                        </w14:solidFill>
                      </w14:textFill>
                    </w:rPr>
                  </w:pPr>
                  <w:r>
                    <w:rPr>
                      <w:color w:val="000000" w:themeColor="text1"/>
                      <w14:textFill>
                        <w14:solidFill>
                          <w14:schemeClr w14:val="tx1"/>
                        </w14:solidFill>
                      </w14:textFill>
                    </w:rPr>
                    <w:t>污染物排放总量控制</w:t>
                  </w:r>
                </w:p>
              </w:tc>
              <w:tc>
                <w:tcPr>
                  <w:tcW w:w="4750" w:type="dxa"/>
                  <w:gridSpan w:val="2"/>
                  <w:vAlign w:val="center"/>
                </w:tcPr>
                <w:p w14:paraId="69553197">
                  <w:pPr>
                    <w:rPr>
                      <w:color w:val="000000" w:themeColor="text1"/>
                      <w14:textFill>
                        <w14:solidFill>
                          <w14:schemeClr w14:val="tx1"/>
                        </w14:solidFill>
                      </w14:textFill>
                    </w:rPr>
                  </w:pPr>
                  <w:r>
                    <w:rPr>
                      <w:color w:val="000000" w:themeColor="text1"/>
                      <w14:textFill>
                        <w14:solidFill>
                          <w14:schemeClr w14:val="tx1"/>
                        </w14:solidFill>
                      </w14:textFill>
                    </w:rPr>
                    <w:t>（1）属于环保搬迁的项目，污染物排放指标原则上不能超过现状污染物排放量；</w:t>
                  </w:r>
                </w:p>
                <w:p w14:paraId="7979026D">
                  <w:pPr>
                    <w:rPr>
                      <w:color w:val="000000" w:themeColor="text1"/>
                      <w14:textFill>
                        <w14:solidFill>
                          <w14:schemeClr w14:val="tx1"/>
                        </w14:solidFill>
                      </w14:textFill>
                    </w:rPr>
                  </w:pPr>
                  <w:r>
                    <w:rPr>
                      <w:color w:val="000000" w:themeColor="text1"/>
                      <w14:textFill>
                        <w14:solidFill>
                          <w14:schemeClr w14:val="tx1"/>
                        </w14:solidFill>
                      </w14:textFill>
                    </w:rPr>
                    <w:t>（2）入驻项目“三废”治理必须有可靠、成熟和经济的处理处置措施，否则应慎重引进。</w:t>
                  </w:r>
                </w:p>
              </w:tc>
              <w:tc>
                <w:tcPr>
                  <w:tcW w:w="2488" w:type="dxa"/>
                  <w:vAlign w:val="center"/>
                </w:tcPr>
                <w:p w14:paraId="1D47CE9A">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本项目符合污染物排放总量控制要求</w:t>
                  </w:r>
                </w:p>
              </w:tc>
            </w:tr>
          </w:tbl>
          <w:p w14:paraId="3A720A7A">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left="0" w:leftChars="0" w:firstLine="480" w:firstLineChars="200"/>
              <w:jc w:val="both"/>
              <w:textAlignment w:val="auto"/>
              <w:outlineLvl w:val="0"/>
              <w:rPr>
                <w:rFonts w:hint="eastAsia" w:ascii="Times New Roman" w:hAnsi="Times New Roman" w:eastAsia="宋体" w:cs="宋体"/>
                <w:color w:val="000000" w:themeColor="text1"/>
                <w:kern w:val="2"/>
                <w:sz w:val="24"/>
                <w:szCs w:val="21"/>
                <w:lang w:val="en-US" w:eastAsia="zh-CN" w:bidi="ar-SA"/>
                <w14:textFill>
                  <w14:solidFill>
                    <w14:schemeClr w14:val="tx1"/>
                  </w14:solidFill>
                </w14:textFill>
              </w:rPr>
            </w:pPr>
            <w:r>
              <w:rPr>
                <w:rFonts w:hint="eastAsia" w:ascii="Times New Roman" w:hAnsi="Times New Roman" w:eastAsia="宋体" w:cs="宋体"/>
                <w:color w:val="000000" w:themeColor="text1"/>
                <w:kern w:val="2"/>
                <w:sz w:val="24"/>
                <w:szCs w:val="21"/>
                <w:lang w:val="en-US" w:eastAsia="zh-CN" w:bidi="ar-SA"/>
                <w14:textFill>
                  <w14:solidFill>
                    <w14:schemeClr w14:val="tx1"/>
                  </w14:solidFill>
                </w14:textFill>
              </w:rPr>
              <w:t>本项目为</w:t>
            </w:r>
            <w:r>
              <w:rPr>
                <w:rFonts w:hint="eastAsia" w:cs="宋体"/>
                <w:color w:val="000000" w:themeColor="text1"/>
                <w:kern w:val="2"/>
                <w:sz w:val="24"/>
                <w:szCs w:val="21"/>
                <w:lang w:val="en-US" w:eastAsia="zh-CN" w:bidi="ar-SA"/>
                <w14:textFill>
                  <w14:solidFill>
                    <w14:schemeClr w14:val="tx1"/>
                  </w14:solidFill>
                </w14:textFill>
              </w:rPr>
              <w:t>中成药生产</w:t>
            </w:r>
            <w:r>
              <w:rPr>
                <w:rFonts w:hint="eastAsia" w:ascii="Times New Roman" w:hAnsi="Times New Roman" w:eastAsia="宋体" w:cs="宋体"/>
                <w:color w:val="000000" w:themeColor="text1"/>
                <w:kern w:val="2"/>
                <w:sz w:val="24"/>
                <w:szCs w:val="21"/>
                <w:lang w:val="en-US" w:eastAsia="zh-CN" w:bidi="ar-SA"/>
                <w14:textFill>
                  <w14:solidFill>
                    <w14:schemeClr w14:val="tx1"/>
                  </w14:solidFill>
                </w14:textFill>
              </w:rPr>
              <w:t>，</w:t>
            </w:r>
            <w:r>
              <w:rPr>
                <w:rFonts w:hint="eastAsia" w:cs="宋体"/>
                <w:color w:val="000000" w:themeColor="text1"/>
                <w:kern w:val="2"/>
                <w:sz w:val="24"/>
                <w:szCs w:val="21"/>
                <w:lang w:val="en-US" w:eastAsia="zh-CN" w:bidi="ar-SA"/>
                <w14:textFill>
                  <w14:solidFill>
                    <w14:schemeClr w14:val="tx1"/>
                  </w14:solidFill>
                </w14:textFill>
              </w:rPr>
              <w:t>属于</w:t>
            </w:r>
            <w:r>
              <w:rPr>
                <w:rFonts w:hint="eastAsia" w:ascii="Times New Roman" w:hAnsi="Times New Roman" w:eastAsia="宋体" w:cs="宋体"/>
                <w:color w:val="000000" w:themeColor="text1"/>
                <w:kern w:val="2"/>
                <w:sz w:val="24"/>
                <w:szCs w:val="21"/>
                <w:lang w:val="en-US" w:eastAsia="zh-CN" w:bidi="ar-SA"/>
                <w14:textFill>
                  <w14:solidFill>
                    <w14:schemeClr w14:val="tx1"/>
                  </w14:solidFill>
                </w14:textFill>
              </w:rPr>
              <w:t>产业集聚区规划中的重点发展行业，</w:t>
            </w:r>
            <w:r>
              <w:rPr>
                <w:rFonts w:hint="eastAsia" w:cs="宋体"/>
                <w:color w:val="000000" w:themeColor="text1"/>
                <w:kern w:val="2"/>
                <w:sz w:val="24"/>
                <w:szCs w:val="21"/>
                <w:lang w:val="en-US" w:eastAsia="zh-CN" w:bidi="ar-SA"/>
                <w14:textFill>
                  <w14:solidFill>
                    <w14:schemeClr w14:val="tx1"/>
                  </w14:solidFill>
                </w14:textFill>
              </w:rPr>
              <w:t>未列入负面清单，</w:t>
            </w:r>
            <w:r>
              <w:rPr>
                <w:rFonts w:hint="eastAsia" w:ascii="Times New Roman" w:hAnsi="Times New Roman" w:eastAsia="宋体" w:cs="宋体"/>
                <w:color w:val="000000" w:themeColor="text1"/>
                <w:kern w:val="2"/>
                <w:sz w:val="24"/>
                <w:szCs w:val="21"/>
                <w:lang w:val="en-US" w:eastAsia="zh-CN" w:bidi="ar-SA"/>
                <w14:textFill>
                  <w14:solidFill>
                    <w14:schemeClr w14:val="tx1"/>
                  </w14:solidFill>
                </w14:textFill>
              </w:rPr>
              <w:t>符合</w:t>
            </w:r>
            <w:r>
              <w:rPr>
                <w:rFonts w:hint="eastAsia" w:cs="宋体"/>
                <w:color w:val="000000" w:themeColor="text1"/>
                <w:kern w:val="2"/>
                <w:sz w:val="24"/>
                <w:szCs w:val="21"/>
                <w:lang w:val="en-US" w:eastAsia="zh-CN" w:bidi="ar-SA"/>
                <w14:textFill>
                  <w14:solidFill>
                    <w14:schemeClr w14:val="tx1"/>
                  </w14:solidFill>
                </w14:textFill>
              </w:rPr>
              <w:t>产业集聚</w:t>
            </w:r>
            <w:r>
              <w:rPr>
                <w:rFonts w:hint="eastAsia" w:ascii="Times New Roman" w:hAnsi="Times New Roman" w:eastAsia="宋体" w:cs="宋体"/>
                <w:color w:val="000000" w:themeColor="text1"/>
                <w:kern w:val="2"/>
                <w:sz w:val="24"/>
                <w:szCs w:val="21"/>
                <w:lang w:val="en-US" w:eastAsia="zh-CN" w:bidi="ar-SA"/>
                <w14:textFill>
                  <w14:solidFill>
                    <w14:schemeClr w14:val="tx1"/>
                  </w14:solidFill>
                </w14:textFill>
              </w:rPr>
              <w:t>区产业发展规划要求。</w:t>
            </w:r>
          </w:p>
          <w:p w14:paraId="043EE7D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0"/>
              <w:rPr>
                <w:rFonts w:hint="eastAsia" w:cs="宋体"/>
                <w:color w:val="000000" w:themeColor="text1"/>
                <w:kern w:val="2"/>
                <w:sz w:val="24"/>
                <w:szCs w:val="21"/>
                <w:lang w:val="en-US" w:eastAsia="zh-CN" w:bidi="ar-SA"/>
                <w14:textFill>
                  <w14:solidFill>
                    <w14:schemeClr w14:val="tx1"/>
                  </w14:solidFill>
                </w14:textFill>
              </w:rPr>
            </w:pPr>
          </w:p>
          <w:p w14:paraId="2F34210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0"/>
              <w:rPr>
                <w:rFonts w:hint="default" w:ascii="Times New Roman" w:hAnsi="Times New Roman" w:eastAsia="宋体" w:cs="宋体"/>
                <w:color w:val="000000" w:themeColor="text1"/>
                <w:kern w:val="2"/>
                <w:sz w:val="24"/>
                <w:szCs w:val="21"/>
                <w:lang w:val="en-US" w:eastAsia="zh-CN" w:bidi="ar-SA"/>
                <w14:textFill>
                  <w14:solidFill>
                    <w14:schemeClr w14:val="tx1"/>
                  </w14:solidFill>
                </w14:textFill>
              </w:rPr>
            </w:pPr>
            <w:r>
              <w:rPr>
                <w:rFonts w:hint="eastAsia" w:cs="宋体"/>
                <w:color w:val="000000" w:themeColor="text1"/>
                <w:kern w:val="2"/>
                <w:sz w:val="24"/>
                <w:szCs w:val="21"/>
                <w:lang w:val="en-US" w:eastAsia="zh-CN" w:bidi="ar-SA"/>
                <w14:textFill>
                  <w14:solidFill>
                    <w14:schemeClr w14:val="tx1"/>
                  </w14:solidFill>
                </w14:textFill>
              </w:rPr>
              <w:t>三、与汤阴县产业集聚区规划环评审查意见相符性分析</w:t>
            </w:r>
          </w:p>
          <w:p w14:paraId="6342D707">
            <w:pPr>
              <w:pStyle w:val="81"/>
              <w:keepNext w:val="0"/>
              <w:keepLines w:val="0"/>
              <w:pageBreakBefore w:val="0"/>
              <w:widowControl w:val="0"/>
              <w:kinsoku/>
              <w:wordWrap/>
              <w:overflowPunct/>
              <w:topLinePunct w:val="0"/>
              <w:autoSpaceDE/>
              <w:autoSpaceDN/>
              <w:bidi w:val="0"/>
              <w:adjustRightInd/>
              <w:snapToGrid w:val="0"/>
              <w:spacing w:line="480" w:lineRule="exact"/>
              <w:ind w:firstLine="420" w:firstLineChars="175"/>
              <w:jc w:val="center"/>
              <w:textAlignment w:val="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表3 与</w:t>
            </w:r>
            <w:r>
              <w:rPr>
                <w:rFonts w:hint="eastAsia" w:asciiTheme="minorEastAsia" w:hAnsiTheme="minorEastAsia" w:eastAsiaTheme="minorEastAsia" w:cstheme="minorEastAsia"/>
                <w:color w:val="000000" w:themeColor="text1"/>
                <w:sz w:val="24"/>
                <w14:textFill>
                  <w14:solidFill>
                    <w14:schemeClr w14:val="tx1"/>
                  </w14:solidFill>
                </w14:textFill>
              </w:rPr>
              <w:t>规划环评审查意见相符性分析</w:t>
            </w:r>
          </w:p>
          <w:tbl>
            <w:tblPr>
              <w:tblStyle w:val="26"/>
              <w:tblW w:w="7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66"/>
              <w:gridCol w:w="4750"/>
              <w:gridCol w:w="2488"/>
            </w:tblGrid>
            <w:tr w14:paraId="4F6B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vAlign w:val="center"/>
                </w:tcPr>
                <w:p w14:paraId="2BF06FD0">
                  <w:pPr>
                    <w:autoSpaceDE w:val="0"/>
                    <w:autoSpaceDN w:val="0"/>
                    <w:adjustRightInd w:val="0"/>
                    <w:snapToGrid w:val="0"/>
                    <w:spacing w:line="320" w:lineRule="exact"/>
                    <w:jc w:val="center"/>
                    <w:rPr>
                      <w:color w:val="000000" w:themeColor="text1"/>
                      <w14:textFill>
                        <w14:solidFill>
                          <w14:schemeClr w14:val="tx1"/>
                        </w14:solidFill>
                      </w14:textFill>
                    </w:rPr>
                  </w:pPr>
                  <w:r>
                    <w:rPr>
                      <w:color w:val="000000" w:themeColor="text1"/>
                      <w:szCs w:val="21"/>
                      <w14:textFill>
                        <w14:solidFill>
                          <w14:schemeClr w14:val="tx1"/>
                        </w14:solidFill>
                      </w14:textFill>
                    </w:rPr>
                    <w:t>类别</w:t>
                  </w:r>
                </w:p>
              </w:tc>
              <w:tc>
                <w:tcPr>
                  <w:tcW w:w="4750" w:type="dxa"/>
                  <w:vAlign w:val="center"/>
                </w:tcPr>
                <w:p w14:paraId="54038802">
                  <w:pPr>
                    <w:autoSpaceDE w:val="0"/>
                    <w:autoSpaceDN w:val="0"/>
                    <w:adjustRightInd w:val="0"/>
                    <w:snapToGrid w:val="0"/>
                    <w:spacing w:line="320" w:lineRule="exact"/>
                    <w:jc w:val="center"/>
                    <w:rPr>
                      <w:color w:val="000000" w:themeColor="text1"/>
                      <w14:textFill>
                        <w14:solidFill>
                          <w14:schemeClr w14:val="tx1"/>
                        </w14:solidFill>
                      </w14:textFill>
                    </w:rPr>
                  </w:pPr>
                  <w:r>
                    <w:rPr>
                      <w:color w:val="000000" w:themeColor="text1"/>
                      <w:szCs w:val="21"/>
                      <w14:textFill>
                        <w14:solidFill>
                          <w14:schemeClr w14:val="tx1"/>
                        </w14:solidFill>
                      </w14:textFill>
                    </w:rPr>
                    <w:t>审查意见内容</w:t>
                  </w:r>
                </w:p>
              </w:tc>
              <w:tc>
                <w:tcPr>
                  <w:tcW w:w="2488" w:type="dxa"/>
                  <w:vAlign w:val="center"/>
                </w:tcPr>
                <w:p w14:paraId="47A36DB5">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相符性分析</w:t>
                  </w:r>
                </w:p>
              </w:tc>
            </w:tr>
            <w:tr w14:paraId="62A4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shd w:val="clear" w:color="auto" w:fill="auto"/>
                  <w:vAlign w:val="center"/>
                </w:tcPr>
                <w:p w14:paraId="048E3FDF">
                  <w:pPr>
                    <w:snapToGrid w:val="0"/>
                    <w:spacing w:line="32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合理用地布局</w:t>
                  </w:r>
                </w:p>
              </w:tc>
              <w:tc>
                <w:tcPr>
                  <w:tcW w:w="4750" w:type="dxa"/>
                  <w:shd w:val="clear" w:color="auto" w:fill="auto"/>
                  <w:vAlign w:val="center"/>
                </w:tcPr>
                <w:p w14:paraId="55082FD8">
                  <w:pPr>
                    <w:autoSpaceDE w:val="0"/>
                    <w:autoSpaceDN w:val="0"/>
                    <w:adjustRightInd w:val="0"/>
                    <w:snapToGrid w:val="0"/>
                    <w:spacing w:line="320" w:lineRule="exact"/>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lang w:val="zh-CN"/>
                      <w14:textFill>
                        <w14:solidFill>
                          <w14:schemeClr w14:val="tx1"/>
                        </w14:solidFill>
                      </w14:textFill>
                    </w:rPr>
                    <w:t>进一步加强与城市总体规划、土地利用总体规划的衔接，保持规划之间一致；优化用地布局，在开发过程中不应随意改变各用地功能区的使用功能，并注重节约集约用地；工业区生活居住区之间、医药片区与食品加工片区之间设置绿化隔离带，以减少工业区对居住区、医药片区对食品片区的不良影响；按照《报告书》要求，对现有的与集聚区主导产业规划或空间结构规划不相符的企业，限制其规模扩大，对部分企业远期进行搬迁；集聚区西侧部分区域位于南水北调中线工程二级保护区，应认真落实《南水北调中线一期工程总干渠河南段两侧水源保护区划定方案》中对二级保护区的保护要求，减少项目生产对南水北调干渠的影响；伏道镇集中饮用水地下水井（乡镇饮用水源地）及保护区范围位于本次调整后的集聚区范围内，将规划的工业用地调整为绿化用地，不得建设与供水设施无关的项目，远期供水范围内的伏道三街村使用集聚区供水管网统一供水，取消伏道镇集中式饮用水源；区内建设项目的大气环境防护范围内，不得规划新建居住区、学校、医院等环境敏感目标。</w:t>
                  </w:r>
                </w:p>
              </w:tc>
              <w:tc>
                <w:tcPr>
                  <w:tcW w:w="2488" w:type="dxa"/>
                  <w:vAlign w:val="center"/>
                </w:tcPr>
                <w:p w14:paraId="3288D1F8">
                  <w:pPr>
                    <w:jc w:val="both"/>
                    <w:rPr>
                      <w:rFonts w:hint="default" w:eastAsia="宋体"/>
                      <w:color w:val="000000" w:themeColor="text1"/>
                      <w:lang w:val="en-US" w:eastAsia="zh-CN"/>
                      <w14:textFill>
                        <w14:solidFill>
                          <w14:schemeClr w14:val="tx1"/>
                        </w14:solidFill>
                      </w14:textFill>
                    </w:rPr>
                  </w:pPr>
                  <w:r>
                    <w:rPr>
                      <w:rFonts w:hint="default" w:eastAsia="宋体"/>
                      <w:color w:val="000000" w:themeColor="text1"/>
                      <w:lang w:val="en-US" w:eastAsia="zh-CN"/>
                      <w14:textFill>
                        <w14:solidFill>
                          <w14:schemeClr w14:val="tx1"/>
                        </w14:solidFill>
                      </w14:textFill>
                    </w:rPr>
                    <w:t>本项目位于开发区医药工业区</w:t>
                  </w:r>
                  <w:r>
                    <w:rPr>
                      <w:rFonts w:hint="eastAsia"/>
                      <w:color w:val="000000" w:themeColor="text1"/>
                      <w:lang w:val="en-US" w:eastAsia="zh-CN"/>
                      <w14:textFill>
                        <w14:solidFill>
                          <w14:schemeClr w14:val="tx1"/>
                        </w14:solidFill>
                      </w14:textFill>
                    </w:rPr>
                    <w:t>内</w:t>
                  </w:r>
                  <w:r>
                    <w:rPr>
                      <w:rFonts w:hint="default" w:eastAsia="宋体"/>
                      <w:color w:val="000000" w:themeColor="text1"/>
                      <w:lang w:val="en-US" w:eastAsia="zh-CN"/>
                      <w14:textFill>
                        <w14:solidFill>
                          <w14:schemeClr w14:val="tx1"/>
                        </w14:solidFill>
                      </w14:textFill>
                    </w:rPr>
                    <w:t>，用地符合汤阴高新技术产业开发区用地规划，项目不在南水北调中线工程二级保护区内</w:t>
                  </w:r>
                  <w:r>
                    <w:rPr>
                      <w:rFonts w:hint="eastAsia"/>
                      <w:color w:val="000000" w:themeColor="text1"/>
                      <w:lang w:val="en-US" w:eastAsia="zh-CN"/>
                      <w14:textFill>
                        <w14:solidFill>
                          <w14:schemeClr w14:val="tx1"/>
                        </w14:solidFill>
                      </w14:textFill>
                    </w:rPr>
                    <w:t>；</w:t>
                  </w:r>
                  <w:r>
                    <w:rPr>
                      <w:rFonts w:hint="default" w:eastAsia="宋体"/>
                      <w:color w:val="000000" w:themeColor="text1"/>
                      <w:lang w:val="en-US" w:eastAsia="zh-CN"/>
                      <w14:textFill>
                        <w14:solidFill>
                          <w14:schemeClr w14:val="tx1"/>
                        </w14:solidFill>
                      </w14:textFill>
                    </w:rPr>
                    <w:t>项目</w:t>
                  </w:r>
                  <w:r>
                    <w:rPr>
                      <w:rFonts w:hint="eastAsia"/>
                      <w:color w:val="000000" w:themeColor="text1"/>
                      <w:lang w:val="en-US" w:eastAsia="zh-CN"/>
                      <w14:textFill>
                        <w14:solidFill>
                          <w14:schemeClr w14:val="tx1"/>
                        </w14:solidFill>
                      </w14:textFill>
                    </w:rPr>
                    <w:t>二期工程</w:t>
                  </w:r>
                  <w:r>
                    <w:rPr>
                      <w:rFonts w:hint="default" w:eastAsia="宋体"/>
                      <w:color w:val="000000" w:themeColor="text1"/>
                      <w:lang w:val="en-US" w:eastAsia="zh-CN"/>
                      <w14:textFill>
                        <w14:solidFill>
                          <w14:schemeClr w14:val="tx1"/>
                        </w14:solidFill>
                      </w14:textFill>
                    </w:rPr>
                    <w:t>距离伏道镇集中饮用水地下水井</w:t>
                  </w:r>
                  <w:r>
                    <w:rPr>
                      <w:rFonts w:hint="eastAsia"/>
                      <w:color w:val="000000" w:themeColor="text1"/>
                      <w:lang w:val="en-US" w:eastAsia="zh-CN"/>
                      <w14:textFill>
                        <w14:solidFill>
                          <w14:schemeClr w14:val="tx1"/>
                        </w14:solidFill>
                      </w14:textFill>
                    </w:rPr>
                    <w:t>较近，但拟取消伏道镇集中式饮用水源，改为使用集聚区供水管网统一供水，因此本项目建设不会对其产生不利影响</w:t>
                  </w:r>
                  <w:r>
                    <w:rPr>
                      <w:rFonts w:hint="default" w:eastAsia="宋体"/>
                      <w:color w:val="000000" w:themeColor="text1"/>
                      <w:lang w:val="en-US" w:eastAsia="zh-CN"/>
                      <w14:textFill>
                        <w14:solidFill>
                          <w14:schemeClr w14:val="tx1"/>
                        </w14:solidFill>
                      </w14:textFill>
                    </w:rPr>
                    <w:t>。</w:t>
                  </w:r>
                </w:p>
              </w:tc>
            </w:tr>
            <w:tr w14:paraId="79F4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shd w:val="clear" w:color="auto" w:fill="auto"/>
                  <w:vAlign w:val="center"/>
                </w:tcPr>
                <w:p w14:paraId="56D2422B">
                  <w:pPr>
                    <w:autoSpaceDE w:val="0"/>
                    <w:autoSpaceDN w:val="0"/>
                    <w:adjustRightInd w:val="0"/>
                    <w:snapToGrid w:val="0"/>
                    <w:spacing w:line="32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优化产业结构</w:t>
                  </w:r>
                </w:p>
              </w:tc>
              <w:tc>
                <w:tcPr>
                  <w:tcW w:w="4750" w:type="dxa"/>
                  <w:shd w:val="clear" w:color="auto" w:fill="auto"/>
                  <w:vAlign w:val="center"/>
                </w:tcPr>
                <w:p w14:paraId="39329E87">
                  <w:pPr>
                    <w:autoSpaceDE w:val="0"/>
                    <w:autoSpaceDN w:val="0"/>
                    <w:adjustRightInd w:val="0"/>
                    <w:snapToGrid w:val="0"/>
                    <w:spacing w:line="320" w:lineRule="exact"/>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lang w:val="zh-CN"/>
                      <w14:textFill>
                        <w14:solidFill>
                          <w14:schemeClr w14:val="tx1"/>
                        </w14:solidFill>
                      </w14:textFill>
                    </w:rPr>
                    <w:t>入驻项目应遵循循环经济理念，实施清洁生产，逐步优化产业结构，构筑循环经济产业链；鼓励发展主导产业，并不断完善产业链条；食品产业重点发展农副食品加工和食品制造业；医药产业重点发展中药类制药、混装制剂类制药、提取类制药以及生物工程类制药等污染排放量小的项目；制造产业装备制造业；禁止入驻煤化工、石油化工、制浆造纸、水泥、陶瓷、制浆及毛皮柔制等高水耗、高能耗、污染排放量较大行业；禁止入驻治金、钢铁、铁合金等行业，已入驻项目禁止扩大生产规模；医药产业禁止入驻呋喃唑酮、氢化可的松等排水量较大的化学合成类制药项目、氨基糖苷类、多肽类、β-内酰胺类抗生素、洁霉素、阿霉</w:t>
                  </w:r>
                  <w:r>
                    <w:rPr>
                      <w:color w:val="000000" w:themeColor="text1"/>
                      <w:szCs w:val="21"/>
                      <w14:textFill>
                        <w14:solidFill>
                          <w14:schemeClr w14:val="tx1"/>
                        </w14:solidFill>
                      </w14:textFill>
                    </w:rPr>
                    <w:t>素、利福霉素等排水量较大的发酵类只要项目以及《报告书》所列重污染工艺的制药类项目</w:t>
                  </w:r>
                </w:p>
              </w:tc>
              <w:tc>
                <w:tcPr>
                  <w:tcW w:w="2488" w:type="dxa"/>
                  <w:vAlign w:val="center"/>
                </w:tcPr>
                <w:p w14:paraId="25BA0190">
                  <w:pPr>
                    <w:jc w:val="both"/>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本项目为中药生产，符合园区产业定位，与园区产业布局规划相符，不属于禁止入驻的项目</w:t>
                  </w:r>
                </w:p>
              </w:tc>
            </w:tr>
            <w:tr w14:paraId="41FD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shd w:val="clear" w:color="auto" w:fill="auto"/>
                  <w:vAlign w:val="center"/>
                </w:tcPr>
                <w:p w14:paraId="6C7E60CB">
                  <w:pPr>
                    <w:autoSpaceDE w:val="0"/>
                    <w:autoSpaceDN w:val="0"/>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尽快</w:t>
                  </w:r>
                </w:p>
                <w:p w14:paraId="07B9BBF6">
                  <w:pPr>
                    <w:autoSpaceDE w:val="0"/>
                    <w:autoSpaceDN w:val="0"/>
                    <w:adjustRightInd w:val="0"/>
                    <w:snapToGrid w:val="0"/>
                    <w:spacing w:line="32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完善环保基础设施</w:t>
                  </w:r>
                </w:p>
              </w:tc>
              <w:tc>
                <w:tcPr>
                  <w:tcW w:w="4750" w:type="dxa"/>
                  <w:shd w:val="clear" w:color="auto" w:fill="auto"/>
                  <w:vAlign w:val="center"/>
                </w:tcPr>
                <w:p w14:paraId="1E802FCF">
                  <w:pPr>
                    <w:keepNext w:val="0"/>
                    <w:keepLines w:val="0"/>
                    <w:pageBreakBefore w:val="0"/>
                    <w:widowControl w:val="0"/>
                    <w:kinsoku/>
                    <w:wordWrap/>
                    <w:overflowPunct/>
                    <w:topLinePunct w:val="0"/>
                    <w:autoSpaceDE w:val="0"/>
                    <w:autoSpaceDN w:val="0"/>
                    <w:bidi w:val="0"/>
                    <w:adjustRightInd w:val="0"/>
                    <w:snapToGrid w:val="0"/>
                    <w:spacing w:line="300" w:lineRule="exact"/>
                    <w:textAlignment w:val="auto"/>
                    <w:rPr>
                      <w:color w:val="000000" w:themeColor="text1"/>
                      <w:szCs w:val="21"/>
                      <w:lang w:val="zh-CN"/>
                      <w14:textFill>
                        <w14:solidFill>
                          <w14:schemeClr w14:val="tx1"/>
                        </w14:solidFill>
                      </w14:textFill>
                    </w:rPr>
                  </w:pPr>
                  <w:r>
                    <w:rPr>
                      <w:color w:val="000000" w:themeColor="text1"/>
                      <w:szCs w:val="21"/>
                      <w:lang w:val="zh-CN"/>
                      <w14:textFill>
                        <w14:solidFill>
                          <w14:schemeClr w14:val="tx1"/>
                        </w14:solidFill>
                      </w14:textFill>
                    </w:rPr>
                    <w:t>按照“清污分流、雨污分流、中水回用”的要求，加快建设污水处理厂和中水深度处理回用工程，完善配套污水管网，确保入区企业外排废水全部经管网收集后进入污水处理厂处理，入园企业均不得单独设置废水排放口，减少对纳污水体的影响。集聚区应实施集中供热、供气，进一步优化能源结构，逐步拆除区内企业自备分散燃煤锅炉。</w:t>
                  </w:r>
                </w:p>
                <w:p w14:paraId="1492A593">
                  <w:pPr>
                    <w:keepNext w:val="0"/>
                    <w:keepLines w:val="0"/>
                    <w:pageBreakBefore w:val="0"/>
                    <w:widowControl w:val="0"/>
                    <w:kinsoku/>
                    <w:wordWrap/>
                    <w:overflowPunct/>
                    <w:topLinePunct w:val="0"/>
                    <w:autoSpaceDE w:val="0"/>
                    <w:autoSpaceDN w:val="0"/>
                    <w:bidi w:val="0"/>
                    <w:adjustRightInd w:val="0"/>
                    <w:snapToGrid w:val="0"/>
                    <w:spacing w:line="300" w:lineRule="exact"/>
                    <w:textAlignment w:val="auto"/>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lang w:val="zh-CN"/>
                      <w14:textFill>
                        <w14:solidFill>
                          <w14:schemeClr w14:val="tx1"/>
                        </w14:solidFill>
                      </w14:textFill>
                    </w:rPr>
                    <w:t>按照循环经济的要求，提高固体废物的综合利用率，积极探索固废综合利用途径，提高一般工业固废综合利用率，严禁企业随意弃置；危险固废的收集、贮存应满足《危险废物贮存污染控制标准》（GB18597-2001）的要求，并送有资质的危险废物处置单位处置，危险废物的转运应执行《危险废物转移联单管理办法》的有关规定。</w:t>
                  </w:r>
                </w:p>
              </w:tc>
              <w:tc>
                <w:tcPr>
                  <w:tcW w:w="2488" w:type="dxa"/>
                  <w:vAlign w:val="center"/>
                </w:tcPr>
                <w:p w14:paraId="23A8270B">
                  <w:pPr>
                    <w:jc w:val="both"/>
                    <w:rPr>
                      <w:rFonts w:hint="default" w:eastAsia="宋体"/>
                      <w:color w:val="000000" w:themeColor="text1"/>
                      <w:lang w:val="en-US" w:eastAsia="zh-CN"/>
                      <w14:textFill>
                        <w14:solidFill>
                          <w14:schemeClr w14:val="tx1"/>
                        </w14:solidFill>
                      </w14:textFill>
                    </w:rPr>
                  </w:pPr>
                  <w:r>
                    <w:rPr>
                      <w:rFonts w:hint="default" w:eastAsia="宋体"/>
                      <w:color w:val="000000" w:themeColor="text1"/>
                      <w:lang w:val="en-US" w:eastAsia="zh-CN"/>
                      <w14:textFill>
                        <w14:solidFill>
                          <w14:schemeClr w14:val="tx1"/>
                        </w14:solidFill>
                      </w14:textFill>
                    </w:rPr>
                    <w:t>项目废水经厂区污水处理站处理，处理</w:t>
                  </w:r>
                  <w:r>
                    <w:rPr>
                      <w:rFonts w:hint="eastAsia"/>
                      <w:color w:val="000000" w:themeColor="text1"/>
                      <w:lang w:val="en-US" w:eastAsia="zh-CN"/>
                      <w14:textFill>
                        <w14:solidFill>
                          <w14:schemeClr w14:val="tx1"/>
                        </w14:solidFill>
                      </w14:textFill>
                    </w:rPr>
                    <w:t>达标</w:t>
                  </w:r>
                  <w:r>
                    <w:rPr>
                      <w:rFonts w:hint="default" w:eastAsia="宋体"/>
                      <w:color w:val="000000" w:themeColor="text1"/>
                      <w:lang w:val="en-US" w:eastAsia="zh-CN"/>
                      <w14:textFill>
                        <w14:solidFill>
                          <w14:schemeClr w14:val="tx1"/>
                        </w14:solidFill>
                      </w14:textFill>
                    </w:rPr>
                    <w:t>后</w:t>
                  </w:r>
                  <w:r>
                    <w:rPr>
                      <w:rFonts w:hint="eastAsia"/>
                      <w:color w:val="000000" w:themeColor="text1"/>
                      <w:lang w:val="en-US" w:eastAsia="zh-CN"/>
                      <w14:textFill>
                        <w14:solidFill>
                          <w14:schemeClr w14:val="tx1"/>
                        </w14:solidFill>
                      </w14:textFill>
                    </w:rPr>
                    <w:t>由现有废水总排口</w:t>
                  </w:r>
                  <w:r>
                    <w:rPr>
                      <w:rFonts w:hint="default" w:eastAsia="宋体"/>
                      <w:color w:val="000000" w:themeColor="text1"/>
                      <w:lang w:val="en-US" w:eastAsia="zh-CN"/>
                      <w14:textFill>
                        <w14:solidFill>
                          <w14:schemeClr w14:val="tx1"/>
                        </w14:solidFill>
                      </w14:textFill>
                    </w:rPr>
                    <w:t>通过污水管网排入</w:t>
                  </w:r>
                  <w:r>
                    <w:rPr>
                      <w:rFonts w:hint="eastAsia"/>
                      <w:color w:val="000000" w:themeColor="text1"/>
                      <w:lang w:val="en-US" w:eastAsia="zh-CN"/>
                      <w14:textFill>
                        <w14:solidFill>
                          <w14:schemeClr w14:val="tx1"/>
                        </w14:solidFill>
                      </w14:textFill>
                    </w:rPr>
                    <w:t>工业</w:t>
                  </w:r>
                  <w:r>
                    <w:rPr>
                      <w:rFonts w:hint="default" w:eastAsia="宋体"/>
                      <w:color w:val="000000" w:themeColor="text1"/>
                      <w:lang w:val="en-US" w:eastAsia="zh-CN"/>
                      <w14:textFill>
                        <w14:solidFill>
                          <w14:schemeClr w14:val="tx1"/>
                        </w14:solidFill>
                      </w14:textFill>
                    </w:rPr>
                    <w:t>污水处理厂（汤阴天雨污水净化有限公司）处理，不新增废水排放口。项目一般固废</w:t>
                  </w:r>
                  <w:r>
                    <w:rPr>
                      <w:rFonts w:hint="eastAsia"/>
                      <w:color w:val="000000" w:themeColor="text1"/>
                      <w:lang w:val="en-US" w:eastAsia="zh-CN"/>
                      <w14:textFill>
                        <w14:solidFill>
                          <w14:schemeClr w14:val="tx1"/>
                        </w14:solidFill>
                      </w14:textFill>
                    </w:rPr>
                    <w:t>建设</w:t>
                  </w:r>
                  <w:r>
                    <w:rPr>
                      <w:rFonts w:hint="default" w:eastAsia="宋体"/>
                      <w:color w:val="000000" w:themeColor="text1"/>
                      <w:lang w:val="en-US" w:eastAsia="zh-CN"/>
                      <w14:textFill>
                        <w14:solidFill>
                          <w14:schemeClr w14:val="tx1"/>
                        </w14:solidFill>
                      </w14:textFill>
                    </w:rPr>
                    <w:t>一般固废间，危废</w:t>
                  </w:r>
                  <w:r>
                    <w:rPr>
                      <w:rFonts w:hint="eastAsia"/>
                      <w:color w:val="000000" w:themeColor="text1"/>
                      <w:lang w:val="en-US" w:eastAsia="zh-CN"/>
                      <w14:textFill>
                        <w14:solidFill>
                          <w14:schemeClr w14:val="tx1"/>
                        </w14:solidFill>
                      </w14:textFill>
                    </w:rPr>
                    <w:t>建设</w:t>
                  </w:r>
                  <w:r>
                    <w:rPr>
                      <w:rFonts w:hint="default" w:eastAsia="宋体"/>
                      <w:color w:val="000000" w:themeColor="text1"/>
                      <w:lang w:val="en-US" w:eastAsia="zh-CN"/>
                      <w14:textFill>
                        <w14:solidFill>
                          <w14:schemeClr w14:val="tx1"/>
                        </w14:solidFill>
                      </w14:textFill>
                    </w:rPr>
                    <w:t>危废暂存间暂存，定期交有资质单位处理，固废均可以合理处置</w:t>
                  </w:r>
                </w:p>
              </w:tc>
            </w:tr>
            <w:tr w14:paraId="10CA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shd w:val="clear" w:color="auto" w:fill="auto"/>
                  <w:vAlign w:val="center"/>
                </w:tcPr>
                <w:p w14:paraId="79A922BB">
                  <w:pPr>
                    <w:autoSpaceDE w:val="0"/>
                    <w:autoSpaceDN w:val="0"/>
                    <w:adjustRightInd w:val="0"/>
                    <w:snapToGrid w:val="0"/>
                    <w:spacing w:line="32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严格控制污染物排放</w:t>
                  </w:r>
                </w:p>
              </w:tc>
              <w:tc>
                <w:tcPr>
                  <w:tcW w:w="4750" w:type="dxa"/>
                  <w:shd w:val="clear" w:color="auto" w:fill="auto"/>
                  <w:vAlign w:val="center"/>
                </w:tcPr>
                <w:p w14:paraId="786880F3">
                  <w:pPr>
                    <w:autoSpaceDE w:val="0"/>
                    <w:autoSpaceDN w:val="0"/>
                    <w:adjustRightInd w:val="0"/>
                    <w:snapToGrid w:val="0"/>
                    <w:spacing w:line="320" w:lineRule="exact"/>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lang w:val="zh-CN"/>
                      <w14:textFill>
                        <w14:solidFill>
                          <w14:schemeClr w14:val="tx1"/>
                        </w14:solidFill>
                      </w14:textFill>
                    </w:rPr>
                    <w:t>严格执行污染物排放总量控制制度，采取调整能源结构、加强污染治理等措施，严格控制烟粉尘、二氧化硫、氮氧化物、可挥发性有机物等大气污染物的排放。抓紧实施中水回用工程，减少废水排放量，保证污水处理设施的正常运行，确保污水处理厂出水执行《城镇污水处理厂污染物排放标准》（GB18918-2002）一级标准的A标准，并尽快对污水处理厂进行提标改造，减少对纳入水体的影响。尽快实现集聚区集中供水，逐步关停企业自</w:t>
                  </w:r>
                  <w:r>
                    <w:rPr>
                      <w:color w:val="000000" w:themeColor="text1"/>
                      <w:szCs w:val="21"/>
                      <w14:textFill>
                        <w14:solidFill>
                          <w14:schemeClr w14:val="tx1"/>
                        </w14:solidFill>
                      </w14:textFill>
                    </w:rPr>
                    <w:t>备水井。定期对地下水水质进行监测，发现问题，及时采取有效防治措施，避免对地下水造成污染</w:t>
                  </w:r>
                </w:p>
              </w:tc>
              <w:tc>
                <w:tcPr>
                  <w:tcW w:w="2488" w:type="dxa"/>
                  <w:vAlign w:val="center"/>
                </w:tcPr>
                <w:p w14:paraId="55990B7C">
                  <w:pPr>
                    <w:jc w:val="both"/>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本项目挥发性有机物经收集后进挥发性有机物治理设施处理后达标排放；项目废水经厂区污水处理站处理，处理达标后由现有废水总排口通过污水管网排入工业污水处理厂（汤阴天雨污水净化有限公司）处理</w:t>
                  </w:r>
                </w:p>
              </w:tc>
            </w:tr>
            <w:tr w14:paraId="570D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shd w:val="clear" w:color="auto" w:fill="auto"/>
                  <w:vAlign w:val="center"/>
                </w:tcPr>
                <w:p w14:paraId="7200B05C">
                  <w:pPr>
                    <w:autoSpaceDE w:val="0"/>
                    <w:autoSpaceDN w:val="0"/>
                    <w:adjustRightInd w:val="0"/>
                    <w:snapToGrid w:val="0"/>
                    <w:spacing w:line="32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建立事故风险防范和应急处置体系</w:t>
                  </w:r>
                </w:p>
              </w:tc>
              <w:tc>
                <w:tcPr>
                  <w:tcW w:w="4750" w:type="dxa"/>
                  <w:shd w:val="clear" w:color="auto" w:fill="auto"/>
                  <w:vAlign w:val="center"/>
                </w:tcPr>
                <w:p w14:paraId="48088C71">
                  <w:pPr>
                    <w:autoSpaceDE w:val="0"/>
                    <w:autoSpaceDN w:val="0"/>
                    <w:adjustRightInd w:val="0"/>
                    <w:snapToGrid w:val="0"/>
                    <w:spacing w:line="320" w:lineRule="exact"/>
                    <w:rPr>
                      <w:rFonts w:ascii="Times New Roman" w:hAnsi="Times New Roman" w:eastAsia="宋体" w:cs="Times New Roman"/>
                      <w:color w:val="000000" w:themeColor="text1"/>
                      <w:kern w:val="2"/>
                      <w:sz w:val="21"/>
                      <w:szCs w:val="21"/>
                      <w:lang w:val="zh-CN" w:eastAsia="zh-CN" w:bidi="ar-SA"/>
                      <w14:textFill>
                        <w14:solidFill>
                          <w14:schemeClr w14:val="tx1"/>
                        </w14:solidFill>
                      </w14:textFill>
                    </w:rPr>
                  </w:pPr>
                  <w:r>
                    <w:rPr>
                      <w:color w:val="000000" w:themeColor="text1"/>
                      <w:szCs w:val="21"/>
                      <w:lang w:val="zh-CN"/>
                      <w14:textFill>
                        <w14:solidFill>
                          <w14:schemeClr w14:val="tx1"/>
                        </w14:solidFill>
                      </w14:textFill>
                    </w:rPr>
                    <w:t>加快环境风险预警体系建设，严格危险化学品管理；建立完善有效的环境风险防控设施和有效的拦截、降污、导流等措施，防止对地表水环境造成危害；制定园区级综合环境应急预案，不断完善各类突发环境事件应急预案，有计划地组织应急培训和演练，全面提升园区风险防控和事故应急处置能力。</w:t>
                  </w:r>
                </w:p>
              </w:tc>
              <w:tc>
                <w:tcPr>
                  <w:tcW w:w="2488" w:type="dxa"/>
                  <w:vAlign w:val="center"/>
                </w:tcPr>
                <w:p w14:paraId="332D1D5A">
                  <w:pPr>
                    <w:jc w:val="both"/>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本项目乙醇罐区设置围堰并对罐区池内进行防渗处理，并定期进行应急培训和演练</w:t>
                  </w:r>
                </w:p>
              </w:tc>
            </w:tr>
            <w:tr w14:paraId="61B8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shd w:val="clear" w:color="auto" w:fill="auto"/>
                  <w:vAlign w:val="center"/>
                </w:tcPr>
                <w:p w14:paraId="3E124682">
                  <w:pPr>
                    <w:autoSpaceDE w:val="0"/>
                    <w:autoSpaceDN w:val="0"/>
                    <w:adjustRightInd w:val="0"/>
                    <w:snapToGrid w:val="0"/>
                    <w:spacing w:line="32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w:t>
                  </w:r>
                </w:p>
              </w:tc>
              <w:tc>
                <w:tcPr>
                  <w:tcW w:w="4750" w:type="dxa"/>
                  <w:shd w:val="clear" w:color="auto" w:fill="auto"/>
                  <w:vAlign w:val="center"/>
                </w:tcPr>
                <w:p w14:paraId="7DE32461">
                  <w:pPr>
                    <w:autoSpaceDE w:val="0"/>
                    <w:autoSpaceDN w:val="0"/>
                    <w:adjustRightInd w:val="0"/>
                    <w:snapToGrid w:val="0"/>
                    <w:spacing w:line="320" w:lineRule="exact"/>
                    <w:rPr>
                      <w:rFonts w:ascii="Times New Roman" w:hAnsi="Times New Roman" w:eastAsia="宋体" w:cs="Times New Roman"/>
                      <w:color w:val="000000" w:themeColor="text1"/>
                      <w:kern w:val="2"/>
                      <w:sz w:val="21"/>
                      <w:szCs w:val="21"/>
                      <w:lang w:val="zh-CN" w:eastAsia="zh-CN" w:bidi="ar-SA"/>
                      <w14:textFill>
                        <w14:solidFill>
                          <w14:schemeClr w14:val="tx1"/>
                        </w14:solidFill>
                      </w14:textFill>
                    </w:rPr>
                  </w:pPr>
                  <w:r>
                    <w:rPr>
                      <w:color w:val="000000" w:themeColor="text1"/>
                      <w:szCs w:val="21"/>
                      <w:lang w:val="zh-CN"/>
                      <w14:textFill>
                        <w14:solidFill>
                          <w14:schemeClr w14:val="tx1"/>
                        </w14:solidFill>
                      </w14:textFill>
                    </w:rPr>
                    <w:t>加强集聚区环境监督管理，完善环境管理机构，制定环境管理目标、管理制度和监测计划，编制并实施环境保护工作规划和实施方案，指导入区项目建设。组织开展园区地下水、排污受纳地表水体、边界大气、园区及周边土壤环境质量监测和环境噪声监测，建立环境管理（含监测）资料档案。加强环保宣传、教育及培训，建立信息公开平台，实施环境保护动态化管理。</w:t>
                  </w:r>
                </w:p>
              </w:tc>
              <w:tc>
                <w:tcPr>
                  <w:tcW w:w="2488" w:type="dxa"/>
                  <w:shd w:val="clear" w:color="auto" w:fill="auto"/>
                  <w:vAlign w:val="center"/>
                </w:tcPr>
                <w:p w14:paraId="6527E061">
                  <w:pPr>
                    <w:autoSpaceDE w:val="0"/>
                    <w:autoSpaceDN w:val="0"/>
                    <w:adjustRightInd w:val="0"/>
                    <w:snapToGrid w:val="0"/>
                    <w:spacing w:line="320" w:lineRule="exact"/>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项目制定完善的</w:t>
                  </w:r>
                  <w:r>
                    <w:rPr>
                      <w:rFonts w:hint="eastAsia"/>
                      <w:color w:val="000000" w:themeColor="text1"/>
                      <w:szCs w:val="21"/>
                      <w:lang w:val="en-US" w:eastAsia="zh-CN"/>
                      <w14:textFill>
                        <w14:solidFill>
                          <w14:schemeClr w14:val="tx1"/>
                        </w14:solidFill>
                      </w14:textFill>
                    </w:rPr>
                    <w:t>监</w:t>
                  </w:r>
                  <w:r>
                    <w:rPr>
                      <w:color w:val="000000" w:themeColor="text1"/>
                      <w:szCs w:val="21"/>
                      <w14:textFill>
                        <w14:solidFill>
                          <w14:schemeClr w14:val="tx1"/>
                        </w14:solidFill>
                      </w14:textFill>
                    </w:rPr>
                    <w:t>测计划，按排污许可规范要求定期对项目排放口进行监测。</w:t>
                  </w:r>
                </w:p>
              </w:tc>
            </w:tr>
            <w:tr w14:paraId="1E67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566" w:type="dxa"/>
                  <w:shd w:val="clear" w:color="auto" w:fill="auto"/>
                  <w:vAlign w:val="center"/>
                </w:tcPr>
                <w:p w14:paraId="7C9BACF7">
                  <w:pPr>
                    <w:autoSpaceDE w:val="0"/>
                    <w:autoSpaceDN w:val="0"/>
                    <w:adjustRightInd w:val="0"/>
                    <w:snapToGrid w:val="0"/>
                    <w:spacing w:line="320" w:lineRule="exact"/>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w:t>
                  </w:r>
                </w:p>
              </w:tc>
              <w:tc>
                <w:tcPr>
                  <w:tcW w:w="4750" w:type="dxa"/>
                  <w:shd w:val="clear" w:color="auto" w:fill="auto"/>
                  <w:vAlign w:val="center"/>
                </w:tcPr>
                <w:p w14:paraId="42D4A02E">
                  <w:pPr>
                    <w:autoSpaceDE w:val="0"/>
                    <w:autoSpaceDN w:val="0"/>
                    <w:adjustRightInd w:val="0"/>
                    <w:snapToGrid w:val="0"/>
                    <w:spacing w:line="320" w:lineRule="exact"/>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汤阴县产业集聚区发展规划实施及开发建设中，应严格遵守国家产业政策，严格执行环评和“三同时”制度，自觉接受各级环保部门的检查监督管理</w:t>
                  </w:r>
                </w:p>
              </w:tc>
              <w:tc>
                <w:tcPr>
                  <w:tcW w:w="2488" w:type="dxa"/>
                  <w:shd w:val="clear" w:color="auto" w:fill="auto"/>
                  <w:vAlign w:val="center"/>
                </w:tcPr>
                <w:p w14:paraId="5A853836">
                  <w:pPr>
                    <w:autoSpaceDE w:val="0"/>
                    <w:autoSpaceDN w:val="0"/>
                    <w:adjustRightInd w:val="0"/>
                    <w:snapToGrid w:val="0"/>
                    <w:spacing w:line="320" w:lineRule="exact"/>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Cs w:val="21"/>
                      <w14:textFill>
                        <w14:solidFill>
                          <w14:schemeClr w14:val="tx1"/>
                        </w14:solidFill>
                      </w14:textFill>
                    </w:rPr>
                    <w:t>项目符合国家产业政策。主体工程同时设计、同时施工、同时投入生产和使用，接受环保部门检察监督。</w:t>
                  </w:r>
                </w:p>
              </w:tc>
            </w:tr>
          </w:tbl>
          <w:p w14:paraId="5CBF1DFB">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left="0" w:leftChars="0" w:firstLine="480" w:firstLineChars="200"/>
              <w:jc w:val="both"/>
              <w:textAlignment w:val="auto"/>
              <w:outlineLvl w:val="0"/>
              <w:rPr>
                <w:rFonts w:hint="default" w:ascii="Times New Roman" w:hAnsi="Times New Roman" w:eastAsia="宋体" w:cs="宋体"/>
                <w:color w:val="000000" w:themeColor="text1"/>
                <w:kern w:val="2"/>
                <w:sz w:val="24"/>
                <w:szCs w:val="21"/>
                <w:lang w:val="en-US" w:eastAsia="zh-CN" w:bidi="ar-SA"/>
                <w14:textFill>
                  <w14:solidFill>
                    <w14:schemeClr w14:val="tx1"/>
                  </w14:solidFill>
                </w14:textFill>
              </w:rPr>
            </w:pPr>
            <w:r>
              <w:rPr>
                <w:rFonts w:hint="eastAsia" w:cs="宋体"/>
                <w:color w:val="000000" w:themeColor="text1"/>
                <w:kern w:val="2"/>
                <w:sz w:val="24"/>
                <w:szCs w:val="21"/>
                <w:lang w:val="en-US" w:eastAsia="zh-CN" w:bidi="ar-SA"/>
                <w14:textFill>
                  <w14:solidFill>
                    <w14:schemeClr w14:val="tx1"/>
                  </w14:solidFill>
                </w14:textFill>
              </w:rPr>
              <w:t>因此，本项目符合汤阴县产业集聚区规划环评审查意见。</w:t>
            </w:r>
          </w:p>
        </w:tc>
      </w:tr>
      <w:tr w14:paraId="6A62C9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91" w:hRule="atLeast"/>
          <w:jc w:val="center"/>
        </w:trPr>
        <w:tc>
          <w:tcPr>
            <w:tcW w:w="421" w:type="pct"/>
            <w:noWrap w:val="0"/>
            <w:vAlign w:val="center"/>
          </w:tcPr>
          <w:p w14:paraId="5BB4F03B">
            <w:pPr>
              <w:autoSpaceDE w:val="0"/>
              <w:autoSpaceDN w:val="0"/>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其他符合性分析</w:t>
            </w:r>
          </w:p>
        </w:tc>
        <w:tc>
          <w:tcPr>
            <w:tcW w:w="4578" w:type="pct"/>
            <w:gridSpan w:val="4"/>
            <w:noWrap w:val="0"/>
            <w:vAlign w:val="center"/>
          </w:tcPr>
          <w:p w14:paraId="1E92E0E8">
            <w:pPr>
              <w:keepNext w:val="0"/>
              <w:keepLines w:val="0"/>
              <w:pageBreakBefore w:val="0"/>
              <w:widowControl w:val="0"/>
              <w:numPr>
                <w:ilvl w:val="0"/>
                <w:numId w:val="0"/>
              </w:numPr>
              <w:kinsoku/>
              <w:wordWrap/>
              <w:overflowPunct/>
              <w:topLinePunct w:val="0"/>
              <w:autoSpaceDE/>
              <w:autoSpaceDN/>
              <w:bidi w:val="0"/>
              <w:adjustRightInd w:val="0"/>
              <w:snapToGrid/>
              <w:spacing w:before="313" w:beforeLines="100" w:line="360" w:lineRule="auto"/>
              <w:textAlignment w:val="auto"/>
              <w:outlineLvl w:val="0"/>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一</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、产业政策相符性</w:t>
            </w:r>
          </w:p>
          <w:p w14:paraId="0A866405">
            <w:pPr>
              <w:keepNext w:val="0"/>
              <w:keepLines w:val="0"/>
              <w:pageBreakBefore w:val="0"/>
              <w:widowControl w:val="0"/>
              <w:numPr>
                <w:ilvl w:val="0"/>
                <w:numId w:val="0"/>
              </w:numPr>
              <w:kinsoku/>
              <w:wordWrap/>
              <w:overflowPunct/>
              <w:topLinePunct w:val="0"/>
              <w:autoSpaceDE/>
              <w:autoSpaceDN/>
              <w:bidi w:val="0"/>
              <w:adjustRightInd w:val="0"/>
              <w:snapToGrid/>
              <w:spacing w:beforeLines="0" w:line="360" w:lineRule="auto"/>
              <w:ind w:firstLine="480" w:firstLineChars="200"/>
              <w:textAlignment w:val="auto"/>
              <w:outlineLvl w:val="0"/>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经查阅《产业结构调整指导目录（20</w:t>
            </w:r>
            <w:r>
              <w:rPr>
                <w:rFonts w:hint="eastAsia" w:cs="Times New Roman"/>
                <w:b w:val="0"/>
                <w:bCs w:val="0"/>
                <w:color w:val="000000" w:themeColor="text1"/>
                <w:sz w:val="24"/>
                <w:szCs w:val="24"/>
                <w:lang w:val="en-US" w:eastAsia="zh-CN"/>
                <w14:textFill>
                  <w14:solidFill>
                    <w14:schemeClr w14:val="tx1"/>
                  </w14:solidFill>
                </w14:textFill>
              </w:rPr>
              <w:t>24</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年本）》，本项目</w:t>
            </w:r>
            <w:r>
              <w:rPr>
                <w:rFonts w:hint="eastAsia" w:cs="Times New Roman"/>
                <w:b w:val="0"/>
                <w:bCs w:val="0"/>
                <w:color w:val="000000" w:themeColor="text1"/>
                <w:sz w:val="24"/>
                <w:szCs w:val="24"/>
                <w:lang w:val="en-US" w:eastAsia="zh-CN"/>
                <w14:textFill>
                  <w14:solidFill>
                    <w14:schemeClr w14:val="tx1"/>
                  </w14:solidFill>
                </w14:textFill>
              </w:rPr>
              <w:t>为中成药生产项目，</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不属于鼓励类、限制类和淘汰类，为允许类，符合国家产业政策要求。</w:t>
            </w:r>
          </w:p>
          <w:p w14:paraId="4DC0009F">
            <w:pPr>
              <w:pStyle w:val="67"/>
              <w:keepNext w:val="0"/>
              <w:keepLines w:val="0"/>
              <w:pageBreakBefore w:val="0"/>
              <w:widowControl w:val="0"/>
              <w:kinsoku/>
              <w:wordWrap/>
              <w:overflowPunct/>
              <w:topLinePunct w:val="0"/>
              <w:autoSpaceDE/>
              <w:autoSpaceDN/>
              <w:bidi w:val="0"/>
              <w:adjustRightInd w:val="0"/>
              <w:snapToGrid/>
              <w:spacing w:beforeLines="0"/>
              <w:ind w:leftChars="0"/>
              <w:textAlignment w:val="auto"/>
              <w:outlineLvl w:val="1"/>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eastAsia="宋体" w:cs="Times New Roman"/>
                <w:b w:val="0"/>
                <w:bCs w:val="0"/>
                <w:color w:val="000000" w:themeColor="text1"/>
                <w:sz w:val="24"/>
                <w:szCs w:val="24"/>
                <w:lang w:val="en-US" w:eastAsia="zh-CN"/>
                <w14:textFill>
                  <w14:solidFill>
                    <w14:schemeClr w14:val="tx1"/>
                  </w14:solidFill>
                </w14:textFill>
              </w:rPr>
              <w:t>二</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与“三线一单”相符性分析</w:t>
            </w:r>
          </w:p>
          <w:p w14:paraId="586C51CA">
            <w:pPr>
              <w:pStyle w:val="67"/>
              <w:keepNext w:val="0"/>
              <w:keepLines w:val="0"/>
              <w:pageBreakBefore w:val="0"/>
              <w:widowControl w:val="0"/>
              <w:kinsoku/>
              <w:wordWrap/>
              <w:overflowPunct/>
              <w:topLinePunct w:val="0"/>
              <w:autoSpaceDE/>
              <w:autoSpaceDN/>
              <w:bidi w:val="0"/>
              <w:adjustRightInd w:val="0"/>
              <w:snapToGrid/>
              <w:spacing w:beforeLines="0"/>
              <w:ind w:leftChars="0" w:firstLine="480" w:firstLineChars="200"/>
              <w:textAlignment w:val="auto"/>
              <w:rPr>
                <w:rFonts w:hint="eastAsia" w:ascii="Times New Roman" w:eastAsia="宋体" w:cs="Times New Roman"/>
                <w:color w:val="000000" w:themeColor="text1"/>
                <w:sz w:val="24"/>
                <w:szCs w:val="24"/>
                <w:lang w:val="en-US" w:eastAsia="zh-CN"/>
                <w14:textFill>
                  <w14:solidFill>
                    <w14:schemeClr w14:val="tx1"/>
                  </w14:solidFill>
                </w14:textFill>
              </w:rPr>
            </w:pPr>
            <w:r>
              <w:rPr>
                <w:rFonts w:hint="eastAsia" w:ascii="Times New Roman" w:eastAsia="宋体" w:cs="Times New Roman"/>
                <w:color w:val="000000" w:themeColor="text1"/>
                <w:sz w:val="24"/>
                <w:szCs w:val="24"/>
                <w:lang w:val="en-US" w:eastAsia="zh-CN"/>
                <w14:textFill>
                  <w14:solidFill>
                    <w14:schemeClr w14:val="tx1"/>
                  </w14:solidFill>
                </w14:textFill>
              </w:rPr>
              <w:t>（1）与《河南省生态环境分区管控总体要求》对比分析</w:t>
            </w:r>
          </w:p>
          <w:p w14:paraId="7CBABA16">
            <w:pPr>
              <w:pStyle w:val="67"/>
              <w:keepNext w:val="0"/>
              <w:keepLines w:val="0"/>
              <w:pageBreakBefore w:val="0"/>
              <w:widowControl w:val="0"/>
              <w:kinsoku/>
              <w:wordWrap/>
              <w:overflowPunct/>
              <w:topLinePunct w:val="0"/>
              <w:autoSpaceDE/>
              <w:autoSpaceDN/>
              <w:bidi w:val="0"/>
              <w:adjustRightInd w:val="0"/>
              <w:snapToGrid/>
              <w:spacing w:beforeLines="0"/>
              <w:ind w:leftChars="0" w:firstLine="480" w:firstLineChars="200"/>
              <w:textAlignment w:val="auto"/>
              <w:rPr>
                <w:rFonts w:hint="default" w:ascii="Times New Roman" w:eastAsia="宋体" w:cs="Times New Roman"/>
                <w:color w:val="000000" w:themeColor="text1"/>
                <w:sz w:val="24"/>
                <w:szCs w:val="24"/>
                <w:lang w:val="en-US" w:eastAsia="zh-CN"/>
                <w14:textFill>
                  <w14:solidFill>
                    <w14:schemeClr w14:val="tx1"/>
                  </w14:solidFill>
                </w14:textFill>
              </w:rPr>
            </w:pPr>
            <w:r>
              <w:rPr>
                <w:rFonts w:hint="eastAsia" w:ascii="Times New Roman" w:eastAsia="宋体" w:cs="Times New Roman"/>
                <w:color w:val="000000" w:themeColor="text1"/>
                <w:sz w:val="24"/>
                <w:szCs w:val="24"/>
                <w:lang w:val="en-US" w:eastAsia="zh-CN"/>
                <w14:textFill>
                  <w14:solidFill>
                    <w14:schemeClr w14:val="tx1"/>
                  </w14:solidFill>
                </w14:textFill>
              </w:rPr>
              <w:t>根据2024年2月1日河南省生态环境厅更新发布的《河南省生态环境分区管控总体要求》，本项目位于安阳市，属于京津冀及周边重点区域。对比重点区域生态环境管控要求如下：</w:t>
            </w:r>
          </w:p>
          <w:p w14:paraId="08772AD1">
            <w:pPr>
              <w:pStyle w:val="3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表</w:t>
            </w:r>
            <w:r>
              <w:rPr>
                <w:rFonts w:hint="eastAsia" w:ascii="Times New Roman" w:cs="Times New Roman"/>
                <w:b w:val="0"/>
                <w:bCs/>
                <w:color w:val="000000" w:themeColor="text1"/>
                <w:kern w:val="2"/>
                <w:sz w:val="24"/>
                <w:szCs w:val="24"/>
                <w:lang w:val="en-US" w:eastAsia="zh-CN" w:bidi="ar-SA"/>
                <w14:textFill>
                  <w14:solidFill>
                    <w14:schemeClr w14:val="tx1"/>
                  </w14:solidFill>
                </w14:textFill>
              </w:rPr>
              <w:t>3</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 xml:space="preserve"> 项目与</w:t>
            </w:r>
            <w:r>
              <w:rPr>
                <w:rFonts w:hint="eastAsia" w:ascii="Times New Roman" w:cs="Times New Roman"/>
                <w:b w:val="0"/>
                <w:bCs/>
                <w:color w:val="000000" w:themeColor="text1"/>
                <w:kern w:val="2"/>
                <w:sz w:val="24"/>
                <w:szCs w:val="24"/>
                <w:lang w:val="en-US" w:eastAsia="zh-CN" w:bidi="ar-SA"/>
                <w14:textFill>
                  <w14:solidFill>
                    <w14:schemeClr w14:val="tx1"/>
                  </w14:solidFill>
                </w14:textFill>
              </w:rPr>
              <w:t>河南省</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环境管控单元生态环境准入清单对比一览表</w:t>
            </w:r>
          </w:p>
          <w:tbl>
            <w:tblPr>
              <w:tblStyle w:val="27"/>
              <w:tblW w:w="7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84"/>
              <w:gridCol w:w="687"/>
              <w:gridCol w:w="3945"/>
              <w:gridCol w:w="2488"/>
            </w:tblGrid>
            <w:tr w14:paraId="4DC7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noWrap w:val="0"/>
                  <w:vAlign w:val="center"/>
                </w:tcPr>
                <w:p w14:paraId="3843C836">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类别</w:t>
                  </w:r>
                </w:p>
              </w:tc>
              <w:tc>
                <w:tcPr>
                  <w:tcW w:w="687" w:type="dxa"/>
                  <w:noWrap w:val="0"/>
                  <w:vAlign w:val="center"/>
                </w:tcPr>
                <w:p w14:paraId="787E0E4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序号</w:t>
                  </w:r>
                </w:p>
              </w:tc>
              <w:tc>
                <w:tcPr>
                  <w:tcW w:w="3945" w:type="dxa"/>
                  <w:noWrap w:val="0"/>
                  <w:vAlign w:val="center"/>
                </w:tcPr>
                <w:p w14:paraId="473049A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准入</w:t>
                  </w:r>
                  <w:r>
                    <w:rPr>
                      <w:rFonts w:hint="default" w:ascii="Times New Roman" w:hAnsi="Times New Roman" w:cs="Times New Roman"/>
                      <w:color w:val="000000" w:themeColor="text1"/>
                      <w:vertAlign w:val="baseline"/>
                      <w:lang w:val="en-US" w:eastAsia="zh-CN"/>
                      <w14:textFill>
                        <w14:solidFill>
                          <w14:schemeClr w14:val="tx1"/>
                        </w14:solidFill>
                      </w14:textFill>
                    </w:rPr>
                    <w:t>要求</w:t>
                  </w:r>
                </w:p>
              </w:tc>
              <w:tc>
                <w:tcPr>
                  <w:tcW w:w="2488" w:type="dxa"/>
                  <w:noWrap w:val="0"/>
                  <w:vAlign w:val="center"/>
                </w:tcPr>
                <w:p w14:paraId="4B7D951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相符性分析</w:t>
                  </w:r>
                </w:p>
              </w:tc>
            </w:tr>
            <w:tr w14:paraId="6395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restart"/>
                  <w:noWrap w:val="0"/>
                  <w:vAlign w:val="center"/>
                </w:tcPr>
                <w:p w14:paraId="7C8AA70D">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空间布局</w:t>
                  </w:r>
                </w:p>
                <w:p w14:paraId="3E271853">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约束</w:t>
                  </w:r>
                </w:p>
              </w:tc>
              <w:tc>
                <w:tcPr>
                  <w:tcW w:w="687" w:type="dxa"/>
                  <w:noWrap w:val="0"/>
                  <w:vAlign w:val="center"/>
                </w:tcPr>
                <w:p w14:paraId="569E881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w:t>
                  </w:r>
                </w:p>
              </w:tc>
              <w:tc>
                <w:tcPr>
                  <w:tcW w:w="3945" w:type="dxa"/>
                  <w:noWrap w:val="0"/>
                  <w:vAlign w:val="center"/>
                </w:tcPr>
                <w:p w14:paraId="170AD7DA">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坚决遏制“两高”项目盲目发展，落实《中共河南省委 河南省人民政府 关于深入打好污染防治攻坚战的实施意见》中关于空间布局约束的相关要求。</w:t>
                  </w:r>
                </w:p>
              </w:tc>
              <w:tc>
                <w:tcPr>
                  <w:tcW w:w="2488" w:type="dxa"/>
                  <w:noWrap w:val="0"/>
                  <w:vAlign w:val="center"/>
                </w:tcPr>
                <w:p w14:paraId="2481362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本项目为中药生产，不属于两高项目</w:t>
                  </w:r>
                </w:p>
              </w:tc>
            </w:tr>
            <w:tr w14:paraId="6571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7696A506">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73292D8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w:t>
                  </w:r>
                </w:p>
              </w:tc>
              <w:tc>
                <w:tcPr>
                  <w:tcW w:w="3945" w:type="dxa"/>
                  <w:noWrap w:val="0"/>
                  <w:vAlign w:val="center"/>
                </w:tcPr>
                <w:p w14:paraId="460FAEFF">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严控磷铵、电石、黄磷等行业新增产能，禁止新建用汞的（聚）氯乙烯产能，加快低效落后产能退出。</w:t>
                  </w:r>
                </w:p>
              </w:tc>
              <w:tc>
                <w:tcPr>
                  <w:tcW w:w="2488" w:type="dxa"/>
                  <w:noWrap w:val="0"/>
                  <w:vAlign w:val="center"/>
                </w:tcPr>
                <w:p w14:paraId="6B098B9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09F0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41C8CBA8">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431102E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w:t>
                  </w:r>
                </w:p>
              </w:tc>
              <w:tc>
                <w:tcPr>
                  <w:tcW w:w="3945" w:type="dxa"/>
                  <w:noWrap w:val="0"/>
                  <w:vAlign w:val="center"/>
                </w:tcPr>
                <w:p w14:paraId="738DD6AD">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原则上禁止新建企业自备燃煤机组，有序关停整合30万千瓦以上热电联产机组供热合理半径范围内的落后燃煤小热电机组（含自备电厂）。</w:t>
                  </w:r>
                </w:p>
              </w:tc>
              <w:tc>
                <w:tcPr>
                  <w:tcW w:w="2488" w:type="dxa"/>
                  <w:noWrap w:val="0"/>
                  <w:vAlign w:val="center"/>
                </w:tcPr>
                <w:p w14:paraId="3CAC300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1BEB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666F4874">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320599B9">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4</w:t>
                  </w:r>
                </w:p>
              </w:tc>
              <w:tc>
                <w:tcPr>
                  <w:tcW w:w="3945" w:type="dxa"/>
                  <w:noWrap w:val="0"/>
                  <w:vAlign w:val="center"/>
                </w:tcPr>
                <w:p w14:paraId="137494B4">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优化危险化学品生产布局，禁止在化工园区外新建、扩建危险化学品生产项目。新建危险化学品生产项目必须进入通过认定的一般或较低安全风险的化工园区（与其他行业生产装置配套建设的项目除外）。</w:t>
                  </w:r>
                </w:p>
              </w:tc>
              <w:tc>
                <w:tcPr>
                  <w:tcW w:w="2488" w:type="dxa"/>
                  <w:noWrap w:val="0"/>
                  <w:vAlign w:val="center"/>
                </w:tcPr>
                <w:p w14:paraId="1FF1740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6031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7B8E8674">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5C91AFE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5</w:t>
                  </w:r>
                </w:p>
              </w:tc>
              <w:tc>
                <w:tcPr>
                  <w:tcW w:w="3945" w:type="dxa"/>
                  <w:noWrap w:val="0"/>
                  <w:vAlign w:val="center"/>
                </w:tcPr>
                <w:p w14:paraId="7B3941D9">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新建、扩建石化项目不得位于黄河干支流岸线管控范围内等法律法规明令禁止的区域，尽可能远离居民集中区、医院、学校等环境敏感区。</w:t>
                  </w:r>
                </w:p>
              </w:tc>
              <w:tc>
                <w:tcPr>
                  <w:tcW w:w="2488" w:type="dxa"/>
                  <w:noWrap w:val="0"/>
                  <w:vAlign w:val="center"/>
                </w:tcPr>
                <w:p w14:paraId="488CB2D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4553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4" w:hRule="atLeast"/>
              </w:trPr>
              <w:tc>
                <w:tcPr>
                  <w:tcW w:w="684" w:type="dxa"/>
                  <w:vMerge w:val="continue"/>
                  <w:noWrap w:val="0"/>
                  <w:vAlign w:val="center"/>
                </w:tcPr>
                <w:p w14:paraId="7876222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4C27254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6</w:t>
                  </w:r>
                </w:p>
              </w:tc>
              <w:tc>
                <w:tcPr>
                  <w:tcW w:w="3945" w:type="dxa"/>
                  <w:noWrap w:val="0"/>
                  <w:vAlign w:val="center"/>
                </w:tcPr>
                <w:p w14:paraId="73038A2B">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严格采矿权准入管理，新建露天矿山项目原则上必须位于省级矿产资源规划划定的重点开采区内，鼓励集中连片规模化开发。</w:t>
                  </w:r>
                </w:p>
              </w:tc>
              <w:tc>
                <w:tcPr>
                  <w:tcW w:w="2488" w:type="dxa"/>
                  <w:noWrap w:val="0"/>
                  <w:vAlign w:val="center"/>
                </w:tcPr>
                <w:p w14:paraId="76F2DD0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771E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restart"/>
                  <w:noWrap w:val="0"/>
                  <w:vAlign w:val="center"/>
                </w:tcPr>
                <w:p w14:paraId="3CB0E4A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污染物排放管控</w:t>
                  </w:r>
                </w:p>
              </w:tc>
              <w:tc>
                <w:tcPr>
                  <w:tcW w:w="687" w:type="dxa"/>
                  <w:noWrap w:val="0"/>
                  <w:vAlign w:val="center"/>
                </w:tcPr>
                <w:p w14:paraId="4427514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w:t>
                  </w:r>
                </w:p>
              </w:tc>
              <w:tc>
                <w:tcPr>
                  <w:tcW w:w="3945" w:type="dxa"/>
                  <w:noWrap w:val="0"/>
                  <w:vAlign w:val="center"/>
                </w:tcPr>
                <w:p w14:paraId="6DB17E44">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落实超低排放要求、无组织排放特别控制要求。</w:t>
                  </w:r>
                </w:p>
              </w:tc>
              <w:tc>
                <w:tcPr>
                  <w:tcW w:w="2488" w:type="dxa"/>
                  <w:noWrap w:val="0"/>
                  <w:vAlign w:val="center"/>
                </w:tcPr>
                <w:p w14:paraId="5242385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本项目已落实超低排放要求、无组织排放特别控制要求</w:t>
                  </w:r>
                </w:p>
              </w:tc>
            </w:tr>
            <w:tr w14:paraId="2CBD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2B5A3D8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0C6D218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w:t>
                  </w:r>
                </w:p>
              </w:tc>
              <w:tc>
                <w:tcPr>
                  <w:tcW w:w="3945" w:type="dxa"/>
                  <w:noWrap w:val="0"/>
                  <w:vAlign w:val="center"/>
                </w:tcPr>
                <w:p w14:paraId="6FCAC365">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聚焦夏秋季臭氧污染，推进挥发性有机物和氮氧化物协同减排。以石化、化工、涂装、医药、包装印刷、油品储运销等行业领域为重点，推进挥发性有机物综合治理，实施原辅材料和产品源头替代工程。</w:t>
                  </w:r>
                </w:p>
              </w:tc>
              <w:tc>
                <w:tcPr>
                  <w:tcW w:w="2488" w:type="dxa"/>
                  <w:noWrap w:val="0"/>
                  <w:vAlign w:val="center"/>
                </w:tcPr>
                <w:p w14:paraId="0723161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本项目为中药生产，挥发性有机物采用低温冷凝+RCO催化燃烧高效治理措施</w:t>
                  </w:r>
                </w:p>
              </w:tc>
            </w:tr>
            <w:tr w14:paraId="5DDF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19F38AE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52C6FAB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w:t>
                  </w:r>
                </w:p>
              </w:tc>
              <w:tc>
                <w:tcPr>
                  <w:tcW w:w="3945" w:type="dxa"/>
                  <w:noWrap w:val="0"/>
                  <w:vAlign w:val="center"/>
                </w:tcPr>
                <w:p w14:paraId="4969AA5B">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全面淘汰国三及以下排放标准营运中重型柴油货车；推进大宗货物“公转铁”“公转水”。</w:t>
                  </w:r>
                </w:p>
              </w:tc>
              <w:tc>
                <w:tcPr>
                  <w:tcW w:w="2488" w:type="dxa"/>
                  <w:noWrap w:val="0"/>
                  <w:vAlign w:val="center"/>
                </w:tcPr>
                <w:p w14:paraId="573BF02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本项目使用国五及以上货车，不涉及大宗货物</w:t>
                  </w:r>
                </w:p>
              </w:tc>
            </w:tr>
            <w:tr w14:paraId="6528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5D4129D9">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0270A49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4</w:t>
                  </w:r>
                </w:p>
              </w:tc>
              <w:tc>
                <w:tcPr>
                  <w:tcW w:w="3945" w:type="dxa"/>
                  <w:noWrap w:val="0"/>
                  <w:vAlign w:val="center"/>
                </w:tcPr>
                <w:p w14:paraId="151CA226">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全面推广绿色化工制造技术，实现化工原料和反应介质、生产工艺和制造过程绿色化，从源头上控制和减少污染。</w:t>
                  </w:r>
                </w:p>
              </w:tc>
              <w:tc>
                <w:tcPr>
                  <w:tcW w:w="2488" w:type="dxa"/>
                  <w:noWrap w:val="0"/>
                  <w:vAlign w:val="center"/>
                </w:tcPr>
                <w:p w14:paraId="163325C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本项目中药生产采取水提、醇提等安全无毒绿色技术</w:t>
                  </w:r>
                </w:p>
              </w:tc>
            </w:tr>
            <w:tr w14:paraId="5528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150C0408">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7EF540B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5</w:t>
                  </w:r>
                </w:p>
              </w:tc>
              <w:tc>
                <w:tcPr>
                  <w:tcW w:w="3945" w:type="dxa"/>
                  <w:noWrap w:val="0"/>
                  <w:vAlign w:val="center"/>
                </w:tcPr>
                <w:p w14:paraId="7252B32D">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推行农业绿色生产方式，协同推进种植业、养殖业节能减排与污染治理；推广生物质能、太阳能等绿色用能模式，加快农业及农产品加工设施等可再生能源替代。</w:t>
                  </w:r>
                </w:p>
              </w:tc>
              <w:tc>
                <w:tcPr>
                  <w:tcW w:w="2488" w:type="dxa"/>
                  <w:noWrap w:val="0"/>
                  <w:vAlign w:val="center"/>
                </w:tcPr>
                <w:p w14:paraId="4E7AF05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7251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restart"/>
                  <w:noWrap w:val="0"/>
                  <w:vAlign w:val="center"/>
                </w:tcPr>
                <w:p w14:paraId="411C1EF9">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环境风险</w:t>
                  </w:r>
                </w:p>
                <w:p w14:paraId="02F6D2F2">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防控</w:t>
                  </w:r>
                </w:p>
              </w:tc>
              <w:tc>
                <w:tcPr>
                  <w:tcW w:w="687" w:type="dxa"/>
                  <w:noWrap w:val="0"/>
                  <w:vAlign w:val="center"/>
                </w:tcPr>
                <w:p w14:paraId="55A04A79">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w:t>
                  </w:r>
                </w:p>
              </w:tc>
              <w:tc>
                <w:tcPr>
                  <w:tcW w:w="3945" w:type="dxa"/>
                  <w:noWrap w:val="0"/>
                  <w:vAlign w:val="center"/>
                </w:tcPr>
                <w:p w14:paraId="6490889E">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对无法实现低 VOCs 原辅材料替代的工序，在保证安全情况下，应在密闭设备、密闭空间作业或安装二次密闭设施。</w:t>
                  </w:r>
                </w:p>
              </w:tc>
              <w:tc>
                <w:tcPr>
                  <w:tcW w:w="2488" w:type="dxa"/>
                  <w:noWrap w:val="0"/>
                  <w:vAlign w:val="center"/>
                </w:tcPr>
                <w:p w14:paraId="740656B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本项目使用乙醇溶剂，在密闭设备、密闭空间作业</w:t>
                  </w:r>
                </w:p>
              </w:tc>
            </w:tr>
            <w:tr w14:paraId="6F4F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2F31A2A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4E5835F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w:t>
                  </w:r>
                </w:p>
              </w:tc>
              <w:tc>
                <w:tcPr>
                  <w:tcW w:w="3945" w:type="dxa"/>
                  <w:noWrap w:val="0"/>
                  <w:vAlign w:val="center"/>
                </w:tcPr>
                <w:p w14:paraId="251C776A">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矿山开采、选矿、运输过程中，应采取相应的防尘措施，化学矿、有色金属矿石及产品堆场应采取“三防”措施。</w:t>
                  </w:r>
                </w:p>
              </w:tc>
              <w:tc>
                <w:tcPr>
                  <w:tcW w:w="2488" w:type="dxa"/>
                  <w:noWrap w:val="0"/>
                  <w:vAlign w:val="center"/>
                </w:tcPr>
                <w:p w14:paraId="10C54F3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56CB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4AAA49B3">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2D9EAD9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w:t>
                  </w:r>
                </w:p>
              </w:tc>
              <w:tc>
                <w:tcPr>
                  <w:tcW w:w="3945" w:type="dxa"/>
                  <w:noWrap w:val="0"/>
                  <w:vAlign w:val="center"/>
                </w:tcPr>
                <w:p w14:paraId="597BD477">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加强空气质量预测预报能力，完善联动应急响应体系，强化区域联防联控。</w:t>
                  </w:r>
                </w:p>
              </w:tc>
              <w:tc>
                <w:tcPr>
                  <w:tcW w:w="2488" w:type="dxa"/>
                  <w:noWrap w:val="0"/>
                  <w:vAlign w:val="center"/>
                </w:tcPr>
                <w:p w14:paraId="7F67F75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7D43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restart"/>
                  <w:noWrap w:val="0"/>
                  <w:vAlign w:val="center"/>
                </w:tcPr>
                <w:p w14:paraId="50D8D2C2">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资源利用</w:t>
                  </w:r>
                </w:p>
                <w:p w14:paraId="29A0BFC3">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效率</w:t>
                  </w:r>
                </w:p>
              </w:tc>
              <w:tc>
                <w:tcPr>
                  <w:tcW w:w="687" w:type="dxa"/>
                  <w:noWrap w:val="0"/>
                  <w:vAlign w:val="center"/>
                </w:tcPr>
                <w:p w14:paraId="26DC042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w:t>
                  </w:r>
                </w:p>
              </w:tc>
              <w:tc>
                <w:tcPr>
                  <w:tcW w:w="3945" w:type="dxa"/>
                  <w:noWrap w:val="0"/>
                  <w:vAlign w:val="center"/>
                </w:tcPr>
                <w:p w14:paraId="4E3C087F">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严格合理控制煤炭消费，“十四五”期间完成省定煤炭消费总量控制目标。</w:t>
                  </w:r>
                </w:p>
              </w:tc>
              <w:tc>
                <w:tcPr>
                  <w:tcW w:w="2488" w:type="dxa"/>
                  <w:noWrap w:val="0"/>
                  <w:vAlign w:val="center"/>
                </w:tcPr>
                <w:p w14:paraId="02DEB1E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719D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06EF84B7">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0266243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w:t>
                  </w:r>
                </w:p>
              </w:tc>
              <w:tc>
                <w:tcPr>
                  <w:tcW w:w="3945" w:type="dxa"/>
                  <w:noWrap w:val="0"/>
                  <w:vAlign w:val="center"/>
                </w:tcPr>
                <w:p w14:paraId="7DCF64A7">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到2025年，吨钢综合能耗达到国内先进水平。</w:t>
                  </w:r>
                </w:p>
              </w:tc>
              <w:tc>
                <w:tcPr>
                  <w:tcW w:w="2488" w:type="dxa"/>
                  <w:noWrap w:val="0"/>
                  <w:vAlign w:val="center"/>
                </w:tcPr>
                <w:p w14:paraId="3055759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466D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6DB355E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687" w:type="dxa"/>
                  <w:noWrap w:val="0"/>
                  <w:vAlign w:val="center"/>
                </w:tcPr>
                <w:p w14:paraId="3CF589A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w:t>
                  </w:r>
                </w:p>
              </w:tc>
              <w:tc>
                <w:tcPr>
                  <w:tcW w:w="3945" w:type="dxa"/>
                  <w:noWrap w:val="0"/>
                  <w:vAlign w:val="center"/>
                </w:tcPr>
                <w:p w14:paraId="432E8867">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到2025年，钢铁、石化化工、有色金属、建材等行业重点产品能效达到国际先进水平，规模以上工业单位增加值能耗比 2020 年下降 13.5%。</w:t>
                  </w:r>
                </w:p>
              </w:tc>
              <w:tc>
                <w:tcPr>
                  <w:tcW w:w="2488" w:type="dxa"/>
                  <w:noWrap w:val="0"/>
                  <w:vAlign w:val="center"/>
                </w:tcPr>
                <w:p w14:paraId="415DCF4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bl>
          <w:p w14:paraId="7B26919E">
            <w:pPr>
              <w:pStyle w:val="67"/>
              <w:keepNext w:val="0"/>
              <w:keepLines w:val="0"/>
              <w:pageBreakBefore w:val="0"/>
              <w:widowControl w:val="0"/>
              <w:kinsoku/>
              <w:wordWrap/>
              <w:overflowPunct/>
              <w:topLinePunct w:val="0"/>
              <w:autoSpaceDE/>
              <w:autoSpaceDN/>
              <w:bidi w:val="0"/>
              <w:adjustRightInd w:val="0"/>
              <w:snapToGrid w:val="0"/>
              <w:spacing w:beforeLines="0" w:line="240" w:lineRule="auto"/>
              <w:ind w:leftChars="0" w:firstLine="480" w:firstLineChars="200"/>
              <w:textAlignment w:val="auto"/>
              <w:rPr>
                <w:rFonts w:hint="eastAsia" w:ascii="Times New Roman" w:eastAsia="宋体" w:cs="Times New Roman"/>
                <w:color w:val="000000" w:themeColor="text1"/>
                <w:sz w:val="24"/>
                <w:szCs w:val="24"/>
                <w:lang w:val="en-US" w:eastAsia="zh-CN"/>
                <w14:textFill>
                  <w14:solidFill>
                    <w14:schemeClr w14:val="tx1"/>
                  </w14:solidFill>
                </w14:textFill>
              </w:rPr>
            </w:pPr>
          </w:p>
          <w:p w14:paraId="6FAB0D37">
            <w:pPr>
              <w:pStyle w:val="67"/>
              <w:keepNext w:val="0"/>
              <w:keepLines w:val="0"/>
              <w:pageBreakBefore w:val="0"/>
              <w:widowControl w:val="0"/>
              <w:kinsoku/>
              <w:wordWrap/>
              <w:overflowPunct/>
              <w:topLinePunct w:val="0"/>
              <w:autoSpaceDE/>
              <w:autoSpaceDN/>
              <w:bidi w:val="0"/>
              <w:adjustRightInd w:val="0"/>
              <w:snapToGrid/>
              <w:spacing w:beforeLines="0"/>
              <w:ind w:leftChars="0" w:firstLine="480" w:firstLineChars="200"/>
              <w:textAlignment w:val="auto"/>
              <w:rPr>
                <w:rFonts w:hint="default" w:ascii="Times New Roman" w:eastAsia="宋体" w:cs="Times New Roman"/>
                <w:color w:val="000000" w:themeColor="text1"/>
                <w:sz w:val="24"/>
                <w:szCs w:val="24"/>
                <w:lang w:val="en-US" w:eastAsia="zh-CN"/>
                <w14:textFill>
                  <w14:solidFill>
                    <w14:schemeClr w14:val="tx1"/>
                  </w14:solidFill>
                </w14:textFill>
              </w:rPr>
            </w:pPr>
            <w:r>
              <w:rPr>
                <w:rFonts w:hint="eastAsia" w:ascii="Times New Roman" w:eastAsia="宋体" w:cs="Times New Roman"/>
                <w:color w:val="000000" w:themeColor="text1"/>
                <w:sz w:val="24"/>
                <w:szCs w:val="24"/>
                <w:lang w:val="en-US" w:eastAsia="zh-CN"/>
                <w14:textFill>
                  <w14:solidFill>
                    <w14:schemeClr w14:val="tx1"/>
                  </w14:solidFill>
                </w14:textFill>
              </w:rPr>
              <w:t>本项目符合《河南省生态环境分区管控总体要求》中重点区域生态环境管控要求。</w:t>
            </w:r>
          </w:p>
          <w:p w14:paraId="0B1B0354">
            <w:pPr>
              <w:pStyle w:val="67"/>
              <w:keepNext w:val="0"/>
              <w:keepLines w:val="0"/>
              <w:pageBreakBefore w:val="0"/>
              <w:widowControl w:val="0"/>
              <w:kinsoku/>
              <w:wordWrap/>
              <w:overflowPunct/>
              <w:topLinePunct w:val="0"/>
              <w:autoSpaceDE/>
              <w:autoSpaceDN/>
              <w:bidi w:val="0"/>
              <w:adjustRightInd w:val="0"/>
              <w:snapToGrid/>
              <w:spacing w:beforeLines="0"/>
              <w:ind w:leftChars="0" w:firstLine="480" w:firstLineChars="200"/>
              <w:textAlignment w:val="auto"/>
              <w:rPr>
                <w:rFonts w:hint="default" w:ascii="Times New Roman" w:eastAsia="宋体" w:cs="Times New Roman"/>
                <w:color w:val="000000" w:themeColor="text1"/>
                <w:sz w:val="24"/>
                <w:szCs w:val="24"/>
                <w:lang w:val="en-US" w:eastAsia="zh-CN"/>
                <w14:textFill>
                  <w14:solidFill>
                    <w14:schemeClr w14:val="tx1"/>
                  </w14:solidFill>
                </w14:textFill>
              </w:rPr>
            </w:pPr>
            <w:r>
              <w:rPr>
                <w:rFonts w:hint="eastAsia" w:ascii="Times New Roman" w:eastAsia="宋体" w:cs="Times New Roman"/>
                <w:color w:val="000000" w:themeColor="text1"/>
                <w:sz w:val="24"/>
                <w:szCs w:val="24"/>
                <w:lang w:val="en-US" w:eastAsia="zh-CN"/>
                <w14:textFill>
                  <w14:solidFill>
                    <w14:schemeClr w14:val="tx1"/>
                  </w14:solidFill>
                </w14:textFill>
              </w:rPr>
              <w:t>（2）与《</w:t>
            </w:r>
            <w:r>
              <w:rPr>
                <w:rFonts w:hint="default" w:ascii="Times New Roman" w:hAnsi="Times New Roman" w:eastAsia="宋体" w:cs="Times New Roman"/>
                <w:color w:val="000000" w:themeColor="text1"/>
                <w:sz w:val="24"/>
                <w:szCs w:val="24"/>
                <w:lang w:val="en-US"/>
                <w14:textFill>
                  <w14:solidFill>
                    <w14:schemeClr w14:val="tx1"/>
                  </w14:solidFill>
                </w14:textFill>
              </w:rPr>
              <w:t>安阳市“三线一单”生态环境分区管控准入清单</w:t>
            </w:r>
            <w:r>
              <w:rPr>
                <w:rFonts w:hint="eastAsia" w:ascii="Times New Roman" w:eastAsia="宋体" w:cs="Times New Roman"/>
                <w:color w:val="000000" w:themeColor="text1"/>
                <w:sz w:val="24"/>
                <w:szCs w:val="24"/>
                <w:lang w:val="en-US" w:eastAsia="zh-CN"/>
                <w14:textFill>
                  <w14:solidFill>
                    <w14:schemeClr w14:val="tx1"/>
                  </w14:solidFill>
                </w14:textFill>
              </w:rPr>
              <w:t>》对比分析</w:t>
            </w:r>
          </w:p>
          <w:p w14:paraId="2024E8F8">
            <w:pPr>
              <w:pStyle w:val="67"/>
              <w:keepNext w:val="0"/>
              <w:keepLines w:val="0"/>
              <w:pageBreakBefore w:val="0"/>
              <w:widowControl w:val="0"/>
              <w:kinsoku/>
              <w:wordWrap/>
              <w:overflowPunct/>
              <w:topLinePunct w:val="0"/>
              <w:autoSpaceDE/>
              <w:autoSpaceDN/>
              <w:bidi w:val="0"/>
              <w:adjustRightInd w:val="0"/>
              <w:snapToGrid/>
              <w:spacing w:beforeLines="0"/>
              <w:ind w:leftChars="0" w:firstLine="480" w:firstLineChars="200"/>
              <w:textAlignment w:val="auto"/>
              <w:rPr>
                <w:rFonts w:hint="eastAsia" w:ascii="Times New Roman" w:eastAsia="宋体" w:cs="Times New Roman"/>
                <w:color w:val="000000" w:themeColor="text1"/>
                <w:sz w:val="24"/>
                <w:szCs w:val="24"/>
                <w:lang w:val="en-US" w:eastAsia="zh-CN"/>
                <w14:textFill>
                  <w14:solidFill>
                    <w14:schemeClr w14:val="tx1"/>
                  </w14:solidFill>
                </w14:textFill>
              </w:rPr>
            </w:pPr>
            <w:r>
              <w:rPr>
                <w:rFonts w:hint="eastAsia" w:ascii="Times New Roman" w:eastAsia="宋体" w:cs="Times New Roman"/>
                <w:color w:val="000000" w:themeColor="text1"/>
                <w:sz w:val="24"/>
                <w:szCs w:val="24"/>
                <w:lang w:val="en-US" w:eastAsia="zh-CN"/>
                <w14:textFill>
                  <w14:solidFill>
                    <w14:schemeClr w14:val="tx1"/>
                  </w14:solidFill>
                </w14:textFill>
              </w:rPr>
              <w:t>根据《安阳市生态环境保护委员会办公室关于更新调整安阳市生态环境分区管控方案的通知》（安环委办〔2025〕19号），本项目厂址位于汤阴县产业集聚区内，属于重点管控单元，对比安阳市及汤阴县环境管控单元生态环境准入清单内容，相符性分析如下：</w:t>
            </w:r>
          </w:p>
          <w:p w14:paraId="2416C5A4">
            <w:pPr>
              <w:pStyle w:val="33"/>
              <w:jc w:val="cente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p>
          <w:p w14:paraId="757ED0F2">
            <w:pPr>
              <w:pStyle w:val="33"/>
              <w:jc w:val="cente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表</w:t>
            </w:r>
            <w:r>
              <w:rPr>
                <w:rFonts w:hint="eastAsia" w:ascii="Times New Roman" w:cs="Times New Roman"/>
                <w:b w:val="0"/>
                <w:bCs/>
                <w:color w:val="000000" w:themeColor="text1"/>
                <w:kern w:val="2"/>
                <w:sz w:val="24"/>
                <w:szCs w:val="24"/>
                <w:lang w:val="en-US" w:eastAsia="zh-CN" w:bidi="ar-SA"/>
                <w14:textFill>
                  <w14:solidFill>
                    <w14:schemeClr w14:val="tx1"/>
                  </w14:solidFill>
                </w14:textFill>
              </w:rPr>
              <w:t>4</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 xml:space="preserve"> 项目与安阳市</w:t>
            </w:r>
            <w:r>
              <w:rPr>
                <w:rFonts w:hint="eastAsia" w:ascii="Times New Roman" w:cs="Times New Roman"/>
                <w:b w:val="0"/>
                <w:bCs/>
                <w:color w:val="000000" w:themeColor="text1"/>
                <w:kern w:val="2"/>
                <w:sz w:val="24"/>
                <w:szCs w:val="24"/>
                <w:lang w:val="en-US" w:eastAsia="zh-CN" w:bidi="ar-SA"/>
                <w14:textFill>
                  <w14:solidFill>
                    <w14:schemeClr w14:val="tx1"/>
                  </w14:solidFill>
                </w14:textFill>
              </w:rPr>
              <w:t>及</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汤阴县环境管控单元生态环境准入清单对比一览表</w:t>
            </w:r>
          </w:p>
          <w:tbl>
            <w:tblPr>
              <w:tblStyle w:val="27"/>
              <w:tblW w:w="7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84"/>
              <w:gridCol w:w="685"/>
              <w:gridCol w:w="3947"/>
              <w:gridCol w:w="2488"/>
            </w:tblGrid>
            <w:tr w14:paraId="01DE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noWrap w:val="0"/>
                  <w:vAlign w:val="center"/>
                </w:tcPr>
                <w:p w14:paraId="00D9063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维度</w:t>
                  </w:r>
                </w:p>
              </w:tc>
              <w:tc>
                <w:tcPr>
                  <w:tcW w:w="685" w:type="dxa"/>
                  <w:noWrap w:val="0"/>
                  <w:vAlign w:val="center"/>
                </w:tcPr>
                <w:p w14:paraId="22EB4E0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序号</w:t>
                  </w:r>
                </w:p>
              </w:tc>
              <w:tc>
                <w:tcPr>
                  <w:tcW w:w="3947" w:type="dxa"/>
                  <w:noWrap w:val="0"/>
                  <w:vAlign w:val="center"/>
                </w:tcPr>
                <w:p w14:paraId="35B8606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管控要求</w:t>
                  </w:r>
                </w:p>
              </w:tc>
              <w:tc>
                <w:tcPr>
                  <w:tcW w:w="2488" w:type="dxa"/>
                  <w:noWrap w:val="0"/>
                  <w:vAlign w:val="center"/>
                </w:tcPr>
                <w:p w14:paraId="7275D04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相符性分析</w:t>
                  </w:r>
                </w:p>
              </w:tc>
            </w:tr>
            <w:tr w14:paraId="4977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noWrap w:val="0"/>
                  <w:vAlign w:val="center"/>
                </w:tcPr>
                <w:p w14:paraId="1462B60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一</w:t>
                  </w:r>
                </w:p>
              </w:tc>
              <w:tc>
                <w:tcPr>
                  <w:tcW w:w="7120" w:type="dxa"/>
                  <w:gridSpan w:val="3"/>
                  <w:noWrap w:val="0"/>
                  <w:vAlign w:val="center"/>
                </w:tcPr>
                <w:p w14:paraId="720F15C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安阳市生态环境总体准入要求</w:t>
                  </w:r>
                </w:p>
              </w:tc>
            </w:tr>
            <w:tr w14:paraId="7B7A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restart"/>
                  <w:noWrap w:val="0"/>
                  <w:vAlign w:val="center"/>
                </w:tcPr>
                <w:p w14:paraId="2279E90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空间布局约束</w:t>
                  </w:r>
                </w:p>
              </w:tc>
              <w:tc>
                <w:tcPr>
                  <w:tcW w:w="685" w:type="dxa"/>
                  <w:noWrap w:val="0"/>
                  <w:vAlign w:val="center"/>
                </w:tcPr>
                <w:p w14:paraId="194F12A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p>
              </w:tc>
              <w:tc>
                <w:tcPr>
                  <w:tcW w:w="3947" w:type="dxa"/>
                  <w:noWrap w:val="0"/>
                  <w:vAlign w:val="center"/>
                </w:tcPr>
                <w:p w14:paraId="20F5771D">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全市原则上禁止新建、扩建单纯新增产能的钢铁、电解铝、水泥、平板玻璃、传统煤化工（甲醇、合成氨）、焦化、铸造、铝用炭素、耐火材料制品、砖瓦窑、铅锌冶炼（含再生铅）等高耗能、高排放和产能过剩的产业项目。禁止新建、扩建以煤炭为燃料的陶瓷项目。原则上禁止新建燃煤自备锅炉、自备燃煤机组和燃料类煤气发生炉。禁止建设生产和使用高VOCs含量的溶剂型涂料、油墨、胶粘剂等项目。</w:t>
                  </w:r>
                </w:p>
              </w:tc>
              <w:tc>
                <w:tcPr>
                  <w:tcW w:w="2488" w:type="dxa"/>
                  <w:noWrap w:val="0"/>
                  <w:vAlign w:val="center"/>
                </w:tcPr>
                <w:p w14:paraId="3B6DF51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1A88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0097203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21E9C39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w:t>
                  </w:r>
                </w:p>
              </w:tc>
              <w:tc>
                <w:tcPr>
                  <w:tcW w:w="3947" w:type="dxa"/>
                  <w:noWrap w:val="0"/>
                  <w:vAlign w:val="center"/>
                </w:tcPr>
                <w:p w14:paraId="7ADE9173">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禁止新增化工园区，禁止审批园区外新建化工企业，对园区内环境基础设施不完善或长期不能稳定运行的企业一律不批新改扩建化工项目。</w:t>
                  </w:r>
                </w:p>
              </w:tc>
              <w:tc>
                <w:tcPr>
                  <w:tcW w:w="2488" w:type="dxa"/>
                  <w:noWrap w:val="0"/>
                  <w:vAlign w:val="center"/>
                </w:tcPr>
                <w:p w14:paraId="1E48F9B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本项目位于汤阴县产业集聚区内</w:t>
                  </w:r>
                </w:p>
              </w:tc>
            </w:tr>
            <w:tr w14:paraId="5CB7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15D1D54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70A429A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3</w:t>
                  </w:r>
                </w:p>
              </w:tc>
              <w:tc>
                <w:tcPr>
                  <w:tcW w:w="3947" w:type="dxa"/>
                  <w:noWrap w:val="0"/>
                  <w:vAlign w:val="center"/>
                </w:tcPr>
                <w:p w14:paraId="79119F44">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水源保护区一级保护区禁止建设；二级保护区、准保护区限制建设。</w:t>
                  </w:r>
                </w:p>
              </w:tc>
              <w:tc>
                <w:tcPr>
                  <w:tcW w:w="2488" w:type="dxa"/>
                  <w:noWrap w:val="0"/>
                  <w:vAlign w:val="center"/>
                </w:tcPr>
                <w:p w14:paraId="2A2ADF3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项目二期工程距离伏道镇集中饮用水地下水井较近，计划取消伏道镇集中式饮用水源，改为使用集聚区供水管网统一供水，因此本项目建设不会对其产生不利影响</w:t>
                  </w:r>
                </w:p>
              </w:tc>
            </w:tr>
            <w:tr w14:paraId="1258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3F810ED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61FA0F4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4</w:t>
                  </w:r>
                </w:p>
              </w:tc>
              <w:tc>
                <w:tcPr>
                  <w:tcW w:w="3947" w:type="dxa"/>
                  <w:noWrap w:val="0"/>
                  <w:vAlign w:val="center"/>
                </w:tcPr>
                <w:p w14:paraId="392A686E">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林州万宝山省级自然保护区禁止下列行为：</w:t>
                  </w:r>
                </w:p>
                <w:p w14:paraId="1F57AE39">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（一）禁止在自然保护区内进行砍伐、放牧、狩猎、捕捞、采药、开垦、烧荒、开矿、采石、挖沙等活动；但是，法律、行政法规另有规定的除外。</w:t>
                  </w:r>
                </w:p>
                <w:p w14:paraId="245C9A42">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（二）禁止任何人进入自然保护区的核心区。因科学研究的需要，必须进入核心区从事科学研究观测、调查活动的，应当事先向自然保护区管理机构提交申请和活动计划，并经自然保护区管理机构批准。</w:t>
                  </w:r>
                </w:p>
                <w:p w14:paraId="2FE0D70B">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三）禁止在自然保护区的缓冲区开展旅游和生产经营活动。因教学科研的目的，需要进入自然保护区的缓冲区从事非破坏性的科学研究、教学实习和标本采集活动的，应当事先向自然保护区管理机构提交申请和活动计划，经自然保护区管理机构批准。</w:t>
                  </w:r>
                </w:p>
                <w:p w14:paraId="04C38019">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四）在自然保护区的核心区和缓冲区内，不得建设任何生产设施。在自然保护区的实验区内，不得建设污染环境、破坏资源或者景观的生产设施；建设其他项目，其污染物排放不得超过国家和地方规定的污染物排放标准。</w:t>
                  </w:r>
                </w:p>
                <w:p w14:paraId="270133D3">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（五）在自然保护区的外围保护地带建的项目，不得损害自然保护区内的环境质量；已造成损害的，应当限期治理。</w:t>
                  </w:r>
                </w:p>
              </w:tc>
              <w:tc>
                <w:tcPr>
                  <w:tcW w:w="2488" w:type="dxa"/>
                  <w:noWrap w:val="0"/>
                  <w:vAlign w:val="center"/>
                </w:tcPr>
                <w:p w14:paraId="0C3815C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5EC9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1853C88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3D3701E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5</w:t>
                  </w:r>
                </w:p>
              </w:tc>
              <w:tc>
                <w:tcPr>
                  <w:tcW w:w="3947" w:type="dxa"/>
                  <w:noWrap w:val="0"/>
                  <w:vAlign w:val="center"/>
                </w:tcPr>
                <w:p w14:paraId="6AB6EFA6">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林虑山风景名胜区内禁止以下行为：</w:t>
                  </w:r>
                </w:p>
                <w:p w14:paraId="023742B7">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（一）开山、采石、开矿等破坏景观、植被、地形地貌的活动；</w:t>
                  </w:r>
                </w:p>
                <w:p w14:paraId="388B676A">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（二）修建储存爆炸性、易燃性、放射性、毒害性、腐蚀性物品的设施；</w:t>
                  </w:r>
                </w:p>
                <w:p w14:paraId="07BEEF63">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（三）在核心景区内建设宾馆、招待所、培训中心、疗养院以及与风景名胜资源保护无关的其他建筑物。</w:t>
                  </w:r>
                </w:p>
                <w:p w14:paraId="688D11D1">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（四）凡与景观不协调、破坏景观、污染环境的，一律立即拆除。</w:t>
                  </w:r>
                </w:p>
              </w:tc>
              <w:tc>
                <w:tcPr>
                  <w:tcW w:w="2488" w:type="dxa"/>
                  <w:noWrap w:val="0"/>
                  <w:vAlign w:val="center"/>
                </w:tcPr>
                <w:p w14:paraId="232250B9">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643D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2" w:hRule="atLeast"/>
              </w:trPr>
              <w:tc>
                <w:tcPr>
                  <w:tcW w:w="684" w:type="dxa"/>
                  <w:vMerge w:val="continue"/>
                  <w:noWrap w:val="0"/>
                  <w:vAlign w:val="center"/>
                </w:tcPr>
                <w:p w14:paraId="699F10A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4C4D291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6</w:t>
                  </w:r>
                </w:p>
              </w:tc>
              <w:tc>
                <w:tcPr>
                  <w:tcW w:w="3947" w:type="dxa"/>
                  <w:noWrap w:val="0"/>
                  <w:vAlign w:val="center"/>
                </w:tcPr>
                <w:p w14:paraId="7B413835">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淇河国家鲫鱼种质资源保护区禁止下列行为：</w:t>
                  </w:r>
                </w:p>
                <w:p w14:paraId="64D2D638">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一）禁止任何单位和个人擅自捕捞淇河鲫鱼，禁止从事危害淇河鲫鱼繁殖、栖息环境的活动。因科学研究、教学、驯养繁殖、展览或其它特殊情况需要捕捞淇河鲫鱼的，需事先报经安阳市农业农村局审核，并逐级上报至农业农村部批准，在当地渔业行政管理部门的监督下持证捕捞。</w:t>
                  </w:r>
                </w:p>
                <w:p w14:paraId="19D8B472">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（二）禁止在保护区内砍伐、放牧、狩猎、采药、开垦、烧荒、开矿、挖沙、爆破以及其它可能对保护区内生物资源和生态环境造成损害的活动。</w:t>
                  </w:r>
                </w:p>
                <w:p w14:paraId="064D5911">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（三）在保护区试验区范围内从事有可能危害生态环境的行为，需做生态环境修复方案进行生态环境修复。</w:t>
                  </w:r>
                </w:p>
              </w:tc>
              <w:tc>
                <w:tcPr>
                  <w:tcW w:w="2488" w:type="dxa"/>
                  <w:noWrap w:val="0"/>
                  <w:vAlign w:val="center"/>
                </w:tcPr>
                <w:p w14:paraId="2EF516D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67F9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119F5A4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08CAB94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7</w:t>
                  </w:r>
                </w:p>
              </w:tc>
              <w:tc>
                <w:tcPr>
                  <w:tcW w:w="3947" w:type="dxa"/>
                  <w:noWrap w:val="0"/>
                  <w:vAlign w:val="center"/>
                </w:tcPr>
                <w:p w14:paraId="6E965538">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淇淅河湿地公园核心区内禁止下列行为：</w:t>
                  </w:r>
                </w:p>
                <w:p w14:paraId="10E903BE">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（一）建设任何与湿地公园保护无关的项目；</w:t>
                  </w:r>
                </w:p>
                <w:p w14:paraId="602B2C52">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（二）排放废水，倾倒垃圾、粪便及其他废弃物，堆放、存贮固体废弃物和其它污染物；合理性排放生活污水需符合湿地保护相关要求；</w:t>
                  </w:r>
                </w:p>
                <w:p w14:paraId="56E8D74B">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（三）使用不符合国家环保标准的高毒、高残留农药；</w:t>
                  </w:r>
                </w:p>
                <w:p w14:paraId="7F9D0329">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（四）洗涤污物、清洗机动车辆和船舶；</w:t>
                  </w:r>
                </w:p>
                <w:p w14:paraId="62362D36">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（五）其他破坏湿地公园生态资源和人文历史风貌资源的行为。</w:t>
                  </w:r>
                </w:p>
                <w:p w14:paraId="0062A75C">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淇淅河国家湿地公园一般保护区内禁止以下行为：</w:t>
                  </w:r>
                </w:p>
                <w:p w14:paraId="353866BE">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（一）新建、扩建工业类项目、规模化禽畜养殖和其它污染较重的建设项目；</w:t>
                  </w:r>
                </w:p>
                <w:p w14:paraId="631A9A03">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（二）设置生活垃圾、医疗垃圾、工业危险废物等集中转运、堆放、填埋和焚烧设施；</w:t>
                  </w:r>
                </w:p>
                <w:p w14:paraId="5492CADF">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（三）设置危险品转运和贮存设施、新建加油站及油库；</w:t>
                  </w:r>
                </w:p>
                <w:p w14:paraId="127C28DB">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（四）使用不符合国家环保标准的高毒高残留农药；</w:t>
                  </w:r>
                </w:p>
                <w:p w14:paraId="6910FF0D">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（五）建立公共墓地和掩埋动物尸体。</w:t>
                  </w:r>
                </w:p>
              </w:tc>
              <w:tc>
                <w:tcPr>
                  <w:tcW w:w="2488" w:type="dxa"/>
                  <w:noWrap w:val="0"/>
                  <w:vAlign w:val="center"/>
                </w:tcPr>
                <w:p w14:paraId="59CD5B2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19C1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27A9149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5C2706C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8</w:t>
                  </w:r>
                </w:p>
              </w:tc>
              <w:tc>
                <w:tcPr>
                  <w:tcW w:w="3947" w:type="dxa"/>
                  <w:noWrap w:val="0"/>
                  <w:vAlign w:val="center"/>
                </w:tcPr>
                <w:p w14:paraId="6466E171">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汤河国家湿地公园规划区内禁止下列行为：</w:t>
                  </w:r>
                </w:p>
                <w:p w14:paraId="05422382">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（一）建设与湿地公园无关的项目；</w:t>
                  </w:r>
                </w:p>
                <w:p w14:paraId="0BAAFDED">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（二）未经达标处理排放废水；倾倒垃圾、粪便及其他废弃物；堆放、存储固体废弃物和其他污染物；</w:t>
                  </w:r>
                </w:p>
                <w:p w14:paraId="1EDD360E">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（三）使用不符合国家环保标准的高毒高残留农药；</w:t>
                  </w:r>
                </w:p>
                <w:p w14:paraId="68C1FE77">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（四）在景物上涂写、刻画、张贴等；损坏游览、服务等公共施舍和其他设施；</w:t>
                  </w:r>
                </w:p>
                <w:p w14:paraId="37425071">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（五）洗涤污物、清洗机动车辆和船舶；</w:t>
                  </w:r>
                </w:p>
                <w:p w14:paraId="4A64F68E">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（六）其他破坏湿地公园生态资源和人文历史风貌资源的行为。</w:t>
                  </w:r>
                </w:p>
              </w:tc>
              <w:tc>
                <w:tcPr>
                  <w:tcW w:w="2488" w:type="dxa"/>
                  <w:noWrap w:val="0"/>
                  <w:vAlign w:val="center"/>
                </w:tcPr>
                <w:p w14:paraId="7D09855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5CE0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600FED4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0A9900D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9</w:t>
                  </w:r>
                </w:p>
              </w:tc>
              <w:tc>
                <w:tcPr>
                  <w:tcW w:w="3947" w:type="dxa"/>
                  <w:noWrap w:val="0"/>
                  <w:vAlign w:val="center"/>
                </w:tcPr>
                <w:p w14:paraId="3973F830">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漳河峡谷国家湿地公园核心区、一级保护区内禁止下列行为：</w:t>
                  </w:r>
                </w:p>
                <w:p w14:paraId="7D073AD8">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（一）建设任何与湿地公园保护无关的项目；</w:t>
                  </w:r>
                </w:p>
                <w:p w14:paraId="10E550FB">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（二）排放废水，倾倒垃圾、粪便及其他废弃物，堆放、存贮固体废弃物和其它污染物；</w:t>
                  </w:r>
                </w:p>
                <w:p w14:paraId="6C50224A">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（三）使用不符合国家环保标准的高毒高残留农药；</w:t>
                  </w:r>
                </w:p>
                <w:p w14:paraId="74CFD781">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（四）在景物上涂写、刻画、张贴等；损坏游览、服务等公共设施和其他设施；</w:t>
                  </w:r>
                </w:p>
                <w:p w14:paraId="1018B6F4">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（五）洗涤污物、清洗机动车辆和船舶；</w:t>
                  </w:r>
                </w:p>
                <w:p w14:paraId="1DE27C82">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（六）其他破坏湿地公园生态资源和人文历史风貌资源的行为。</w:t>
                  </w:r>
                </w:p>
                <w:p w14:paraId="10734E16">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湿地公园二级保护区内禁止以下行为：</w:t>
                  </w:r>
                </w:p>
                <w:p w14:paraId="216CEF97">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（一）新建、扩建工业类项目、规模化禽畜养殖和其它污染较重的建设项目；</w:t>
                  </w:r>
                </w:p>
                <w:p w14:paraId="268CE824">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（二）设置生活垃圾、医疗垃圾、工业危险废物等集中转运、堆放、填埋和焚烧设施；</w:t>
                  </w:r>
                </w:p>
                <w:p w14:paraId="3B76014B">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（三）设置危险品转运和贮存设施、新建加油站及油库；</w:t>
                  </w:r>
                </w:p>
                <w:p w14:paraId="314B27A4">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（四）使用不符合国家环保标准的高毒高残留农药；</w:t>
                  </w:r>
                </w:p>
                <w:p w14:paraId="081F55AA">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（五）建立公共墓地和掩埋动物尸体。</w:t>
                  </w:r>
                </w:p>
              </w:tc>
              <w:tc>
                <w:tcPr>
                  <w:tcW w:w="2488" w:type="dxa"/>
                  <w:noWrap w:val="0"/>
                  <w:vAlign w:val="center"/>
                </w:tcPr>
                <w:p w14:paraId="4DDEFBF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69FA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3BEFCFB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6079D6E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r>
                    <w:rPr>
                      <w:rFonts w:hint="eastAsia" w:ascii="Times New Roman" w:hAnsi="Times New Roman" w:cs="Times New Roman"/>
                      <w:color w:val="000000" w:themeColor="text1"/>
                      <w:vertAlign w:val="baseline"/>
                      <w:lang w:val="en-US" w:eastAsia="zh-CN"/>
                      <w14:textFill>
                        <w14:solidFill>
                          <w14:schemeClr w14:val="tx1"/>
                        </w14:solidFill>
                      </w14:textFill>
                    </w:rPr>
                    <w:t>0</w:t>
                  </w:r>
                </w:p>
              </w:tc>
              <w:tc>
                <w:tcPr>
                  <w:tcW w:w="3947" w:type="dxa"/>
                  <w:noWrap w:val="0"/>
                  <w:vAlign w:val="center"/>
                </w:tcPr>
                <w:p w14:paraId="1DDD73B9">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禁燃区内，禁止销售和燃用国家规定的高污染燃料；禁止新建、扩建燃用高污染燃料的设施，已建成的，应当在市、县（市）人民政府规定的期限内改用天然气、液化石油气、电等清洁能源。</w:t>
                  </w:r>
                </w:p>
              </w:tc>
              <w:tc>
                <w:tcPr>
                  <w:tcW w:w="2488" w:type="dxa"/>
                  <w:noWrap w:val="0"/>
                  <w:vAlign w:val="center"/>
                </w:tcPr>
                <w:p w14:paraId="4877A86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本项目不使用高污染燃料</w:t>
                  </w:r>
                </w:p>
              </w:tc>
            </w:tr>
            <w:tr w14:paraId="0618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285AE8D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1DBDBA3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r>
                    <w:rPr>
                      <w:rFonts w:hint="eastAsia" w:ascii="Times New Roman" w:hAnsi="Times New Roman" w:cs="Times New Roman"/>
                      <w:color w:val="000000" w:themeColor="text1"/>
                      <w:vertAlign w:val="baseline"/>
                      <w:lang w:val="en-US" w:eastAsia="zh-CN"/>
                      <w14:textFill>
                        <w14:solidFill>
                          <w14:schemeClr w14:val="tx1"/>
                        </w14:solidFill>
                      </w14:textFill>
                    </w:rPr>
                    <w:t>1</w:t>
                  </w:r>
                </w:p>
              </w:tc>
              <w:tc>
                <w:tcPr>
                  <w:tcW w:w="3947" w:type="dxa"/>
                  <w:noWrap w:val="0"/>
                  <w:vAlign w:val="center"/>
                </w:tcPr>
                <w:p w14:paraId="75552083">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在高污染燃料禁燃区内，禁止新建燃烧煤炭、重油、渣油以及直接燃用生物质的锅炉，其他地区禁止新建每小时三十五蒸吨以下的燃烧煤炭、重油、渣油以及直接燃用生物质的锅炉。现有燃煤锅炉改为燃气锅炉的，应当同步实现低氮改造，氮氧化物排放应当达到本市控制要求。</w:t>
                  </w:r>
                </w:p>
              </w:tc>
              <w:tc>
                <w:tcPr>
                  <w:tcW w:w="2488" w:type="dxa"/>
                  <w:noWrap w:val="0"/>
                  <w:vAlign w:val="center"/>
                </w:tcPr>
                <w:p w14:paraId="0DD8C4E6">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05F5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6D5A1C8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1B15B6B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r>
                    <w:rPr>
                      <w:rFonts w:hint="eastAsia" w:ascii="Times New Roman" w:hAnsi="Times New Roman" w:cs="Times New Roman"/>
                      <w:color w:val="000000" w:themeColor="text1"/>
                      <w:vertAlign w:val="baseline"/>
                      <w:lang w:val="en-US" w:eastAsia="zh-CN"/>
                      <w14:textFill>
                        <w14:solidFill>
                          <w14:schemeClr w14:val="tx1"/>
                        </w14:solidFill>
                      </w14:textFill>
                    </w:rPr>
                    <w:t>2</w:t>
                  </w:r>
                </w:p>
              </w:tc>
              <w:tc>
                <w:tcPr>
                  <w:tcW w:w="3947" w:type="dxa"/>
                  <w:noWrap w:val="0"/>
                  <w:vAlign w:val="center"/>
                </w:tcPr>
                <w:p w14:paraId="16927B28">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禁止露天焚烧秸秆、落叶、树枝、枯草等产生烟尘污染的物质，以及非法焚烧电子废弃物、油毡、橡胶、塑料、皮革、沥青、垃圾及其他产生有毒有害烟尘、恶臭或者强烈异味气体的物质。禁止在城市建成区的道路及其两侧、广场、住宅小区等公共场所焚烧祭祀用品。任何单位和个人不得在人民政府禁止的区域内露天烧烤食品或者为露天烧烤食品提供场地。</w:t>
                  </w:r>
                </w:p>
              </w:tc>
              <w:tc>
                <w:tcPr>
                  <w:tcW w:w="2488" w:type="dxa"/>
                  <w:noWrap w:val="0"/>
                  <w:vAlign w:val="center"/>
                </w:tcPr>
                <w:p w14:paraId="1619148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407E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1811048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043952C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r>
                    <w:rPr>
                      <w:rFonts w:hint="eastAsia" w:ascii="Times New Roman" w:hAnsi="Times New Roman" w:cs="Times New Roman"/>
                      <w:color w:val="000000" w:themeColor="text1"/>
                      <w:vertAlign w:val="baseline"/>
                      <w:lang w:val="en-US" w:eastAsia="zh-CN"/>
                      <w14:textFill>
                        <w14:solidFill>
                          <w14:schemeClr w14:val="tx1"/>
                        </w14:solidFill>
                      </w14:textFill>
                    </w:rPr>
                    <w:t>3</w:t>
                  </w:r>
                </w:p>
              </w:tc>
              <w:tc>
                <w:tcPr>
                  <w:tcW w:w="3947" w:type="dxa"/>
                  <w:noWrap w:val="0"/>
                  <w:vAlign w:val="center"/>
                </w:tcPr>
                <w:p w14:paraId="63892359">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禁止在下列场所新建、改建、扩建排放油烟的餐饮服务项目：</w:t>
                  </w:r>
                </w:p>
                <w:p w14:paraId="6BAC00DE">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（一）居民住宅楼等非商用建筑；</w:t>
                  </w:r>
                </w:p>
                <w:p w14:paraId="62BE76AF">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（二）未设立配套规划专用烟道的商住综合楼；</w:t>
                  </w:r>
                </w:p>
                <w:p w14:paraId="36C5F5FC">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（三）商住综合楼内与居住层相邻的楼层。</w:t>
                  </w:r>
                </w:p>
              </w:tc>
              <w:tc>
                <w:tcPr>
                  <w:tcW w:w="2488" w:type="dxa"/>
                  <w:noWrap w:val="0"/>
                  <w:vAlign w:val="center"/>
                </w:tcPr>
                <w:p w14:paraId="0683AEE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56EA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585C981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5000AD9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14</w:t>
                  </w:r>
                </w:p>
              </w:tc>
              <w:tc>
                <w:tcPr>
                  <w:tcW w:w="3947" w:type="dxa"/>
                  <w:noWrap w:val="0"/>
                  <w:vAlign w:val="center"/>
                </w:tcPr>
                <w:p w14:paraId="54303462">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推进重点污染企业退城搬迁，对城区内重污染企业进一步梳理，推动不符合城市建设规划、行业发展规划、生态环境功能定位的重点污染企业退出城市建成区。</w:t>
                  </w:r>
                </w:p>
              </w:tc>
              <w:tc>
                <w:tcPr>
                  <w:tcW w:w="2488" w:type="dxa"/>
                  <w:noWrap w:val="0"/>
                  <w:vAlign w:val="center"/>
                </w:tcPr>
                <w:p w14:paraId="7D6EDF2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本企业为退城搬迁至汤阴县产业集聚区内</w:t>
                  </w:r>
                </w:p>
              </w:tc>
            </w:tr>
            <w:tr w14:paraId="0845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4D648E9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6FE867D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r>
                    <w:rPr>
                      <w:rFonts w:hint="eastAsia" w:ascii="Times New Roman" w:hAnsi="Times New Roman" w:cs="Times New Roman"/>
                      <w:color w:val="000000" w:themeColor="text1"/>
                      <w:vertAlign w:val="baseline"/>
                      <w:lang w:val="en-US" w:eastAsia="zh-CN"/>
                      <w14:textFill>
                        <w14:solidFill>
                          <w14:schemeClr w14:val="tx1"/>
                        </w14:solidFill>
                      </w14:textFill>
                    </w:rPr>
                    <w:t>5</w:t>
                  </w:r>
                </w:p>
              </w:tc>
              <w:tc>
                <w:tcPr>
                  <w:tcW w:w="3947" w:type="dxa"/>
                  <w:noWrap w:val="0"/>
                  <w:vAlign w:val="center"/>
                </w:tcPr>
                <w:p w14:paraId="39CAA189">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列入建设用地土壤污染风险管控和修复名录的地块，不得作为住宅、公共管理与公共服务用地。未达到土壤污染风险评估报告确定的风险管控、修复目标的建设用地地块，禁止开工建设任何与风险管控、修复无关的项目。</w:t>
                  </w:r>
                </w:p>
              </w:tc>
              <w:tc>
                <w:tcPr>
                  <w:tcW w:w="2488" w:type="dxa"/>
                  <w:noWrap w:val="0"/>
                  <w:vAlign w:val="center"/>
                </w:tcPr>
                <w:p w14:paraId="342C5B5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78F5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restart"/>
                  <w:noWrap w:val="0"/>
                  <w:vAlign w:val="center"/>
                </w:tcPr>
                <w:p w14:paraId="6058A86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污染物排放管控</w:t>
                  </w:r>
                </w:p>
              </w:tc>
              <w:tc>
                <w:tcPr>
                  <w:tcW w:w="685" w:type="dxa"/>
                  <w:noWrap w:val="0"/>
                  <w:vAlign w:val="center"/>
                </w:tcPr>
                <w:p w14:paraId="3040B30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p>
              </w:tc>
              <w:tc>
                <w:tcPr>
                  <w:tcW w:w="3947" w:type="dxa"/>
                  <w:noWrap w:val="0"/>
                  <w:vAlign w:val="center"/>
                </w:tcPr>
                <w:p w14:paraId="40C032A2">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新、改、扩建项目主要污染物排放要求满足当地总量减排要求。</w:t>
                  </w:r>
                </w:p>
              </w:tc>
              <w:tc>
                <w:tcPr>
                  <w:tcW w:w="2488" w:type="dxa"/>
                  <w:noWrap w:val="0"/>
                  <w:vAlign w:val="center"/>
                </w:tcPr>
                <w:p w14:paraId="07A0A47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本项目为扩建，</w:t>
                  </w:r>
                  <w:r>
                    <w:rPr>
                      <w:rFonts w:hint="default" w:ascii="Times New Roman" w:hAnsi="Times New Roman" w:cs="Times New Roman"/>
                      <w:color w:val="000000" w:themeColor="text1"/>
                      <w:vertAlign w:val="baseline"/>
                      <w:lang w:val="en-US" w:eastAsia="zh-CN"/>
                      <w14:textFill>
                        <w14:solidFill>
                          <w14:schemeClr w14:val="tx1"/>
                        </w14:solidFill>
                      </w14:textFill>
                    </w:rPr>
                    <w:t>主要污染物排放要求满足当地总量减排要求</w:t>
                  </w:r>
                </w:p>
              </w:tc>
            </w:tr>
            <w:tr w14:paraId="22C7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5415192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4565E86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w:t>
                  </w:r>
                </w:p>
              </w:tc>
              <w:tc>
                <w:tcPr>
                  <w:tcW w:w="3947" w:type="dxa"/>
                  <w:noWrap w:val="0"/>
                  <w:vAlign w:val="center"/>
                </w:tcPr>
                <w:p w14:paraId="197C7728">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2021年全市细颗粒物（PM2.5）年均浓度控制在60微克/立方米以下，可吸入颗粒物（PM10）年均浓度控制在104微克/立方米以下，优良天数比例达到50%。完成国家、省定的地表水环境质量和饮用水水质目标，南水北调中线一期工程总干渠安阳辖区取水水质稳定达到Ⅱ类。全市土壤环境质量总体保持稳定，土壤环境风险得到管控，土壤污染防治体系基本完善。土壤安全利用进一步巩固提升，受污染耕地安全利用率力争实现100%，污染地块安全利用率力争实现100%。</w:t>
                  </w:r>
                </w:p>
              </w:tc>
              <w:tc>
                <w:tcPr>
                  <w:tcW w:w="2488" w:type="dxa"/>
                  <w:noWrap w:val="0"/>
                  <w:vAlign w:val="center"/>
                </w:tcPr>
                <w:p w14:paraId="0FDA93E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本项目颗粒物、VOCs实行倍量替代，有利于改善区域环境质量</w:t>
                  </w:r>
                </w:p>
              </w:tc>
            </w:tr>
            <w:tr w14:paraId="02BB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41CFC73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633B64E6">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3</w:t>
                  </w:r>
                </w:p>
              </w:tc>
              <w:tc>
                <w:tcPr>
                  <w:tcW w:w="3947" w:type="dxa"/>
                  <w:noWrap w:val="0"/>
                  <w:vAlign w:val="center"/>
                </w:tcPr>
                <w:p w14:paraId="12615355">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全市所有钢铁（烧结、炼铁、炼钢、轧钢）、焦化、化工、有色、水泥行业以及工业锅炉（含燃气锅炉）大气污染物严格执行特别排放限值。钢铁、焦化等行业主要污染物排放符合超低排放要求。</w:t>
                  </w:r>
                </w:p>
              </w:tc>
              <w:tc>
                <w:tcPr>
                  <w:tcW w:w="2488" w:type="dxa"/>
                  <w:noWrap w:val="0"/>
                  <w:vAlign w:val="center"/>
                </w:tcPr>
                <w:p w14:paraId="59E6E7C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本项目执行</w:t>
                  </w:r>
                  <w:r>
                    <w:rPr>
                      <w:rFonts w:hint="default" w:ascii="Times New Roman" w:hAnsi="Times New Roman" w:cs="Times New Roman"/>
                      <w:color w:val="000000" w:themeColor="text1"/>
                      <w:vertAlign w:val="baseline"/>
                      <w:lang w:val="en-US" w:eastAsia="zh-CN"/>
                      <w14:textFill>
                        <w14:solidFill>
                          <w14:schemeClr w14:val="tx1"/>
                        </w14:solidFill>
                      </w14:textFill>
                    </w:rPr>
                    <w:t>大气污染物特别排放限值</w:t>
                  </w:r>
                </w:p>
              </w:tc>
            </w:tr>
            <w:tr w14:paraId="6868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364B6AD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6438128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4</w:t>
                  </w:r>
                </w:p>
              </w:tc>
              <w:tc>
                <w:tcPr>
                  <w:tcW w:w="3947" w:type="dxa"/>
                  <w:noWrap w:val="0"/>
                  <w:vAlign w:val="center"/>
                </w:tcPr>
                <w:p w14:paraId="316F7F56">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钢铁、建材、有色、火电等重点行业物料（含废渣）运输、装卸、储存、转移和工艺过程等无组织排放，要采用密闭皮带、密闭通廊、管状带式输送机或密闭车厢、真空罐车、气力输送等密闭方式实施深度治理；冶金行业熔炼车间、钢铁行业转炉（电炉）炼钢车间顶部安装集尘和袋式除尘装置，确保车间烟气不外逸。</w:t>
                  </w:r>
                </w:p>
              </w:tc>
              <w:tc>
                <w:tcPr>
                  <w:tcW w:w="2488" w:type="dxa"/>
                  <w:noWrap w:val="0"/>
                  <w:vAlign w:val="center"/>
                </w:tcPr>
                <w:p w14:paraId="68263F2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5489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1A6AF5C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71DC131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5</w:t>
                  </w:r>
                </w:p>
              </w:tc>
              <w:tc>
                <w:tcPr>
                  <w:tcW w:w="3947" w:type="dxa"/>
                  <w:noWrap w:val="0"/>
                  <w:vAlign w:val="center"/>
                </w:tcPr>
                <w:p w14:paraId="31E76870">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医药、化工、橡胶、包装印刷、家具、金属表面涂装、合成革、制鞋等行业实施原料替代，以低挥发性原料替代高挥发性原料；进行工艺技术改造，实施生产过程密闭化、连续化、自动化技术改造，建立密闭式负压废气收集系统，并与生产过程同步运行；采取密闭式作业，并配备高效的溶剂回收和废气降解系统，根据不同行业VOCs排放浓度、成分，选择催化燃烧、蓄热燃烧、吸附、生物法、冷凝收集净化、电子焚烧、臭氧化除臭、等离子处理、光催化等针对性强、治理效果明显的处理技术，对含VOCs废气进行处理处置。</w:t>
                  </w:r>
                </w:p>
              </w:tc>
              <w:tc>
                <w:tcPr>
                  <w:tcW w:w="2488" w:type="dxa"/>
                  <w:noWrap w:val="0"/>
                  <w:vAlign w:val="center"/>
                </w:tcPr>
                <w:p w14:paraId="309F536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本项目为医药行业，</w:t>
                  </w:r>
                  <w:r>
                    <w:rPr>
                      <w:rFonts w:hint="default" w:ascii="Times New Roman" w:hAnsi="Times New Roman" w:cs="Times New Roman"/>
                      <w:color w:val="000000" w:themeColor="text1"/>
                      <w:vertAlign w:val="baseline"/>
                      <w:lang w:val="en-US" w:eastAsia="zh-CN"/>
                      <w14:textFill>
                        <w14:solidFill>
                          <w14:schemeClr w14:val="tx1"/>
                        </w14:solidFill>
                      </w14:textFill>
                    </w:rPr>
                    <w:t>采取密闭式作业，</w:t>
                  </w:r>
                  <w:r>
                    <w:rPr>
                      <w:rFonts w:hint="eastAsia" w:ascii="Times New Roman" w:hAnsi="Times New Roman" w:cs="Times New Roman"/>
                      <w:color w:val="000000" w:themeColor="text1"/>
                      <w:vertAlign w:val="baseline"/>
                      <w:lang w:val="en-US" w:eastAsia="zh-CN"/>
                      <w14:textFill>
                        <w14:solidFill>
                          <w14:schemeClr w14:val="tx1"/>
                        </w14:solidFill>
                      </w14:textFill>
                    </w:rPr>
                    <w:t>选择低温冷凝+RCO催化燃烧组合工艺，</w:t>
                  </w:r>
                  <w:r>
                    <w:rPr>
                      <w:rFonts w:hint="default" w:ascii="Times New Roman" w:hAnsi="Times New Roman" w:cs="Times New Roman"/>
                      <w:color w:val="000000" w:themeColor="text1"/>
                      <w:vertAlign w:val="baseline"/>
                      <w:lang w:val="en-US" w:eastAsia="zh-CN"/>
                      <w14:textFill>
                        <w14:solidFill>
                          <w14:schemeClr w14:val="tx1"/>
                        </w14:solidFill>
                      </w14:textFill>
                    </w:rPr>
                    <w:t>提高VOCs治理效率</w:t>
                  </w:r>
                  <w:r>
                    <w:rPr>
                      <w:rFonts w:hint="eastAsia" w:ascii="Times New Roman" w:hAnsi="Times New Roman" w:cs="Times New Roman"/>
                      <w:color w:val="000000" w:themeColor="text1"/>
                      <w:vertAlign w:val="baseline"/>
                      <w:lang w:val="en-US" w:eastAsia="zh-CN"/>
                      <w14:textFill>
                        <w14:solidFill>
                          <w14:schemeClr w14:val="tx1"/>
                        </w14:solidFill>
                      </w14:textFill>
                    </w:rPr>
                    <w:t>；</w:t>
                  </w:r>
                  <w:r>
                    <w:rPr>
                      <w:rFonts w:hint="default" w:ascii="Times New Roman" w:hAnsi="Times New Roman" w:cs="Times New Roman"/>
                      <w:color w:val="000000" w:themeColor="text1"/>
                      <w:vertAlign w:val="baseline"/>
                      <w:lang w:val="en-US" w:eastAsia="zh-CN"/>
                      <w14:textFill>
                        <w14:solidFill>
                          <w14:schemeClr w14:val="tx1"/>
                        </w14:solidFill>
                      </w14:textFill>
                    </w:rPr>
                    <w:t>VOCs无组织排放控制满足《挥发性有机物无组织排放控制标准（GB37822</w:t>
                  </w:r>
                  <w:r>
                    <w:rPr>
                      <w:rFonts w:hint="eastAsia" w:ascii="Times New Roman" w:hAnsi="Times New Roman" w:cs="Times New Roman"/>
                      <w:color w:val="000000" w:themeColor="text1"/>
                      <w:vertAlign w:val="baseline"/>
                      <w:lang w:val="en-US" w:eastAsia="zh-CN"/>
                      <w14:textFill>
                        <w14:solidFill>
                          <w14:schemeClr w14:val="tx1"/>
                        </w14:solidFill>
                      </w14:textFill>
                    </w:rPr>
                    <w:t xml:space="preserve"> </w:t>
                  </w:r>
                  <w:r>
                    <w:rPr>
                      <w:rFonts w:hint="default" w:ascii="Times New Roman" w:hAnsi="Times New Roman" w:cs="Times New Roman"/>
                      <w:color w:val="000000" w:themeColor="text1"/>
                      <w:vertAlign w:val="baseline"/>
                      <w:lang w:val="en-US" w:eastAsia="zh-CN"/>
                      <w14:textFill>
                        <w14:solidFill>
                          <w14:schemeClr w14:val="tx1"/>
                        </w14:solidFill>
                      </w14:textFill>
                    </w:rPr>
                    <w:t>—2019）》相关要求</w:t>
                  </w:r>
                </w:p>
              </w:tc>
            </w:tr>
            <w:tr w14:paraId="0104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53BB83B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70CE602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6</w:t>
                  </w:r>
                </w:p>
              </w:tc>
              <w:tc>
                <w:tcPr>
                  <w:tcW w:w="3947" w:type="dxa"/>
                  <w:noWrap w:val="0"/>
                  <w:vAlign w:val="center"/>
                </w:tcPr>
                <w:p w14:paraId="6ADC556F">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排污单位对污水进行预处理后向污水集中处理设施排放的，应当符合集中处理设施的接纳标准。</w:t>
                  </w:r>
                </w:p>
              </w:tc>
              <w:tc>
                <w:tcPr>
                  <w:tcW w:w="2488" w:type="dxa"/>
                  <w:noWrap w:val="0"/>
                  <w:vAlign w:val="center"/>
                </w:tcPr>
                <w:p w14:paraId="7E8EEDB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本项目废水经厂内污水站处理后能够达到集聚区污水厂收水标准要求</w:t>
                  </w:r>
                </w:p>
              </w:tc>
            </w:tr>
            <w:tr w14:paraId="097D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70D135E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112A57B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7</w:t>
                  </w:r>
                </w:p>
              </w:tc>
              <w:tc>
                <w:tcPr>
                  <w:tcW w:w="3947" w:type="dxa"/>
                  <w:noWrap w:val="0"/>
                  <w:vAlign w:val="center"/>
                </w:tcPr>
                <w:p w14:paraId="535E0295">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国家、省绩效分级重点行业的新建、改建、扩建项目达到B级以上要求。</w:t>
                  </w:r>
                </w:p>
              </w:tc>
              <w:tc>
                <w:tcPr>
                  <w:tcW w:w="2488" w:type="dxa"/>
                  <w:noWrap w:val="0"/>
                  <w:vAlign w:val="center"/>
                </w:tcPr>
                <w:p w14:paraId="7B22F9D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本项目为中药生产扩建项目，能够达到A级要求</w:t>
                  </w:r>
                </w:p>
              </w:tc>
            </w:tr>
            <w:tr w14:paraId="4226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1DD46C3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1531E37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8</w:t>
                  </w:r>
                </w:p>
              </w:tc>
              <w:tc>
                <w:tcPr>
                  <w:tcW w:w="3947" w:type="dxa"/>
                  <w:noWrap w:val="0"/>
                  <w:vAlign w:val="center"/>
                </w:tcPr>
                <w:p w14:paraId="6F38E08A">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新建、扩建“两高”项目应采用先进的工艺技术和装备，单位产品能耗、物耗、水耗等清洁生产水平和污染物排放强度应达到清洁生产先进水平，国家、省绩效分级重点行业新建、扩建项目达到A级水平，改建项目达到B级以上水平。大宗物料（150万吨以上）中长距离运输优先采用铁路、管道运输，短途接驳优先使用新能源车辆。重点区域鼓励高炉—转炉长流程钢铁企业转型为电炉短流程企业。</w:t>
                  </w:r>
                </w:p>
              </w:tc>
              <w:tc>
                <w:tcPr>
                  <w:tcW w:w="2488" w:type="dxa"/>
                  <w:noWrap w:val="0"/>
                  <w:vAlign w:val="center"/>
                </w:tcPr>
                <w:p w14:paraId="1549DFC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本项目不涉及两高项目</w:t>
                  </w:r>
                </w:p>
              </w:tc>
            </w:tr>
            <w:tr w14:paraId="6539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restart"/>
                  <w:noWrap w:val="0"/>
                  <w:vAlign w:val="center"/>
                </w:tcPr>
                <w:p w14:paraId="25FCE97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环境风险防控</w:t>
                  </w:r>
                </w:p>
              </w:tc>
              <w:tc>
                <w:tcPr>
                  <w:tcW w:w="685" w:type="dxa"/>
                  <w:noWrap w:val="0"/>
                  <w:vAlign w:val="center"/>
                </w:tcPr>
                <w:p w14:paraId="6F258586">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p>
              </w:tc>
              <w:tc>
                <w:tcPr>
                  <w:tcW w:w="3947" w:type="dxa"/>
                  <w:noWrap w:val="0"/>
                  <w:vAlign w:val="center"/>
                </w:tcPr>
                <w:p w14:paraId="37769069">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县（市、区）环保部门要结合本行政区地形地貌、河流水文、气候和环境风险源分布，以及突发环境事件应对情况等，依法依规开展区域突发环境事件风险评估，分析可能发生的突发环境事件，提出对策措施，报请本级政府予以实施，提高区域环境风险防范能力。企事业单位和其他生产经营者应当落实环境安全主体责任，按照相关法律、法规和标准规范的要求，开展突发环境事件风险评估，划分环境风险等级，完善突发环境事件风险防控措施，排查治理环境安全隐患。</w:t>
                  </w:r>
                </w:p>
              </w:tc>
              <w:tc>
                <w:tcPr>
                  <w:tcW w:w="2488" w:type="dxa"/>
                  <w:noWrap w:val="0"/>
                  <w:vAlign w:val="center"/>
                </w:tcPr>
                <w:p w14:paraId="5E5182C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本项目实施后及时</w:t>
                  </w:r>
                  <w:r>
                    <w:rPr>
                      <w:rFonts w:hint="default" w:ascii="Times New Roman" w:hAnsi="Times New Roman" w:cs="Times New Roman"/>
                      <w:color w:val="000000" w:themeColor="text1"/>
                      <w:vertAlign w:val="baseline"/>
                      <w:lang w:val="en-US" w:eastAsia="zh-CN"/>
                      <w14:textFill>
                        <w14:solidFill>
                          <w14:schemeClr w14:val="tx1"/>
                        </w14:solidFill>
                      </w14:textFill>
                    </w:rPr>
                    <w:t>开展环境风险评估和环境应急演练，健全风险防控措施</w:t>
                  </w:r>
                  <w:r>
                    <w:rPr>
                      <w:rFonts w:hint="eastAsia" w:ascii="Times New Roman" w:hAnsi="Times New Roman" w:cs="Times New Roman"/>
                      <w:color w:val="000000" w:themeColor="text1"/>
                      <w:vertAlign w:val="baseline"/>
                      <w:lang w:val="en-US" w:eastAsia="zh-CN"/>
                      <w14:textFill>
                        <w14:solidFill>
                          <w14:schemeClr w14:val="tx1"/>
                        </w14:solidFill>
                      </w14:textFill>
                    </w:rPr>
                    <w:t>。</w:t>
                  </w:r>
                </w:p>
              </w:tc>
            </w:tr>
            <w:tr w14:paraId="1CC4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605FBC8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6CAD3D1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w:t>
                  </w:r>
                </w:p>
              </w:tc>
              <w:tc>
                <w:tcPr>
                  <w:tcW w:w="3947" w:type="dxa"/>
                  <w:noWrap w:val="0"/>
                  <w:vAlign w:val="center"/>
                </w:tcPr>
                <w:p w14:paraId="4001A1DE">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各县（市、区）要完善河流上下游政府与相关部门间的联防联控，信息共享，闸坝调度机制，落实生态环境应急防范措施，强化应急演练，避免发生重、特大水污染事故。</w:t>
                  </w:r>
                </w:p>
              </w:tc>
              <w:tc>
                <w:tcPr>
                  <w:tcW w:w="2488" w:type="dxa"/>
                  <w:noWrap w:val="0"/>
                  <w:vAlign w:val="center"/>
                </w:tcPr>
                <w:p w14:paraId="616F7B8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5DA6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restart"/>
                  <w:noWrap w:val="0"/>
                  <w:vAlign w:val="center"/>
                </w:tcPr>
                <w:p w14:paraId="4F34B64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资源开发效率要求</w:t>
                  </w:r>
                </w:p>
              </w:tc>
              <w:tc>
                <w:tcPr>
                  <w:tcW w:w="685" w:type="dxa"/>
                  <w:noWrap w:val="0"/>
                  <w:vAlign w:val="center"/>
                </w:tcPr>
                <w:p w14:paraId="439AA0C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p>
              </w:tc>
              <w:tc>
                <w:tcPr>
                  <w:tcW w:w="3947" w:type="dxa"/>
                  <w:noWrap w:val="0"/>
                  <w:vAlign w:val="center"/>
                </w:tcPr>
                <w:p w14:paraId="7B6E5DD1">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十四五期间，全市年用水总量控制完成国家、省、市下达目标要求。火电、钢铁、造纸、化工、食品、发酵等高耗水行业、推进企业串联用水、分质用水、一水多用和梯级循环利用，提升工业污水资源化利用效率。</w:t>
                  </w:r>
                </w:p>
              </w:tc>
              <w:tc>
                <w:tcPr>
                  <w:tcW w:w="2488" w:type="dxa"/>
                  <w:noWrap w:val="0"/>
                  <w:vAlign w:val="center"/>
                </w:tcPr>
                <w:p w14:paraId="4580CD0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本项目不属于高耗水行业</w:t>
                  </w:r>
                </w:p>
              </w:tc>
            </w:tr>
            <w:tr w14:paraId="6931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684" w:type="dxa"/>
                  <w:vMerge w:val="continue"/>
                  <w:noWrap w:val="0"/>
                  <w:vAlign w:val="center"/>
                </w:tcPr>
                <w:p w14:paraId="7F1AEB7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3306DF5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w:t>
                  </w:r>
                </w:p>
              </w:tc>
              <w:tc>
                <w:tcPr>
                  <w:tcW w:w="3947" w:type="dxa"/>
                  <w:noWrap w:val="0"/>
                  <w:vAlign w:val="center"/>
                </w:tcPr>
                <w:p w14:paraId="70A94D31">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实行严格的耕地保护制度和节约用地制度，提高土地资源利用效率，实现从扩张型发展向内涵式发展的转变。新增建设用地土壤环境安全保障率100%。</w:t>
                  </w:r>
                </w:p>
              </w:tc>
              <w:tc>
                <w:tcPr>
                  <w:tcW w:w="2488" w:type="dxa"/>
                  <w:noWrap w:val="0"/>
                  <w:vAlign w:val="center"/>
                </w:tcPr>
                <w:p w14:paraId="4579F27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本项目用地为建设用地</w:t>
                  </w:r>
                </w:p>
              </w:tc>
            </w:tr>
            <w:tr w14:paraId="3879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7BE1C35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563EC8A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3</w:t>
                  </w:r>
                </w:p>
              </w:tc>
              <w:tc>
                <w:tcPr>
                  <w:tcW w:w="3947" w:type="dxa"/>
                  <w:noWrap w:val="0"/>
                  <w:vAlign w:val="center"/>
                </w:tcPr>
                <w:p w14:paraId="0F4DF290">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“十四五”全市煤炭消费总量控制目标为1919万吨。</w:t>
                  </w:r>
                </w:p>
              </w:tc>
              <w:tc>
                <w:tcPr>
                  <w:tcW w:w="2488" w:type="dxa"/>
                  <w:noWrap w:val="0"/>
                  <w:vAlign w:val="center"/>
                </w:tcPr>
                <w:p w14:paraId="2998512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075B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495C519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58E314E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4</w:t>
                  </w:r>
                </w:p>
              </w:tc>
              <w:tc>
                <w:tcPr>
                  <w:tcW w:w="3947" w:type="dxa"/>
                  <w:noWrap w:val="0"/>
                  <w:vAlign w:val="center"/>
                </w:tcPr>
                <w:p w14:paraId="0976139A">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“十四五”全市能耗增量控制目标为 135万吨标准煤。</w:t>
                  </w:r>
                </w:p>
              </w:tc>
              <w:tc>
                <w:tcPr>
                  <w:tcW w:w="2488" w:type="dxa"/>
                  <w:noWrap w:val="0"/>
                  <w:vAlign w:val="center"/>
                </w:tcPr>
                <w:p w14:paraId="67665CE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本项目不属于高耗能，不会影响全市能耗增量控制目标</w:t>
                  </w:r>
                </w:p>
              </w:tc>
            </w:tr>
            <w:tr w14:paraId="45C1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noWrap w:val="0"/>
                  <w:vAlign w:val="center"/>
                </w:tcPr>
                <w:p w14:paraId="6C896A3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w:t>
                  </w:r>
                </w:p>
              </w:tc>
              <w:tc>
                <w:tcPr>
                  <w:tcW w:w="7120" w:type="dxa"/>
                  <w:gridSpan w:val="3"/>
                  <w:noWrap w:val="0"/>
                  <w:vAlign w:val="center"/>
                </w:tcPr>
                <w:p w14:paraId="5860C9A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汤阴县产业集聚区生态环境准入清单</w:t>
                  </w:r>
                </w:p>
              </w:tc>
            </w:tr>
            <w:tr w14:paraId="0BE9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restart"/>
                  <w:noWrap w:val="0"/>
                  <w:vAlign w:val="center"/>
                </w:tcPr>
                <w:p w14:paraId="281CAA4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空间布局约束</w:t>
                  </w:r>
                </w:p>
              </w:tc>
              <w:tc>
                <w:tcPr>
                  <w:tcW w:w="685" w:type="dxa"/>
                  <w:noWrap w:val="0"/>
                  <w:vAlign w:val="center"/>
                </w:tcPr>
                <w:p w14:paraId="1CC0B24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p>
              </w:tc>
              <w:tc>
                <w:tcPr>
                  <w:tcW w:w="3947" w:type="dxa"/>
                  <w:noWrap w:val="0"/>
                  <w:vAlign w:val="center"/>
                </w:tcPr>
                <w:p w14:paraId="3F7E5487">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鼓励发展主导产业，完善产业链条，严格控制非主导产业。</w:t>
                  </w:r>
                </w:p>
              </w:tc>
              <w:tc>
                <w:tcPr>
                  <w:tcW w:w="2488" w:type="dxa"/>
                  <w:noWrap w:val="0"/>
                  <w:vAlign w:val="center"/>
                </w:tcPr>
                <w:p w14:paraId="72C1367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本项目为中成药生产，属于汤阴集聚区主导产业</w:t>
                  </w:r>
                </w:p>
              </w:tc>
            </w:tr>
            <w:tr w14:paraId="05D1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37D6CA9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41794D6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w:t>
                  </w:r>
                </w:p>
              </w:tc>
              <w:tc>
                <w:tcPr>
                  <w:tcW w:w="3947" w:type="dxa"/>
                  <w:noWrap w:val="0"/>
                  <w:vAlign w:val="center"/>
                </w:tcPr>
                <w:p w14:paraId="1F73D328">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禁止入驻列入负面清单项目。</w:t>
                  </w:r>
                </w:p>
              </w:tc>
              <w:tc>
                <w:tcPr>
                  <w:tcW w:w="2488" w:type="dxa"/>
                  <w:noWrap w:val="0"/>
                  <w:vAlign w:val="center"/>
                </w:tcPr>
                <w:p w14:paraId="0DEC5F0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本项目未列入</w:t>
                  </w:r>
                  <w:r>
                    <w:rPr>
                      <w:rFonts w:hint="default" w:ascii="Times New Roman" w:hAnsi="Times New Roman" w:cs="Times New Roman"/>
                      <w:color w:val="000000" w:themeColor="text1"/>
                      <w:vertAlign w:val="baseline"/>
                      <w:lang w:val="en-US" w:eastAsia="zh-CN"/>
                      <w14:textFill>
                        <w14:solidFill>
                          <w14:schemeClr w14:val="tx1"/>
                        </w14:solidFill>
                      </w14:textFill>
                    </w:rPr>
                    <w:t>负面清单</w:t>
                  </w:r>
                </w:p>
              </w:tc>
            </w:tr>
            <w:tr w14:paraId="56D8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17D3882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68A2257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3</w:t>
                  </w:r>
                </w:p>
              </w:tc>
              <w:tc>
                <w:tcPr>
                  <w:tcW w:w="3947" w:type="dxa"/>
                  <w:noWrap w:val="0"/>
                  <w:vAlign w:val="center"/>
                </w:tcPr>
                <w:p w14:paraId="1023FAC3">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开发区禁止引入：煤化工、石油化工、制浆造纸、水泥、陶瓷、农药、制革及毛皮鞣制等高水耗、高能耗、污染排放量大的行业。</w:t>
                  </w:r>
                </w:p>
              </w:tc>
              <w:tc>
                <w:tcPr>
                  <w:tcW w:w="2488" w:type="dxa"/>
                  <w:noWrap w:val="0"/>
                  <w:vAlign w:val="center"/>
                </w:tcPr>
                <w:p w14:paraId="2C1D16F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4889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05988DC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7C37227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4</w:t>
                  </w:r>
                </w:p>
              </w:tc>
              <w:tc>
                <w:tcPr>
                  <w:tcW w:w="3947" w:type="dxa"/>
                  <w:noWrap w:val="0"/>
                  <w:vAlign w:val="center"/>
                </w:tcPr>
                <w:p w14:paraId="6BDD5FA1">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禁止建设区范围：道路两侧的防护绿地；京广铁路客运专线两侧的生态绿地；伏道镇地下水井一级保护区范围；淤泥河和永通河及其两侧的生态绿地；公园绿地；广场用地；消防用地以及规划的城市发展备用地。</w:t>
                  </w:r>
                </w:p>
              </w:tc>
              <w:tc>
                <w:tcPr>
                  <w:tcW w:w="2488" w:type="dxa"/>
                  <w:noWrap w:val="0"/>
                  <w:vAlign w:val="center"/>
                </w:tcPr>
                <w:p w14:paraId="75911C6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w:t>
                  </w:r>
                </w:p>
              </w:tc>
            </w:tr>
            <w:tr w14:paraId="306A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2A845046">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5EEBF8F6">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5</w:t>
                  </w:r>
                </w:p>
              </w:tc>
              <w:tc>
                <w:tcPr>
                  <w:tcW w:w="3947" w:type="dxa"/>
                  <w:noWrap w:val="0"/>
                  <w:vAlign w:val="center"/>
                </w:tcPr>
                <w:p w14:paraId="1502BBD3">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严格落实规划环评及批复文件要求，规划调整修编时应同步开展规划环评。</w:t>
                  </w:r>
                </w:p>
              </w:tc>
              <w:tc>
                <w:tcPr>
                  <w:tcW w:w="2488" w:type="dxa"/>
                  <w:noWrap w:val="0"/>
                  <w:vAlign w:val="center"/>
                </w:tcPr>
                <w:p w14:paraId="44521E5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本项目符合规划环评及批复文件要求</w:t>
                  </w:r>
                </w:p>
              </w:tc>
            </w:tr>
            <w:tr w14:paraId="44F3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643D0CC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1653A12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6</w:t>
                  </w:r>
                </w:p>
              </w:tc>
              <w:tc>
                <w:tcPr>
                  <w:tcW w:w="3947" w:type="dxa"/>
                  <w:noWrap w:val="0"/>
                  <w:vAlign w:val="center"/>
                </w:tcPr>
                <w:p w14:paraId="457B26A3">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新建、改建、扩建“两高”项目须符合生态环境保护法律法规和相关法定规划，满足重点污染物排放总量控制、碳排放达峰目标、生态环境准入清单、相关规划环评和相应行业建设项目环境准入条件、环评文件审批原则要求。</w:t>
                  </w:r>
                </w:p>
              </w:tc>
              <w:tc>
                <w:tcPr>
                  <w:tcW w:w="2488" w:type="dxa"/>
                  <w:noWrap w:val="0"/>
                  <w:vAlign w:val="center"/>
                </w:tcPr>
                <w:p w14:paraId="1836551D">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本项目不属于两高项目</w:t>
                  </w:r>
                </w:p>
              </w:tc>
            </w:tr>
            <w:tr w14:paraId="2D8D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624756C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6781F3E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7</w:t>
                  </w:r>
                </w:p>
              </w:tc>
              <w:tc>
                <w:tcPr>
                  <w:tcW w:w="3947" w:type="dxa"/>
                  <w:noWrap w:val="0"/>
                  <w:vAlign w:val="center"/>
                </w:tcPr>
                <w:p w14:paraId="19203FA7">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鼓励粮油深加工、肉制品深加工；高性能优质钢材和装备制造用钢；化学制药、中药制造；智慧医疗技术系统、高端医疗器械等医疗产品相关产业入驻。</w:t>
                  </w:r>
                </w:p>
              </w:tc>
              <w:tc>
                <w:tcPr>
                  <w:tcW w:w="2488" w:type="dxa"/>
                  <w:noWrap w:val="0"/>
                  <w:vAlign w:val="center"/>
                </w:tcPr>
                <w:p w14:paraId="0F7DFF5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r>
            <w:tr w14:paraId="128C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5D51A00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0EE221A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8</w:t>
                  </w:r>
                </w:p>
              </w:tc>
              <w:tc>
                <w:tcPr>
                  <w:tcW w:w="3947" w:type="dxa"/>
                  <w:noWrap w:val="0"/>
                  <w:vAlign w:val="center"/>
                </w:tcPr>
                <w:p w14:paraId="3ED079E7">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入驻项目应符合园区规划或规划环评的要求。</w:t>
                  </w:r>
                </w:p>
              </w:tc>
              <w:tc>
                <w:tcPr>
                  <w:tcW w:w="2488" w:type="dxa"/>
                  <w:noWrap w:val="0"/>
                  <w:vAlign w:val="center"/>
                </w:tcPr>
                <w:p w14:paraId="4F482B0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4417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restart"/>
                  <w:noWrap w:val="0"/>
                  <w:vAlign w:val="center"/>
                </w:tcPr>
                <w:p w14:paraId="12FBF2F9">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污染物排放管控</w:t>
                  </w:r>
                </w:p>
              </w:tc>
              <w:tc>
                <w:tcPr>
                  <w:tcW w:w="685" w:type="dxa"/>
                  <w:noWrap w:val="0"/>
                  <w:vAlign w:val="center"/>
                </w:tcPr>
                <w:p w14:paraId="78BA73E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p>
              </w:tc>
              <w:tc>
                <w:tcPr>
                  <w:tcW w:w="3947" w:type="dxa"/>
                  <w:noWrap w:val="0"/>
                  <w:vAlign w:val="center"/>
                </w:tcPr>
                <w:p w14:paraId="64198805">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严格控制高耗能、高排放项目准入，新建、改建、扩建“两高”项目须符合生态环境保护法律法规和相关法定规划，满足重点污染物排放总量控制、碳排放达峰目标、生态环境准入清单、相关规划环评和相应行业建设项目环境准入条件、环评文件审批原则要求。</w:t>
                  </w:r>
                </w:p>
              </w:tc>
              <w:tc>
                <w:tcPr>
                  <w:tcW w:w="2488" w:type="dxa"/>
                  <w:noWrap w:val="0"/>
                  <w:vAlign w:val="center"/>
                </w:tcPr>
                <w:p w14:paraId="4472CBA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本项目不属于两高项目，颗粒物、VOCs实行倍量替代</w:t>
                  </w:r>
                </w:p>
              </w:tc>
            </w:tr>
            <w:tr w14:paraId="7020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5AB30CF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37CD82E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w:t>
                  </w:r>
                </w:p>
              </w:tc>
              <w:tc>
                <w:tcPr>
                  <w:tcW w:w="3947" w:type="dxa"/>
                  <w:noWrap w:val="0"/>
                  <w:vAlign w:val="center"/>
                </w:tcPr>
                <w:p w14:paraId="07A4F2D8">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禁止含重金属废水进入城市生活污水处理厂。</w:t>
                  </w:r>
                </w:p>
              </w:tc>
              <w:tc>
                <w:tcPr>
                  <w:tcW w:w="2488" w:type="dxa"/>
                  <w:noWrap w:val="0"/>
                  <w:vAlign w:val="center"/>
                </w:tcPr>
                <w:p w14:paraId="0C4221B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本项目废水不含重金属</w:t>
                  </w:r>
                </w:p>
              </w:tc>
            </w:tr>
            <w:tr w14:paraId="58F9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vMerge w:val="continue"/>
                  <w:noWrap w:val="0"/>
                  <w:vAlign w:val="center"/>
                </w:tcPr>
                <w:p w14:paraId="4669390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c>
                <w:tcPr>
                  <w:tcW w:w="685" w:type="dxa"/>
                  <w:noWrap w:val="0"/>
                  <w:vAlign w:val="center"/>
                </w:tcPr>
                <w:p w14:paraId="70184A7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3</w:t>
                  </w:r>
                </w:p>
              </w:tc>
              <w:tc>
                <w:tcPr>
                  <w:tcW w:w="3947" w:type="dxa"/>
                  <w:noWrap w:val="0"/>
                  <w:vAlign w:val="center"/>
                </w:tcPr>
                <w:p w14:paraId="446DACB0">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持续开展“散乱污”企业动态管理，实现平原地区散煤取暖基本清零，开展城市清洁行动，全面提升“三散”污染治理水平。</w:t>
                  </w:r>
                </w:p>
              </w:tc>
              <w:tc>
                <w:tcPr>
                  <w:tcW w:w="2488" w:type="dxa"/>
                  <w:noWrap w:val="0"/>
                  <w:vAlign w:val="center"/>
                </w:tcPr>
                <w:p w14:paraId="2FD657F6">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本项目不属于“散乱污”企业</w:t>
                  </w:r>
                </w:p>
              </w:tc>
            </w:tr>
            <w:tr w14:paraId="5802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684" w:type="dxa"/>
                  <w:noWrap w:val="0"/>
                  <w:vAlign w:val="center"/>
                </w:tcPr>
                <w:p w14:paraId="498758E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环境风险防控</w:t>
                  </w:r>
                </w:p>
              </w:tc>
              <w:tc>
                <w:tcPr>
                  <w:tcW w:w="685" w:type="dxa"/>
                  <w:noWrap w:val="0"/>
                  <w:vAlign w:val="center"/>
                </w:tcPr>
                <w:p w14:paraId="01A077C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p>
              </w:tc>
              <w:tc>
                <w:tcPr>
                  <w:tcW w:w="3947" w:type="dxa"/>
                  <w:noWrap w:val="0"/>
                  <w:vAlign w:val="center"/>
                </w:tcPr>
                <w:p w14:paraId="6633DDCA">
                  <w:pPr>
                    <w:pStyle w:val="14"/>
                    <w:jc w:val="left"/>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有色金属冶炼、化工和危险化学品生产、储存、使用等企业在拆除生产设施设备、污染治理设施时，要事先制定残留污染物清理和安全处置方案。</w:t>
                  </w:r>
                </w:p>
              </w:tc>
              <w:tc>
                <w:tcPr>
                  <w:tcW w:w="2488" w:type="dxa"/>
                  <w:noWrap w:val="0"/>
                  <w:vAlign w:val="center"/>
                </w:tcPr>
                <w:p w14:paraId="5BF39BA6">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本项目使用乙醇等危险化学品，</w:t>
                  </w:r>
                  <w:r>
                    <w:rPr>
                      <w:rFonts w:hint="default" w:ascii="Times New Roman" w:hAnsi="Times New Roman" w:cs="Times New Roman"/>
                      <w:color w:val="000000" w:themeColor="text1"/>
                      <w:vertAlign w:val="baseline"/>
                      <w:lang w:val="en-US" w:eastAsia="zh-CN"/>
                      <w14:textFill>
                        <w14:solidFill>
                          <w14:schemeClr w14:val="tx1"/>
                        </w14:solidFill>
                      </w14:textFill>
                    </w:rPr>
                    <w:t>严格</w:t>
                  </w:r>
                  <w:r>
                    <w:rPr>
                      <w:rFonts w:hint="eastAsia" w:ascii="Times New Roman" w:hAnsi="Times New Roman" w:cs="Times New Roman"/>
                      <w:color w:val="000000" w:themeColor="text1"/>
                      <w:vertAlign w:val="baseline"/>
                      <w:lang w:val="en-US" w:eastAsia="zh-CN"/>
                      <w14:textFill>
                        <w14:solidFill>
                          <w14:schemeClr w14:val="tx1"/>
                        </w14:solidFill>
                      </w14:textFill>
                    </w:rPr>
                    <w:t>按照</w:t>
                  </w:r>
                  <w:r>
                    <w:rPr>
                      <w:rFonts w:hint="default" w:ascii="Times New Roman" w:hAnsi="Times New Roman" w:cs="Times New Roman"/>
                      <w:color w:val="000000" w:themeColor="text1"/>
                      <w:vertAlign w:val="baseline"/>
                      <w:lang w:val="en-US" w:eastAsia="zh-CN"/>
                      <w14:textFill>
                        <w14:solidFill>
                          <w14:schemeClr w14:val="tx1"/>
                        </w14:solidFill>
                      </w14:textFill>
                    </w:rPr>
                    <w:t>危险化学品</w:t>
                  </w:r>
                  <w:r>
                    <w:rPr>
                      <w:rFonts w:hint="eastAsia" w:ascii="Times New Roman" w:hAnsi="Times New Roman" w:cs="Times New Roman"/>
                      <w:color w:val="000000" w:themeColor="text1"/>
                      <w:vertAlign w:val="baseline"/>
                      <w:lang w:val="en-US" w:eastAsia="zh-CN"/>
                      <w14:textFill>
                        <w14:solidFill>
                          <w14:schemeClr w14:val="tx1"/>
                        </w14:solidFill>
                      </w14:textFill>
                    </w:rPr>
                    <w:t>的要求进行</w:t>
                  </w:r>
                  <w:r>
                    <w:rPr>
                      <w:rFonts w:hint="default" w:ascii="Times New Roman" w:hAnsi="Times New Roman" w:cs="Times New Roman"/>
                      <w:color w:val="000000" w:themeColor="text1"/>
                      <w:vertAlign w:val="baseline"/>
                      <w:lang w:val="en-US" w:eastAsia="zh-CN"/>
                      <w14:textFill>
                        <w14:solidFill>
                          <w14:schemeClr w14:val="tx1"/>
                        </w14:solidFill>
                      </w14:textFill>
                    </w:rPr>
                    <w:t>管理</w:t>
                  </w:r>
                </w:p>
              </w:tc>
            </w:tr>
          </w:tbl>
          <w:p w14:paraId="23A0990A">
            <w:pPr>
              <w:pStyle w:val="67"/>
              <w:keepNext w:val="0"/>
              <w:keepLines w:val="0"/>
              <w:pageBreakBefore w:val="0"/>
              <w:widowControl w:val="0"/>
              <w:kinsoku/>
              <w:wordWrap/>
              <w:overflowPunct/>
              <w:topLinePunct w:val="0"/>
              <w:autoSpaceDE/>
              <w:autoSpaceDN/>
              <w:bidi w:val="0"/>
              <w:adjustRightInd w:val="0"/>
              <w:snapToGrid/>
              <w:spacing w:before="313" w:beforeLines="100"/>
              <w:ind w:leftChars="0"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14:textFill>
                  <w14:solidFill>
                    <w14:schemeClr w14:val="tx1"/>
                  </w14:solidFill>
                </w14:textFill>
              </w:rPr>
              <w:t>因此，本工程符合《安阳市“三线一单”生态环境分区管控准入清单》</w:t>
            </w:r>
            <w:r>
              <w:rPr>
                <w:rFonts w:hint="eastAsia" w:ascii="Times New Roman" w:eastAsia="宋体" w:cs="Times New Roman"/>
                <w:color w:val="000000" w:themeColor="text1"/>
                <w:sz w:val="24"/>
                <w:szCs w:val="24"/>
                <w:lang w:val="en-US" w:eastAsia="zh-CN"/>
                <w14:textFill>
                  <w14:solidFill>
                    <w14:schemeClr w14:val="tx1"/>
                  </w14:solidFill>
                </w14:textFill>
              </w:rPr>
              <w:t>的</w:t>
            </w:r>
            <w:r>
              <w:rPr>
                <w:rFonts w:hint="default" w:ascii="Times New Roman" w:hAnsi="Times New Roman" w:eastAsia="宋体" w:cs="Times New Roman"/>
                <w:color w:val="000000" w:themeColor="text1"/>
                <w:sz w:val="24"/>
                <w:szCs w:val="24"/>
                <w:lang w:val="en-US"/>
                <w14:textFill>
                  <w14:solidFill>
                    <w14:schemeClr w14:val="tx1"/>
                  </w14:solidFill>
                </w14:textFill>
              </w:rPr>
              <w:t>要求。</w:t>
            </w:r>
          </w:p>
          <w:p w14:paraId="7DDF7F23">
            <w:pPr>
              <w:keepNext w:val="0"/>
              <w:keepLines w:val="0"/>
              <w:pageBreakBefore w:val="0"/>
              <w:widowControl w:val="0"/>
              <w:kinsoku/>
              <w:wordWrap/>
              <w:overflowPunct/>
              <w:topLinePunct w:val="0"/>
              <w:autoSpaceDE/>
              <w:autoSpaceDN/>
              <w:bidi w:val="0"/>
              <w:adjustRightInd w:val="0"/>
              <w:snapToGrid/>
              <w:spacing w:line="360" w:lineRule="auto"/>
              <w:textAlignment w:val="auto"/>
              <w:outlineLvl w:val="0"/>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bookmarkStart w:id="1" w:name="_Toc466645946"/>
            <w:bookmarkStart w:id="2" w:name="_Toc459189471"/>
            <w:bookmarkStart w:id="3" w:name="_Toc453855790"/>
            <w:bookmarkStart w:id="4" w:name="_Toc459714925"/>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三、</w:t>
            </w:r>
            <w:r>
              <w:rPr>
                <w:rFonts w:hint="default" w:ascii="Times New Roman" w:hAnsi="Times New Roman" w:cs="Times New Roman"/>
                <w:b w:val="0"/>
                <w:color w:val="000000" w:themeColor="text1"/>
                <w:sz w:val="24"/>
                <w:szCs w:val="24"/>
                <w:highlight w:val="none"/>
                <w14:textFill>
                  <w14:solidFill>
                    <w14:schemeClr w14:val="tx1"/>
                  </w14:solidFill>
                </w14:textFill>
              </w:rPr>
              <w:t>饮用水水源保护区</w:t>
            </w:r>
            <w:bookmarkEnd w:id="1"/>
            <w:bookmarkEnd w:id="2"/>
            <w:bookmarkEnd w:id="3"/>
            <w:bookmarkEnd w:id="4"/>
            <w:r>
              <w:rPr>
                <w:rFonts w:hint="eastAsia" w:ascii="Times New Roman" w:hAnsi="Times New Roman" w:cs="Times New Roman"/>
                <w:b w:val="0"/>
                <w:color w:val="000000" w:themeColor="text1"/>
                <w:sz w:val="24"/>
                <w:szCs w:val="24"/>
                <w:highlight w:val="none"/>
                <w:lang w:val="en-US" w:eastAsia="zh-CN"/>
                <w14:textFill>
                  <w14:solidFill>
                    <w14:schemeClr w14:val="tx1"/>
                  </w14:solidFill>
                </w14:textFill>
              </w:rPr>
              <w:t>规划</w:t>
            </w:r>
          </w:p>
          <w:p w14:paraId="4DDD8D5D">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根据《河南省人民政府办公厅关于印发河南省乡镇集中式饮用水水源保护区划的通知》（豫政办[2016]23号）、《河南省人民政府关于取消部分集中式饮用水水源地的批复》（豫政文[2018]114号）</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《河南省人民政府关于划定调整取消部分集中式饮用水水源保护区的通知》（豫政文[2020]</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56号）、《河南省人民政府关于划定调整取消部分集中式饮用水水源保护区的通知》（豫政文[2020]99号），汤阴县域境内乡镇级级饮用水源地为8处</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具体如下</w:t>
            </w:r>
            <w:r>
              <w:rPr>
                <w:rFonts w:hint="eastAsia" w:ascii="宋体" w:hAnsi="宋体" w:eastAsia="宋体" w:cs="宋体"/>
                <w:color w:val="000000" w:themeColor="text1"/>
                <w:sz w:val="24"/>
                <w:szCs w:val="24"/>
                <w14:textFill>
                  <w14:solidFill>
                    <w14:schemeClr w14:val="tx1"/>
                  </w14:solidFill>
                </w14:textFill>
              </w:rPr>
              <w:t>：</w:t>
            </w:r>
          </w:p>
          <w:p w14:paraId="2674DA53">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(1)汤阴县古贤乡地下水井(共1眼井)</w:t>
            </w:r>
          </w:p>
          <w:p w14:paraId="76E2E421">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一级保护区范围：水管站内及外围东12米、北60米、西49米、南29米的区域。</w:t>
            </w:r>
          </w:p>
          <w:p w14:paraId="48BED53F">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(2)汤阴县菜园镇地下水井(共1眼井)一级保护区范围：水厂厂区及外围东30米、西23米、南32米、北33米的区域。</w:t>
            </w:r>
          </w:p>
          <w:p w14:paraId="1EFD55A5">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(3)汤阴县任固镇地下水井群(共2眼井)</w:t>
            </w:r>
          </w:p>
          <w:p w14:paraId="590D9623">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一级保护区范围：水厂厂区及外围东10米、西16米、南18米、北11米的区域。</w:t>
            </w:r>
          </w:p>
          <w:p w14:paraId="0339C023">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(4)汤阴县五陵镇地下水井(共1眼井)</w:t>
            </w:r>
          </w:p>
          <w:p w14:paraId="4D114AB7">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一级保护区范围：水厂厂区及外围西11米、南20米的区域。</w:t>
            </w:r>
          </w:p>
          <w:p w14:paraId="0B545815">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(5)汤阴县瓦岗乡地下水井群(共3眼井)</w:t>
            </w:r>
          </w:p>
          <w:p w14:paraId="4AE90A45">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一级保护区范围：水厂厂区及外围东8米、西60米、南58米的区域。</w:t>
            </w:r>
          </w:p>
          <w:p w14:paraId="3AFFF8E8">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(6)汤阴县伏道镇地下水井(共1眼井)</w:t>
            </w:r>
          </w:p>
          <w:p w14:paraId="5F95D457">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一级保护区范围：水厂厂区及外围东6米、西24米、南15米的区域。</w:t>
            </w:r>
          </w:p>
          <w:p w14:paraId="7961A02A">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(7)汤阴县白营镇地下水井(共1眼井)</w:t>
            </w:r>
          </w:p>
          <w:p w14:paraId="2C4C59BF">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一级保护区范围：取水井外围30米的区域。</w:t>
            </w:r>
          </w:p>
          <w:p w14:paraId="5C7038E8">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二级保护区范围：一级保护区外围300米的区域。</w:t>
            </w:r>
          </w:p>
          <w:p w14:paraId="438FB4DC">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(8)汤阴县宜沟镇地下水井群(共2眼井)</w:t>
            </w:r>
          </w:p>
          <w:p w14:paraId="4568C5F1">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一级保护区范围：井群外包线内及外围30米的区域。</w:t>
            </w:r>
          </w:p>
          <w:p w14:paraId="3AEC8A22">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二级保护区范围：一级保护区外围300米的区域。</w:t>
            </w:r>
          </w:p>
          <w:p w14:paraId="7DF22487">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w:t>
            </w:r>
            <w:r>
              <w:rPr>
                <w:rFonts w:hint="eastAsia" w:ascii="宋体" w:hAnsi="宋体" w:cs="宋体"/>
                <w:color w:val="000000" w:themeColor="text1"/>
                <w:sz w:val="24"/>
                <w:szCs w:val="24"/>
                <w:lang w:val="en-US" w:eastAsia="zh-CN"/>
                <w14:textFill>
                  <w14:solidFill>
                    <w14:schemeClr w14:val="tx1"/>
                  </w14:solidFill>
                </w14:textFill>
              </w:rPr>
              <w:t>厂址附近的集中式饮用水源地为</w:t>
            </w:r>
            <w:r>
              <w:rPr>
                <w:rFonts w:hint="eastAsia" w:ascii="宋体" w:hAnsi="宋体" w:eastAsia="宋体" w:cs="宋体"/>
                <w:color w:val="000000" w:themeColor="text1"/>
                <w:sz w:val="24"/>
                <w:szCs w:val="24"/>
                <w14:textFill>
                  <w14:solidFill>
                    <w14:schemeClr w14:val="tx1"/>
                  </w14:solidFill>
                </w14:textFill>
              </w:rPr>
              <w:t>伏道镇地下水井(共1眼井)</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距离水厂西围墙外约为5米，项目位于</w:t>
            </w:r>
            <w:r>
              <w:rPr>
                <w:rFonts w:hint="eastAsia" w:ascii="宋体" w:hAnsi="宋体" w:eastAsia="宋体" w:cs="宋体"/>
                <w:color w:val="000000" w:themeColor="text1"/>
                <w:sz w:val="24"/>
                <w:szCs w:val="24"/>
                <w14:textFill>
                  <w14:solidFill>
                    <w14:schemeClr w14:val="tx1"/>
                  </w14:solidFill>
                </w14:textFill>
              </w:rPr>
              <w:t>一级保护区范围</w:t>
            </w:r>
            <w:r>
              <w:rPr>
                <w:rFonts w:hint="eastAsia" w:ascii="宋体" w:hAnsi="宋体" w:cs="宋体"/>
                <w:color w:val="000000" w:themeColor="text1"/>
                <w:sz w:val="24"/>
                <w:szCs w:val="24"/>
                <w:lang w:val="en-US" w:eastAsia="zh-CN"/>
                <w14:textFill>
                  <w14:solidFill>
                    <w14:schemeClr w14:val="tx1"/>
                  </w14:solidFill>
                </w14:textFill>
              </w:rPr>
              <w:t>内。根据汤阴县产业集聚区新的规划内容，“</w:t>
            </w:r>
            <w:r>
              <w:rPr>
                <w:rFonts w:hint="eastAsia" w:ascii="宋体" w:hAnsi="宋体" w:eastAsia="宋体" w:cs="宋体"/>
                <w:color w:val="000000" w:themeColor="text1"/>
                <w:sz w:val="24"/>
                <w:szCs w:val="24"/>
                <w14:textFill>
                  <w14:solidFill>
                    <w14:schemeClr w14:val="tx1"/>
                  </w14:solidFill>
                </w14:textFill>
              </w:rPr>
              <w:t>伏道镇集中饮用水地下水井（乡镇饮用水源地）及保护区范围位于本次调整后的集聚区范围内，远期供水范围内的伏道三街村使用集聚区供水管网统一供水，取消伏道镇集中式饮用水源</w:t>
            </w:r>
            <w:r>
              <w:rPr>
                <w:rFonts w:hint="eastAsia" w:ascii="宋体" w:hAnsi="宋体" w:cs="宋体"/>
                <w:color w:val="000000" w:themeColor="text1"/>
                <w:sz w:val="24"/>
                <w:szCs w:val="24"/>
                <w:lang w:val="en-US" w:eastAsia="zh-CN"/>
                <w14:textFill>
                  <w14:solidFill>
                    <w14:schemeClr w14:val="tx1"/>
                  </w14:solidFill>
                </w14:textFill>
              </w:rPr>
              <w:t>”，因此，本项目建设不会对该水厂产生不利影响</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目前，县水利局已出具取消该饮用水井，改为自来水厂供水的文件，县政府已向市政府提出取消该饮用水井的申请；下一步等待省政府关于取消该水井给于统一批复。根据县水利局及伏道镇出具的文件及现场调查结果，该水井已不再使用。</w:t>
            </w:r>
          </w:p>
          <w:p w14:paraId="083F455F">
            <w:pPr>
              <w:keepNext w:val="0"/>
              <w:keepLines w:val="0"/>
              <w:pageBreakBefore w:val="0"/>
              <w:widowControl w:val="0"/>
              <w:kinsoku/>
              <w:wordWrap/>
              <w:overflowPunct/>
              <w:topLinePunct w:val="0"/>
              <w:autoSpaceDE/>
              <w:autoSpaceDN/>
              <w:bidi w:val="0"/>
              <w:adjustRightInd w:val="0"/>
              <w:snapToGrid/>
              <w:spacing w:line="360" w:lineRule="auto"/>
              <w:textAlignment w:val="auto"/>
              <w:outlineLvl w:val="0"/>
              <w:rPr>
                <w:rFonts w:hint="eastAsia" w:cs="Times New Roman"/>
                <w:b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四</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cs="Times New Roman"/>
                <w:b w:val="0"/>
                <w:color w:val="000000" w:themeColor="text1"/>
                <w:sz w:val="24"/>
                <w:szCs w:val="24"/>
                <w:lang w:val="en-US" w:eastAsia="zh-CN"/>
                <w14:textFill>
                  <w14:solidFill>
                    <w14:schemeClr w14:val="tx1"/>
                  </w14:solidFill>
                </w14:textFill>
              </w:rPr>
              <w:t>与《河南省重污染天气通用行业应急减排措施制定技术指南（2024年）》对比分析</w:t>
            </w:r>
          </w:p>
          <w:p w14:paraId="3D000DAA">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查阅《</w:t>
            </w:r>
            <w:r>
              <w:rPr>
                <w:rFonts w:hint="eastAsia" w:cs="Times New Roman"/>
                <w:b w:val="0"/>
                <w:color w:val="000000" w:themeColor="text1"/>
                <w:sz w:val="24"/>
                <w:szCs w:val="24"/>
                <w:lang w:val="en-US" w:eastAsia="zh-CN"/>
                <w14:textFill>
                  <w14:solidFill>
                    <w14:schemeClr w14:val="tx1"/>
                  </w14:solidFill>
                </w14:textFill>
              </w:rPr>
              <w:t>河南省重污染天气通用行业应急减排措施制定技术指南（2024年）</w:t>
            </w:r>
            <w:r>
              <w:rPr>
                <w:rFonts w:hint="eastAsia" w:ascii="宋体" w:hAnsi="宋体" w:cs="宋体"/>
                <w:color w:val="000000" w:themeColor="text1"/>
                <w:sz w:val="24"/>
                <w:szCs w:val="24"/>
                <w:lang w:val="en-US" w:eastAsia="zh-CN"/>
                <w14:textFill>
                  <w14:solidFill>
                    <w14:schemeClr w14:val="tx1"/>
                  </w14:solidFill>
                </w14:textFill>
              </w:rPr>
              <w:t>》中通用涉PM、VOCs排放差异化管控要求，对比分析如下：</w:t>
            </w:r>
          </w:p>
          <w:p w14:paraId="1B4429F1">
            <w:pPr>
              <w:pStyle w:val="3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pPr>
          </w:p>
          <w:p w14:paraId="380B1E40">
            <w:pPr>
              <w:pStyle w:val="3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表</w:t>
            </w:r>
            <w:r>
              <w:rPr>
                <w:rFonts w:hint="eastAsia" w:ascii="Times New Roman" w:cs="Times New Roman"/>
                <w:b w:val="0"/>
                <w:bCs/>
                <w:color w:val="000000" w:themeColor="text1"/>
                <w:kern w:val="2"/>
                <w:sz w:val="24"/>
                <w:szCs w:val="24"/>
                <w:lang w:val="en-US" w:eastAsia="zh-CN" w:bidi="ar-SA"/>
                <w14:textFill>
                  <w14:solidFill>
                    <w14:schemeClr w14:val="tx1"/>
                  </w14:solidFill>
                </w14:textFill>
              </w:rPr>
              <w:t>5</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 xml:space="preserve"> 项目与通用涉PM、VOCs排放差异化管控要求对比一览表</w:t>
            </w:r>
          </w:p>
          <w:tbl>
            <w:tblPr>
              <w:tblStyle w:val="27"/>
              <w:tblW w:w="7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93"/>
              <w:gridCol w:w="5"/>
              <w:gridCol w:w="730"/>
              <w:gridCol w:w="4350"/>
              <w:gridCol w:w="2226"/>
            </w:tblGrid>
            <w:tr w14:paraId="2C96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noWrap w:val="0"/>
                  <w:vAlign w:val="center"/>
                </w:tcPr>
                <w:p w14:paraId="612A2875">
                  <w:pPr>
                    <w:pStyle w:val="14"/>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eastAsia" w:ascii="Times New Roman" w:hAnsi="Times New Roman" w:cs="Times New Roman"/>
                      <w:b/>
                      <w:bCs/>
                      <w:color w:val="000000" w:themeColor="text1"/>
                      <w:vertAlign w:val="baseline"/>
                      <w:lang w:val="en-US" w:eastAsia="zh-CN"/>
                      <w14:textFill>
                        <w14:solidFill>
                          <w14:schemeClr w14:val="tx1"/>
                        </w14:solidFill>
                      </w14:textFill>
                    </w:rPr>
                    <w:t>引领性指标</w:t>
                  </w:r>
                </w:p>
              </w:tc>
              <w:tc>
                <w:tcPr>
                  <w:tcW w:w="4350" w:type="dxa"/>
                  <w:noWrap w:val="0"/>
                  <w:vAlign w:val="center"/>
                </w:tcPr>
                <w:p w14:paraId="2FB60DC6">
                  <w:pPr>
                    <w:pStyle w:val="14"/>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eastAsia" w:ascii="Times New Roman" w:hAnsi="Times New Roman" w:cs="Times New Roman"/>
                      <w:b/>
                      <w:bCs/>
                      <w:color w:val="000000" w:themeColor="text1"/>
                      <w:vertAlign w:val="baseline"/>
                      <w:lang w:val="en-US" w:eastAsia="zh-CN"/>
                      <w14:textFill>
                        <w14:solidFill>
                          <w14:schemeClr w14:val="tx1"/>
                        </w14:solidFill>
                      </w14:textFill>
                    </w:rPr>
                    <w:t>通用涉PM企业</w:t>
                  </w:r>
                </w:p>
              </w:tc>
              <w:tc>
                <w:tcPr>
                  <w:tcW w:w="2226" w:type="dxa"/>
                  <w:noWrap w:val="0"/>
                  <w:vAlign w:val="center"/>
                </w:tcPr>
                <w:p w14:paraId="123F6E97">
                  <w:pPr>
                    <w:pStyle w:val="14"/>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相符性分析</w:t>
                  </w:r>
                </w:p>
              </w:tc>
            </w:tr>
            <w:tr w14:paraId="59F4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noWrap w:val="0"/>
                  <w:vAlign w:val="center"/>
                </w:tcPr>
                <w:p w14:paraId="38B7E455">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生产工艺和装备</w:t>
                  </w:r>
                </w:p>
              </w:tc>
              <w:tc>
                <w:tcPr>
                  <w:tcW w:w="4350" w:type="dxa"/>
                  <w:noWrap w:val="0"/>
                  <w:vAlign w:val="center"/>
                </w:tcPr>
                <w:p w14:paraId="3411AB43">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不属于《产业结构调整指导目录（2024年版）》淘汰类，不属于省级和市级政府部门明确列入已经限期淘汰类项目。</w:t>
                  </w:r>
                </w:p>
              </w:tc>
              <w:tc>
                <w:tcPr>
                  <w:tcW w:w="2226" w:type="dxa"/>
                  <w:noWrap w:val="0"/>
                  <w:vAlign w:val="center"/>
                </w:tcPr>
                <w:p w14:paraId="3ED1D39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本项目为中药生产，属于允许类，不属于淘汰类</w:t>
                  </w:r>
                </w:p>
              </w:tc>
            </w:tr>
            <w:tr w14:paraId="5A12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073C9CAE">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物料装卸</w:t>
                  </w:r>
                </w:p>
              </w:tc>
              <w:tc>
                <w:tcPr>
                  <w:tcW w:w="4350" w:type="dxa"/>
                  <w:noWrap w:val="0"/>
                  <w:vAlign w:val="center"/>
                </w:tcPr>
                <w:p w14:paraId="188D36FD">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1.车辆运输的物料应采取封闭措施。粉状、粒状、块状散装物料在封闭料场内装卸，装卸过程中产尘点应设置集气除尘装置，料堆应采取有效抑尘措施；</w:t>
                  </w:r>
                </w:p>
              </w:tc>
              <w:tc>
                <w:tcPr>
                  <w:tcW w:w="2226" w:type="dxa"/>
                  <w:noWrap w:val="0"/>
                  <w:vAlign w:val="center"/>
                </w:tcPr>
                <w:p w14:paraId="1FD9727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本项目不涉及料堆，使用的玉米淀粉、硬脂酸镁等粉状原料全部采用袋装</w:t>
                  </w:r>
                </w:p>
              </w:tc>
            </w:tr>
            <w:tr w14:paraId="1CFD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5FCE2DA2">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40445090">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2.不易产尘的袋装物料宜在料棚中装卸，如需露天装卸应采取防止破袋及粉尘外逸措施。</w:t>
                  </w:r>
                </w:p>
              </w:tc>
              <w:tc>
                <w:tcPr>
                  <w:tcW w:w="2226" w:type="dxa"/>
                  <w:noWrap w:val="0"/>
                  <w:vAlign w:val="center"/>
                </w:tcPr>
                <w:p w14:paraId="7FEC495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本项目袋装物料在密闭仓库内进行</w:t>
                  </w:r>
                </w:p>
              </w:tc>
            </w:tr>
            <w:tr w14:paraId="1D83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679B64BD">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物料储存</w:t>
                  </w:r>
                </w:p>
              </w:tc>
              <w:tc>
                <w:tcPr>
                  <w:tcW w:w="4350" w:type="dxa"/>
                  <w:noWrap w:val="0"/>
                  <w:vAlign w:val="center"/>
                </w:tcPr>
                <w:p w14:paraId="28D7D88D">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一般物料。粉状物料应储存于密闭/封闭料仓中；粒状、块状物料应储存于封闭料场中，并采取喷淋、清扫或其他有效抑尘措施；袋装物料应储存于封闭/半封闭料场中。封闭料场顶棚和四周围墙完整，料场内地面全部硬化，料场货物进出大门为硬质材料门或自动感应门，在确保安全的情况下，所有门窗保持常闭状态。不产尘物料（如钢材、管件）及产品如露天储存应在规定的存储区域码放整齐；</w:t>
                  </w:r>
                </w:p>
              </w:tc>
              <w:tc>
                <w:tcPr>
                  <w:tcW w:w="2226" w:type="dxa"/>
                  <w:noWrap w:val="0"/>
                  <w:vAlign w:val="center"/>
                </w:tcPr>
                <w:p w14:paraId="0657851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本项目一般物料采取袋装存放于原料库内，无粉尘产生</w:t>
                  </w:r>
                </w:p>
              </w:tc>
            </w:tr>
            <w:tr w14:paraId="09BC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52F75A81">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4163F6E3">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危险废物。应有符合规范要求的危险废物储存间，危险废物储存间门口应张贴标准规范的危险废物标识和危废信息板，建立台账并挂于危废间内，危险废物管理台账和危险废物转移情况信息表保存5年以上。危废间内禁止存放除危险废物和应急工具外的其他物品。涉大气污染物排放的，应设置对应污染治理设施。</w:t>
                  </w:r>
                </w:p>
              </w:tc>
              <w:tc>
                <w:tcPr>
                  <w:tcW w:w="2226" w:type="dxa"/>
                  <w:noWrap w:val="0"/>
                  <w:vAlign w:val="center"/>
                </w:tcPr>
                <w:p w14:paraId="36BCA8B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本项目危险废物存放于危废间内，门口张贴标准规范的危险废物标识和危废信息板，建立台账并挂于危废间内，危险废物管理台账和危险废物转移情况信息表保存5年以上，符合危废管理要求</w:t>
                  </w:r>
                </w:p>
              </w:tc>
            </w:tr>
            <w:tr w14:paraId="6335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3AE8A25D">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物料转移和输送</w:t>
                  </w:r>
                </w:p>
              </w:tc>
              <w:tc>
                <w:tcPr>
                  <w:tcW w:w="4350" w:type="dxa"/>
                  <w:noWrap w:val="0"/>
                  <w:vAlign w:val="center"/>
                </w:tcPr>
                <w:p w14:paraId="22E632F3">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1.粉状、粒状等易产尘物料厂内转移、输送过程应采用气力输送、密闭输送，块状和粘湿粉状物料采用封闭输送；</w:t>
                  </w:r>
                </w:p>
              </w:tc>
              <w:tc>
                <w:tcPr>
                  <w:tcW w:w="2226" w:type="dxa"/>
                  <w:noWrap w:val="0"/>
                  <w:vAlign w:val="center"/>
                </w:tcPr>
                <w:p w14:paraId="798078F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本项目粉状原料在车间内密闭输送</w:t>
                  </w:r>
                </w:p>
              </w:tc>
            </w:tr>
            <w:tr w14:paraId="4DF0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4BD7396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74B72EE2">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2.无法封闭的产尘点（物料转载、下料口等）应采取集气除尘措施，或有效抑尘措施。</w:t>
                  </w:r>
                </w:p>
              </w:tc>
              <w:tc>
                <w:tcPr>
                  <w:tcW w:w="2226" w:type="dxa"/>
                  <w:noWrap w:val="0"/>
                  <w:vAlign w:val="center"/>
                </w:tcPr>
                <w:p w14:paraId="6509D99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本项目投料粉尘采取集气除尘措施</w:t>
                  </w:r>
                </w:p>
              </w:tc>
            </w:tr>
            <w:tr w14:paraId="3397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3C3C6DA3">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工艺过程</w:t>
                  </w:r>
                </w:p>
              </w:tc>
              <w:tc>
                <w:tcPr>
                  <w:tcW w:w="4350" w:type="dxa"/>
                  <w:noWrap w:val="0"/>
                  <w:vAlign w:val="center"/>
                </w:tcPr>
                <w:p w14:paraId="15B4CEE6">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1.各种物料破碎、筛分、配料、混料等过程应在封闭厂房内进行，并采取收尘/抑尘措施；</w:t>
                  </w:r>
                </w:p>
              </w:tc>
              <w:tc>
                <w:tcPr>
                  <w:tcW w:w="2226" w:type="dxa"/>
                  <w:noWrap w:val="0"/>
                  <w:vAlign w:val="center"/>
                </w:tcPr>
                <w:p w14:paraId="207CBEC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本项目粉状原料破碎、筛分、配料、混料等过程在封闭厂房内进行，并采取收尘/抑尘措施</w:t>
                  </w:r>
                </w:p>
              </w:tc>
            </w:tr>
            <w:tr w14:paraId="3DC2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4B708379">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7D9BC149">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2.破碎筛分设备在进、出料口和配料混料过程等产尘点应设置集气除尘设施。</w:t>
                  </w:r>
                </w:p>
              </w:tc>
              <w:tc>
                <w:tcPr>
                  <w:tcW w:w="2226" w:type="dxa"/>
                  <w:noWrap w:val="0"/>
                  <w:vAlign w:val="center"/>
                </w:tcPr>
                <w:p w14:paraId="2A434F5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本项目破碎筛分设备在进、出料口和配料混料过程等产尘点设置集气除尘设施</w:t>
                  </w:r>
                </w:p>
              </w:tc>
            </w:tr>
            <w:tr w14:paraId="1388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4036DBAC">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成品包装</w:t>
                  </w:r>
                </w:p>
              </w:tc>
              <w:tc>
                <w:tcPr>
                  <w:tcW w:w="4350" w:type="dxa"/>
                  <w:noWrap w:val="0"/>
                  <w:vAlign w:val="center"/>
                </w:tcPr>
                <w:p w14:paraId="484F663D">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1.粉状、粒状产品包装卸料口应完全封闭，如不能封闭应采取局部集气除尘措施。卸料口地面应及时清扫，地面无明显积尘；</w:t>
                  </w:r>
                </w:p>
              </w:tc>
              <w:tc>
                <w:tcPr>
                  <w:tcW w:w="2226" w:type="dxa"/>
                  <w:noWrap w:val="0"/>
                  <w:vAlign w:val="center"/>
                </w:tcPr>
                <w:p w14:paraId="4486802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本项目粒装产品包装采取局部集气除尘措施</w:t>
                  </w:r>
                </w:p>
              </w:tc>
            </w:tr>
            <w:tr w14:paraId="5399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423A529A">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1C1F9A45">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2.各生产工序的车间地面干净，无积料、积灰现象；</w:t>
                  </w:r>
                </w:p>
              </w:tc>
              <w:tc>
                <w:tcPr>
                  <w:tcW w:w="2226" w:type="dxa"/>
                  <w:noWrap w:val="0"/>
                  <w:vAlign w:val="center"/>
                </w:tcPr>
                <w:p w14:paraId="3397E92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本项目各生产工序的车间地面干净，无积料、积灰现象</w:t>
                  </w:r>
                </w:p>
              </w:tc>
            </w:tr>
            <w:tr w14:paraId="7914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5A39F82B">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615F1164">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3.生产车间不得有可见烟（粉）尘外逸。</w:t>
                  </w:r>
                </w:p>
              </w:tc>
              <w:tc>
                <w:tcPr>
                  <w:tcW w:w="2226" w:type="dxa"/>
                  <w:noWrap w:val="0"/>
                  <w:vAlign w:val="center"/>
                </w:tcPr>
                <w:p w14:paraId="3A029FA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本项目生产车间要求不得有可见烟（粉）尘外逸</w:t>
                  </w:r>
                </w:p>
              </w:tc>
            </w:tr>
            <w:tr w14:paraId="57AA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noWrap w:val="0"/>
                  <w:vAlign w:val="center"/>
                </w:tcPr>
                <w:p w14:paraId="25AFF034">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排放限值</w:t>
                  </w:r>
                </w:p>
              </w:tc>
              <w:tc>
                <w:tcPr>
                  <w:tcW w:w="4350" w:type="dxa"/>
                  <w:noWrap w:val="0"/>
                  <w:vAlign w:val="center"/>
                </w:tcPr>
                <w:p w14:paraId="04ACAF7A">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PM 排放限值不高于10mg/m3；其他污染物排放浓度达到相关污染物排放标准。</w:t>
                  </w:r>
                </w:p>
              </w:tc>
              <w:tc>
                <w:tcPr>
                  <w:tcW w:w="2226" w:type="dxa"/>
                  <w:noWrap w:val="0"/>
                  <w:vAlign w:val="center"/>
                </w:tcPr>
                <w:p w14:paraId="12E6D7A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本项目PM排放限值不高于10mg/m3；其他污染物排放浓度均达到相关污染物排放标准</w:t>
                  </w:r>
                </w:p>
              </w:tc>
            </w:tr>
            <w:tr w14:paraId="654E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6E7BF3AE">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无组织管控</w:t>
                  </w:r>
                </w:p>
              </w:tc>
              <w:tc>
                <w:tcPr>
                  <w:tcW w:w="4350" w:type="dxa"/>
                  <w:noWrap w:val="0"/>
                  <w:vAlign w:val="center"/>
                </w:tcPr>
                <w:p w14:paraId="58659721">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1.除尘器应设置密闭灰仓并及时卸灰，除尘灰应通过气力输送、罐车、吨包袋等封闭方式卸灰，不得直接卸落到地面；</w:t>
                  </w:r>
                </w:p>
              </w:tc>
              <w:tc>
                <w:tcPr>
                  <w:tcW w:w="2226" w:type="dxa"/>
                  <w:noWrap w:val="0"/>
                  <w:vAlign w:val="center"/>
                </w:tcPr>
                <w:p w14:paraId="59AD1F6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本项目除尘器设置密闭灰仓并及时卸灰，除尘灰通过吨包袋等封闭方式卸灰，不得直接卸落到地面</w:t>
                  </w:r>
                </w:p>
              </w:tc>
            </w:tr>
            <w:tr w14:paraId="5C00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2EDC6CFE">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115C3D01">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2.除尘灰如果转运应采用气力输送、封闭传送带方式，如果直接外运应采用罐车或袋装后运输，并在装车过程中采取抑尘措施，除尘灰在厂区内应密闭/封闭储存；</w:t>
                  </w:r>
                </w:p>
              </w:tc>
              <w:tc>
                <w:tcPr>
                  <w:tcW w:w="2226" w:type="dxa"/>
                  <w:noWrap w:val="0"/>
                  <w:vAlign w:val="center"/>
                </w:tcPr>
                <w:p w14:paraId="6F38504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本项目除尘灰采用袋装后运输，并在装车过程中采取抑尘措施，除尘灰在厂区内密闭/封闭储存</w:t>
                  </w:r>
                </w:p>
              </w:tc>
            </w:tr>
            <w:tr w14:paraId="61CB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2262A8A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326FB606">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3.脱硫石膏和脱硫废渣等固体废物在厂区内应封闭储存，在转运过程中应采取封闭抑尘措施并应封闭储存。</w:t>
                  </w:r>
                </w:p>
              </w:tc>
              <w:tc>
                <w:tcPr>
                  <w:tcW w:w="2226" w:type="dxa"/>
                  <w:noWrap w:val="0"/>
                  <w:vAlign w:val="center"/>
                </w:tcPr>
                <w:p w14:paraId="32C4E95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本项目中药渣等一般固废在厂区内封闭储存，在转运过程中采取封闭抑尘措施并应封闭储存</w:t>
                  </w:r>
                </w:p>
              </w:tc>
            </w:tr>
            <w:tr w14:paraId="63C7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noWrap w:val="0"/>
                  <w:vAlign w:val="center"/>
                </w:tcPr>
                <w:p w14:paraId="15E10855">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视频监管</w:t>
                  </w:r>
                </w:p>
              </w:tc>
              <w:tc>
                <w:tcPr>
                  <w:tcW w:w="4350" w:type="dxa"/>
                  <w:noWrap w:val="0"/>
                  <w:vAlign w:val="center"/>
                </w:tcPr>
                <w:p w14:paraId="1524275D">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未安装自动在线监控的企业，应在主要生产设备（投料口、卸料口等位置）安装视频监控设施，相关数据保存6个月以上。</w:t>
                  </w:r>
                </w:p>
              </w:tc>
              <w:tc>
                <w:tcPr>
                  <w:tcW w:w="2226" w:type="dxa"/>
                  <w:noWrap w:val="0"/>
                  <w:vAlign w:val="center"/>
                </w:tcPr>
                <w:p w14:paraId="2A11B70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本项目在主要生产设备（投料口、卸料口等位置）安装视频监控设施，相关数据保存6个月以上</w:t>
                  </w:r>
                </w:p>
              </w:tc>
            </w:tr>
            <w:tr w14:paraId="704C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0D4D2EF7">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厂容厂貌</w:t>
                  </w:r>
                </w:p>
              </w:tc>
              <w:tc>
                <w:tcPr>
                  <w:tcW w:w="4350" w:type="dxa"/>
                  <w:noWrap w:val="0"/>
                  <w:vAlign w:val="center"/>
                </w:tcPr>
                <w:p w14:paraId="0C1596AC">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1.厂区内道路、原辅材料和燃料堆场等路面应硬化；</w:t>
                  </w:r>
                </w:p>
              </w:tc>
              <w:tc>
                <w:tcPr>
                  <w:tcW w:w="2226" w:type="dxa"/>
                  <w:noWrap w:val="0"/>
                  <w:vAlign w:val="center"/>
                </w:tcPr>
                <w:p w14:paraId="728BF7A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本项目厂区内道路等路面全部硬化</w:t>
                  </w:r>
                </w:p>
              </w:tc>
            </w:tr>
            <w:tr w14:paraId="655D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621AC93C">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49F29C2B">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2.厂区内道路采取定期清扫、洒水等措施，保持清洁，路面无明显可见积尘；</w:t>
                  </w:r>
                </w:p>
              </w:tc>
              <w:tc>
                <w:tcPr>
                  <w:tcW w:w="2226" w:type="dxa"/>
                  <w:noWrap w:val="0"/>
                  <w:vAlign w:val="center"/>
                </w:tcPr>
                <w:p w14:paraId="233F3D1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本项目厂区内道路采取定期清扫、洒水等措施，保持清洁，路面无明显可见积尘</w:t>
                  </w:r>
                </w:p>
              </w:tc>
            </w:tr>
            <w:tr w14:paraId="2605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592236EB">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7A799561">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3.其他未利用地优先绿化，或进行硬化，无成片裸露土地。</w:t>
                  </w:r>
                </w:p>
              </w:tc>
              <w:tc>
                <w:tcPr>
                  <w:tcW w:w="2226" w:type="dxa"/>
                  <w:noWrap w:val="0"/>
                  <w:vAlign w:val="center"/>
                </w:tcPr>
                <w:p w14:paraId="20F45FC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本项目其他未利用地优先绿化，或进行硬化，无成片裸露土地</w:t>
                  </w:r>
                </w:p>
              </w:tc>
            </w:tr>
            <w:tr w14:paraId="1E1C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3" w:type="dxa"/>
                  <w:vMerge w:val="restart"/>
                  <w:noWrap w:val="0"/>
                  <w:vAlign w:val="center"/>
                </w:tcPr>
                <w:p w14:paraId="10919E9A">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环境</w:t>
                  </w:r>
                </w:p>
                <w:p w14:paraId="1BEEAEF3">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管理</w:t>
                  </w:r>
                </w:p>
                <w:p w14:paraId="680E6D1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水平</w:t>
                  </w:r>
                </w:p>
              </w:tc>
              <w:tc>
                <w:tcPr>
                  <w:tcW w:w="735" w:type="dxa"/>
                  <w:gridSpan w:val="2"/>
                  <w:vMerge w:val="restart"/>
                  <w:noWrap w:val="0"/>
                  <w:vAlign w:val="center"/>
                </w:tcPr>
                <w:p w14:paraId="13708CB6">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环保档案</w:t>
                  </w:r>
                </w:p>
              </w:tc>
              <w:tc>
                <w:tcPr>
                  <w:tcW w:w="4350" w:type="dxa"/>
                  <w:noWrap w:val="0"/>
                  <w:vAlign w:val="center"/>
                </w:tcPr>
                <w:p w14:paraId="5A706645">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1.环评批复文件和竣工验收文件/现状评估文件；</w:t>
                  </w:r>
                </w:p>
              </w:tc>
              <w:tc>
                <w:tcPr>
                  <w:tcW w:w="2226" w:type="dxa"/>
                  <w:vMerge w:val="restart"/>
                  <w:noWrap w:val="0"/>
                  <w:vAlign w:val="center"/>
                </w:tcPr>
                <w:p w14:paraId="5CA1A92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本项目正在办理环评手续，其他环保手续办好后全部进行归档</w:t>
                  </w:r>
                </w:p>
              </w:tc>
            </w:tr>
            <w:tr w14:paraId="3ACE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3" w:type="dxa"/>
                  <w:vMerge w:val="continue"/>
                  <w:noWrap w:val="0"/>
                  <w:vAlign w:val="center"/>
                </w:tcPr>
                <w:p w14:paraId="2B8B062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5" w:type="dxa"/>
                  <w:gridSpan w:val="2"/>
                  <w:vMerge w:val="continue"/>
                  <w:noWrap w:val="0"/>
                  <w:vAlign w:val="center"/>
                </w:tcPr>
                <w:p w14:paraId="3CFDE2C6">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749EE5D9">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2.废气治理设施运行管理规程；</w:t>
                  </w:r>
                </w:p>
              </w:tc>
              <w:tc>
                <w:tcPr>
                  <w:tcW w:w="2226" w:type="dxa"/>
                  <w:vMerge w:val="continue"/>
                  <w:noWrap w:val="0"/>
                  <w:vAlign w:val="center"/>
                </w:tcPr>
                <w:p w14:paraId="60A7CD0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5AAE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3" w:type="dxa"/>
                  <w:vMerge w:val="continue"/>
                  <w:noWrap w:val="0"/>
                  <w:vAlign w:val="center"/>
                </w:tcPr>
                <w:p w14:paraId="1E5FD58A">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5" w:type="dxa"/>
                  <w:gridSpan w:val="2"/>
                  <w:vMerge w:val="continue"/>
                  <w:noWrap w:val="0"/>
                  <w:vAlign w:val="center"/>
                </w:tcPr>
                <w:p w14:paraId="1AF3E035">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494CD4C7">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3.一年内废气监测报告；</w:t>
                  </w:r>
                </w:p>
              </w:tc>
              <w:tc>
                <w:tcPr>
                  <w:tcW w:w="2226" w:type="dxa"/>
                  <w:vMerge w:val="continue"/>
                  <w:noWrap w:val="0"/>
                  <w:vAlign w:val="center"/>
                </w:tcPr>
                <w:p w14:paraId="1AC5377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6045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3" w:type="dxa"/>
                  <w:vMerge w:val="continue"/>
                  <w:noWrap w:val="0"/>
                  <w:vAlign w:val="center"/>
                </w:tcPr>
                <w:p w14:paraId="67974678">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5" w:type="dxa"/>
                  <w:gridSpan w:val="2"/>
                  <w:vMerge w:val="continue"/>
                  <w:noWrap w:val="0"/>
                  <w:vAlign w:val="center"/>
                </w:tcPr>
                <w:p w14:paraId="372F723A">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2F92A868">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4.国家版排污许可证，并按要求开展自行监测和信息披露，规范设置废气排放口标志牌、二维码标识和采样平台、采样孔。</w:t>
                  </w:r>
                </w:p>
              </w:tc>
              <w:tc>
                <w:tcPr>
                  <w:tcW w:w="2226" w:type="dxa"/>
                  <w:vMerge w:val="continue"/>
                  <w:noWrap w:val="0"/>
                  <w:vAlign w:val="center"/>
                </w:tcPr>
                <w:p w14:paraId="396FFC0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1166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3" w:type="dxa"/>
                  <w:vMerge w:val="continue"/>
                  <w:noWrap w:val="0"/>
                  <w:vAlign w:val="center"/>
                </w:tcPr>
                <w:p w14:paraId="3574C1DE">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5" w:type="dxa"/>
                  <w:gridSpan w:val="2"/>
                  <w:vMerge w:val="restart"/>
                  <w:noWrap w:val="0"/>
                  <w:vAlign w:val="center"/>
                </w:tcPr>
                <w:p w14:paraId="5D25EDB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台账记录</w:t>
                  </w:r>
                </w:p>
              </w:tc>
              <w:tc>
                <w:tcPr>
                  <w:tcW w:w="4350" w:type="dxa"/>
                  <w:noWrap w:val="0"/>
                  <w:vAlign w:val="center"/>
                </w:tcPr>
                <w:p w14:paraId="2B9F7694">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1.生产设施运行管理信息（生产时间、运行负荷、产品产量等）；</w:t>
                  </w:r>
                </w:p>
              </w:tc>
              <w:tc>
                <w:tcPr>
                  <w:tcW w:w="2226" w:type="dxa"/>
                  <w:vMerge w:val="restart"/>
                  <w:noWrap w:val="0"/>
                  <w:vAlign w:val="center"/>
                </w:tcPr>
                <w:p w14:paraId="7F0D5AC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本项目建成投产后按要求进行台账记录</w:t>
                  </w:r>
                </w:p>
              </w:tc>
            </w:tr>
            <w:tr w14:paraId="3BED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3" w:type="dxa"/>
                  <w:vMerge w:val="continue"/>
                  <w:noWrap w:val="0"/>
                  <w:vAlign w:val="center"/>
                </w:tcPr>
                <w:p w14:paraId="4B7C301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5" w:type="dxa"/>
                  <w:gridSpan w:val="2"/>
                  <w:vMerge w:val="continue"/>
                  <w:noWrap w:val="0"/>
                  <w:vAlign w:val="center"/>
                </w:tcPr>
                <w:p w14:paraId="208F2874">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375B0610">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2.废气污染治理设施运行管理信息（除尘滤料等更换量和时间）；</w:t>
                  </w:r>
                </w:p>
              </w:tc>
              <w:tc>
                <w:tcPr>
                  <w:tcW w:w="2226" w:type="dxa"/>
                  <w:vMerge w:val="continue"/>
                  <w:noWrap w:val="0"/>
                  <w:vAlign w:val="center"/>
                </w:tcPr>
                <w:p w14:paraId="4032FF8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33F8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3" w:type="dxa"/>
                  <w:vMerge w:val="continue"/>
                  <w:noWrap w:val="0"/>
                  <w:vAlign w:val="center"/>
                </w:tcPr>
                <w:p w14:paraId="44837B0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5" w:type="dxa"/>
                  <w:gridSpan w:val="2"/>
                  <w:vMerge w:val="continue"/>
                  <w:noWrap w:val="0"/>
                  <w:vAlign w:val="center"/>
                </w:tcPr>
                <w:p w14:paraId="5EE95676">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131ADBB2">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3.监测记录信息（主要污染排放口废气排放记录（手工监测和在线监测）等）；</w:t>
                  </w:r>
                </w:p>
              </w:tc>
              <w:tc>
                <w:tcPr>
                  <w:tcW w:w="2226" w:type="dxa"/>
                  <w:vMerge w:val="continue"/>
                  <w:noWrap w:val="0"/>
                  <w:vAlign w:val="center"/>
                </w:tcPr>
                <w:p w14:paraId="45B3D49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1B9C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3" w:type="dxa"/>
                  <w:vMerge w:val="continue"/>
                  <w:noWrap w:val="0"/>
                  <w:vAlign w:val="center"/>
                </w:tcPr>
                <w:p w14:paraId="5A75E36E">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5" w:type="dxa"/>
                  <w:gridSpan w:val="2"/>
                  <w:vMerge w:val="continue"/>
                  <w:noWrap w:val="0"/>
                  <w:vAlign w:val="center"/>
                </w:tcPr>
                <w:p w14:paraId="1C828A7E">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5BA983CC">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4.主要原辅材料、燃料消耗记录；</w:t>
                  </w:r>
                </w:p>
              </w:tc>
              <w:tc>
                <w:tcPr>
                  <w:tcW w:w="2226" w:type="dxa"/>
                  <w:vMerge w:val="continue"/>
                  <w:noWrap w:val="0"/>
                  <w:vAlign w:val="center"/>
                </w:tcPr>
                <w:p w14:paraId="7AEB5F4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5480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3" w:type="dxa"/>
                  <w:vMerge w:val="continue"/>
                  <w:noWrap w:val="0"/>
                  <w:vAlign w:val="center"/>
                </w:tcPr>
                <w:p w14:paraId="30ADC1D3">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5" w:type="dxa"/>
                  <w:gridSpan w:val="2"/>
                  <w:vMerge w:val="continue"/>
                  <w:noWrap w:val="0"/>
                  <w:vAlign w:val="center"/>
                </w:tcPr>
                <w:p w14:paraId="00786EE2">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3FDD3606">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5.电消耗记录。</w:t>
                  </w:r>
                </w:p>
              </w:tc>
              <w:tc>
                <w:tcPr>
                  <w:tcW w:w="2226" w:type="dxa"/>
                  <w:vMerge w:val="continue"/>
                  <w:noWrap w:val="0"/>
                  <w:vAlign w:val="center"/>
                </w:tcPr>
                <w:p w14:paraId="1A8DA76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1207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3" w:type="dxa"/>
                  <w:vMerge w:val="continue"/>
                  <w:noWrap w:val="0"/>
                  <w:vAlign w:val="center"/>
                </w:tcPr>
                <w:p w14:paraId="2FCC204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5" w:type="dxa"/>
                  <w:gridSpan w:val="2"/>
                  <w:noWrap w:val="0"/>
                  <w:vAlign w:val="center"/>
                </w:tcPr>
                <w:p w14:paraId="6192945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人员配置</w:t>
                  </w:r>
                </w:p>
              </w:tc>
              <w:tc>
                <w:tcPr>
                  <w:tcW w:w="4350" w:type="dxa"/>
                  <w:noWrap w:val="0"/>
                  <w:vAlign w:val="center"/>
                </w:tcPr>
                <w:p w14:paraId="44AC9743">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配备专职环保人员，并具备相应的环境管理能力（学历、培训、从业经验等）。</w:t>
                  </w:r>
                </w:p>
              </w:tc>
              <w:tc>
                <w:tcPr>
                  <w:tcW w:w="2226" w:type="dxa"/>
                  <w:noWrap w:val="0"/>
                  <w:vAlign w:val="center"/>
                </w:tcPr>
                <w:p w14:paraId="04ED135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本项目建成投产后按要求配备专职环保人员</w:t>
                  </w:r>
                </w:p>
              </w:tc>
            </w:tr>
            <w:tr w14:paraId="3FEC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3D30467B">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运输方式</w:t>
                  </w:r>
                </w:p>
              </w:tc>
              <w:tc>
                <w:tcPr>
                  <w:tcW w:w="4350" w:type="dxa"/>
                  <w:noWrap w:val="0"/>
                  <w:vAlign w:val="center"/>
                </w:tcPr>
                <w:p w14:paraId="00015416">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1.物料、产品等公路运输全部使用国五及以上排放标准重型载货车辆（重型燃气车辆达到国六排放标准）或新能源车辆；</w:t>
                  </w:r>
                </w:p>
              </w:tc>
              <w:tc>
                <w:tcPr>
                  <w:tcW w:w="2226" w:type="dxa"/>
                  <w:noWrap w:val="0"/>
                  <w:vAlign w:val="center"/>
                </w:tcPr>
                <w:p w14:paraId="67B58BC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本项目物料、产品等公路运输全部使用国五及以上排放标准重型载货车辆（重型燃气车辆达到国六排放标准）或新能源车辆</w:t>
                  </w:r>
                </w:p>
              </w:tc>
            </w:tr>
            <w:tr w14:paraId="533E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3F9E87C6">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2B6C942F">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2.厂内运输全部使用国五及以上排放标准（重型燃气车辆达到国六排放标准）或使用新能源车辆；</w:t>
                  </w:r>
                </w:p>
              </w:tc>
              <w:tc>
                <w:tcPr>
                  <w:tcW w:w="2226" w:type="dxa"/>
                  <w:noWrap w:val="0"/>
                  <w:vAlign w:val="center"/>
                </w:tcPr>
                <w:p w14:paraId="2333123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本项目厂内运输全部使用国五及以上排放标准（重型燃气车辆达到国六排放标准）或使用新能源车辆</w:t>
                  </w:r>
                </w:p>
              </w:tc>
            </w:tr>
            <w:tr w14:paraId="4C1F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1DC36054">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0D69AE53">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3.危险品及危废运输全部使用国五及以上排放标准（重型燃气车辆达到国六排放标准）或新能源车辆；</w:t>
                  </w:r>
                </w:p>
              </w:tc>
              <w:tc>
                <w:tcPr>
                  <w:tcW w:w="2226" w:type="dxa"/>
                  <w:noWrap w:val="0"/>
                  <w:vAlign w:val="center"/>
                </w:tcPr>
                <w:p w14:paraId="5C2CD4D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本项目危险品及危废运输全部使用国五及以上排放标准（重型燃气车辆达到国六排放标准）或新能源车辆</w:t>
                  </w:r>
                </w:p>
              </w:tc>
            </w:tr>
            <w:tr w14:paraId="1820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195AB0ED">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5B03FF38">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4.厂内非道路移动机械全部使用国三及以上排放标准或使用新能源（电动、氢能）机械。</w:t>
                  </w:r>
                </w:p>
              </w:tc>
              <w:tc>
                <w:tcPr>
                  <w:tcW w:w="2226" w:type="dxa"/>
                  <w:noWrap w:val="0"/>
                  <w:vAlign w:val="center"/>
                </w:tcPr>
                <w:p w14:paraId="2A55405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本项目厂内非道路移动机械全部使用国三及以上排放标准或使用新能源（电动、氢能）机械</w:t>
                  </w:r>
                </w:p>
              </w:tc>
            </w:tr>
            <w:tr w14:paraId="5E82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noWrap w:val="0"/>
                  <w:vAlign w:val="center"/>
                </w:tcPr>
                <w:p w14:paraId="36B17C67">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运输监管</w:t>
                  </w:r>
                </w:p>
              </w:tc>
              <w:tc>
                <w:tcPr>
                  <w:tcW w:w="4350" w:type="dxa"/>
                  <w:noWrap w:val="0"/>
                  <w:vAlign w:val="center"/>
                </w:tcPr>
                <w:p w14:paraId="1A987D38">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日均进出货物150吨（或载货车辆日进出10辆次）及以上（货物包括原料、辅料、燃料、产品和其他与生产相关物料）的企业，参照《重污染天气重点行业移动源应急管理技术指南》建立门禁视频监控系统和电子台账；其他企业安装车辆运输视频监控（数据能保存6个月），并建立车辆运输手工台账。</w:t>
                  </w:r>
                </w:p>
              </w:tc>
              <w:tc>
                <w:tcPr>
                  <w:tcW w:w="2226" w:type="dxa"/>
                  <w:noWrap w:val="0"/>
                  <w:vAlign w:val="center"/>
                </w:tcPr>
                <w:p w14:paraId="42BD3E8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本项目日均进出货物小于150吨，按要求安装车辆运输视频监控（数据能保存6个月），并建立车辆运输手工台账</w:t>
                  </w:r>
                </w:p>
              </w:tc>
            </w:tr>
            <w:tr w14:paraId="3A69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shd w:val="clear" w:color="auto" w:fill="auto"/>
                  <w:noWrap w:val="0"/>
                  <w:vAlign w:val="center"/>
                </w:tcPr>
                <w:p w14:paraId="701056E0">
                  <w:pPr>
                    <w:pStyle w:val="14"/>
                    <w:jc w:val="center"/>
                    <w:rPr>
                      <w:rFonts w:hint="eastAsia" w:ascii="Times New Roman" w:hAnsi="Times New Roman" w:eastAsia="宋体" w:cs="Times New Roman"/>
                      <w:b/>
                      <w:bCs/>
                      <w:color w:val="000000" w:themeColor="text1"/>
                      <w:kern w:val="2"/>
                      <w:sz w:val="21"/>
                      <w:szCs w:val="24"/>
                      <w:vertAlign w:val="baseline"/>
                      <w:lang w:val="en-US" w:eastAsia="zh-CN" w:bidi="ar-SA"/>
                      <w14:textFill>
                        <w14:solidFill>
                          <w14:schemeClr w14:val="tx1"/>
                        </w14:solidFill>
                      </w14:textFill>
                    </w:rPr>
                  </w:pPr>
                  <w:r>
                    <w:rPr>
                      <w:rFonts w:hint="eastAsia" w:ascii="Times New Roman" w:hAnsi="Times New Roman" w:cs="Times New Roman"/>
                      <w:b/>
                      <w:bCs/>
                      <w:color w:val="000000" w:themeColor="text1"/>
                      <w:vertAlign w:val="baseline"/>
                      <w:lang w:val="en-US" w:eastAsia="zh-CN"/>
                      <w14:textFill>
                        <w14:solidFill>
                          <w14:schemeClr w14:val="tx1"/>
                        </w14:solidFill>
                      </w14:textFill>
                    </w:rPr>
                    <w:t>引领性指标</w:t>
                  </w:r>
                </w:p>
              </w:tc>
              <w:tc>
                <w:tcPr>
                  <w:tcW w:w="4350" w:type="dxa"/>
                  <w:shd w:val="clear" w:color="auto" w:fill="auto"/>
                  <w:noWrap w:val="0"/>
                  <w:vAlign w:val="center"/>
                </w:tcPr>
                <w:p w14:paraId="5844DC95">
                  <w:pPr>
                    <w:pStyle w:val="14"/>
                    <w:jc w:val="center"/>
                    <w:rPr>
                      <w:rFonts w:hint="eastAsia" w:ascii="Times New Roman" w:hAnsi="Times New Roman" w:eastAsia="宋体" w:cs="Times New Roman"/>
                      <w:b/>
                      <w:bCs/>
                      <w:color w:val="000000" w:themeColor="text1"/>
                      <w:kern w:val="2"/>
                      <w:sz w:val="21"/>
                      <w:szCs w:val="24"/>
                      <w:vertAlign w:val="baseline"/>
                      <w:lang w:val="en-US" w:eastAsia="zh-CN" w:bidi="ar-SA"/>
                      <w14:textFill>
                        <w14:solidFill>
                          <w14:schemeClr w14:val="tx1"/>
                        </w14:solidFill>
                      </w14:textFill>
                    </w:rPr>
                  </w:pPr>
                  <w:r>
                    <w:rPr>
                      <w:rFonts w:hint="eastAsia" w:ascii="Times New Roman" w:hAnsi="Times New Roman" w:cs="Times New Roman"/>
                      <w:b/>
                      <w:bCs/>
                      <w:color w:val="000000" w:themeColor="text1"/>
                      <w:vertAlign w:val="baseline"/>
                      <w:lang w:val="en-US" w:eastAsia="zh-CN"/>
                      <w14:textFill>
                        <w14:solidFill>
                          <w14:schemeClr w14:val="tx1"/>
                        </w14:solidFill>
                      </w14:textFill>
                    </w:rPr>
                    <w:t>通用涉VOCs企业</w:t>
                  </w:r>
                </w:p>
              </w:tc>
              <w:tc>
                <w:tcPr>
                  <w:tcW w:w="2226" w:type="dxa"/>
                  <w:shd w:val="clear" w:color="auto" w:fill="auto"/>
                  <w:noWrap w:val="0"/>
                  <w:vAlign w:val="center"/>
                </w:tcPr>
                <w:p w14:paraId="77BF865F">
                  <w:pPr>
                    <w:pStyle w:val="14"/>
                    <w:jc w:val="center"/>
                    <w:rPr>
                      <w:rFonts w:hint="default" w:ascii="Times New Roman" w:hAnsi="Times New Roman" w:eastAsia="宋体" w:cs="Times New Roman"/>
                      <w:b/>
                      <w:bCs/>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相符性分析</w:t>
                  </w:r>
                </w:p>
              </w:tc>
            </w:tr>
            <w:tr w14:paraId="1823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noWrap w:val="0"/>
                  <w:vAlign w:val="center"/>
                </w:tcPr>
                <w:p w14:paraId="2AFA323C">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生产工艺和装备</w:t>
                  </w:r>
                </w:p>
              </w:tc>
              <w:tc>
                <w:tcPr>
                  <w:tcW w:w="4350" w:type="dxa"/>
                  <w:noWrap w:val="0"/>
                  <w:vAlign w:val="center"/>
                </w:tcPr>
                <w:p w14:paraId="32A84685">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不属于《产业结构调整指导目录（2024年版）》淘汰类，不属于省级和市级政府部门明确列入已经限期淘汰类项目。</w:t>
                  </w:r>
                </w:p>
              </w:tc>
              <w:tc>
                <w:tcPr>
                  <w:tcW w:w="2226" w:type="dxa"/>
                  <w:noWrap w:val="0"/>
                  <w:vAlign w:val="center"/>
                </w:tcPr>
                <w:p w14:paraId="283F9E0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本项目属于允许类，不属于淘汰类</w:t>
                  </w:r>
                </w:p>
              </w:tc>
            </w:tr>
            <w:tr w14:paraId="526E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5C8301F5">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物料储存</w:t>
                  </w:r>
                </w:p>
              </w:tc>
              <w:tc>
                <w:tcPr>
                  <w:tcW w:w="4350" w:type="dxa"/>
                  <w:noWrap w:val="0"/>
                  <w:vAlign w:val="center"/>
                </w:tcPr>
                <w:p w14:paraId="4095B632">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1.涂料、稀释剂、清洗剂等原辅材料密闭存储；</w:t>
                  </w:r>
                </w:p>
              </w:tc>
              <w:tc>
                <w:tcPr>
                  <w:tcW w:w="2226" w:type="dxa"/>
                  <w:noWrap w:val="0"/>
                  <w:vAlign w:val="center"/>
                </w:tcPr>
                <w:p w14:paraId="2ACE00E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不涉及</w:t>
                  </w:r>
                </w:p>
              </w:tc>
            </w:tr>
            <w:tr w14:paraId="156A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5800EEF7">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29BEA82E">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2.盛装过VOCs物料的包装容器、含VOCs废料（渣、液）、废吸附剂等通过加盖、封装等方式密闭储存；</w:t>
                  </w:r>
                </w:p>
              </w:tc>
              <w:tc>
                <w:tcPr>
                  <w:tcW w:w="2226" w:type="dxa"/>
                  <w:noWrap w:val="0"/>
                  <w:vAlign w:val="center"/>
                </w:tcPr>
                <w:p w14:paraId="45217E8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本项目盛装过乙醇等 VOCs物料的包装容器、含VOCs废料（渣、液）、废吸附剂等通过加盖、封装等方式密闭储存</w:t>
                  </w:r>
                </w:p>
              </w:tc>
            </w:tr>
            <w:tr w14:paraId="0416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187A53DB">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3F1B93D3">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3.生产车间内涉 VOCs 物料应密闭储存。</w:t>
                  </w:r>
                </w:p>
              </w:tc>
              <w:tc>
                <w:tcPr>
                  <w:tcW w:w="2226" w:type="dxa"/>
                  <w:noWrap w:val="0"/>
                  <w:vAlign w:val="center"/>
                </w:tcPr>
                <w:p w14:paraId="3EB4D51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本项目生产车间内涉 VOCs物料密闭储存</w:t>
                  </w:r>
                </w:p>
              </w:tc>
            </w:tr>
            <w:tr w14:paraId="2805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noWrap w:val="0"/>
                  <w:vAlign w:val="center"/>
                </w:tcPr>
                <w:p w14:paraId="2A173392">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物料转移和输送</w:t>
                  </w:r>
                </w:p>
              </w:tc>
              <w:tc>
                <w:tcPr>
                  <w:tcW w:w="4350" w:type="dxa"/>
                  <w:noWrap w:val="0"/>
                  <w:vAlign w:val="center"/>
                </w:tcPr>
                <w:p w14:paraId="039C6CA0">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涉VOCs物料采用密闭管道或密闭容器等输送。</w:t>
                  </w:r>
                </w:p>
              </w:tc>
              <w:tc>
                <w:tcPr>
                  <w:tcW w:w="2226" w:type="dxa"/>
                  <w:noWrap w:val="0"/>
                  <w:vAlign w:val="center"/>
                </w:tcPr>
                <w:p w14:paraId="0431CCE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本项目涉VOCs物料采用密闭管道或密闭容器等输送</w:t>
                  </w:r>
                </w:p>
              </w:tc>
            </w:tr>
            <w:tr w14:paraId="2363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37E5D6C3">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工艺过程</w:t>
                  </w:r>
                </w:p>
              </w:tc>
              <w:tc>
                <w:tcPr>
                  <w:tcW w:w="4350" w:type="dxa"/>
                  <w:noWrap w:val="0"/>
                  <w:vAlign w:val="center"/>
                </w:tcPr>
                <w:p w14:paraId="5BC9DA4C">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1.原辅材料调配、使用（施胶、喷涂、干燥等）、回收等过程采用密闭设备或在密闭空间内操作；</w:t>
                  </w:r>
                </w:p>
              </w:tc>
              <w:tc>
                <w:tcPr>
                  <w:tcW w:w="2226" w:type="dxa"/>
                  <w:noWrap w:val="0"/>
                  <w:vAlign w:val="center"/>
                </w:tcPr>
                <w:p w14:paraId="0446982D">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本项目原辅材料调配、使用（提取、干燥等）、回收等过程采用密闭设备或在密闭空间内操作</w:t>
                  </w:r>
                </w:p>
              </w:tc>
            </w:tr>
            <w:tr w14:paraId="42AD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48C2F391">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2FABD761">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2.涉VOCs原料装卸、储存、转移和输送、工艺过程等环节的废气全部收集引至VOCs处理系统。</w:t>
                  </w:r>
                </w:p>
              </w:tc>
              <w:tc>
                <w:tcPr>
                  <w:tcW w:w="2226" w:type="dxa"/>
                  <w:noWrap w:val="0"/>
                  <w:vAlign w:val="center"/>
                </w:tcPr>
                <w:p w14:paraId="05498B7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本项目涉VOCs原料装卸、储存、转移和输送、工艺过程等环节的废气全部收集引至VOCs处理系统</w:t>
                  </w:r>
                </w:p>
              </w:tc>
            </w:tr>
            <w:tr w14:paraId="5269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noWrap w:val="0"/>
                  <w:vAlign w:val="center"/>
                </w:tcPr>
                <w:p w14:paraId="2D8C36BC">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排放限值</w:t>
                  </w:r>
                </w:p>
              </w:tc>
              <w:tc>
                <w:tcPr>
                  <w:tcW w:w="4350" w:type="dxa"/>
                  <w:noWrap w:val="0"/>
                  <w:vAlign w:val="center"/>
                </w:tcPr>
                <w:p w14:paraId="6D9A4F0F">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NMHC排放限值不高于30mg/m3；其他污染物排放浓度达到相关污染物排放标准。</w:t>
                  </w:r>
                </w:p>
              </w:tc>
              <w:tc>
                <w:tcPr>
                  <w:tcW w:w="2226" w:type="dxa"/>
                  <w:noWrap w:val="0"/>
                  <w:vAlign w:val="center"/>
                </w:tcPr>
                <w:p w14:paraId="7575E65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本项目NMHC排放限值不高于30mg/m3；其他污染物排放浓度达到相关污染物排放标准</w:t>
                  </w:r>
                </w:p>
              </w:tc>
            </w:tr>
            <w:tr w14:paraId="2852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29D28A75">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监测监控</w:t>
                  </w:r>
                </w:p>
                <w:p w14:paraId="1E641727">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水平</w:t>
                  </w:r>
                </w:p>
              </w:tc>
              <w:tc>
                <w:tcPr>
                  <w:tcW w:w="4350" w:type="dxa"/>
                  <w:noWrap w:val="0"/>
                  <w:vAlign w:val="center"/>
                </w:tcPr>
                <w:p w14:paraId="695E36C5">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1.有组织排放口按排污许可、环境影响评价或环境现状评估等要求安装烟气排放自动监控设施（CEMS），并按要求与省厅联网；重点排污单位风量大于10000m3/h 的主要排放口安装 NMHC在线监测设施（FID检测器）并按要求与省厅联网；其他企业NMHC初始排放速率大于 2kg/h且排放口风量大于20000m3/h的废气排放口安装NMHC在线监测设施（FID检测器），并按要求与省厅联网；在线监测数据至少保存最近12个月的1分钟均值、36个月的1小时均值及60个月的日均值和月均值。（投产或安装时间不满一年以上的企业，以现有数据为准）；</w:t>
                  </w:r>
                </w:p>
              </w:tc>
              <w:tc>
                <w:tcPr>
                  <w:tcW w:w="2226" w:type="dxa"/>
                  <w:noWrap w:val="0"/>
                  <w:vAlign w:val="center"/>
                </w:tcPr>
                <w:p w14:paraId="4404431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本项目有组织排放口按排污许可要求，且NMHC初始排放速率不大于2kg/h且排放口风量不大于20000m3/h，无需安装在线监测设备</w:t>
                  </w:r>
                </w:p>
              </w:tc>
            </w:tr>
            <w:tr w14:paraId="3EBA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55F9E20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45B69D78">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2.按生态环境部门要求规范设置废气排放口标志牌、二维码标识和采样平台、采样孔；各废气排放口按照排污许可要求开展自行监测；</w:t>
                  </w:r>
                </w:p>
              </w:tc>
              <w:tc>
                <w:tcPr>
                  <w:tcW w:w="2226" w:type="dxa"/>
                  <w:noWrap w:val="0"/>
                  <w:vAlign w:val="center"/>
                </w:tcPr>
                <w:p w14:paraId="5307DD02">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本项目按生态环境部门要求规范设置废气排放口标志牌、二维码标识和采样平台、采样孔；各废气排放口按照排污许可要求开展自行监测</w:t>
                  </w:r>
                </w:p>
              </w:tc>
            </w:tr>
            <w:tr w14:paraId="3A93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7F4E02A9">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2DB15595">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3.未安装自动在线监控的企业，应在主要生产设备（投料口、卸料口等位置）安装视频监控设施，相关数据保存6个月以上。</w:t>
                  </w:r>
                </w:p>
              </w:tc>
              <w:tc>
                <w:tcPr>
                  <w:tcW w:w="2226" w:type="dxa"/>
                  <w:noWrap w:val="0"/>
                  <w:vAlign w:val="center"/>
                </w:tcPr>
                <w:p w14:paraId="2DC1E5B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本项目在主要生产设备（投料口、卸料口等位置）安装视频监控设施，相关数据保存6个月以上</w:t>
                  </w:r>
                </w:p>
              </w:tc>
            </w:tr>
            <w:tr w14:paraId="0AAD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7294D1F2">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厂容厂貌</w:t>
                  </w:r>
                </w:p>
              </w:tc>
              <w:tc>
                <w:tcPr>
                  <w:tcW w:w="4350" w:type="dxa"/>
                  <w:noWrap w:val="0"/>
                  <w:vAlign w:val="center"/>
                </w:tcPr>
                <w:p w14:paraId="4DEBF731">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1.厂区内道路、原辅材料和燃料堆场等路面应硬化；</w:t>
                  </w:r>
                </w:p>
              </w:tc>
              <w:tc>
                <w:tcPr>
                  <w:tcW w:w="2226" w:type="dxa"/>
                  <w:noWrap w:val="0"/>
                  <w:vAlign w:val="center"/>
                </w:tcPr>
                <w:p w14:paraId="424D715A">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本项目厂区内道路等路面全部硬化</w:t>
                  </w:r>
                </w:p>
              </w:tc>
            </w:tr>
            <w:tr w14:paraId="2605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1CDAE809">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1DF008DF">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2.厂区内道路采取定期清扫、洒水等措施，保持清洁，路面无明显可见积尘；</w:t>
                  </w:r>
                </w:p>
              </w:tc>
              <w:tc>
                <w:tcPr>
                  <w:tcW w:w="2226" w:type="dxa"/>
                  <w:noWrap w:val="0"/>
                  <w:vAlign w:val="center"/>
                </w:tcPr>
                <w:p w14:paraId="7BB2DD2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本项目厂区内道路采取定期清扫、洒水等措施，保持清洁，路面无明显可见积尘</w:t>
                  </w:r>
                </w:p>
              </w:tc>
            </w:tr>
            <w:tr w14:paraId="12C0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4B3CBBA2">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4ED278F9">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3.其他未利用地优先绿化，或进行硬化，无成片裸露土地。</w:t>
                  </w:r>
                </w:p>
              </w:tc>
              <w:tc>
                <w:tcPr>
                  <w:tcW w:w="2226" w:type="dxa"/>
                  <w:noWrap w:val="0"/>
                  <w:vAlign w:val="center"/>
                </w:tcPr>
                <w:p w14:paraId="42E4B9E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本项目其他未利用地优先绿化，或进行硬化，无成片裸露土地</w:t>
                  </w:r>
                </w:p>
              </w:tc>
            </w:tr>
            <w:tr w14:paraId="74DC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8" w:type="dxa"/>
                  <w:gridSpan w:val="2"/>
                  <w:vMerge w:val="restart"/>
                  <w:noWrap w:val="0"/>
                  <w:vAlign w:val="center"/>
                </w:tcPr>
                <w:p w14:paraId="4303757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环境</w:t>
                  </w:r>
                </w:p>
                <w:p w14:paraId="065B7C79">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管理</w:t>
                  </w:r>
                </w:p>
                <w:p w14:paraId="413D53E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水平</w:t>
                  </w:r>
                </w:p>
              </w:tc>
              <w:tc>
                <w:tcPr>
                  <w:tcW w:w="730" w:type="dxa"/>
                  <w:vMerge w:val="restart"/>
                  <w:noWrap w:val="0"/>
                  <w:vAlign w:val="center"/>
                </w:tcPr>
                <w:p w14:paraId="43D925DD">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环保</w:t>
                  </w:r>
                </w:p>
                <w:p w14:paraId="7C55A9E3">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档案</w:t>
                  </w:r>
                </w:p>
              </w:tc>
              <w:tc>
                <w:tcPr>
                  <w:tcW w:w="4350" w:type="dxa"/>
                  <w:noWrap w:val="0"/>
                  <w:vAlign w:val="center"/>
                </w:tcPr>
                <w:p w14:paraId="105CBFDF">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1.环评批复文件和竣工验收文件/现状评估文件；</w:t>
                  </w:r>
                </w:p>
              </w:tc>
              <w:tc>
                <w:tcPr>
                  <w:tcW w:w="2226" w:type="dxa"/>
                  <w:vMerge w:val="restart"/>
                  <w:noWrap w:val="0"/>
                  <w:vAlign w:val="center"/>
                </w:tcPr>
                <w:p w14:paraId="6A09527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本项目正在办理环评手续，其他环保手续办好后全部进行归档</w:t>
                  </w:r>
                </w:p>
              </w:tc>
            </w:tr>
            <w:tr w14:paraId="4943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8" w:type="dxa"/>
                  <w:gridSpan w:val="2"/>
                  <w:vMerge w:val="continue"/>
                  <w:noWrap w:val="0"/>
                  <w:vAlign w:val="center"/>
                </w:tcPr>
                <w:p w14:paraId="7AF24BC4">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0" w:type="dxa"/>
                  <w:vMerge w:val="continue"/>
                  <w:noWrap w:val="0"/>
                  <w:vAlign w:val="center"/>
                </w:tcPr>
                <w:p w14:paraId="10C8959C">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33012977">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2.废气治理设施运行管理规程；</w:t>
                  </w:r>
                </w:p>
              </w:tc>
              <w:tc>
                <w:tcPr>
                  <w:tcW w:w="2226" w:type="dxa"/>
                  <w:vMerge w:val="continue"/>
                  <w:noWrap w:val="0"/>
                  <w:vAlign w:val="center"/>
                </w:tcPr>
                <w:p w14:paraId="3F5CB745">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0A21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8" w:type="dxa"/>
                  <w:gridSpan w:val="2"/>
                  <w:vMerge w:val="continue"/>
                  <w:noWrap w:val="0"/>
                  <w:vAlign w:val="center"/>
                </w:tcPr>
                <w:p w14:paraId="6F931C36">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0" w:type="dxa"/>
                  <w:vMerge w:val="continue"/>
                  <w:noWrap w:val="0"/>
                  <w:vAlign w:val="center"/>
                </w:tcPr>
                <w:p w14:paraId="6F7C9724">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5E2F1934">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3.一年内废气监测报告；</w:t>
                  </w:r>
                </w:p>
              </w:tc>
              <w:tc>
                <w:tcPr>
                  <w:tcW w:w="2226" w:type="dxa"/>
                  <w:vMerge w:val="continue"/>
                  <w:noWrap w:val="0"/>
                  <w:vAlign w:val="center"/>
                </w:tcPr>
                <w:p w14:paraId="0C4968F6">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5516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8" w:type="dxa"/>
                  <w:gridSpan w:val="2"/>
                  <w:vMerge w:val="continue"/>
                  <w:noWrap w:val="0"/>
                  <w:vAlign w:val="center"/>
                </w:tcPr>
                <w:p w14:paraId="447151F8">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0" w:type="dxa"/>
                  <w:vMerge w:val="continue"/>
                  <w:noWrap w:val="0"/>
                  <w:vAlign w:val="center"/>
                </w:tcPr>
                <w:p w14:paraId="17FA3A71">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124A064A">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4.国家版排污许可证，并按要求开展自行监测和信息披露，规范设置废气排放口标志牌、二维码标识和采样平台、采样孔。</w:t>
                  </w:r>
                </w:p>
              </w:tc>
              <w:tc>
                <w:tcPr>
                  <w:tcW w:w="2226" w:type="dxa"/>
                  <w:vMerge w:val="continue"/>
                  <w:noWrap w:val="0"/>
                  <w:vAlign w:val="center"/>
                </w:tcPr>
                <w:p w14:paraId="3D73C509">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61C8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8" w:type="dxa"/>
                  <w:gridSpan w:val="2"/>
                  <w:vMerge w:val="continue"/>
                  <w:noWrap w:val="0"/>
                  <w:vAlign w:val="center"/>
                </w:tcPr>
                <w:p w14:paraId="05B635EE">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0" w:type="dxa"/>
                  <w:vMerge w:val="restart"/>
                  <w:noWrap w:val="0"/>
                  <w:vAlign w:val="center"/>
                </w:tcPr>
                <w:p w14:paraId="361CF539">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台账</w:t>
                  </w:r>
                </w:p>
                <w:p w14:paraId="650CE28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记录</w:t>
                  </w:r>
                </w:p>
              </w:tc>
              <w:tc>
                <w:tcPr>
                  <w:tcW w:w="4350" w:type="dxa"/>
                  <w:noWrap w:val="0"/>
                  <w:vAlign w:val="center"/>
                </w:tcPr>
                <w:p w14:paraId="6DAD99B6">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1.生产设施运行管理信息（生产时间、运行负荷、产品产量等）；</w:t>
                  </w:r>
                </w:p>
              </w:tc>
              <w:tc>
                <w:tcPr>
                  <w:tcW w:w="2226" w:type="dxa"/>
                  <w:vMerge w:val="restart"/>
                  <w:noWrap w:val="0"/>
                  <w:vAlign w:val="center"/>
                </w:tcPr>
                <w:p w14:paraId="0E4364AE">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本项目建成投产后按要求进行台账记录</w:t>
                  </w:r>
                </w:p>
              </w:tc>
            </w:tr>
            <w:tr w14:paraId="4B2D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8" w:type="dxa"/>
                  <w:gridSpan w:val="2"/>
                  <w:vMerge w:val="continue"/>
                  <w:noWrap w:val="0"/>
                  <w:vAlign w:val="center"/>
                </w:tcPr>
                <w:p w14:paraId="1CD58FDC">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0" w:type="dxa"/>
                  <w:vMerge w:val="continue"/>
                  <w:noWrap w:val="0"/>
                  <w:vAlign w:val="center"/>
                </w:tcPr>
                <w:p w14:paraId="65F2E4A8">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66E0C93F">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2.废气污染治理设施运行管理信息（除尘滤料、活性炭等更换量和时间）；</w:t>
                  </w:r>
                </w:p>
              </w:tc>
              <w:tc>
                <w:tcPr>
                  <w:tcW w:w="2226" w:type="dxa"/>
                  <w:vMerge w:val="continue"/>
                  <w:noWrap w:val="0"/>
                  <w:vAlign w:val="center"/>
                </w:tcPr>
                <w:p w14:paraId="4C897079">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35EA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8" w:type="dxa"/>
                  <w:gridSpan w:val="2"/>
                  <w:vMerge w:val="continue"/>
                  <w:noWrap w:val="0"/>
                  <w:vAlign w:val="center"/>
                </w:tcPr>
                <w:p w14:paraId="4904F5A1">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0" w:type="dxa"/>
                  <w:vMerge w:val="continue"/>
                  <w:noWrap w:val="0"/>
                  <w:vAlign w:val="center"/>
                </w:tcPr>
                <w:p w14:paraId="3917588C">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2854F17B">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3.监测记录信息（主要污染排放口废气排放记录（手工监测和在线监测）等）；</w:t>
                  </w:r>
                </w:p>
              </w:tc>
              <w:tc>
                <w:tcPr>
                  <w:tcW w:w="2226" w:type="dxa"/>
                  <w:vMerge w:val="continue"/>
                  <w:noWrap w:val="0"/>
                  <w:vAlign w:val="center"/>
                </w:tcPr>
                <w:p w14:paraId="4DC7E6E8">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1B6E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8" w:type="dxa"/>
                  <w:gridSpan w:val="2"/>
                  <w:vMerge w:val="continue"/>
                  <w:noWrap w:val="0"/>
                  <w:vAlign w:val="center"/>
                </w:tcPr>
                <w:p w14:paraId="072DDBC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0" w:type="dxa"/>
                  <w:vMerge w:val="continue"/>
                  <w:noWrap w:val="0"/>
                  <w:vAlign w:val="center"/>
                </w:tcPr>
                <w:p w14:paraId="6017490B">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4D40FDB0">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4.主要原辅材料、燃料消耗记录；</w:t>
                  </w:r>
                </w:p>
              </w:tc>
              <w:tc>
                <w:tcPr>
                  <w:tcW w:w="2226" w:type="dxa"/>
                  <w:vMerge w:val="continue"/>
                  <w:noWrap w:val="0"/>
                  <w:vAlign w:val="center"/>
                </w:tcPr>
                <w:p w14:paraId="0187505F">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0EA6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8" w:type="dxa"/>
                  <w:gridSpan w:val="2"/>
                  <w:vMerge w:val="continue"/>
                  <w:noWrap w:val="0"/>
                  <w:vAlign w:val="center"/>
                </w:tcPr>
                <w:p w14:paraId="2A4E6806">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0" w:type="dxa"/>
                  <w:vMerge w:val="continue"/>
                  <w:noWrap w:val="0"/>
                  <w:vAlign w:val="center"/>
                </w:tcPr>
                <w:p w14:paraId="0395739E">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2AD1C991">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5.电消耗记录。</w:t>
                  </w:r>
                </w:p>
              </w:tc>
              <w:tc>
                <w:tcPr>
                  <w:tcW w:w="2226" w:type="dxa"/>
                  <w:vMerge w:val="continue"/>
                  <w:noWrap w:val="0"/>
                  <w:vAlign w:val="center"/>
                </w:tcPr>
                <w:p w14:paraId="3ADB9B99">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p>
              </w:tc>
            </w:tr>
            <w:tr w14:paraId="642A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498" w:type="dxa"/>
                  <w:gridSpan w:val="2"/>
                  <w:vMerge w:val="continue"/>
                  <w:noWrap w:val="0"/>
                  <w:vAlign w:val="center"/>
                </w:tcPr>
                <w:p w14:paraId="2251BD8E">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730" w:type="dxa"/>
                  <w:noWrap w:val="0"/>
                  <w:vAlign w:val="center"/>
                </w:tcPr>
                <w:p w14:paraId="07A0825A">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人员</w:t>
                  </w:r>
                </w:p>
                <w:p w14:paraId="468ED823">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配置</w:t>
                  </w:r>
                </w:p>
              </w:tc>
              <w:tc>
                <w:tcPr>
                  <w:tcW w:w="4350" w:type="dxa"/>
                  <w:noWrap w:val="0"/>
                  <w:vAlign w:val="center"/>
                </w:tcPr>
                <w:p w14:paraId="4180F531">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配备专职环保人员，并具备相应的环境管理能力（学历、培训、从业经验等）。</w:t>
                  </w:r>
                </w:p>
              </w:tc>
              <w:tc>
                <w:tcPr>
                  <w:tcW w:w="2226" w:type="dxa"/>
                  <w:noWrap w:val="0"/>
                  <w:vAlign w:val="center"/>
                </w:tcPr>
                <w:p w14:paraId="75463FE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本项目正在办理环评手续，其他环保手续办好后全部进行归档</w:t>
                  </w:r>
                </w:p>
              </w:tc>
            </w:tr>
            <w:tr w14:paraId="2C6B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restart"/>
                  <w:noWrap w:val="0"/>
                  <w:vAlign w:val="center"/>
                </w:tcPr>
                <w:p w14:paraId="2E3B4555">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运输方式</w:t>
                  </w:r>
                </w:p>
              </w:tc>
              <w:tc>
                <w:tcPr>
                  <w:tcW w:w="4350" w:type="dxa"/>
                  <w:noWrap w:val="0"/>
                  <w:vAlign w:val="center"/>
                </w:tcPr>
                <w:p w14:paraId="04F24943">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1.物料、产品等公路运输全部使用国五及以上排放标准重型载货车辆（重型燃气车辆达到国六排放标准）或新能源车辆；</w:t>
                  </w:r>
                </w:p>
              </w:tc>
              <w:tc>
                <w:tcPr>
                  <w:tcW w:w="2226" w:type="dxa"/>
                  <w:shd w:val="clear" w:color="auto" w:fill="auto"/>
                  <w:noWrap w:val="0"/>
                  <w:vAlign w:val="center"/>
                </w:tcPr>
                <w:p w14:paraId="1DC89590">
                  <w:pPr>
                    <w:pStyle w:val="14"/>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本项目物料、产品等公路运输全部使用国五及以上排放标准重型载货车辆（重型燃气车辆达到国六排放标准）或新能源车辆</w:t>
                  </w:r>
                </w:p>
              </w:tc>
            </w:tr>
            <w:tr w14:paraId="27BA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30383B2A">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2B9914D5">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2.厂内运输全部使用国五及以上排放标准（重型燃气车辆达到国六排放标准）或使用新能源车辆；</w:t>
                  </w:r>
                </w:p>
              </w:tc>
              <w:tc>
                <w:tcPr>
                  <w:tcW w:w="2226" w:type="dxa"/>
                  <w:shd w:val="clear" w:color="auto" w:fill="auto"/>
                  <w:noWrap w:val="0"/>
                  <w:vAlign w:val="center"/>
                </w:tcPr>
                <w:p w14:paraId="07513B6D">
                  <w:pPr>
                    <w:pStyle w:val="14"/>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本项目厂内运输全部使用国五及以上排放标准（重型燃气车辆达到国六排放标准）或使用新能源车辆</w:t>
                  </w:r>
                </w:p>
              </w:tc>
            </w:tr>
            <w:tr w14:paraId="7562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3BA050B3">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4CA23190">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3.危险品及危废运输全部使用国五及以上排放标准（重型燃气车辆达到国六排放标准）或新能源车辆；</w:t>
                  </w:r>
                </w:p>
              </w:tc>
              <w:tc>
                <w:tcPr>
                  <w:tcW w:w="2226" w:type="dxa"/>
                  <w:shd w:val="clear" w:color="auto" w:fill="auto"/>
                  <w:noWrap w:val="0"/>
                  <w:vAlign w:val="center"/>
                </w:tcPr>
                <w:p w14:paraId="2A9813DF">
                  <w:pPr>
                    <w:pStyle w:val="14"/>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本项目危险品及危废运输全部使用国五及以上排放标准（重型燃气车辆达到国六排放标准）或新能源车辆</w:t>
                  </w:r>
                </w:p>
              </w:tc>
            </w:tr>
            <w:tr w14:paraId="0F7A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vMerge w:val="continue"/>
                  <w:noWrap w:val="0"/>
                  <w:vAlign w:val="center"/>
                </w:tcPr>
                <w:p w14:paraId="607123DD">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350" w:type="dxa"/>
                  <w:noWrap w:val="0"/>
                  <w:vAlign w:val="center"/>
                </w:tcPr>
                <w:p w14:paraId="6BA722E1">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4.厂内非道路移动机械全部使用国三及以上排放标准或使用新能源（电动、氢能）机械。</w:t>
                  </w:r>
                </w:p>
              </w:tc>
              <w:tc>
                <w:tcPr>
                  <w:tcW w:w="2226" w:type="dxa"/>
                  <w:shd w:val="clear" w:color="auto" w:fill="auto"/>
                  <w:noWrap w:val="0"/>
                  <w:vAlign w:val="center"/>
                </w:tcPr>
                <w:p w14:paraId="1673B5AC">
                  <w:pPr>
                    <w:pStyle w:val="14"/>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本项目厂内非道路移动机械全部使用国三及以上排放标准或使用新能源（电动、氢能）机械</w:t>
                  </w:r>
                </w:p>
              </w:tc>
            </w:tr>
            <w:tr w14:paraId="0335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8" w:type="dxa"/>
                  <w:gridSpan w:val="3"/>
                  <w:noWrap w:val="0"/>
                  <w:vAlign w:val="center"/>
                </w:tcPr>
                <w:p w14:paraId="06D544B6">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运输监管</w:t>
                  </w:r>
                </w:p>
              </w:tc>
              <w:tc>
                <w:tcPr>
                  <w:tcW w:w="4350" w:type="dxa"/>
                  <w:noWrap w:val="0"/>
                  <w:vAlign w:val="center"/>
                </w:tcPr>
                <w:p w14:paraId="47DD7A61">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日均进出货物150吨（或载货车辆日进出10辆次）及以上（货物包括原料、辅料、燃料、产品和其他与生产相关物料）的企业，参照《重污染天气重点行业移动源应急管理技术指南》建立门禁视频监控系统和电子台账；其他企业安装车辆运输视频监控（数据能保存6个月），并建立车辆运输手工台账。</w:t>
                  </w:r>
                </w:p>
              </w:tc>
              <w:tc>
                <w:tcPr>
                  <w:tcW w:w="2226" w:type="dxa"/>
                  <w:shd w:val="clear" w:color="auto" w:fill="auto"/>
                  <w:noWrap w:val="0"/>
                  <w:vAlign w:val="center"/>
                </w:tcPr>
                <w:p w14:paraId="27CA5CDB">
                  <w:pPr>
                    <w:pStyle w:val="14"/>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本项目日均进出货物小于150吨，按要求安装车辆运输视频监控（数据能保存6个月），并建立车辆运输手工台账</w:t>
                  </w:r>
                </w:p>
              </w:tc>
            </w:tr>
          </w:tbl>
          <w:p w14:paraId="47759FB1">
            <w:pPr>
              <w:keepNext w:val="0"/>
              <w:keepLines w:val="0"/>
              <w:pageBreakBefore w:val="0"/>
              <w:widowControl w:val="0"/>
              <w:kinsoku/>
              <w:wordWrap/>
              <w:overflowPunct/>
              <w:topLinePunct w:val="0"/>
              <w:autoSpaceDE/>
              <w:autoSpaceDN/>
              <w:bidi w:val="0"/>
              <w:adjustRightInd w:val="0"/>
              <w:snapToGrid/>
              <w:spacing w:line="360" w:lineRule="auto"/>
              <w:textAlignment w:val="auto"/>
              <w:outlineLvl w:val="0"/>
              <w:rPr>
                <w:rFonts w:hint="eastAsia" w:cs="Times New Roman"/>
                <w:b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五</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cs="Times New Roman"/>
                <w:b w:val="0"/>
                <w:color w:val="000000" w:themeColor="text1"/>
                <w:sz w:val="24"/>
                <w:szCs w:val="24"/>
                <w:lang w:val="en-US" w:eastAsia="zh-CN"/>
                <w14:textFill>
                  <w14:solidFill>
                    <w14:schemeClr w14:val="tx1"/>
                  </w14:solidFill>
                </w14:textFill>
              </w:rPr>
              <w:t>与《安阳市2026年大气污染防治攻坚行动方案》、《安阳市2026年碧水保卫战实施方案》对比分析</w:t>
            </w:r>
          </w:p>
          <w:p w14:paraId="6C2574DB">
            <w:pPr>
              <w:pStyle w:val="3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表</w:t>
            </w:r>
            <w:r>
              <w:rPr>
                <w:rFonts w:hint="eastAsia" w:ascii="Times New Roman" w:cs="Times New Roman"/>
                <w:b w:val="0"/>
                <w:bCs/>
                <w:color w:val="000000" w:themeColor="text1"/>
                <w:kern w:val="2"/>
                <w:sz w:val="24"/>
                <w:szCs w:val="24"/>
                <w:lang w:val="en-US" w:eastAsia="zh-CN" w:bidi="ar-SA"/>
                <w14:textFill>
                  <w14:solidFill>
                    <w14:schemeClr w14:val="tx1"/>
                  </w14:solidFill>
                </w14:textFill>
              </w:rPr>
              <w:t>6</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 xml:space="preserve"> 项目与《安阳市202</w:t>
            </w:r>
            <w:r>
              <w:rPr>
                <w:rFonts w:hint="eastAsia" w:ascii="Times New Roman" w:cs="Times New Roman"/>
                <w:b w:val="0"/>
                <w:bCs/>
                <w:color w:val="000000" w:themeColor="text1"/>
                <w:kern w:val="2"/>
                <w:sz w:val="24"/>
                <w:szCs w:val="24"/>
                <w:lang w:val="en-US" w:eastAsia="zh-CN" w:bidi="ar-SA"/>
                <w14:textFill>
                  <w14:solidFill>
                    <w14:schemeClr w14:val="tx1"/>
                  </w14:solidFill>
                </w14:textFill>
              </w:rPr>
              <w:t>6</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年大气污染防治攻坚行动方案》对比一览表</w:t>
            </w:r>
          </w:p>
          <w:tbl>
            <w:tblPr>
              <w:tblStyle w:val="27"/>
              <w:tblW w:w="7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21"/>
              <w:gridCol w:w="4783"/>
              <w:gridCol w:w="1800"/>
            </w:tblGrid>
            <w:tr w14:paraId="2455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noWrap w:val="0"/>
                  <w:vAlign w:val="center"/>
                </w:tcPr>
                <w:p w14:paraId="55FA82A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类别</w:t>
                  </w:r>
                </w:p>
              </w:tc>
              <w:tc>
                <w:tcPr>
                  <w:tcW w:w="4783" w:type="dxa"/>
                  <w:noWrap w:val="0"/>
                  <w:vAlign w:val="center"/>
                </w:tcPr>
                <w:p w14:paraId="670D191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方案要求</w:t>
                  </w:r>
                </w:p>
              </w:tc>
              <w:tc>
                <w:tcPr>
                  <w:tcW w:w="1800" w:type="dxa"/>
                  <w:noWrap w:val="0"/>
                  <w:vAlign w:val="center"/>
                </w:tcPr>
                <w:p w14:paraId="50680230">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相符性分析</w:t>
                  </w:r>
                </w:p>
              </w:tc>
            </w:tr>
            <w:tr w14:paraId="544C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vMerge w:val="restart"/>
                  <w:noWrap w:val="0"/>
                  <w:vAlign w:val="center"/>
                </w:tcPr>
                <w:p w14:paraId="2BED662D">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（一）大力调整产业结构，促进传统行业转型升级</w:t>
                  </w:r>
                </w:p>
              </w:tc>
              <w:tc>
                <w:tcPr>
                  <w:tcW w:w="4783" w:type="dxa"/>
                  <w:noWrap w:val="0"/>
                  <w:vAlign w:val="center"/>
                </w:tcPr>
                <w:p w14:paraId="0709A74A">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 加快污染企业退城搬迁。安阳金湖波水泥有限责任公司、河南利华制药有限公司（高新厂区、龙安厂区）、安阳桦炜齿轮有限责任公司三家企业建立退城搬迁推进工作台账，逐企明确退城搬迁的范围、时序和方式，在2026 年12 月底前搬迁至主城区外，未如期搬迁的实施生产调控。纳入重点区域环境问题整治台账的工业企业，属于退城搬迁的，应于6月底前完成关停或搬迁；属于保留的，原则上要达到能效标杆和环保绩效A 级（含绩效引领）水平，对未达到的秋冬季期间实施生产调控。</w:t>
                  </w:r>
                </w:p>
              </w:tc>
              <w:tc>
                <w:tcPr>
                  <w:tcW w:w="1800" w:type="dxa"/>
                  <w:noWrap w:val="0"/>
                  <w:vAlign w:val="center"/>
                </w:tcPr>
                <w:p w14:paraId="524D084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本项目厂址位于汤阴县产业集聚区。</w:t>
                  </w:r>
                </w:p>
              </w:tc>
            </w:tr>
            <w:tr w14:paraId="7BE9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vMerge w:val="continue"/>
                  <w:noWrap w:val="0"/>
                  <w:vAlign w:val="center"/>
                </w:tcPr>
                <w:p w14:paraId="76B69455">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783" w:type="dxa"/>
                  <w:noWrap w:val="0"/>
                  <w:vAlign w:val="center"/>
                </w:tcPr>
                <w:p w14:paraId="6BF8ACB5">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4.持续压减过剩产能。加快推进砖瓦窑行业整合退出，每个县（市）保留不超过2家，保留的企业严格按照河南省政策要求，同一企业内部整合实施产能等量或减量置换，跨企业整合实施产能倍量置换，已退出或“僵尸”产能不得作为置换产能，通过整合单条线产能达到1亿块标砖/年（以窑体计）以上，且应达到环保绩效A级水平。纳入2025年关停的企业2026年4月20日前完成关停拆除；纳入2025 年保留的18 家企业由属地政府2026年4 月20 日前确定关停整治方案，明确保留及关停企业名单，2026年9月底前关停整治到位；纳入2026 年保留的企业，10月1日起，未通过A 级核查公示的实施生产调控。</w:t>
                  </w:r>
                </w:p>
                <w:p w14:paraId="57362019">
                  <w:pPr>
                    <w:pStyle w:val="14"/>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纳入2025年关停的独立洗煤厂2026年4 月20日前关停拆除到位；纳入2026年关停的独立洗煤厂2026年6月底前关停拆除到位。</w:t>
                  </w:r>
                </w:p>
                <w:p w14:paraId="1CD80B6D">
                  <w:pPr>
                    <w:pStyle w:val="14"/>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与煤矿配套的保留企业2026年9月底前通过绩效A级核查公示，未通过的秋冬季期间实施生产调控。严禁无证开采、超范围开采矿石。全市14家有配套矿山的砂石骨料企业、5家以建筑废料为原料的机制砂企业未通过环保绩效B级省级公示的继续实施生产调控，2026年9月底前未通过环保绩效A 级省级公示的实施生产调控。严防已关停退出的独立洗煤厂、燃煤石灰窑、机制砂、烧结砖瓦窑企业“死灰复燃”；严禁新增独立洗煤厂、燃煤石灰窑、机制砂、烧结砖瓦窑企业。出现反弹或新增的，按 “散乱污”企业对待，发现一起，查处一起，问责一起。</w:t>
                  </w:r>
                </w:p>
                <w:p w14:paraId="117DBF18">
                  <w:pPr>
                    <w:pStyle w:val="14"/>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实施氧化锌行业关停整治，未通过环保绩效A级标准核查验收的继续实施生产调控。</w:t>
                  </w:r>
                </w:p>
              </w:tc>
              <w:tc>
                <w:tcPr>
                  <w:tcW w:w="1800" w:type="dxa"/>
                  <w:noWrap w:val="0"/>
                  <w:vAlign w:val="center"/>
                </w:tcPr>
                <w:p w14:paraId="6C78A0A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本项目为中成药生产，不属于砖瓦、洗煤、采矿、氧化锌等产能过剩行业。</w:t>
                  </w:r>
                </w:p>
              </w:tc>
            </w:tr>
            <w:tr w14:paraId="5975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noWrap w:val="0"/>
                  <w:vAlign w:val="center"/>
                </w:tcPr>
                <w:p w14:paraId="28710BB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（二）大力调整能源结构，促进能源清洁低碳发展</w:t>
                  </w:r>
                </w:p>
              </w:tc>
              <w:tc>
                <w:tcPr>
                  <w:tcW w:w="4783" w:type="dxa"/>
                  <w:noWrap w:val="0"/>
                  <w:vAlign w:val="center"/>
                </w:tcPr>
                <w:p w14:paraId="228D5F65">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6.加快工业炉窑清洁能源替代。殷都区5家燃煤石灰窑企业改为清洁低碳能源，在完成清洁能源替代、环保绩效达到A级之前，继续实施生产调控。淘汰燃油锅炉。</w:t>
                  </w:r>
                </w:p>
              </w:tc>
              <w:tc>
                <w:tcPr>
                  <w:tcW w:w="1800" w:type="dxa"/>
                  <w:noWrap w:val="0"/>
                  <w:vAlign w:val="center"/>
                </w:tcPr>
                <w:p w14:paraId="4F27B82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本项目使用园区集中供热，不使用锅炉</w:t>
                  </w:r>
                </w:p>
              </w:tc>
            </w:tr>
            <w:tr w14:paraId="7F2F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noWrap w:val="0"/>
                  <w:vAlign w:val="center"/>
                </w:tcPr>
                <w:p w14:paraId="3B9CB10C">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（三）大力调整运输结构，促进绿色运输体系加快发展</w:t>
                  </w:r>
                </w:p>
              </w:tc>
              <w:tc>
                <w:tcPr>
                  <w:tcW w:w="4783" w:type="dxa"/>
                  <w:noWrap w:val="0"/>
                  <w:vAlign w:val="center"/>
                </w:tcPr>
                <w:p w14:paraId="74CB1CDC">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9.提升重点行业清洁运输比例。推动重点行业大宗货物长距离运输优先使用铁路、管道，短距离运输使用封闭皮带通廊、新能源车等清洁运输方式；新、改、扩建项目原则上采用清洁运输方式。建立重点行业企业清洁运输比例提升清单台账，2026年全市火电、钢铁、煤炭、焦化、有色、水泥、化工、砂石骨料等行业大宗货物清洁运输比例稳定达到85%以上。货运车辆禁行区内的安钢股份、大唐安阳、沙钢永兴、安钢永通、鑫源铸业、城发环保（安阳）、岷山环能、安彩光热、安彩光伏、安阳卷烟厂、安钢冷轧等重点企业清洁运输比例力争达到90%。全市A 级、B级、绩效引领企业清洁运输比例力争达到90%以上。</w:t>
                  </w:r>
                </w:p>
              </w:tc>
              <w:tc>
                <w:tcPr>
                  <w:tcW w:w="1800" w:type="dxa"/>
                  <w:noWrap w:val="0"/>
                  <w:vAlign w:val="center"/>
                </w:tcPr>
                <w:p w14:paraId="2F1152E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本项目为中成药生产，不属于重点行业，采用清洁运输方式。</w:t>
                  </w:r>
                </w:p>
              </w:tc>
            </w:tr>
            <w:tr w14:paraId="7069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vMerge w:val="restart"/>
                  <w:noWrap w:val="0"/>
                  <w:vAlign w:val="center"/>
                </w:tcPr>
                <w:p w14:paraId="4F06D041">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（四）深化重点行业污染减排，提升环保绩效水平</w:t>
                  </w:r>
                </w:p>
              </w:tc>
              <w:tc>
                <w:tcPr>
                  <w:tcW w:w="4783" w:type="dxa"/>
                  <w:noWrap w:val="0"/>
                  <w:vAlign w:val="center"/>
                </w:tcPr>
                <w:p w14:paraId="4E04E35D">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14 .实施重点行业绩效提升行动。聚焦火电、垃圾发电、钢铁、焦化、水泥熟料、平板玻璃、煤制氮肥、汽车整车制造、铸造等重点行业，建立全口径创A 企业清单，编制“一企一策”提升方案，从项目审批、税费减免、资金奖补、差别化电价等方面给予政策激励，建立常态化的指导帮扶和动态调整机制。2026年年底前，力争创建100家A、B级和绩效引领性企业（含省定任务15家A级企业）。全市A 级、B级、绩效引领企业清洁运输比例达到80%以上。</w:t>
                  </w:r>
                </w:p>
              </w:tc>
              <w:tc>
                <w:tcPr>
                  <w:tcW w:w="1800" w:type="dxa"/>
                  <w:noWrap w:val="0"/>
                  <w:vAlign w:val="center"/>
                </w:tcPr>
                <w:p w14:paraId="4AC3024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本项目满足涉PM、VOCs绩效引领性企业的要求</w:t>
                  </w:r>
                </w:p>
              </w:tc>
            </w:tr>
            <w:tr w14:paraId="5833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vMerge w:val="continue"/>
                  <w:noWrap w:val="0"/>
                  <w:vAlign w:val="center"/>
                </w:tcPr>
                <w:p w14:paraId="09BEACB0">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783" w:type="dxa"/>
                  <w:noWrap w:val="0"/>
                  <w:vAlign w:val="center"/>
                </w:tcPr>
                <w:p w14:paraId="5ABFEFF3">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15.推进重点行业超低排放改造。2026年5月底前，完成15台燃煤锅炉、16家独立粉磨站超低排放改造市级核查，未通过核查的实施生产调控。2026年9月底前，水泥、焦化企业基本完成全流程公示，完成改造的企业加强运行管理，确保稳定达到超低排放要求，争创环境绩效A级企业。林州市、殷都区完成4家铸造用生铁企业超低排放改造。</w:t>
                  </w:r>
                </w:p>
              </w:tc>
              <w:tc>
                <w:tcPr>
                  <w:tcW w:w="1800" w:type="dxa"/>
                  <w:noWrap w:val="0"/>
                  <w:vAlign w:val="center"/>
                </w:tcPr>
                <w:p w14:paraId="5D543BE7">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本项目不使用锅炉，不属于重点行业</w:t>
                  </w:r>
                </w:p>
              </w:tc>
            </w:tr>
            <w:tr w14:paraId="0858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vMerge w:val="continue"/>
                  <w:noWrap w:val="0"/>
                  <w:vAlign w:val="center"/>
                </w:tcPr>
                <w:p w14:paraId="199E1541">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783" w:type="dxa"/>
                  <w:noWrap w:val="0"/>
                  <w:vAlign w:val="center"/>
                </w:tcPr>
                <w:p w14:paraId="30267A54">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16 .开展工业企业深度治理。2026年12月底前，4 家燃煤电厂“一厂一策”完成精准喷氨升级改造，加快推进全负荷脱硝升级改造。2026年年底前，组织开展4家长流程钢铁、4家铸造用生铁企业一氧化碳深度治理，同步安装一氧化碳在线监控设施。依据《国家污染防治技术指导目录》，持续开展锅炉、炉窑、涉VOCs企业低效失效大气污染治理设施排查，对工艺不适用、功能不完善、运维不到位、无法稳定达标排放的污染治理设施实施分类整治。2026年10月底前，完成低效失效治理设施提升改造企业50家以上。</w:t>
                  </w:r>
                </w:p>
              </w:tc>
              <w:tc>
                <w:tcPr>
                  <w:tcW w:w="1800" w:type="dxa"/>
                  <w:noWrap w:val="0"/>
                  <w:vAlign w:val="center"/>
                </w:tcPr>
                <w:p w14:paraId="16940C2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本项目不使用低效失效治理设施</w:t>
                  </w:r>
                </w:p>
              </w:tc>
            </w:tr>
            <w:tr w14:paraId="088B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vMerge w:val="continue"/>
                  <w:noWrap w:val="0"/>
                  <w:vAlign w:val="center"/>
                </w:tcPr>
                <w:p w14:paraId="7D51218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p>
              </w:tc>
              <w:tc>
                <w:tcPr>
                  <w:tcW w:w="4783" w:type="dxa"/>
                  <w:noWrap w:val="0"/>
                  <w:vAlign w:val="center"/>
                </w:tcPr>
                <w:p w14:paraId="531376A8">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17 .实施VOCs 综合治理。按照“可替尽替、应代尽代”原则，加大工业涂装、包装印刷、家具制造、电子制造等重点行业VOCs含量原辅材料替代力度，采用符合有关VOCs 含量限值标准的涂料、油墨、胶粘剂、清洗剂。完善活性炭“码上换”管理制度，高标准完成活性炭更换工作。持续开展VOCs 治理突出问题排查整治，加强污染治理设施运行维护，强化无组织和非正常工况废气排放管控，提高废气收集效率。焦化、化工、医药等重点行业企业按规范开展泄漏检测与修复（LDAR）。2026 年9 月底前，废水逸散的高浓度VOCs 废气实现单独收集治理，挥发性有机液体储罐使用低泄漏的储罐呼吸阀、紧急泄压阀，汽车罐车使用自封式快速接头。</w:t>
                  </w:r>
                </w:p>
              </w:tc>
              <w:tc>
                <w:tcPr>
                  <w:tcW w:w="1800" w:type="dxa"/>
                  <w:noWrap w:val="0"/>
                  <w:vAlign w:val="center"/>
                </w:tcPr>
                <w:p w14:paraId="71EDD5C4">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本项目VOCs废气采取低温冷凝+RCO催化燃烧组合工艺处理达标后排放</w:t>
                  </w:r>
                </w:p>
              </w:tc>
            </w:tr>
            <w:tr w14:paraId="7516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noWrap w:val="0"/>
                  <w:vAlign w:val="center"/>
                </w:tcPr>
                <w:p w14:paraId="2D959361">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（五）加强面源污染管控，提升精细管理水平</w:t>
                  </w:r>
                </w:p>
              </w:tc>
              <w:tc>
                <w:tcPr>
                  <w:tcW w:w="4783" w:type="dxa"/>
                  <w:noWrap w:val="0"/>
                  <w:vAlign w:val="center"/>
                </w:tcPr>
                <w:p w14:paraId="16676AAA">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18 .深化扬尘污染综合治理。全面落实施工扬尘防治“六个百分百”标准规定，持续提升扬尘治理精细化水平，重点区域1公里范围施工项目建成扬尘治理差异化评价A 级工地，否则不得施工。城区施工工地推广基坑气膜、装配式建筑、全封闭钢板网等新技术。</w:t>
                  </w:r>
                </w:p>
              </w:tc>
              <w:tc>
                <w:tcPr>
                  <w:tcW w:w="1800" w:type="dxa"/>
                  <w:noWrap w:val="0"/>
                  <w:vAlign w:val="center"/>
                </w:tcPr>
                <w:p w14:paraId="71F6433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本项目施工扬尘防治按照“六个百分百”标准规定要求进行</w:t>
                  </w:r>
                </w:p>
              </w:tc>
            </w:tr>
            <w:tr w14:paraId="5B0B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noWrap w:val="0"/>
                  <w:vAlign w:val="center"/>
                </w:tcPr>
                <w:p w14:paraId="1BD17AA6">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（六）强化重污染天气应对，提升应急管控实效</w:t>
                  </w:r>
                </w:p>
              </w:tc>
              <w:tc>
                <w:tcPr>
                  <w:tcW w:w="4783" w:type="dxa"/>
                  <w:noWrap w:val="0"/>
                  <w:vAlign w:val="center"/>
                </w:tcPr>
                <w:p w14:paraId="72708D01">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23 .有效应对重污染天气。完善应急减排清单与排污许可等数据对接机制，动态调整应急减排清单，实现涉气企业全覆盖。强化区域联防联控，综合运用卫星遥感、用电监管、自动监控、门禁系统、视频监控、AI识别等科技手段，建立健全快速响应、排查、整改、反馈的闭环管理机制，及时清除高值热点，全面提升重污染天气应对管控成效。</w:t>
                  </w:r>
                </w:p>
              </w:tc>
              <w:tc>
                <w:tcPr>
                  <w:tcW w:w="1800" w:type="dxa"/>
                  <w:noWrap w:val="0"/>
                  <w:vAlign w:val="center"/>
                </w:tcPr>
                <w:p w14:paraId="3B3CDC5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w:t>
                  </w: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建成后将完善应急减排清单和排污许可等数据对接机制</w:t>
                  </w:r>
                </w:p>
              </w:tc>
            </w:tr>
            <w:tr w14:paraId="61C4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noWrap w:val="0"/>
                  <w:vAlign w:val="center"/>
                </w:tcPr>
                <w:p w14:paraId="6CE2587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（七）聚焦全方位能力建设，夯实绿色发展根基</w:t>
                  </w:r>
                </w:p>
              </w:tc>
              <w:tc>
                <w:tcPr>
                  <w:tcW w:w="4783" w:type="dxa"/>
                  <w:noWrap w:val="0"/>
                  <w:vAlign w:val="center"/>
                </w:tcPr>
                <w:p w14:paraId="2B1EB119">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26.提高环境监测监控能力。推进钢铁、焦化等重点行业企业完善DCS系统，对生产工况、治污设施、污染物排放等各类在线监测视频监控相关数据信息与省、市生态环境部门联网，实现全流程、全时段监控。稳步提升数据质量、预警水平与监测效能。强化站点管理，抓实自动监测站基础保障与运维质控，确保设备稳定运行、数据真实准确，严防人为干扰。严格执行《生态环境监测条例》，加强污染源监测，开展排污单位监督性监测与自行监测专项检查，规范企业自行监测。</w:t>
                  </w:r>
                </w:p>
              </w:tc>
              <w:tc>
                <w:tcPr>
                  <w:tcW w:w="1800" w:type="dxa"/>
                  <w:noWrap w:val="0"/>
                  <w:vAlign w:val="center"/>
                </w:tcPr>
                <w:p w14:paraId="3D774991">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本项目按要求进行自行监测</w:t>
                  </w:r>
                </w:p>
              </w:tc>
            </w:tr>
          </w:tbl>
          <w:p w14:paraId="06A6B283">
            <w:pPr>
              <w:pStyle w:val="33"/>
              <w:keepNext w:val="0"/>
              <w:keepLines w:val="0"/>
              <w:pageBreakBefore w:val="0"/>
              <w:widowControl w:val="0"/>
              <w:kinsoku/>
              <w:wordWrap/>
              <w:overflowPunct/>
              <w:topLinePunct w:val="0"/>
              <w:autoSpaceDE w:val="0"/>
              <w:autoSpaceDN w:val="0"/>
              <w:bidi w:val="0"/>
              <w:adjustRightInd w:val="0"/>
              <w:snapToGrid/>
              <w:spacing w:before="157" w:beforeLines="50" w:line="240" w:lineRule="auto"/>
              <w:jc w:val="center"/>
              <w:textAlignment w:val="auto"/>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表</w:t>
            </w:r>
            <w:r>
              <w:rPr>
                <w:rFonts w:hint="eastAsia" w:ascii="Times New Roman" w:cs="Times New Roman"/>
                <w:b w:val="0"/>
                <w:bCs/>
                <w:color w:val="000000" w:themeColor="text1"/>
                <w:kern w:val="2"/>
                <w:sz w:val="24"/>
                <w:szCs w:val="24"/>
                <w:lang w:val="en-US" w:eastAsia="zh-CN" w:bidi="ar-SA"/>
                <w14:textFill>
                  <w14:solidFill>
                    <w14:schemeClr w14:val="tx1"/>
                  </w14:solidFill>
                </w14:textFill>
              </w:rPr>
              <w:t>7</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 xml:space="preserve"> 项目与《安阳市202</w:t>
            </w:r>
            <w:r>
              <w:rPr>
                <w:rFonts w:hint="eastAsia" w:ascii="Times New Roman" w:cs="Times New Roman"/>
                <w:b w:val="0"/>
                <w:bCs/>
                <w:color w:val="000000" w:themeColor="text1"/>
                <w:kern w:val="2"/>
                <w:sz w:val="24"/>
                <w:szCs w:val="24"/>
                <w:lang w:val="en-US" w:eastAsia="zh-CN" w:bidi="ar-SA"/>
                <w14:textFill>
                  <w14:solidFill>
                    <w14:schemeClr w14:val="tx1"/>
                  </w14:solidFill>
                </w14:textFill>
              </w:rPr>
              <w:t>6</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年碧水保卫战实施方案》对比一览表</w:t>
            </w:r>
          </w:p>
          <w:tbl>
            <w:tblPr>
              <w:tblStyle w:val="27"/>
              <w:tblW w:w="7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21"/>
              <w:gridCol w:w="4783"/>
              <w:gridCol w:w="1800"/>
            </w:tblGrid>
            <w:tr w14:paraId="3528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shd w:val="clear" w:color="auto" w:fill="auto"/>
                  <w:noWrap w:val="0"/>
                  <w:vAlign w:val="center"/>
                </w:tcPr>
                <w:p w14:paraId="71288D9A">
                  <w:pPr>
                    <w:pStyle w:val="14"/>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类别</w:t>
                  </w:r>
                </w:p>
              </w:tc>
              <w:tc>
                <w:tcPr>
                  <w:tcW w:w="4783" w:type="dxa"/>
                  <w:shd w:val="clear" w:color="auto" w:fill="auto"/>
                  <w:noWrap w:val="0"/>
                  <w:vAlign w:val="center"/>
                </w:tcPr>
                <w:p w14:paraId="780E705F">
                  <w:pPr>
                    <w:pStyle w:val="14"/>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方案要求</w:t>
                  </w:r>
                </w:p>
              </w:tc>
              <w:tc>
                <w:tcPr>
                  <w:tcW w:w="1800" w:type="dxa"/>
                  <w:noWrap w:val="0"/>
                  <w:vAlign w:val="center"/>
                </w:tcPr>
                <w:p w14:paraId="66CB6F53">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相符性分析</w:t>
                  </w:r>
                </w:p>
              </w:tc>
            </w:tr>
            <w:tr w14:paraId="485A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noWrap w:val="0"/>
                  <w:vAlign w:val="center"/>
                </w:tcPr>
                <w:p w14:paraId="20FD978A">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（二）严守饮用水水源地水质安全</w:t>
                  </w:r>
                </w:p>
              </w:tc>
              <w:tc>
                <w:tcPr>
                  <w:tcW w:w="4783" w:type="dxa"/>
                  <w:noWrap w:val="0"/>
                  <w:vAlign w:val="center"/>
                </w:tcPr>
                <w:p w14:paraId="7A045572">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5.持续加强饮用水水源地保护。依法科学划定、调整、取消饮用水水源保护区（范围）；9月底前完成乡镇级及以下水源地基础信息调查和农村重点集中式饮用水水源地水质专项调查；持续推进饮用水水源地规范化建设，深入开展饮用水水源地保护区内环境风险排查整治，巩固水源地整治效果，切实保障饮水安全。</w:t>
                  </w:r>
                </w:p>
              </w:tc>
              <w:tc>
                <w:tcPr>
                  <w:tcW w:w="1800" w:type="dxa"/>
                  <w:noWrap w:val="0"/>
                  <w:vAlign w:val="center"/>
                </w:tcPr>
                <w:p w14:paraId="4D8DC2EB">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本项目二期工程距离伏道镇集中饮用水地下水井较近，但</w:t>
                  </w:r>
                  <w:r>
                    <w:rPr>
                      <w:rFonts w:hint="eastAsia" w:ascii="Times New Roman" w:hAnsi="Times New Roman" w:cs="Times New Roman"/>
                      <w:color w:val="000000" w:themeColor="text1"/>
                      <w:highlight w:val="none"/>
                      <w:vertAlign w:val="baseline"/>
                      <w:lang w:val="en-US" w:eastAsia="zh-CN"/>
                      <w14:textFill>
                        <w14:solidFill>
                          <w14:schemeClr w14:val="tx1"/>
                        </w14:solidFill>
                      </w14:textFill>
                    </w:rPr>
                    <w:t>已取消</w:t>
                  </w:r>
                  <w:r>
                    <w:rPr>
                      <w:rFonts w:hint="eastAsia" w:ascii="Times New Roman" w:hAnsi="Times New Roman" w:cs="Times New Roman"/>
                      <w:color w:val="000000" w:themeColor="text1"/>
                      <w:vertAlign w:val="baseline"/>
                      <w:lang w:val="en-US" w:eastAsia="zh-CN"/>
                      <w14:textFill>
                        <w14:solidFill>
                          <w14:schemeClr w14:val="tx1"/>
                        </w14:solidFill>
                      </w14:textFill>
                    </w:rPr>
                    <w:t>伏道镇集中式饮用水源，改为使用集聚区供水管网统一供水，因此项目建设不会对其产生不利影响。</w:t>
                  </w:r>
                </w:p>
              </w:tc>
            </w:tr>
            <w:tr w14:paraId="2882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221" w:type="dxa"/>
                  <w:noWrap w:val="0"/>
                  <w:vAlign w:val="center"/>
                </w:tcPr>
                <w:p w14:paraId="4829F7FF">
                  <w:pPr>
                    <w:pStyle w:val="14"/>
                    <w:jc w:val="center"/>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（三）持续推动环境基础设施建设</w:t>
                  </w:r>
                </w:p>
              </w:tc>
              <w:tc>
                <w:tcPr>
                  <w:tcW w:w="4783" w:type="dxa"/>
                  <w:noWrap w:val="0"/>
                  <w:vAlign w:val="center"/>
                </w:tcPr>
                <w:p w14:paraId="4299C1CA">
                  <w:pPr>
                    <w:pStyle w:val="14"/>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7 .强力推进重点涉水企业深度治理和工业园区污水收集处理能力提升。组织对城镇污水处理厂和重点涉水工业企业开展 “一厂一策”排查诊治，指导其开展深度治理，确保废水处理设施正常稳定运行，依法打击环境违法行为，有效提升治污水平和精细化管理水平。深入开展工业园区和化工园区水污染问题排查整治，12月底前，完成安阳新型化工产业园区铜冶片区污水处理厂深度处理项目建设和汤阴县工业废水处理减污降碳协同增效省级试点建设，积极推进汤阴县天雨污水处理厂提标改造。</w:t>
                  </w:r>
                </w:p>
              </w:tc>
              <w:tc>
                <w:tcPr>
                  <w:tcW w:w="1800" w:type="dxa"/>
                  <w:noWrap w:val="0"/>
                  <w:vAlign w:val="center"/>
                </w:tcPr>
                <w:p w14:paraId="5A365C5C">
                  <w:pPr>
                    <w:pStyle w:val="14"/>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本项目废水收集后进入厂区污水处理站处理后经市政管网排入汤阴天雨污水净化有限公司深度处理后达标排放</w:t>
                  </w:r>
                </w:p>
              </w:tc>
            </w:tr>
          </w:tbl>
          <w:p w14:paraId="22F5DF25">
            <w:pPr>
              <w:pStyle w:val="68"/>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161EEEC5">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本项目建设符合《安阳市202</w:t>
            </w:r>
            <w:r>
              <w:rPr>
                <w:rFonts w:hint="eastAsia" w:cs="Times New Roman"/>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年大气污染防治攻坚行动方案》、《安阳市202</w:t>
            </w:r>
            <w:r>
              <w:rPr>
                <w:rFonts w:hint="eastAsia" w:cs="Times New Roman"/>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年碧水保卫战实施方案》中相关要求</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3C3D158F">
            <w:pPr>
              <w:pStyle w:val="68"/>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六、与《生态环境系统安全生产治本攻坚三年行动方案（2024-2026年）》（安环文〔2024〕62号）相符性分析</w:t>
            </w:r>
          </w:p>
          <w:p w14:paraId="2500464D">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按照《河南省安全生产治本攻坚三年行动方案（2024-2026年）生态环境系统子方案》、市安委会《安阳市安全生产治本攻坚三年行动实施细则（2024-2026年）》总体要求，安阳市生态环境局印发了《生态环境系统安全生产治本攻坚三年行动方案（2024-2026年）》（安环文〔2024〕62号），本项目建设内容与该攻坚行动方案相关内容进行对照，相符性如下：</w:t>
            </w:r>
          </w:p>
          <w:p w14:paraId="5EB7C7D6">
            <w:pPr>
              <w:pStyle w:val="33"/>
              <w:keepNext w:val="0"/>
              <w:keepLines w:val="0"/>
              <w:pageBreakBefore w:val="0"/>
              <w:widowControl w:val="0"/>
              <w:kinsoku/>
              <w:wordWrap/>
              <w:overflowPunct/>
              <w:topLinePunct w:val="0"/>
              <w:autoSpaceDE w:val="0"/>
              <w:autoSpaceDN w:val="0"/>
              <w:bidi w:val="0"/>
              <w:adjustRightInd w:val="0"/>
              <w:snapToGrid/>
              <w:spacing w:before="157" w:beforeLines="50" w:line="240" w:lineRule="auto"/>
              <w:jc w:val="center"/>
              <w:textAlignment w:val="auto"/>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表</w:t>
            </w:r>
            <w:r>
              <w:rPr>
                <w:rFonts w:hint="eastAsia" w:ascii="Times New Roman" w:cs="Times New Roman"/>
                <w:b w:val="0"/>
                <w:bCs/>
                <w:color w:val="000000" w:themeColor="text1"/>
                <w:kern w:val="2"/>
                <w:sz w:val="24"/>
                <w:szCs w:val="24"/>
                <w:lang w:val="en-US" w:eastAsia="zh-CN" w:bidi="ar-SA"/>
                <w14:textFill>
                  <w14:solidFill>
                    <w14:schemeClr w14:val="tx1"/>
                  </w14:solidFill>
                </w14:textFill>
              </w:rPr>
              <w:t>8</w:t>
            </w:r>
            <w:r>
              <w:rPr>
                <w:rFonts w:hint="eastAsia" w:ascii="Times New Roman" w:hAnsi="Times New Roman" w:cs="Times New Roman"/>
                <w:b w:val="0"/>
                <w:bCs/>
                <w:color w:val="000000" w:themeColor="text1"/>
                <w:kern w:val="2"/>
                <w:sz w:val="24"/>
                <w:szCs w:val="24"/>
                <w:lang w:val="en-US" w:eastAsia="zh-CN" w:bidi="ar-SA"/>
                <w14:textFill>
                  <w14:solidFill>
                    <w14:schemeClr w14:val="tx1"/>
                  </w14:solidFill>
                </w14:textFill>
              </w:rPr>
              <w:t xml:space="preserve"> 项目与《生态环境系统安全生产治本攻坚三年行动方案》对比一览表</w:t>
            </w:r>
          </w:p>
          <w:tbl>
            <w:tblPr>
              <w:tblStyle w:val="27"/>
              <w:tblW w:w="7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813"/>
              <w:gridCol w:w="3825"/>
              <w:gridCol w:w="2166"/>
            </w:tblGrid>
            <w:tr w14:paraId="71FD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813" w:type="dxa"/>
                  <w:shd w:val="clear" w:color="auto" w:fill="auto"/>
                  <w:noWrap w:val="0"/>
                  <w:vAlign w:val="center"/>
                </w:tcPr>
                <w:p w14:paraId="2AAE94E1">
                  <w:pPr>
                    <w:autoSpaceDE w:val="0"/>
                    <w:autoSpaceDN w:val="0"/>
                    <w:adjustRightInd w:val="0"/>
                    <w:snapToGrid w:val="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内容</w:t>
                  </w:r>
                </w:p>
              </w:tc>
              <w:tc>
                <w:tcPr>
                  <w:tcW w:w="3825" w:type="dxa"/>
                  <w:shd w:val="clear" w:color="auto" w:fill="auto"/>
                  <w:noWrap w:val="0"/>
                  <w:vAlign w:val="center"/>
                </w:tcPr>
                <w:p w14:paraId="08882648">
                  <w:pPr>
                    <w:autoSpaceDE w:val="0"/>
                    <w:autoSpaceDN w:val="0"/>
                    <w:adjustRightInd w:val="0"/>
                    <w:snapToGrid w:val="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要求</w:t>
                  </w:r>
                </w:p>
              </w:tc>
              <w:tc>
                <w:tcPr>
                  <w:tcW w:w="2166" w:type="dxa"/>
                  <w:noWrap w:val="0"/>
                  <w:vAlign w:val="center"/>
                </w:tcPr>
                <w:p w14:paraId="272E7B39">
                  <w:pPr>
                    <w:autoSpaceDE w:val="0"/>
                    <w:autoSpaceDN w:val="0"/>
                    <w:adjustRightInd w:val="0"/>
                    <w:snapToGrid w:val="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本项目建设情况</w:t>
                  </w:r>
                </w:p>
              </w:tc>
            </w:tr>
            <w:tr w14:paraId="76BA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813" w:type="dxa"/>
                  <w:noWrap w:val="0"/>
                  <w:vAlign w:val="center"/>
                </w:tcPr>
                <w:p w14:paraId="4B2F4E3F">
                  <w:pPr>
                    <w:autoSpaceDE w:val="0"/>
                    <w:autoSpaceDN w:val="0"/>
                    <w:adjustRightInd w:val="0"/>
                    <w:snapToGrid w:val="0"/>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（一）认真落实环境保护和安全生产相关要求</w:t>
                  </w:r>
                </w:p>
              </w:tc>
              <w:tc>
                <w:tcPr>
                  <w:tcW w:w="3825" w:type="dxa"/>
                  <w:noWrap w:val="0"/>
                  <w:vAlign w:val="center"/>
                </w:tcPr>
                <w:p w14:paraId="1BB50319">
                  <w:pPr>
                    <w:autoSpaceDE w:val="0"/>
                    <w:autoSpaceDN w:val="0"/>
                    <w:adjustRightInd w:val="0"/>
                    <w:snapToGrid w:val="0"/>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color w:val="000000" w:themeColor="text1"/>
                      <w:szCs w:val="21"/>
                      <w:lang w:bidi="ar"/>
                      <w14:textFill>
                        <w14:solidFill>
                          <w14:schemeClr w14:val="tx1"/>
                        </w14:solidFill>
                      </w14:textFill>
                    </w:rPr>
                    <w:t>1.</w:t>
                  </w:r>
                  <w:r>
                    <w:rPr>
                      <w:rFonts w:hint="eastAsia" w:ascii="宋体" w:hAnsi="宋体" w:cs="宋体"/>
                      <w:color w:val="000000" w:themeColor="text1"/>
                      <w:szCs w:val="21"/>
                      <w:lang w:bidi="ar"/>
                      <w14:textFill>
                        <w14:solidFill>
                          <w14:schemeClr w14:val="tx1"/>
                        </w14:solidFill>
                      </w14:textFill>
                    </w:rPr>
                    <w:t>强化安全生产工作认识</w:t>
                  </w:r>
                </w:p>
              </w:tc>
              <w:tc>
                <w:tcPr>
                  <w:tcW w:w="2166" w:type="dxa"/>
                  <w:noWrap w:val="0"/>
                  <w:vAlign w:val="center"/>
                </w:tcPr>
                <w:p w14:paraId="7338CE1E">
                  <w:pPr>
                    <w:autoSpaceDE w:val="0"/>
                    <w:autoSpaceDN w:val="0"/>
                    <w:adjustRightInd w:val="0"/>
                    <w:snapToGrid w:val="0"/>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本项目将定期开展安全生产培训，强化员工安全作业的意识。</w:t>
                  </w:r>
                </w:p>
              </w:tc>
            </w:tr>
            <w:tr w14:paraId="5324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813" w:type="dxa"/>
                  <w:noWrap w:val="0"/>
                  <w:vAlign w:val="center"/>
                </w:tcPr>
                <w:p w14:paraId="55559134">
                  <w:pPr>
                    <w:autoSpaceDE w:val="0"/>
                    <w:autoSpaceDN w:val="0"/>
                    <w:adjustRightInd w:val="0"/>
                    <w:snapToGrid w:val="0"/>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（四）强化重点环保设施设备环境风险监管</w:t>
                  </w:r>
                </w:p>
              </w:tc>
              <w:tc>
                <w:tcPr>
                  <w:tcW w:w="3825" w:type="dxa"/>
                  <w:noWrap w:val="0"/>
                  <w:vAlign w:val="center"/>
                </w:tcPr>
                <w:p w14:paraId="2D189BD0">
                  <w:pPr>
                    <w:autoSpaceDE w:val="0"/>
                    <w:autoSpaceDN w:val="0"/>
                    <w:adjustRightInd w:val="0"/>
                    <w:snapToGrid w:val="0"/>
                    <w:jc w:val="both"/>
                    <w:rPr>
                      <w:rFonts w:hint="eastAsia" w:ascii="Times New Roman" w:hAnsi="Times New Roman" w:cs="Times New Roman"/>
                      <w:color w:val="000000" w:themeColor="text1"/>
                      <w:vertAlign w:val="baseline"/>
                      <w:lang w:val="en-US" w:eastAsia="zh-CN"/>
                      <w14:textFill>
                        <w14:solidFill>
                          <w14:schemeClr w14:val="tx1"/>
                        </w14:solidFill>
                      </w14:textFill>
                    </w:rPr>
                  </w:pPr>
                  <w:r>
                    <w:rPr>
                      <w:color w:val="000000" w:themeColor="text1"/>
                      <w:szCs w:val="21"/>
                      <w:lang w:bidi="ar"/>
                      <w14:textFill>
                        <w14:solidFill>
                          <w14:schemeClr w14:val="tx1"/>
                        </w14:solidFill>
                      </w14:textFill>
                    </w:rPr>
                    <w:t>12.</w:t>
                  </w:r>
                  <w:r>
                    <w:rPr>
                      <w:rFonts w:hint="eastAsia" w:ascii="宋体" w:hAnsi="宋体" w:cs="宋体"/>
                      <w:color w:val="000000" w:themeColor="text1"/>
                      <w:szCs w:val="21"/>
                      <w:lang w:bidi="ar"/>
                      <w14:textFill>
                        <w14:solidFill>
                          <w14:schemeClr w14:val="tx1"/>
                        </w14:solidFill>
                      </w14:textFill>
                    </w:rPr>
                    <w:t>强化重点环保设施、项目环境风险评估和隐患排查工作</w:t>
                  </w:r>
                </w:p>
              </w:tc>
              <w:tc>
                <w:tcPr>
                  <w:tcW w:w="2166" w:type="dxa"/>
                  <w:noWrap w:val="0"/>
                  <w:vAlign w:val="center"/>
                </w:tcPr>
                <w:p w14:paraId="5E34B628">
                  <w:pPr>
                    <w:autoSpaceDE w:val="0"/>
                    <w:autoSpaceDN w:val="0"/>
                    <w:adjustRightInd w:val="0"/>
                    <w:snapToGrid w:val="0"/>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本项目将按照环评要求，严格落实环保设施的建设；</w:t>
                  </w:r>
                  <w:r>
                    <w:rPr>
                      <w:rFonts w:hint="eastAsia" w:ascii="宋体" w:hAnsi="宋体" w:cs="宋体"/>
                      <w:color w:val="000000" w:themeColor="text1"/>
                      <w:szCs w:val="21"/>
                      <w:lang w:val="en-US" w:eastAsia="zh-CN" w:bidi="ar"/>
                      <w14:textFill>
                        <w14:solidFill>
                          <w14:schemeClr w14:val="tx1"/>
                        </w14:solidFill>
                      </w14:textFill>
                    </w:rPr>
                    <w:t>规范台账管理；</w:t>
                  </w:r>
                  <w:r>
                    <w:rPr>
                      <w:rFonts w:hint="eastAsia" w:ascii="宋体" w:hAnsi="宋体" w:cs="宋体"/>
                      <w:color w:val="000000" w:themeColor="text1"/>
                      <w:szCs w:val="21"/>
                      <w:lang w:bidi="ar"/>
                      <w14:textFill>
                        <w14:solidFill>
                          <w14:schemeClr w14:val="tx1"/>
                        </w14:solidFill>
                      </w14:textFill>
                    </w:rPr>
                    <w:t>定期开展环境风险评估和隐患排查工作。</w:t>
                  </w:r>
                </w:p>
              </w:tc>
            </w:tr>
            <w:tr w14:paraId="7342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813" w:type="dxa"/>
                  <w:noWrap w:val="0"/>
                  <w:vAlign w:val="center"/>
                </w:tcPr>
                <w:p w14:paraId="02CFE394">
                  <w:pPr>
                    <w:pStyle w:val="22"/>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2"/>
                      <w:sz w:val="21"/>
                      <w:szCs w:val="21"/>
                      <w:highlight w:val="none"/>
                      <w:lang w:val="en-US" w:eastAsia="zh-CN" w:bidi="ar"/>
                      <w14:textFill>
                        <w14:solidFill>
                          <w14:schemeClr w14:val="tx1"/>
                        </w14:solidFill>
                      </w14:textFill>
                    </w:rPr>
                    <w:t>(五)严格审批，守牢底线</w:t>
                  </w:r>
                </w:p>
              </w:tc>
              <w:tc>
                <w:tcPr>
                  <w:tcW w:w="3825" w:type="dxa"/>
                  <w:noWrap w:val="0"/>
                  <w:vAlign w:val="center"/>
                </w:tcPr>
                <w:p w14:paraId="0FA6D45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2"/>
                      <w:sz w:val="21"/>
                      <w:szCs w:val="21"/>
                      <w:highlight w:val="none"/>
                      <w:lang w:val="en-US" w:eastAsia="zh-CN" w:bidi="ar"/>
                      <w14:textFill>
                        <w14:solidFill>
                          <w14:schemeClr w14:val="tx1"/>
                        </w14:solidFill>
                      </w14:textFill>
                    </w:rPr>
                    <w:t>坚决把严把牢生态环境准入关，推动各类产业园区依法依规开展规划环评，指导督促建设项目环评提出落实环保设施安全生产的工作要求和环境风险防范措施，强化源头防控，防范环境风险。</w:t>
                  </w:r>
                </w:p>
              </w:tc>
              <w:tc>
                <w:tcPr>
                  <w:tcW w:w="2166" w:type="dxa"/>
                  <w:noWrap w:val="0"/>
                  <w:vAlign w:val="center"/>
                </w:tcPr>
                <w:p w14:paraId="0AAC33B1">
                  <w:pPr>
                    <w:pStyle w:val="22"/>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本评价要求建设项目建成后制定严格的环保设施管理运行制度，并落实环境风险防范措施</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r>
          </w:tbl>
          <w:p w14:paraId="5CDA0851">
            <w:pPr>
              <w:pStyle w:val="68"/>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1544EBEF">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可以看出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，本项目符合《生态环境系统安全生产治本攻坚三年行动方案（2024-2026）》（安环文〔2024〕62号）的相关要求</w:t>
            </w:r>
            <w:r>
              <w:rPr>
                <w:rFonts w:hint="eastAsia" w:cs="Times New Roman"/>
                <w:color w:val="000000" w:themeColor="text1"/>
                <w:sz w:val="24"/>
                <w:szCs w:val="24"/>
                <w:lang w:val="en-US" w:eastAsia="zh-CN"/>
                <w14:textFill>
                  <w14:solidFill>
                    <w14:schemeClr w14:val="tx1"/>
                  </w14:solidFill>
                </w14:textFill>
              </w:rPr>
              <w:t>。</w:t>
            </w:r>
          </w:p>
          <w:p w14:paraId="1211E5B3">
            <w:pPr>
              <w:pStyle w:val="68"/>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3EDE19A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pPr>
          </w:p>
        </w:tc>
      </w:tr>
    </w:tbl>
    <w:p w14:paraId="67F10F63">
      <w:pPr>
        <w:spacing w:line="360" w:lineRule="auto"/>
        <w:outlineLvl w:val="0"/>
        <w:rPr>
          <w:rFonts w:eastAsia="黑体"/>
          <w:color w:val="000000" w:themeColor="text1"/>
          <w:sz w:val="21"/>
          <w:szCs w:val="21"/>
          <w14:textFill>
            <w14:solidFill>
              <w14:schemeClr w14:val="tx1"/>
            </w14:solidFill>
          </w14:textFill>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decimal"/>
          <w:cols w:space="720" w:num="1"/>
          <w:docGrid w:linePitch="312" w:charSpace="0"/>
        </w:sectPr>
      </w:pPr>
    </w:p>
    <w:p w14:paraId="508374F8">
      <w:pPr>
        <w:pStyle w:val="22"/>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二、建设项目工程分析</w:t>
      </w:r>
    </w:p>
    <w:tbl>
      <w:tblPr>
        <w:tblStyle w:val="26"/>
        <w:tblW w:w="488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9"/>
        <w:gridCol w:w="8105"/>
      </w:tblGrid>
      <w:tr w14:paraId="1C6AED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949" w:hRule="atLeast"/>
          <w:jc w:val="center"/>
        </w:trPr>
        <w:tc>
          <w:tcPr>
            <w:tcW w:w="418" w:type="pct"/>
            <w:noWrap w:val="0"/>
            <w:vAlign w:val="center"/>
          </w:tcPr>
          <w:p w14:paraId="151EADC7">
            <w:pPr>
              <w:pStyle w:val="22"/>
              <w:adjustRightInd w:val="0"/>
              <w:snapToGrid w:val="0"/>
              <w:spacing w:before="0" w:beforeAutospacing="0" w:after="0" w:afterAutospacing="0"/>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建设内容</w:t>
            </w:r>
          </w:p>
        </w:tc>
        <w:tc>
          <w:tcPr>
            <w:tcW w:w="4581" w:type="pct"/>
            <w:noWrap w:val="0"/>
            <w:vAlign w:val="top"/>
          </w:tcPr>
          <w:p w14:paraId="7A9E7804">
            <w:pPr>
              <w:keepNext w:val="0"/>
              <w:keepLines w:val="0"/>
              <w:pageBreakBefore w:val="0"/>
              <w:widowControl/>
              <w:kinsoku/>
              <w:wordWrap/>
              <w:overflowPunct/>
              <w:topLinePunct w:val="0"/>
              <w:autoSpaceDE/>
              <w:autoSpaceDN/>
              <w:bidi w:val="0"/>
              <w:adjustRightInd w:val="0"/>
              <w:snapToGrid/>
              <w:spacing w:before="157" w:beforeLines="50" w:afterLines="0" w:line="360" w:lineRule="auto"/>
              <w:ind w:firstLine="0" w:firstLineChars="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一、项目由来及组成</w:t>
            </w:r>
          </w:p>
          <w:p w14:paraId="58183E43">
            <w:pPr>
              <w:keepNext w:val="0"/>
              <w:overflowPunct/>
              <w:adjustRightInd w:val="0"/>
              <w:spacing w:beforeLines="0" w:afterLines="0" w:line="360" w:lineRule="auto"/>
              <w:ind w:firstLine="480" w:firstLineChars="200"/>
              <w:rPr>
                <w:rFonts w:hint="eastAsia"/>
                <w:b w:val="0"/>
                <w:bCs w:val="0"/>
                <w:color w:val="000000" w:themeColor="text1"/>
                <w:kern w:val="2"/>
                <w:sz w:val="24"/>
                <w:szCs w:val="24"/>
                <w:lang w:val="en-US" w:eastAsia="zh-CN" w:bidi="ar-SA"/>
                <w14:textFill>
                  <w14:solidFill>
                    <w14:schemeClr w14:val="tx1"/>
                  </w14:solidFill>
                </w14:textFill>
              </w:rPr>
            </w:pPr>
            <w:r>
              <w:rPr>
                <w:rFonts w:hint="eastAsia"/>
                <w:b w:val="0"/>
                <w:bCs w:val="0"/>
                <w:color w:val="000000" w:themeColor="text1"/>
                <w:kern w:val="2"/>
                <w:sz w:val="24"/>
                <w:szCs w:val="24"/>
                <w:lang w:val="en-US" w:eastAsia="zh-CN" w:bidi="ar-SA"/>
                <w14:textFill>
                  <w14:solidFill>
                    <w14:schemeClr w14:val="tx1"/>
                  </w14:solidFill>
                </w14:textFill>
              </w:rPr>
              <w:t>白云山汤阴东泰药业有限责任公司成立于2004年4月，原厂址位于安阳市汤阴县永通路东段，主要生产以片剂、胶囊剂为主的中西药。为响应政府“退城入园”的政策，进一步提升企业市场竞争力，实现规模效益，满足日益增长的市场需求，白云山汤阴东泰药业有限责任公司将原厂址搬迁至汤阴县产业集聚区汤伏路与复兴大道交叉口西南角，投资1.5亿元建设年产消炎镇痛、祛痰、降糖类等固体制剂约270亿片/粒/袋、口服溶液剂约2.5亿支/瓶药品生产项目，截至目前，新厂已初步建成，项目建设已竣工，但未投入正常生产。现为扩大生产规模，拟投资1.5个亿在原厂址南侧新征用27433.86平方米建设年产中药制剂13.5亿粒/片/瓶/袋药品生产项目，地理位置图见附图一。</w:t>
            </w:r>
          </w:p>
          <w:p w14:paraId="25651B23">
            <w:pPr>
              <w:keepNext w:val="0"/>
              <w:overflowPunct/>
              <w:adjustRightInd w:val="0"/>
              <w:spacing w:beforeLines="0" w:afterLines="0" w:line="360" w:lineRule="auto"/>
              <w:ind w:firstLine="480" w:firstLineChars="200"/>
              <w:rPr>
                <w:rFonts w:hint="eastAsia" w:eastAsia="宋体"/>
                <w:color w:val="000000" w:themeColor="text1"/>
                <w:sz w:val="24"/>
                <w:szCs w:val="24"/>
                <w:highlight w:val="yellow"/>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本项目为扩建项目，主要组成内容</w:t>
            </w:r>
            <w:r>
              <w:rPr>
                <w:rFonts w:hint="default"/>
                <w:color w:val="000000" w:themeColor="text1"/>
                <w:sz w:val="24"/>
                <w:szCs w:val="24"/>
                <w:highlight w:val="none"/>
                <w14:textFill>
                  <w14:solidFill>
                    <w14:schemeClr w14:val="tx1"/>
                  </w14:solidFill>
                </w14:textFill>
              </w:rPr>
              <w:t>见</w:t>
            </w:r>
            <w:r>
              <w:rPr>
                <w:rFonts w:hint="default"/>
                <w:color w:val="000000" w:themeColor="text1"/>
                <w:sz w:val="24"/>
                <w:szCs w:val="24"/>
                <w:highlight w:val="none"/>
                <w:lang w:val="en-US" w:eastAsia="zh-CN"/>
                <w14:textFill>
                  <w14:solidFill>
                    <w14:schemeClr w14:val="tx1"/>
                  </w14:solidFill>
                </w14:textFill>
              </w:rPr>
              <w:t>下</w:t>
            </w:r>
            <w:r>
              <w:rPr>
                <w:rFonts w:hint="default"/>
                <w:color w:val="000000" w:themeColor="text1"/>
                <w:sz w:val="24"/>
                <w:szCs w:val="24"/>
                <w:highlight w:val="none"/>
                <w14:textFill>
                  <w14:solidFill>
                    <w14:schemeClr w14:val="tx1"/>
                  </w14:solidFill>
                </w14:textFill>
              </w:rPr>
              <w:t>表。</w:t>
            </w:r>
          </w:p>
          <w:p w14:paraId="0EF4EF1F">
            <w:pPr>
              <w:keepNext w:val="0"/>
              <w:keepLines w:val="0"/>
              <w:pageBreakBefore w:val="0"/>
              <w:widowControl/>
              <w:numPr>
                <w:ilvl w:val="0"/>
                <w:numId w:val="0"/>
              </w:numPr>
              <w:kinsoku/>
              <w:wordWrap/>
              <w:overflowPunct/>
              <w:topLinePunct w:val="0"/>
              <w:autoSpaceDE/>
              <w:autoSpaceDN/>
              <w:bidi w:val="0"/>
              <w:adjustRightInd w:val="0"/>
              <w:snapToGrid/>
              <w:spacing w:before="0" w:beforeLines="0" w:line="240" w:lineRule="auto"/>
              <w:ind w:leftChars="0"/>
              <w:jc w:val="center"/>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表</w:t>
            </w:r>
            <w:r>
              <w:rPr>
                <w:rFonts w:hint="eastAsia" w:cs="Times New Roman"/>
                <w:b w:val="0"/>
                <w:bCs w:val="0"/>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 xml:space="preserve"> </w:t>
            </w:r>
            <w:r>
              <w:rPr>
                <w:rFonts w:hint="eastAsia" w:cs="Times New Roman"/>
                <w:b w:val="0"/>
                <w:bCs w:val="0"/>
                <w:color w:val="000000" w:themeColor="text1"/>
                <w:sz w:val="24"/>
                <w:szCs w:val="24"/>
                <w:highlight w:val="none"/>
                <w:lang w:val="en-US" w:eastAsia="zh-CN"/>
                <w14:textFill>
                  <w14:solidFill>
                    <w14:schemeClr w14:val="tx1"/>
                  </w14:solidFill>
                </w14:textFill>
              </w:rPr>
              <w:t>扩建</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项目组成</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内容</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008"/>
              <w:gridCol w:w="1424"/>
              <w:gridCol w:w="5444"/>
            </w:tblGrid>
            <w:tr w14:paraId="5E66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640" w:type="pct"/>
                  <w:noWrap w:val="0"/>
                  <w:vAlign w:val="center"/>
                </w:tcPr>
                <w:p w14:paraId="76706142">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项目组成</w:t>
                  </w:r>
                </w:p>
              </w:tc>
              <w:tc>
                <w:tcPr>
                  <w:tcW w:w="904" w:type="pct"/>
                  <w:noWrap w:val="0"/>
                  <w:vAlign w:val="center"/>
                </w:tcPr>
                <w:p w14:paraId="5E1A8B67">
                  <w:pPr>
                    <w:keepNext w:val="0"/>
                    <w:keepLines w:val="0"/>
                    <w:pageBreakBefore w:val="0"/>
                    <w:widowControl w:val="0"/>
                    <w:kinsoku/>
                    <w:wordWrap/>
                    <w:overflowPunct/>
                    <w:topLinePunct w:val="0"/>
                    <w:autoSpaceDE/>
                    <w:autoSpaceDN/>
                    <w:bidi w:val="0"/>
                    <w:adjustRightInd w:val="0"/>
                    <w:snapToGrid w:val="0"/>
                    <w:spacing w:before="0" w:after="0" w:line="240" w:lineRule="auto"/>
                    <w:jc w:val="center"/>
                    <w:textAlignment w:val="auto"/>
                    <w:outlineLvl w:val="9"/>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名称</w:t>
                  </w:r>
                </w:p>
              </w:tc>
              <w:tc>
                <w:tcPr>
                  <w:tcW w:w="3455" w:type="pct"/>
                  <w:noWrap w:val="0"/>
                  <w:vAlign w:val="center"/>
                </w:tcPr>
                <w:p w14:paraId="4CEB5B6C">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建设内容</w:t>
                  </w:r>
                </w:p>
              </w:tc>
            </w:tr>
            <w:tr w14:paraId="3C82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restart"/>
                  <w:noWrap w:val="0"/>
                  <w:vAlign w:val="center"/>
                </w:tcPr>
                <w:p w14:paraId="1D0E10D9">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主体工程</w:t>
                  </w:r>
                </w:p>
              </w:tc>
              <w:tc>
                <w:tcPr>
                  <w:tcW w:w="904" w:type="pct"/>
                  <w:noWrap w:val="0"/>
                  <w:vAlign w:val="center"/>
                </w:tcPr>
                <w:p w14:paraId="481A6E7C">
                  <w:pPr>
                    <w:keepNext w:val="0"/>
                    <w:keepLines w:val="0"/>
                    <w:pageBreakBefore w:val="0"/>
                    <w:widowControl w:val="0"/>
                    <w:kinsoku/>
                    <w:wordWrap/>
                    <w:overflowPunct/>
                    <w:topLinePunct w:val="0"/>
                    <w:autoSpaceDE/>
                    <w:autoSpaceDN/>
                    <w:bidi w:val="0"/>
                    <w:adjustRightInd w:val="0"/>
                    <w:snapToGrid w:val="0"/>
                    <w:spacing w:before="0" w:after="0" w:line="240" w:lineRule="auto"/>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提取车间</w:t>
                  </w:r>
                </w:p>
              </w:tc>
              <w:tc>
                <w:tcPr>
                  <w:tcW w:w="3455" w:type="pct"/>
                  <w:noWrap w:val="0"/>
                  <w:vAlign w:val="center"/>
                </w:tcPr>
                <w:p w14:paraId="0FB68524">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框架形式，4</w:t>
                  </w:r>
                  <w:r>
                    <w:rPr>
                      <w:rFonts w:hint="default" w:ascii="Times New Roman" w:hAnsi="Times New Roman" w:cs="Times New Roman"/>
                      <w:color w:val="000000" w:themeColor="text1"/>
                      <w:sz w:val="21"/>
                      <w:szCs w:val="21"/>
                      <w:lang w:val="en-US" w:eastAsia="zh-CN"/>
                      <w14:textFill>
                        <w14:solidFill>
                          <w14:schemeClr w14:val="tx1"/>
                        </w14:solidFill>
                      </w14:textFill>
                    </w:rPr>
                    <w:t>层，层高</w:t>
                  </w:r>
                  <w:r>
                    <w:rPr>
                      <w:rFonts w:hint="eastAsia" w:cs="Times New Roman"/>
                      <w:color w:val="000000" w:themeColor="text1"/>
                      <w:sz w:val="21"/>
                      <w:szCs w:val="21"/>
                      <w:lang w:val="en-US" w:eastAsia="zh-CN"/>
                      <w14:textFill>
                        <w14:solidFill>
                          <w14:schemeClr w14:val="tx1"/>
                        </w14:solidFill>
                      </w14:textFill>
                    </w:rPr>
                    <w:t>4.5</w:t>
                  </w:r>
                  <w:r>
                    <w:rPr>
                      <w:rFonts w:hint="default" w:ascii="Times New Roman" w:hAnsi="Times New Roman" w:cs="Times New Roman"/>
                      <w:color w:val="000000" w:themeColor="text1"/>
                      <w:sz w:val="21"/>
                      <w:szCs w:val="21"/>
                      <w:lang w:val="en-US" w:eastAsia="zh-CN"/>
                      <w14:textFill>
                        <w14:solidFill>
                          <w14:schemeClr w14:val="tx1"/>
                        </w14:solidFill>
                      </w14:textFill>
                    </w:rPr>
                    <w:t>m，尺寸：</w:t>
                  </w:r>
                  <w:r>
                    <w:rPr>
                      <w:rFonts w:hint="eastAsia" w:cs="Times New Roman"/>
                      <w:color w:val="000000" w:themeColor="text1"/>
                      <w:sz w:val="21"/>
                      <w:szCs w:val="21"/>
                      <w:lang w:val="en-US" w:eastAsia="zh-CN"/>
                      <w14:textFill>
                        <w14:solidFill>
                          <w14:schemeClr w14:val="tx1"/>
                        </w14:solidFill>
                      </w14:textFill>
                    </w:rPr>
                    <w:t>71.3</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32.65</w:t>
                  </w:r>
                  <w:r>
                    <w:rPr>
                      <w:rFonts w:hint="default" w:ascii="Times New Roman" w:hAnsi="Times New Roman" w:cs="Times New Roman"/>
                      <w:color w:val="000000" w:themeColor="text1"/>
                      <w:sz w:val="21"/>
                      <w:szCs w:val="21"/>
                      <w:lang w:val="en-US" w:eastAsia="zh-CN"/>
                      <w14:textFill>
                        <w14:solidFill>
                          <w14:schemeClr w14:val="tx1"/>
                        </w14:solidFill>
                      </w14:textFill>
                    </w:rPr>
                    <w:t>m，总建筑面积</w:t>
                  </w:r>
                  <w:r>
                    <w:rPr>
                      <w:rFonts w:hint="eastAsia" w:cs="Times New Roman"/>
                      <w:color w:val="000000" w:themeColor="text1"/>
                      <w:sz w:val="21"/>
                      <w:szCs w:val="21"/>
                      <w:lang w:val="en-US" w:eastAsia="zh-CN"/>
                      <w14:textFill>
                        <w14:solidFill>
                          <w14:schemeClr w14:val="tx1"/>
                        </w14:solidFill>
                      </w14:textFill>
                    </w:rPr>
                    <w:t>6262.67</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2</w:t>
                  </w:r>
                </w:p>
              </w:tc>
            </w:tr>
            <w:tr w14:paraId="1D2D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continue"/>
                  <w:noWrap w:val="0"/>
                  <w:vAlign w:val="center"/>
                </w:tcPr>
                <w:p w14:paraId="4FE518C5">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904" w:type="pct"/>
                  <w:noWrap w:val="0"/>
                  <w:vAlign w:val="center"/>
                </w:tcPr>
                <w:p w14:paraId="3DA5C5A3">
                  <w:pPr>
                    <w:keepNext w:val="0"/>
                    <w:keepLines w:val="0"/>
                    <w:pageBreakBefore w:val="0"/>
                    <w:widowControl w:val="0"/>
                    <w:kinsoku/>
                    <w:wordWrap/>
                    <w:overflowPunct/>
                    <w:topLinePunct w:val="0"/>
                    <w:autoSpaceDE/>
                    <w:autoSpaceDN/>
                    <w:bidi w:val="0"/>
                    <w:adjustRightInd w:val="0"/>
                    <w:snapToGrid w:val="0"/>
                    <w:spacing w:before="0" w:after="0" w:line="240" w:lineRule="auto"/>
                    <w:jc w:val="center"/>
                    <w:textAlignment w:val="auto"/>
                    <w:outlineLvl w:val="9"/>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中药制剂车间</w:t>
                  </w:r>
                </w:p>
              </w:tc>
              <w:tc>
                <w:tcPr>
                  <w:tcW w:w="3455" w:type="pct"/>
                  <w:noWrap w:val="0"/>
                  <w:vAlign w:val="center"/>
                </w:tcPr>
                <w:p w14:paraId="0ED1484D">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钢结构形式，1</w:t>
                  </w:r>
                  <w:r>
                    <w:rPr>
                      <w:rFonts w:hint="default" w:ascii="Times New Roman" w:hAnsi="Times New Roman" w:cs="Times New Roman"/>
                      <w:color w:val="000000" w:themeColor="text1"/>
                      <w:sz w:val="21"/>
                      <w:szCs w:val="21"/>
                      <w:lang w:val="en-US" w:eastAsia="zh-CN"/>
                      <w14:textFill>
                        <w14:solidFill>
                          <w14:schemeClr w14:val="tx1"/>
                        </w14:solidFill>
                      </w14:textFill>
                    </w:rPr>
                    <w:t>层，层高</w:t>
                  </w:r>
                  <w:r>
                    <w:rPr>
                      <w:rFonts w:hint="eastAsia" w:cs="Times New Roman"/>
                      <w:color w:val="000000" w:themeColor="text1"/>
                      <w:sz w:val="21"/>
                      <w:szCs w:val="21"/>
                      <w:lang w:val="en-US" w:eastAsia="zh-CN"/>
                      <w14:textFill>
                        <w14:solidFill>
                          <w14:schemeClr w14:val="tx1"/>
                        </w14:solidFill>
                      </w14:textFill>
                    </w:rPr>
                    <w:t>9</w:t>
                  </w:r>
                  <w:r>
                    <w:rPr>
                      <w:rFonts w:hint="default" w:ascii="Times New Roman" w:hAnsi="Times New Roman" w:cs="Times New Roman"/>
                      <w:color w:val="000000" w:themeColor="text1"/>
                      <w:sz w:val="21"/>
                      <w:szCs w:val="21"/>
                      <w:lang w:val="en-US" w:eastAsia="zh-CN"/>
                      <w14:textFill>
                        <w14:solidFill>
                          <w14:schemeClr w14:val="tx1"/>
                        </w14:solidFill>
                      </w14:textFill>
                    </w:rPr>
                    <w:t>m，尺寸：</w:t>
                  </w:r>
                  <w:r>
                    <w:rPr>
                      <w:rFonts w:hint="eastAsia" w:cs="Times New Roman"/>
                      <w:color w:val="000000" w:themeColor="text1"/>
                      <w:sz w:val="21"/>
                      <w:szCs w:val="21"/>
                      <w:lang w:val="en-US" w:eastAsia="zh-CN"/>
                      <w14:textFill>
                        <w14:solidFill>
                          <w14:schemeClr w14:val="tx1"/>
                        </w14:solidFill>
                      </w14:textFill>
                    </w:rPr>
                    <w:t>70.95</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69.5</w:t>
                  </w:r>
                  <w:r>
                    <w:rPr>
                      <w:rFonts w:hint="default" w:ascii="Times New Roman" w:hAnsi="Times New Roman" w:cs="Times New Roman"/>
                      <w:color w:val="000000" w:themeColor="text1"/>
                      <w:sz w:val="21"/>
                      <w:szCs w:val="21"/>
                      <w:lang w:val="en-US" w:eastAsia="zh-CN"/>
                      <w14:textFill>
                        <w14:solidFill>
                          <w14:schemeClr w14:val="tx1"/>
                        </w14:solidFill>
                      </w14:textFill>
                    </w:rPr>
                    <w:t>m，总建筑面积</w:t>
                  </w:r>
                  <w:r>
                    <w:rPr>
                      <w:rFonts w:hint="eastAsia" w:cs="Times New Roman"/>
                      <w:color w:val="000000" w:themeColor="text1"/>
                      <w:sz w:val="21"/>
                      <w:szCs w:val="21"/>
                      <w:lang w:val="en-US" w:eastAsia="zh-CN"/>
                      <w14:textFill>
                        <w14:solidFill>
                          <w14:schemeClr w14:val="tx1"/>
                        </w14:solidFill>
                      </w14:textFill>
                    </w:rPr>
                    <w:t>4931.02</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2</w:t>
                  </w:r>
                </w:p>
              </w:tc>
            </w:tr>
            <w:tr w14:paraId="338B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restart"/>
                  <w:noWrap w:val="0"/>
                  <w:vAlign w:val="center"/>
                </w:tcPr>
                <w:p w14:paraId="5C18C0BE">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辅助工程</w:t>
                  </w:r>
                </w:p>
              </w:tc>
              <w:tc>
                <w:tcPr>
                  <w:tcW w:w="904" w:type="pct"/>
                  <w:noWrap w:val="0"/>
                  <w:vAlign w:val="center"/>
                </w:tcPr>
                <w:p w14:paraId="3A3113D4">
                  <w:pPr>
                    <w:keepNext w:val="0"/>
                    <w:keepLines w:val="0"/>
                    <w:pageBreakBefore w:val="0"/>
                    <w:widowControl w:val="0"/>
                    <w:kinsoku/>
                    <w:wordWrap/>
                    <w:overflowPunct/>
                    <w:topLinePunct w:val="0"/>
                    <w:autoSpaceDE/>
                    <w:autoSpaceDN/>
                    <w:bidi w:val="0"/>
                    <w:adjustRightInd w:val="0"/>
                    <w:snapToGrid w:val="0"/>
                    <w:spacing w:before="0" w:after="0" w:line="240" w:lineRule="auto"/>
                    <w:jc w:val="center"/>
                    <w:textAlignment w:val="auto"/>
                    <w:outlineLvl w:val="9"/>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中药材仓库</w:t>
                  </w:r>
                </w:p>
              </w:tc>
              <w:tc>
                <w:tcPr>
                  <w:tcW w:w="3455" w:type="pct"/>
                  <w:noWrap w:val="0"/>
                  <w:vAlign w:val="center"/>
                </w:tcPr>
                <w:p w14:paraId="6460C09C">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钢结构形式，</w:t>
                  </w:r>
                  <w:r>
                    <w:rPr>
                      <w:rFonts w:hint="default" w:ascii="Times New Roman" w:hAnsi="Times New Roman" w:cs="Times New Roman"/>
                      <w:color w:val="000000" w:themeColor="text1"/>
                      <w:sz w:val="21"/>
                      <w:szCs w:val="21"/>
                      <w:lang w:val="en-US" w:eastAsia="zh-CN"/>
                      <w14:textFill>
                        <w14:solidFill>
                          <w14:schemeClr w14:val="tx1"/>
                        </w14:solidFill>
                      </w14:textFill>
                    </w:rPr>
                    <w:t>1层，层高</w:t>
                  </w:r>
                  <w:r>
                    <w:rPr>
                      <w:rFonts w:hint="eastAsia" w:cs="Times New Roman"/>
                      <w:color w:val="000000" w:themeColor="text1"/>
                      <w:sz w:val="21"/>
                      <w:szCs w:val="21"/>
                      <w:lang w:val="en-US" w:eastAsia="zh-CN"/>
                      <w14:textFill>
                        <w14:solidFill>
                          <w14:schemeClr w14:val="tx1"/>
                        </w14:solidFill>
                      </w14:textFill>
                    </w:rPr>
                    <w:t>9</w:t>
                  </w:r>
                  <w:r>
                    <w:rPr>
                      <w:rFonts w:hint="default" w:ascii="Times New Roman" w:hAnsi="Times New Roman" w:cs="Times New Roman"/>
                      <w:color w:val="000000" w:themeColor="text1"/>
                      <w:sz w:val="21"/>
                      <w:szCs w:val="21"/>
                      <w:lang w:val="en-US" w:eastAsia="zh-CN"/>
                      <w14:textFill>
                        <w14:solidFill>
                          <w14:schemeClr w14:val="tx1"/>
                        </w14:solidFill>
                      </w14:textFill>
                    </w:rPr>
                    <w:t>m，尺寸：</w:t>
                  </w:r>
                  <w:r>
                    <w:rPr>
                      <w:rFonts w:hint="eastAsia" w:cs="Times New Roman"/>
                      <w:color w:val="000000" w:themeColor="text1"/>
                      <w:sz w:val="21"/>
                      <w:szCs w:val="21"/>
                      <w:lang w:val="en-US" w:eastAsia="zh-CN"/>
                      <w14:textFill>
                        <w14:solidFill>
                          <w14:schemeClr w14:val="tx1"/>
                        </w14:solidFill>
                      </w14:textFill>
                    </w:rPr>
                    <w:t>96.75</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77.05</w:t>
                  </w:r>
                  <w:r>
                    <w:rPr>
                      <w:rFonts w:hint="default" w:ascii="Times New Roman" w:hAnsi="Times New Roman" w:cs="Times New Roman"/>
                      <w:color w:val="000000" w:themeColor="text1"/>
                      <w:sz w:val="21"/>
                      <w:szCs w:val="21"/>
                      <w:lang w:val="en-US" w:eastAsia="zh-CN"/>
                      <w14:textFill>
                        <w14:solidFill>
                          <w14:schemeClr w14:val="tx1"/>
                        </w14:solidFill>
                      </w14:textFill>
                    </w:rPr>
                    <w:t>m，总建筑面积</w:t>
                  </w:r>
                  <w:r>
                    <w:rPr>
                      <w:rFonts w:hint="eastAsia" w:cs="Times New Roman"/>
                      <w:color w:val="000000" w:themeColor="text1"/>
                      <w:sz w:val="21"/>
                      <w:szCs w:val="21"/>
                      <w:lang w:val="en-US" w:eastAsia="zh-CN"/>
                      <w14:textFill>
                        <w14:solidFill>
                          <w14:schemeClr w14:val="tx1"/>
                        </w14:solidFill>
                      </w14:textFill>
                    </w:rPr>
                    <w:t>7033.28</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2</w:t>
                  </w:r>
                </w:p>
              </w:tc>
            </w:tr>
            <w:tr w14:paraId="0267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continue"/>
                  <w:noWrap w:val="0"/>
                  <w:vAlign w:val="center"/>
                </w:tcPr>
                <w:p w14:paraId="3B82D0D8">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904" w:type="pct"/>
                  <w:noWrap w:val="0"/>
                  <w:vAlign w:val="center"/>
                </w:tcPr>
                <w:p w14:paraId="374CB0B9">
                  <w:pPr>
                    <w:keepNext w:val="0"/>
                    <w:keepLines w:val="0"/>
                    <w:pageBreakBefore w:val="0"/>
                    <w:widowControl w:val="0"/>
                    <w:kinsoku/>
                    <w:wordWrap/>
                    <w:overflowPunct/>
                    <w:topLinePunct w:val="0"/>
                    <w:autoSpaceDE/>
                    <w:autoSpaceDN/>
                    <w:bidi w:val="0"/>
                    <w:adjustRightInd w:val="0"/>
                    <w:snapToGrid w:val="0"/>
                    <w:spacing w:before="0" w:after="0" w:line="240" w:lineRule="auto"/>
                    <w:jc w:val="center"/>
                    <w:textAlignment w:val="auto"/>
                    <w:outlineLvl w:val="9"/>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中药成品库</w:t>
                  </w:r>
                </w:p>
              </w:tc>
              <w:tc>
                <w:tcPr>
                  <w:tcW w:w="3455" w:type="pct"/>
                  <w:noWrap w:val="0"/>
                  <w:vAlign w:val="center"/>
                </w:tcPr>
                <w:p w14:paraId="4C83A9CB">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钢结构形式，1</w:t>
                  </w:r>
                  <w:r>
                    <w:rPr>
                      <w:rFonts w:hint="default" w:ascii="Times New Roman" w:hAnsi="Times New Roman" w:cs="Times New Roman"/>
                      <w:color w:val="000000" w:themeColor="text1"/>
                      <w:sz w:val="21"/>
                      <w:szCs w:val="21"/>
                      <w:lang w:val="en-US" w:eastAsia="zh-CN"/>
                      <w14:textFill>
                        <w14:solidFill>
                          <w14:schemeClr w14:val="tx1"/>
                        </w14:solidFill>
                      </w14:textFill>
                    </w:rPr>
                    <w:t>层，层高</w:t>
                  </w:r>
                  <w:r>
                    <w:rPr>
                      <w:rFonts w:hint="eastAsia" w:cs="Times New Roman"/>
                      <w:color w:val="000000" w:themeColor="text1"/>
                      <w:sz w:val="21"/>
                      <w:szCs w:val="21"/>
                      <w:lang w:val="en-US" w:eastAsia="zh-CN"/>
                      <w14:textFill>
                        <w14:solidFill>
                          <w14:schemeClr w14:val="tx1"/>
                        </w14:solidFill>
                      </w14:textFill>
                    </w:rPr>
                    <w:t>9</w:t>
                  </w:r>
                  <w:r>
                    <w:rPr>
                      <w:rFonts w:hint="default" w:ascii="Times New Roman" w:hAnsi="Times New Roman" w:cs="Times New Roman"/>
                      <w:color w:val="000000" w:themeColor="text1"/>
                      <w:sz w:val="21"/>
                      <w:szCs w:val="21"/>
                      <w:lang w:val="en-US" w:eastAsia="zh-CN"/>
                      <w14:textFill>
                        <w14:solidFill>
                          <w14:schemeClr w14:val="tx1"/>
                        </w14:solidFill>
                      </w14:textFill>
                    </w:rPr>
                    <w:t>m，尺寸：</w:t>
                  </w:r>
                  <w:r>
                    <w:rPr>
                      <w:rFonts w:hint="eastAsia" w:cs="Times New Roman"/>
                      <w:color w:val="000000" w:themeColor="text1"/>
                      <w:sz w:val="21"/>
                      <w:szCs w:val="21"/>
                      <w:lang w:val="en-US" w:eastAsia="zh-CN"/>
                      <w14:textFill>
                        <w14:solidFill>
                          <w14:schemeClr w14:val="tx1"/>
                        </w14:solidFill>
                      </w14:textFill>
                    </w:rPr>
                    <w:t>70.95</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52</w:t>
                  </w:r>
                  <w:r>
                    <w:rPr>
                      <w:rFonts w:hint="default" w:ascii="Times New Roman" w:hAnsi="Times New Roman" w:cs="Times New Roman"/>
                      <w:color w:val="000000" w:themeColor="text1"/>
                      <w:sz w:val="21"/>
                      <w:szCs w:val="21"/>
                      <w:lang w:val="en-US" w:eastAsia="zh-CN"/>
                      <w14:textFill>
                        <w14:solidFill>
                          <w14:schemeClr w14:val="tx1"/>
                        </w14:solidFill>
                      </w14:textFill>
                    </w:rPr>
                    <w:t>m，总建筑面积</w:t>
                  </w:r>
                  <w:r>
                    <w:rPr>
                      <w:rFonts w:hint="eastAsia" w:cs="Times New Roman"/>
                      <w:color w:val="000000" w:themeColor="text1"/>
                      <w:sz w:val="21"/>
                      <w:szCs w:val="21"/>
                      <w:lang w:val="en-US" w:eastAsia="zh-CN"/>
                      <w14:textFill>
                        <w14:solidFill>
                          <w14:schemeClr w14:val="tx1"/>
                        </w14:solidFill>
                      </w14:textFill>
                    </w:rPr>
                    <w:t>3689.4</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2</w:t>
                  </w:r>
                </w:p>
              </w:tc>
            </w:tr>
            <w:tr w14:paraId="0AED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continue"/>
                  <w:noWrap w:val="0"/>
                  <w:vAlign w:val="center"/>
                </w:tcPr>
                <w:p w14:paraId="7DDAD5DE">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904" w:type="pct"/>
                  <w:noWrap w:val="0"/>
                  <w:vAlign w:val="center"/>
                </w:tcPr>
                <w:p w14:paraId="4C606351">
                  <w:pPr>
                    <w:keepNext w:val="0"/>
                    <w:keepLines w:val="0"/>
                    <w:pageBreakBefore w:val="0"/>
                    <w:widowControl w:val="0"/>
                    <w:kinsoku/>
                    <w:wordWrap/>
                    <w:overflowPunct/>
                    <w:topLinePunct w:val="0"/>
                    <w:autoSpaceDE/>
                    <w:autoSpaceDN/>
                    <w:bidi w:val="0"/>
                    <w:adjustRightInd w:val="0"/>
                    <w:snapToGrid w:val="0"/>
                    <w:spacing w:before="0" w:after="0" w:line="240" w:lineRule="auto"/>
                    <w:jc w:val="center"/>
                    <w:textAlignment w:val="auto"/>
                    <w:outlineLvl w:val="9"/>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乙醇储罐区</w:t>
                  </w:r>
                </w:p>
              </w:tc>
              <w:tc>
                <w:tcPr>
                  <w:tcW w:w="3455" w:type="pct"/>
                  <w:noWrap w:val="0"/>
                  <w:vAlign w:val="center"/>
                </w:tcPr>
                <w:p w14:paraId="0B628BFC">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钢构棚形式</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棚</w:t>
                  </w:r>
                  <w:r>
                    <w:rPr>
                      <w:rFonts w:hint="default" w:ascii="Times New Roman" w:hAnsi="Times New Roman" w:cs="Times New Roman"/>
                      <w:color w:val="000000" w:themeColor="text1"/>
                      <w:sz w:val="21"/>
                      <w:szCs w:val="21"/>
                      <w:lang w:val="en-US" w:eastAsia="zh-CN"/>
                      <w14:textFill>
                        <w14:solidFill>
                          <w14:schemeClr w14:val="tx1"/>
                        </w14:solidFill>
                      </w14:textFill>
                    </w:rPr>
                    <w:t>高8.3m，总建筑面积</w:t>
                  </w:r>
                  <w:r>
                    <w:rPr>
                      <w:rFonts w:hint="eastAsia" w:cs="Times New Roman"/>
                      <w:color w:val="000000" w:themeColor="text1"/>
                      <w:sz w:val="21"/>
                      <w:szCs w:val="21"/>
                      <w:lang w:val="en-US" w:eastAsia="zh-CN"/>
                      <w14:textFill>
                        <w14:solidFill>
                          <w14:schemeClr w14:val="tx1"/>
                        </w14:solidFill>
                      </w14:textFill>
                    </w:rPr>
                    <w:t>428</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2</w:t>
                  </w:r>
                  <w:r>
                    <w:rPr>
                      <w:rFonts w:hint="eastAsia" w:cs="Times New Roman"/>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含</w:t>
                  </w:r>
                  <w:r>
                    <w:rPr>
                      <w:rFonts w:hint="eastAsia" w:cs="Times New Roman"/>
                      <w:color w:val="000000" w:themeColor="text1"/>
                      <w:sz w:val="21"/>
                      <w:szCs w:val="21"/>
                      <w:vertAlign w:val="baseline"/>
                      <w:lang w:val="en-US" w:eastAsia="zh-CN"/>
                      <w14:textFill>
                        <w14:solidFill>
                          <w14:schemeClr w14:val="tx1"/>
                        </w14:solidFill>
                      </w14:textFill>
                    </w:rPr>
                    <w:t>7个单罐20t乙醇卧式常压储罐（固定顶）和泵棚</w:t>
                  </w:r>
                </w:p>
              </w:tc>
            </w:tr>
            <w:tr w14:paraId="42A6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restart"/>
                  <w:noWrap w:val="0"/>
                  <w:vAlign w:val="center"/>
                </w:tcPr>
                <w:p w14:paraId="2D854F83">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公用工程</w:t>
                  </w:r>
                </w:p>
              </w:tc>
              <w:tc>
                <w:tcPr>
                  <w:tcW w:w="904" w:type="pct"/>
                  <w:noWrap w:val="0"/>
                  <w:vAlign w:val="center"/>
                </w:tcPr>
                <w:p w14:paraId="42BCA729">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给水</w:t>
                  </w:r>
                </w:p>
              </w:tc>
              <w:tc>
                <w:tcPr>
                  <w:tcW w:w="3455" w:type="pct"/>
                  <w:noWrap w:val="0"/>
                  <w:vAlign w:val="center"/>
                </w:tcPr>
                <w:p w14:paraId="12DC4910">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项目生产、生活用水由汤阴县自来水厂提供，能够满足生产、生活要求</w:t>
                  </w:r>
                  <w:r>
                    <w:rPr>
                      <w:rFonts w:hint="eastAsia" w:cs="Times New Roman"/>
                      <w:color w:val="000000" w:themeColor="text1"/>
                      <w:kern w:val="2"/>
                      <w:sz w:val="21"/>
                      <w:szCs w:val="21"/>
                      <w:lang w:val="en-US" w:eastAsia="zh-CN" w:bidi="ar-SA"/>
                      <w14:textFill>
                        <w14:solidFill>
                          <w14:schemeClr w14:val="tx1"/>
                        </w14:solidFill>
                      </w14:textFill>
                    </w:rPr>
                    <w:t>。</w:t>
                  </w:r>
                </w:p>
              </w:tc>
            </w:tr>
            <w:tr w14:paraId="67AA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continue"/>
                  <w:noWrap w:val="0"/>
                  <w:vAlign w:val="center"/>
                </w:tcPr>
                <w:p w14:paraId="28ADDB71">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904" w:type="pct"/>
                  <w:noWrap w:val="0"/>
                  <w:vAlign w:val="center"/>
                </w:tcPr>
                <w:p w14:paraId="352B11AD">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排水</w:t>
                  </w:r>
                </w:p>
              </w:tc>
              <w:tc>
                <w:tcPr>
                  <w:tcW w:w="3455" w:type="pct"/>
                  <w:noWrap w:val="0"/>
                  <w:vAlign w:val="center"/>
                </w:tcPr>
                <w:p w14:paraId="5A37F6F6">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项目生产、生活废水排入厂区污水处理站处理达标后排入园区污水管网，</w:t>
                  </w:r>
                  <w:r>
                    <w:rPr>
                      <w:rFonts w:hint="eastAsia" w:cs="Times New Roman"/>
                      <w:color w:val="000000" w:themeColor="text1"/>
                      <w:kern w:val="2"/>
                      <w:sz w:val="21"/>
                      <w:szCs w:val="21"/>
                      <w:lang w:val="en-US" w:eastAsia="zh-CN" w:bidi="ar-SA"/>
                      <w14:textFill>
                        <w14:solidFill>
                          <w14:schemeClr w14:val="tx1"/>
                        </w14:solidFill>
                      </w14:textFill>
                    </w:rPr>
                    <w:t>然后</w:t>
                  </w: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进入汤阴县产业集聚区</w:t>
                  </w:r>
                  <w:r>
                    <w:rPr>
                      <w:rFonts w:hint="eastAsia" w:cs="Times New Roman"/>
                      <w:color w:val="000000" w:themeColor="text1"/>
                      <w:kern w:val="2"/>
                      <w:sz w:val="21"/>
                      <w:szCs w:val="21"/>
                      <w:lang w:val="en-US" w:eastAsia="zh-CN" w:bidi="ar-SA"/>
                      <w14:textFill>
                        <w14:solidFill>
                          <w14:schemeClr w14:val="tx1"/>
                        </w14:solidFill>
                      </w14:textFill>
                    </w:rPr>
                    <w:t>工业</w:t>
                  </w: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污水处理厂深度处理后排入附近永通河</w:t>
                  </w:r>
                  <w:r>
                    <w:rPr>
                      <w:rFonts w:hint="eastAsia" w:cs="Times New Roman"/>
                      <w:color w:val="000000" w:themeColor="text1"/>
                      <w:kern w:val="2"/>
                      <w:sz w:val="21"/>
                      <w:szCs w:val="21"/>
                      <w:lang w:val="en-US" w:eastAsia="zh-CN" w:bidi="ar-SA"/>
                      <w14:textFill>
                        <w14:solidFill>
                          <w14:schemeClr w14:val="tx1"/>
                        </w14:solidFill>
                      </w14:textFill>
                    </w:rPr>
                    <w:t>，最后汇入汤河。</w:t>
                  </w:r>
                </w:p>
              </w:tc>
            </w:tr>
            <w:tr w14:paraId="3B1E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continue"/>
                  <w:noWrap w:val="0"/>
                  <w:vAlign w:val="center"/>
                </w:tcPr>
                <w:p w14:paraId="2D68B998">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904" w:type="pct"/>
                  <w:noWrap w:val="0"/>
                  <w:vAlign w:val="center"/>
                </w:tcPr>
                <w:p w14:paraId="533283DD">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供电</w:t>
                  </w:r>
                </w:p>
              </w:tc>
              <w:tc>
                <w:tcPr>
                  <w:tcW w:w="3455" w:type="pct"/>
                  <w:noWrap w:val="0"/>
                  <w:vAlign w:val="center"/>
                </w:tcPr>
                <w:p w14:paraId="69EE1C27">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项目生产、生活用电由汤阴县国家电网提供，能够满足生产、生活需要</w:t>
                  </w:r>
                  <w:r>
                    <w:rPr>
                      <w:rFonts w:hint="eastAsia" w:cs="Times New Roman"/>
                      <w:color w:val="000000" w:themeColor="text1"/>
                      <w:kern w:val="2"/>
                      <w:sz w:val="21"/>
                      <w:szCs w:val="21"/>
                      <w:lang w:val="en-US" w:eastAsia="zh-CN" w:bidi="ar-SA"/>
                      <w14:textFill>
                        <w14:solidFill>
                          <w14:schemeClr w14:val="tx1"/>
                        </w14:solidFill>
                      </w14:textFill>
                    </w:rPr>
                    <w:t>。</w:t>
                  </w:r>
                </w:p>
              </w:tc>
            </w:tr>
            <w:tr w14:paraId="7843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continue"/>
                  <w:noWrap w:val="0"/>
                  <w:vAlign w:val="center"/>
                </w:tcPr>
                <w:p w14:paraId="7D5D5B2B">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904" w:type="pct"/>
                  <w:noWrap w:val="0"/>
                  <w:vAlign w:val="center"/>
                </w:tcPr>
                <w:p w14:paraId="6CBDB7EA">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供热</w:t>
                  </w:r>
                </w:p>
              </w:tc>
              <w:tc>
                <w:tcPr>
                  <w:tcW w:w="3455" w:type="pct"/>
                  <w:noWrap w:val="0"/>
                  <w:vAlign w:val="center"/>
                </w:tcPr>
                <w:p w14:paraId="5FFA3639">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项目生产</w:t>
                  </w:r>
                  <w:r>
                    <w:rPr>
                      <w:rFonts w:hint="eastAsia" w:cs="Times New Roman"/>
                      <w:color w:val="000000" w:themeColor="text1"/>
                      <w:kern w:val="2"/>
                      <w:sz w:val="21"/>
                      <w:szCs w:val="21"/>
                      <w:lang w:val="en-US" w:eastAsia="zh-CN" w:bidi="ar-SA"/>
                      <w14:textFill>
                        <w14:solidFill>
                          <w14:schemeClr w14:val="tx1"/>
                        </w14:solidFill>
                      </w14:textFill>
                    </w:rPr>
                    <w:t>、供暖</w:t>
                  </w: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用蒸汽由园区供热公司提供，能够满足生产</w:t>
                  </w:r>
                  <w:r>
                    <w:rPr>
                      <w:rFonts w:hint="eastAsia" w:cs="Times New Roman"/>
                      <w:color w:val="000000" w:themeColor="text1"/>
                      <w:kern w:val="2"/>
                      <w:sz w:val="21"/>
                      <w:szCs w:val="21"/>
                      <w:lang w:val="en-US" w:eastAsia="zh-CN" w:bidi="ar-SA"/>
                      <w14:textFill>
                        <w14:solidFill>
                          <w14:schemeClr w14:val="tx1"/>
                        </w14:solidFill>
                      </w14:textFill>
                    </w:rPr>
                    <w:t>、供暖</w:t>
                  </w: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要求</w:t>
                  </w:r>
                  <w:r>
                    <w:rPr>
                      <w:rFonts w:hint="eastAsia" w:cs="Times New Roman"/>
                      <w:color w:val="000000" w:themeColor="text1"/>
                      <w:kern w:val="2"/>
                      <w:sz w:val="21"/>
                      <w:szCs w:val="21"/>
                      <w:lang w:val="en-US" w:eastAsia="zh-CN" w:bidi="ar-SA"/>
                      <w14:textFill>
                        <w14:solidFill>
                          <w14:schemeClr w14:val="tx1"/>
                        </w14:solidFill>
                      </w14:textFill>
                    </w:rPr>
                    <w:t>。</w:t>
                  </w:r>
                </w:p>
              </w:tc>
            </w:tr>
            <w:tr w14:paraId="6801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restart"/>
                  <w:noWrap w:val="0"/>
                  <w:vAlign w:val="center"/>
                </w:tcPr>
                <w:p w14:paraId="09DE12A4">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环保工程</w:t>
                  </w:r>
                </w:p>
              </w:tc>
              <w:tc>
                <w:tcPr>
                  <w:tcW w:w="904" w:type="pct"/>
                  <w:noWrap w:val="0"/>
                  <w:vAlign w:val="center"/>
                </w:tcPr>
                <w:p w14:paraId="4880F2FE">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废气</w:t>
                  </w:r>
                </w:p>
              </w:tc>
              <w:tc>
                <w:tcPr>
                  <w:tcW w:w="3455" w:type="pct"/>
                  <w:noWrap w:val="0"/>
                  <w:vAlign w:val="center"/>
                </w:tcPr>
                <w:p w14:paraId="46311BA1">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袋式除尘器6套，其中提取车间1套，制剂车间5套</w:t>
                  </w:r>
                </w:p>
                <w:p w14:paraId="78A8319D">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低温冷凝+RCO催化燃烧装置一套</w:t>
                  </w:r>
                </w:p>
              </w:tc>
            </w:tr>
            <w:tr w14:paraId="57CD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continue"/>
                  <w:noWrap w:val="0"/>
                  <w:vAlign w:val="center"/>
                </w:tcPr>
                <w:p w14:paraId="4B483DD6">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904" w:type="pct"/>
                  <w:noWrap w:val="0"/>
                  <w:vAlign w:val="center"/>
                </w:tcPr>
                <w:p w14:paraId="3C0F3491">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废水</w:t>
                  </w:r>
                </w:p>
              </w:tc>
              <w:tc>
                <w:tcPr>
                  <w:tcW w:w="3455" w:type="pct"/>
                  <w:noWrap w:val="0"/>
                  <w:vAlign w:val="center"/>
                </w:tcPr>
                <w:p w14:paraId="0978D7CC">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污水</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站</w:t>
                  </w:r>
                  <w:r>
                    <w:rPr>
                      <w:rFonts w:hint="eastAsia" w:cs="Times New Roman"/>
                      <w:color w:val="000000" w:themeColor="text1"/>
                      <w:sz w:val="21"/>
                      <w:szCs w:val="21"/>
                      <w:highlight w:val="none"/>
                      <w:lang w:val="en-US" w:eastAsia="zh-CN"/>
                      <w14:textFill>
                        <w14:solidFill>
                          <w14:schemeClr w14:val="tx1"/>
                        </w14:solidFill>
                      </w14:textFill>
                    </w:rPr>
                    <w:t>扩建</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1座，废水规模：</w:t>
                  </w:r>
                  <w:r>
                    <w:rPr>
                      <w:rFonts w:hint="eastAsia" w:cs="Times New Roman"/>
                      <w:color w:val="000000" w:themeColor="text1"/>
                      <w:sz w:val="21"/>
                      <w:szCs w:val="21"/>
                      <w:highlight w:val="none"/>
                      <w:lang w:val="en-US" w:eastAsia="zh-CN"/>
                      <w14:textFill>
                        <w14:solidFill>
                          <w14:schemeClr w14:val="tx1"/>
                        </w14:solidFill>
                      </w14:textFill>
                    </w:rPr>
                    <w:t>300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/d，废水处理工艺</w:t>
                  </w:r>
                  <w:r>
                    <w:rPr>
                      <w:rFonts w:hint="eastAsia" w:cs="Times New Roman"/>
                      <w:color w:val="000000" w:themeColor="text1"/>
                      <w:sz w:val="21"/>
                      <w:szCs w:val="21"/>
                      <w:highlight w:val="none"/>
                      <w:lang w:val="en-US" w:eastAsia="zh-CN"/>
                      <w14:textFill>
                        <w14:solidFill>
                          <w14:schemeClr w14:val="tx1"/>
                        </w14:solidFill>
                      </w14:textFill>
                    </w:rPr>
                    <w:t>：气浮+混凝沉淀+CASS生化处理。</w:t>
                  </w:r>
                </w:p>
              </w:tc>
            </w:tr>
            <w:tr w14:paraId="2AC2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continue"/>
                  <w:noWrap w:val="0"/>
                  <w:vAlign w:val="center"/>
                </w:tcPr>
                <w:p w14:paraId="2D2FCC21">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904" w:type="pct"/>
                  <w:noWrap w:val="0"/>
                  <w:vAlign w:val="center"/>
                </w:tcPr>
                <w:p w14:paraId="40345108">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固废</w:t>
                  </w:r>
                </w:p>
              </w:tc>
              <w:tc>
                <w:tcPr>
                  <w:tcW w:w="3455" w:type="pct"/>
                  <w:noWrap w:val="0"/>
                  <w:vAlign w:val="center"/>
                </w:tcPr>
                <w:p w14:paraId="42DFD171">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设置</w:t>
                  </w:r>
                  <w:r>
                    <w:rPr>
                      <w:rFonts w:hint="eastAsia" w:cs="Times New Roman"/>
                      <w:color w:val="000000" w:themeColor="text1"/>
                      <w:sz w:val="21"/>
                      <w:szCs w:val="21"/>
                      <w:highlight w:val="none"/>
                      <w:lang w:val="en-US" w:eastAsia="zh-CN"/>
                      <w14:textFill>
                        <w14:solidFill>
                          <w14:schemeClr w14:val="tx1"/>
                        </w14:solidFill>
                      </w14:textFill>
                    </w:rPr>
                    <w:t>中药渣库1间5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00</w:t>
                  </w:r>
                  <w:r>
                    <w:rPr>
                      <w:rFonts w:hint="default" w:ascii="Times New Roman" w:hAnsi="Times New Roman" w:cs="Times New Roman"/>
                      <w:color w:val="000000" w:themeColor="text1"/>
                      <w:sz w:val="21"/>
                      <w:szCs w:val="21"/>
                      <w:highlight w:val="none"/>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14:textFill>
                        <w14:solidFill>
                          <w14:schemeClr w14:val="tx1"/>
                        </w14:solidFill>
                      </w14:textFill>
                    </w:rPr>
                    <w:t>2</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一般固废暂存间1间</w:t>
                  </w:r>
                  <w:r>
                    <w:rPr>
                      <w:rFonts w:hint="eastAsia"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00</w:t>
                  </w:r>
                  <w:r>
                    <w:rPr>
                      <w:rFonts w:hint="default" w:ascii="Times New Roman" w:hAnsi="Times New Roman" w:cs="Times New Roman"/>
                      <w:color w:val="000000" w:themeColor="text1"/>
                      <w:sz w:val="21"/>
                      <w:szCs w:val="21"/>
                      <w:highlight w:val="none"/>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14:textFill>
                        <w14:solidFill>
                          <w14:schemeClr w14:val="tx1"/>
                        </w14:solidFill>
                      </w14:textFill>
                    </w:rPr>
                    <w:t>2</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，污泥间</w:t>
                  </w:r>
                  <w:r>
                    <w:rPr>
                      <w:rFonts w:hint="eastAsia" w:cs="Times New Roman"/>
                      <w:color w:val="000000" w:themeColor="text1"/>
                      <w:sz w:val="21"/>
                      <w:szCs w:val="21"/>
                      <w:highlight w:val="none"/>
                      <w:vertAlign w:val="baseline"/>
                      <w:lang w:val="en-US" w:eastAsia="zh-CN"/>
                      <w14:textFill>
                        <w14:solidFill>
                          <w14:schemeClr w14:val="tx1"/>
                        </w14:solidFill>
                      </w14:textFill>
                    </w:rPr>
                    <w:t>1间</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10m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2</w:t>
                  </w: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危废暂存间1间</w:t>
                  </w:r>
                  <w:r>
                    <w:rPr>
                      <w:rFonts w:hint="eastAsia"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cs="Times New Roman"/>
                      <w:color w:val="000000" w:themeColor="text1"/>
                      <w:sz w:val="21"/>
                      <w:szCs w:val="21"/>
                      <w:highlight w:val="none"/>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14:textFill>
                        <w14:solidFill>
                          <w14:schemeClr w14:val="tx1"/>
                        </w14:solidFill>
                      </w14:textFill>
                    </w:rPr>
                    <w:t>2</w:t>
                  </w:r>
                </w:p>
              </w:tc>
            </w:tr>
            <w:tr w14:paraId="33D7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640" w:type="pct"/>
                  <w:vMerge w:val="continue"/>
                  <w:noWrap w:val="0"/>
                  <w:vAlign w:val="center"/>
                </w:tcPr>
                <w:p w14:paraId="3BEDD356">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904" w:type="pct"/>
                  <w:noWrap w:val="0"/>
                  <w:vAlign w:val="center"/>
                </w:tcPr>
                <w:p w14:paraId="5DC82997">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噪声</w:t>
                  </w:r>
                </w:p>
              </w:tc>
              <w:tc>
                <w:tcPr>
                  <w:tcW w:w="3455" w:type="pct"/>
                  <w:noWrap w:val="0"/>
                  <w:vAlign w:val="center"/>
                </w:tcPr>
                <w:p w14:paraId="72958089">
                  <w:pPr>
                    <w:pStyle w:val="7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设置基础减振、</w:t>
                  </w:r>
                  <w:r>
                    <w:rPr>
                      <w:rFonts w:hint="eastAsia" w:cs="Times New Roman"/>
                      <w:color w:val="000000" w:themeColor="text1"/>
                      <w:sz w:val="21"/>
                      <w:szCs w:val="21"/>
                      <w:lang w:val="en-US" w:eastAsia="zh-CN"/>
                      <w14:textFill>
                        <w14:solidFill>
                          <w14:schemeClr w14:val="tx1"/>
                        </w14:solidFill>
                      </w14:textFill>
                    </w:rPr>
                    <w:t>消声</w:t>
                  </w:r>
                  <w:r>
                    <w:rPr>
                      <w:rFonts w:hint="default" w:ascii="Times New Roman" w:hAnsi="Times New Roman" w:cs="Times New Roman"/>
                      <w:color w:val="000000" w:themeColor="text1"/>
                      <w:sz w:val="21"/>
                      <w:szCs w:val="21"/>
                      <w:lang w:val="en-US" w:eastAsia="zh-CN"/>
                      <w14:textFill>
                        <w14:solidFill>
                          <w14:schemeClr w14:val="tx1"/>
                        </w14:solidFill>
                      </w14:textFill>
                    </w:rPr>
                    <w:t>隔声、</w:t>
                  </w:r>
                  <w:r>
                    <w:rPr>
                      <w:rFonts w:hint="eastAsia" w:cs="Times New Roman"/>
                      <w:color w:val="000000" w:themeColor="text1"/>
                      <w:sz w:val="21"/>
                      <w:szCs w:val="21"/>
                      <w:lang w:val="en-US" w:eastAsia="zh-CN"/>
                      <w14:textFill>
                        <w14:solidFill>
                          <w14:schemeClr w14:val="tx1"/>
                        </w14:solidFill>
                      </w14:textFill>
                    </w:rPr>
                    <w:t>合理布局等措施</w:t>
                  </w:r>
                </w:p>
              </w:tc>
            </w:tr>
          </w:tbl>
          <w:p w14:paraId="1F874DD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default"/>
                <w:color w:val="000000" w:themeColor="text1"/>
                <w:sz w:val="21"/>
                <w:szCs w:val="21"/>
                <w14:textFill>
                  <w14:solidFill>
                    <w14:schemeClr w14:val="tx1"/>
                  </w14:solidFill>
                </w14:textFill>
              </w:rPr>
            </w:pPr>
          </w:p>
          <w:p w14:paraId="1C6400EE">
            <w:pPr>
              <w:keepNext w:val="0"/>
              <w:overflowPunct/>
              <w:adjustRightInd w:val="0"/>
              <w:snapToGrid/>
              <w:spacing w:beforeLines="0" w:afterLines="0"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二</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、产品方案</w:t>
            </w:r>
          </w:p>
          <w:p w14:paraId="6DE971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eastAsia="宋体"/>
                <w:color w:val="000000" w:themeColor="text1"/>
                <w:sz w:val="24"/>
                <w:szCs w:val="24"/>
                <w:lang w:val="en-US" w:eastAsia="zh-CN"/>
                <w14:textFill>
                  <w14:solidFill>
                    <w14:schemeClr w14:val="tx1"/>
                  </w14:solidFill>
                </w14:textFill>
              </w:rPr>
            </w:pPr>
            <w:r>
              <w:rPr>
                <w:rFonts w:hint="eastAsia"/>
                <w:b w:val="0"/>
                <w:bCs w:val="0"/>
                <w:color w:val="000000" w:themeColor="text1"/>
                <w:kern w:val="2"/>
                <w:sz w:val="24"/>
                <w:szCs w:val="24"/>
                <w:lang w:val="en-US" w:eastAsia="zh-CN" w:bidi="ar-SA"/>
                <w14:textFill>
                  <w14:solidFill>
                    <w14:schemeClr w14:val="tx1"/>
                  </w14:solidFill>
                </w14:textFill>
              </w:rPr>
              <w:t>本项目为扩建项目，原有项目产品为消炎镇痛、祛痰、降糖类等固体制剂约270亿片/粒/袋、口服溶液剂约2.5亿支/瓶药品，</w:t>
            </w:r>
            <w:r>
              <w:rPr>
                <w:rFonts w:hint="eastAsia"/>
                <w:color w:val="000000" w:themeColor="text1"/>
                <w:sz w:val="24"/>
                <w:szCs w:val="24"/>
                <w:lang w:val="en-US" w:eastAsia="zh-CN"/>
                <w14:textFill>
                  <w14:solidFill>
                    <w14:schemeClr w14:val="tx1"/>
                  </w14:solidFill>
                </w14:textFill>
              </w:rPr>
              <w:t>本扩建项目新增产品为参苓白术散、复方板蓝根颗粒、复方丹参片、六味地黄丸、藿香正气水、川贝枇杷糖浆、金果饮口服液等七种中药剂型，产品方案具体如下：</w:t>
            </w:r>
          </w:p>
          <w:p w14:paraId="3702FFB8">
            <w:pPr>
              <w:keepNext w:val="0"/>
              <w:keepLines w:val="0"/>
              <w:pageBreakBefore w:val="0"/>
              <w:widowControl/>
              <w:numPr>
                <w:ilvl w:val="0"/>
                <w:numId w:val="0"/>
              </w:numPr>
              <w:kinsoku/>
              <w:wordWrap/>
              <w:overflowPunct/>
              <w:topLinePunct w:val="0"/>
              <w:autoSpaceDE/>
              <w:autoSpaceDN/>
              <w:bidi w:val="0"/>
              <w:adjustRightInd w:val="0"/>
              <w:snapToGrid/>
              <w:spacing w:beforeLines="0"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cs="Times New Roman"/>
                <w:b w:val="0"/>
                <w:bCs w:val="0"/>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s="Times New Roman"/>
                <w:b w:val="0"/>
                <w:bCs w:val="0"/>
                <w:color w:val="000000" w:themeColor="text1"/>
                <w:sz w:val="24"/>
                <w:szCs w:val="24"/>
                <w:lang w:val="en-US" w:eastAsia="zh-CN"/>
                <w14:textFill>
                  <w14:solidFill>
                    <w14:schemeClr w14:val="tx1"/>
                  </w14:solidFill>
                </w14:textFill>
              </w:rPr>
              <w:t>产品方案</w:t>
            </w:r>
          </w:p>
          <w:tbl>
            <w:tblPr>
              <w:tblStyle w:val="26"/>
              <w:tblpPr w:leftFromText="180" w:rightFromText="180" w:vertAnchor="text" w:tblpY="1"/>
              <w:tblOverlap w:val="never"/>
              <w:tblW w:w="4963"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37"/>
              <w:gridCol w:w="670"/>
              <w:gridCol w:w="1860"/>
              <w:gridCol w:w="1352"/>
              <w:gridCol w:w="2019"/>
              <w:gridCol w:w="1288"/>
            </w:tblGrid>
            <w:tr w14:paraId="5311E2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blHeader/>
              </w:trPr>
              <w:tc>
                <w:tcPr>
                  <w:tcW w:w="406" w:type="pct"/>
                  <w:noWrap w:val="0"/>
                  <w:vAlign w:val="center"/>
                </w:tcPr>
                <w:p w14:paraId="71E48DCD">
                  <w:pPr>
                    <w:keepNext w:val="0"/>
                    <w:keepLines w:val="0"/>
                    <w:pageBreakBefore w:val="0"/>
                    <w:widowControl w:val="0"/>
                    <w:kinsoku/>
                    <w:wordWrap/>
                    <w:overflowPunct/>
                    <w:topLinePunct/>
                    <w:autoSpaceDE/>
                    <w:autoSpaceDN/>
                    <w:bidi w:val="0"/>
                    <w:adjustRightInd/>
                    <w:snapToGrid w:val="0"/>
                    <w:spacing w:line="240" w:lineRule="auto"/>
                    <w:jc w:val="center"/>
                    <w:textAlignment w:val="auto"/>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序号</w:t>
                  </w:r>
                </w:p>
              </w:tc>
              <w:tc>
                <w:tcPr>
                  <w:tcW w:w="1616" w:type="pct"/>
                  <w:gridSpan w:val="2"/>
                  <w:noWrap w:val="0"/>
                  <w:vAlign w:val="center"/>
                </w:tcPr>
                <w:p w14:paraId="5C6B5E53">
                  <w:pPr>
                    <w:topLinePunct/>
                    <w:spacing w:line="360" w:lineRule="exact"/>
                    <w:jc w:val="center"/>
                    <w:rPr>
                      <w:rFonts w:hint="default" w:eastAsia="宋体"/>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产品名称</w:t>
                  </w:r>
                </w:p>
              </w:tc>
              <w:tc>
                <w:tcPr>
                  <w:tcW w:w="863" w:type="pct"/>
                  <w:tcBorders>
                    <w:right w:val="single" w:color="auto" w:sz="4" w:space="0"/>
                  </w:tcBorders>
                  <w:noWrap w:val="0"/>
                  <w:vAlign w:val="center"/>
                </w:tcPr>
                <w:p w14:paraId="32EBC755">
                  <w:pPr>
                    <w:topLinePunct/>
                    <w:spacing w:line="360" w:lineRule="exact"/>
                    <w:jc w:val="center"/>
                    <w:rPr>
                      <w:rFonts w:hint="default" w:eastAsia="宋体"/>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产品规格</w:t>
                  </w:r>
                </w:p>
              </w:tc>
              <w:tc>
                <w:tcPr>
                  <w:tcW w:w="1290" w:type="pct"/>
                  <w:tcBorders>
                    <w:right w:val="single" w:color="auto" w:sz="4" w:space="0"/>
                  </w:tcBorders>
                  <w:noWrap w:val="0"/>
                  <w:vAlign w:val="center"/>
                </w:tcPr>
                <w:p w14:paraId="3520FE7B">
                  <w:pPr>
                    <w:topLinePunct/>
                    <w:spacing w:line="360" w:lineRule="exact"/>
                    <w:jc w:val="center"/>
                    <w:rPr>
                      <w:rFonts w:hint="eastAsia" w:eastAsia="宋体"/>
                      <w:b w:val="0"/>
                      <w:bCs/>
                      <w:color w:val="000000" w:themeColor="text1"/>
                      <w:sz w:val="21"/>
                      <w:szCs w:val="21"/>
                      <w:lang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年产量</w:t>
                  </w:r>
                </w:p>
              </w:tc>
              <w:tc>
                <w:tcPr>
                  <w:tcW w:w="822" w:type="pct"/>
                  <w:tcBorders>
                    <w:left w:val="single" w:color="auto" w:sz="4" w:space="0"/>
                  </w:tcBorders>
                  <w:noWrap w:val="0"/>
                  <w:vAlign w:val="center"/>
                </w:tcPr>
                <w:p w14:paraId="69D42FF1">
                  <w:pPr>
                    <w:topLinePunct/>
                    <w:spacing w:line="360" w:lineRule="exact"/>
                    <w:jc w:val="center"/>
                    <w:rPr>
                      <w:rFonts w:hint="eastAsia" w:eastAsia="宋体"/>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剂型</w:t>
                  </w:r>
                </w:p>
              </w:tc>
            </w:tr>
            <w:tr w14:paraId="456FFB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blHeader/>
              </w:trPr>
              <w:tc>
                <w:tcPr>
                  <w:tcW w:w="5000" w:type="pct"/>
                  <w:gridSpan w:val="6"/>
                  <w:noWrap w:val="0"/>
                  <w:vAlign w:val="center"/>
                </w:tcPr>
                <w:p w14:paraId="756E1CE1">
                  <w:pPr>
                    <w:topLinePunct/>
                    <w:spacing w:line="360" w:lineRule="exact"/>
                    <w:jc w:val="center"/>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原有项目（西药+中成药）</w:t>
                  </w:r>
                </w:p>
              </w:tc>
            </w:tr>
            <w:tr w14:paraId="22F997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blHeader/>
              </w:trPr>
              <w:tc>
                <w:tcPr>
                  <w:tcW w:w="406" w:type="pct"/>
                  <w:noWrap w:val="0"/>
                  <w:vAlign w:val="center"/>
                </w:tcPr>
                <w:p w14:paraId="5C9FF67C">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eastAsia="宋体"/>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1</w:t>
                  </w:r>
                </w:p>
              </w:tc>
              <w:tc>
                <w:tcPr>
                  <w:tcW w:w="1616" w:type="pct"/>
                  <w:gridSpan w:val="2"/>
                  <w:noWrap w:val="0"/>
                  <w:vAlign w:val="center"/>
                </w:tcPr>
                <w:p w14:paraId="791F784F">
                  <w:pPr>
                    <w:topLinePunct/>
                    <w:spacing w:line="360" w:lineRule="exact"/>
                    <w:jc w:val="center"/>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消炎镇痛、祛痰、降糖类等固体制剂</w:t>
                  </w:r>
                </w:p>
              </w:tc>
              <w:tc>
                <w:tcPr>
                  <w:tcW w:w="863" w:type="pct"/>
                  <w:tcBorders>
                    <w:right w:val="single" w:color="auto" w:sz="4" w:space="0"/>
                  </w:tcBorders>
                  <w:noWrap w:val="0"/>
                  <w:vAlign w:val="center"/>
                </w:tcPr>
                <w:p w14:paraId="095D5337">
                  <w:pPr>
                    <w:topLinePunct/>
                    <w:spacing w:line="360" w:lineRule="exact"/>
                    <w:jc w:val="center"/>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w:t>
                  </w:r>
                </w:p>
              </w:tc>
              <w:tc>
                <w:tcPr>
                  <w:tcW w:w="1290" w:type="pct"/>
                  <w:tcBorders>
                    <w:right w:val="single" w:color="auto" w:sz="4" w:space="0"/>
                  </w:tcBorders>
                  <w:noWrap w:val="0"/>
                  <w:vAlign w:val="center"/>
                </w:tcPr>
                <w:p w14:paraId="14FF32C5">
                  <w:pPr>
                    <w:topLinePunct/>
                    <w:spacing w:line="360" w:lineRule="exact"/>
                    <w:jc w:val="center"/>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270亿片/粒/袋</w:t>
                  </w:r>
                </w:p>
              </w:tc>
              <w:tc>
                <w:tcPr>
                  <w:tcW w:w="822" w:type="pct"/>
                  <w:tcBorders>
                    <w:left w:val="single" w:color="auto" w:sz="4" w:space="0"/>
                  </w:tcBorders>
                  <w:noWrap w:val="0"/>
                  <w:vAlign w:val="center"/>
                </w:tcPr>
                <w:p w14:paraId="0F2B2095">
                  <w:pPr>
                    <w:topLinePunct/>
                    <w:spacing w:line="360" w:lineRule="exact"/>
                    <w:jc w:val="center"/>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片剂、胶囊剂、颗粒剂、</w:t>
                  </w:r>
                  <w:r>
                    <w:rPr>
                      <w:rFonts w:hint="eastAsia" w:cs="Times New Roman"/>
                      <w:color w:val="000000" w:themeColor="text1"/>
                      <w:sz w:val="21"/>
                      <w:szCs w:val="21"/>
                      <w:lang w:val="en-US" w:eastAsia="zh-CN"/>
                      <w14:textFill>
                        <w14:solidFill>
                          <w14:schemeClr w14:val="tx1"/>
                        </w14:solidFill>
                      </w14:textFill>
                    </w:rPr>
                    <w:t>干</w:t>
                  </w:r>
                  <w:r>
                    <w:rPr>
                      <w:rFonts w:hint="eastAsia"/>
                      <w:color w:val="000000" w:themeColor="text1"/>
                      <w:sz w:val="21"/>
                      <w:szCs w:val="21"/>
                      <w14:textFill>
                        <w14:solidFill>
                          <w14:schemeClr w14:val="tx1"/>
                        </w14:solidFill>
                      </w14:textFill>
                    </w:rPr>
                    <w:t>混悬剂</w:t>
                  </w:r>
                </w:p>
              </w:tc>
            </w:tr>
            <w:tr w14:paraId="10D0ED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blHeader/>
              </w:trPr>
              <w:tc>
                <w:tcPr>
                  <w:tcW w:w="406" w:type="pct"/>
                  <w:noWrap w:val="0"/>
                  <w:vAlign w:val="center"/>
                </w:tcPr>
                <w:p w14:paraId="45DF97FA">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eastAsia="宋体"/>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2</w:t>
                  </w:r>
                </w:p>
              </w:tc>
              <w:tc>
                <w:tcPr>
                  <w:tcW w:w="1616" w:type="pct"/>
                  <w:gridSpan w:val="2"/>
                  <w:noWrap w:val="0"/>
                  <w:vAlign w:val="center"/>
                </w:tcPr>
                <w:p w14:paraId="439F9C92">
                  <w:pPr>
                    <w:topLinePunct/>
                    <w:spacing w:line="360" w:lineRule="exact"/>
                    <w:jc w:val="center"/>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羧甲司坦口服液、布洛芬糖浆、藿香正气合剂等口服溶液剂</w:t>
                  </w:r>
                </w:p>
              </w:tc>
              <w:tc>
                <w:tcPr>
                  <w:tcW w:w="863" w:type="pct"/>
                  <w:tcBorders>
                    <w:right w:val="single" w:color="auto" w:sz="4" w:space="0"/>
                  </w:tcBorders>
                  <w:noWrap w:val="0"/>
                  <w:vAlign w:val="center"/>
                </w:tcPr>
                <w:p w14:paraId="47F35DD3">
                  <w:pPr>
                    <w:topLinePunct/>
                    <w:spacing w:line="360" w:lineRule="exact"/>
                    <w:jc w:val="center"/>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w:t>
                  </w:r>
                </w:p>
              </w:tc>
              <w:tc>
                <w:tcPr>
                  <w:tcW w:w="1290" w:type="pct"/>
                  <w:tcBorders>
                    <w:right w:val="single" w:color="auto" w:sz="4" w:space="0"/>
                  </w:tcBorders>
                  <w:noWrap w:val="0"/>
                  <w:vAlign w:val="center"/>
                </w:tcPr>
                <w:p w14:paraId="67DB0301">
                  <w:pPr>
                    <w:topLinePunct/>
                    <w:spacing w:line="360" w:lineRule="exact"/>
                    <w:jc w:val="center"/>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2.5亿支/瓶</w:t>
                  </w:r>
                </w:p>
              </w:tc>
              <w:tc>
                <w:tcPr>
                  <w:tcW w:w="822" w:type="pct"/>
                  <w:tcBorders>
                    <w:left w:val="single" w:color="auto" w:sz="4" w:space="0"/>
                  </w:tcBorders>
                  <w:noWrap w:val="0"/>
                  <w:vAlign w:val="center"/>
                </w:tcPr>
                <w:p w14:paraId="45A9E339">
                  <w:pPr>
                    <w:topLinePunct/>
                    <w:spacing w:line="360" w:lineRule="exact"/>
                    <w:jc w:val="center"/>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口服液、糖浆剂、合剂</w:t>
                  </w:r>
                </w:p>
              </w:tc>
            </w:tr>
            <w:tr w14:paraId="3C6CCB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blHeader/>
              </w:trPr>
              <w:tc>
                <w:tcPr>
                  <w:tcW w:w="5000" w:type="pct"/>
                  <w:gridSpan w:val="6"/>
                  <w:noWrap w:val="0"/>
                  <w:vAlign w:val="center"/>
                </w:tcPr>
                <w:p w14:paraId="3D800E59">
                  <w:pPr>
                    <w:topLinePunct/>
                    <w:spacing w:line="360" w:lineRule="exact"/>
                    <w:jc w:val="center"/>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扩建项目（中成药）</w:t>
                  </w:r>
                </w:p>
              </w:tc>
            </w:tr>
            <w:tr w14:paraId="669C25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406" w:type="pct"/>
                  <w:noWrap w:val="0"/>
                  <w:vAlign w:val="center"/>
                </w:tcPr>
                <w:p w14:paraId="12A32B00">
                  <w:pPr>
                    <w:topLinePunct/>
                    <w:spacing w:line="3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428" w:type="pct"/>
                  <w:vMerge w:val="restart"/>
                  <w:tcBorders>
                    <w:right w:val="single" w:color="auto" w:sz="4" w:space="0"/>
                  </w:tcBorders>
                  <w:noWrap w:val="0"/>
                  <w:vAlign w:val="center"/>
                </w:tcPr>
                <w:p w14:paraId="664DC27D">
                  <w:pPr>
                    <w:topLinePunct/>
                    <w:spacing w:line="360" w:lineRule="exact"/>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固体</w:t>
                  </w:r>
                </w:p>
              </w:tc>
              <w:tc>
                <w:tcPr>
                  <w:tcW w:w="1188" w:type="pct"/>
                  <w:tcBorders>
                    <w:left w:val="single" w:color="auto" w:sz="4" w:space="0"/>
                  </w:tcBorders>
                  <w:noWrap w:val="0"/>
                  <w:vAlign w:val="center"/>
                </w:tcPr>
                <w:p w14:paraId="4DDE05BC">
                  <w:pPr>
                    <w:topLinePunct/>
                    <w:spacing w:line="360" w:lineRule="exac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参苓白术散</w:t>
                  </w:r>
                </w:p>
              </w:tc>
              <w:tc>
                <w:tcPr>
                  <w:tcW w:w="863" w:type="pct"/>
                  <w:tcBorders>
                    <w:right w:val="single" w:color="auto" w:sz="4" w:space="0"/>
                  </w:tcBorders>
                  <w:shd w:val="clear" w:color="auto" w:fill="auto"/>
                  <w:noWrap w:val="0"/>
                  <w:vAlign w:val="center"/>
                </w:tcPr>
                <w:p w14:paraId="1CB6F86F">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3g/袋</w:t>
                  </w:r>
                </w:p>
              </w:tc>
              <w:tc>
                <w:tcPr>
                  <w:tcW w:w="1290" w:type="pct"/>
                  <w:tcBorders>
                    <w:right w:val="single" w:color="auto" w:sz="4" w:space="0"/>
                  </w:tcBorders>
                  <w:shd w:val="clear" w:color="auto" w:fill="auto"/>
                  <w:noWrap w:val="0"/>
                  <w:vAlign w:val="center"/>
                </w:tcPr>
                <w:p w14:paraId="60DFF2C5">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0.4亿袋</w:t>
                  </w:r>
                </w:p>
              </w:tc>
              <w:tc>
                <w:tcPr>
                  <w:tcW w:w="822" w:type="pct"/>
                  <w:tcBorders>
                    <w:left w:val="single" w:color="auto" w:sz="4" w:space="0"/>
                  </w:tcBorders>
                  <w:noWrap w:val="0"/>
                  <w:vAlign w:val="center"/>
                </w:tcPr>
                <w:p w14:paraId="0F3C6024">
                  <w:pPr>
                    <w:topLinePunct/>
                    <w:spacing w:line="360" w:lineRule="exact"/>
                    <w:jc w:val="center"/>
                    <w:rPr>
                      <w:rFonts w:hint="default" w:eastAsia="宋体"/>
                      <w:color w:val="000000" w:themeColor="text1"/>
                      <w:sz w:val="21"/>
                      <w:szCs w:val="21"/>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散剂</w:t>
                  </w:r>
                </w:p>
              </w:tc>
            </w:tr>
            <w:tr w14:paraId="394B2D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406" w:type="pct"/>
                  <w:noWrap w:val="0"/>
                  <w:vAlign w:val="center"/>
                </w:tcPr>
                <w:p w14:paraId="093FFC34">
                  <w:pPr>
                    <w:topLinePunct/>
                    <w:spacing w:line="360" w:lineRule="exact"/>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28" w:type="pct"/>
                  <w:vMerge w:val="continue"/>
                  <w:tcBorders>
                    <w:right w:val="single" w:color="auto" w:sz="4" w:space="0"/>
                  </w:tcBorders>
                  <w:shd w:val="clear" w:color="auto" w:fill="auto"/>
                  <w:noWrap w:val="0"/>
                  <w:vAlign w:val="center"/>
                </w:tcPr>
                <w:p w14:paraId="440395FB">
                  <w:pPr>
                    <w:topLinePunct/>
                    <w:spacing w:line="36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1188" w:type="pct"/>
                  <w:tcBorders>
                    <w:left w:val="single" w:color="auto" w:sz="4" w:space="0"/>
                  </w:tcBorders>
                  <w:shd w:val="clear" w:color="auto" w:fill="auto"/>
                  <w:noWrap w:val="0"/>
                  <w:vAlign w:val="center"/>
                </w:tcPr>
                <w:p w14:paraId="1B372813">
                  <w:pPr>
                    <w:topLinePunct/>
                    <w:spacing w:line="360" w:lineRule="exac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复方板蓝根颗粒</w:t>
                  </w:r>
                </w:p>
              </w:tc>
              <w:tc>
                <w:tcPr>
                  <w:tcW w:w="863" w:type="pct"/>
                  <w:tcBorders>
                    <w:right w:val="single" w:color="auto" w:sz="4" w:space="0"/>
                  </w:tcBorders>
                  <w:shd w:val="clear" w:color="auto" w:fill="auto"/>
                  <w:noWrap w:val="0"/>
                  <w:vAlign w:val="center"/>
                </w:tcPr>
                <w:p w14:paraId="471501A3">
                  <w:pPr>
                    <w:topLinePunct/>
                    <w:spacing w:line="36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15g/袋</w:t>
                  </w:r>
                </w:p>
              </w:tc>
              <w:tc>
                <w:tcPr>
                  <w:tcW w:w="1290" w:type="pct"/>
                  <w:tcBorders>
                    <w:right w:val="single" w:color="auto" w:sz="4" w:space="0"/>
                  </w:tcBorders>
                  <w:shd w:val="clear" w:color="auto" w:fill="auto"/>
                  <w:noWrap w:val="0"/>
                  <w:vAlign w:val="center"/>
                </w:tcPr>
                <w:p w14:paraId="4BA804EE">
                  <w:pPr>
                    <w:topLinePunct/>
                    <w:spacing w:line="36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1.68亿袋</w:t>
                  </w:r>
                </w:p>
              </w:tc>
              <w:tc>
                <w:tcPr>
                  <w:tcW w:w="822" w:type="pct"/>
                  <w:tcBorders>
                    <w:left w:val="single" w:color="auto" w:sz="4" w:space="0"/>
                  </w:tcBorders>
                  <w:shd w:val="clear" w:color="auto" w:fill="auto"/>
                  <w:noWrap w:val="0"/>
                  <w:vAlign w:val="center"/>
                </w:tcPr>
                <w:p w14:paraId="430A9DB5">
                  <w:pPr>
                    <w:topLinePunct/>
                    <w:spacing w:line="36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颗粒剂</w:t>
                  </w:r>
                </w:p>
              </w:tc>
            </w:tr>
            <w:tr w14:paraId="24D71A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406" w:type="pct"/>
                  <w:noWrap w:val="0"/>
                  <w:vAlign w:val="center"/>
                </w:tcPr>
                <w:p w14:paraId="601E36CA">
                  <w:pPr>
                    <w:topLinePunct/>
                    <w:spacing w:line="360" w:lineRule="exac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w:t>
                  </w:r>
                </w:p>
              </w:tc>
              <w:tc>
                <w:tcPr>
                  <w:tcW w:w="428" w:type="pct"/>
                  <w:vMerge w:val="continue"/>
                  <w:tcBorders>
                    <w:right w:val="single" w:color="auto" w:sz="4" w:space="0"/>
                  </w:tcBorders>
                  <w:shd w:val="clear" w:color="auto" w:fill="auto"/>
                  <w:noWrap w:val="0"/>
                  <w:vAlign w:val="center"/>
                </w:tcPr>
                <w:p w14:paraId="0C8C57B9">
                  <w:pPr>
                    <w:topLinePunct/>
                    <w:spacing w:line="360" w:lineRule="exact"/>
                    <w:jc w:val="center"/>
                    <w:rPr>
                      <w:rFonts w:hint="eastAsia" w:ascii="Times New Roman" w:hAnsi="Times New Roman" w:eastAsia="宋体" w:cs="Times New Roman"/>
                      <w:color w:val="000000" w:themeColor="text1"/>
                      <w:kern w:val="2"/>
                      <w:sz w:val="21"/>
                      <w:szCs w:val="21"/>
                      <w:lang w:val="en-US" w:eastAsia="en-US" w:bidi="ar-SA"/>
                      <w14:textFill>
                        <w14:solidFill>
                          <w14:schemeClr w14:val="tx1"/>
                        </w14:solidFill>
                      </w14:textFill>
                    </w:rPr>
                  </w:pPr>
                </w:p>
              </w:tc>
              <w:tc>
                <w:tcPr>
                  <w:tcW w:w="1188" w:type="pct"/>
                  <w:tcBorders>
                    <w:left w:val="single" w:color="auto" w:sz="4" w:space="0"/>
                  </w:tcBorders>
                  <w:shd w:val="clear" w:color="auto" w:fill="auto"/>
                  <w:noWrap w:val="0"/>
                  <w:vAlign w:val="center"/>
                </w:tcPr>
                <w:p w14:paraId="00CEDAA9">
                  <w:pPr>
                    <w:topLinePunct/>
                    <w:spacing w:line="360" w:lineRule="exac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复方丹参片</w:t>
                  </w:r>
                </w:p>
              </w:tc>
              <w:tc>
                <w:tcPr>
                  <w:tcW w:w="863" w:type="pct"/>
                  <w:tcBorders>
                    <w:right w:val="single" w:color="auto" w:sz="4" w:space="0"/>
                  </w:tcBorders>
                  <w:shd w:val="clear" w:color="auto" w:fill="auto"/>
                  <w:noWrap w:val="0"/>
                  <w:vAlign w:val="center"/>
                </w:tcPr>
                <w:p w14:paraId="3402D085">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0.32g/片</w:t>
                  </w:r>
                </w:p>
              </w:tc>
              <w:tc>
                <w:tcPr>
                  <w:tcW w:w="1290" w:type="pct"/>
                  <w:tcBorders>
                    <w:right w:val="single" w:color="auto" w:sz="4" w:space="0"/>
                  </w:tcBorders>
                  <w:shd w:val="clear" w:color="auto" w:fill="auto"/>
                  <w:noWrap w:val="0"/>
                  <w:vAlign w:val="center"/>
                </w:tcPr>
                <w:p w14:paraId="05FFBDBA">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5.1亿片</w:t>
                  </w:r>
                </w:p>
              </w:tc>
              <w:tc>
                <w:tcPr>
                  <w:tcW w:w="822" w:type="pct"/>
                  <w:tcBorders>
                    <w:left w:val="single" w:color="auto" w:sz="4" w:space="0"/>
                  </w:tcBorders>
                  <w:shd w:val="clear" w:color="auto" w:fill="auto"/>
                  <w:noWrap w:val="0"/>
                  <w:vAlign w:val="center"/>
                </w:tcPr>
                <w:p w14:paraId="1771B9C6">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片剂</w:t>
                  </w:r>
                </w:p>
              </w:tc>
            </w:tr>
            <w:tr w14:paraId="0A9877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406" w:type="pct"/>
                  <w:noWrap w:val="0"/>
                  <w:vAlign w:val="center"/>
                </w:tcPr>
                <w:p w14:paraId="0D247948">
                  <w:pPr>
                    <w:topLinePunct/>
                    <w:spacing w:line="360" w:lineRule="exac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w:t>
                  </w:r>
                </w:p>
              </w:tc>
              <w:tc>
                <w:tcPr>
                  <w:tcW w:w="428" w:type="pct"/>
                  <w:vMerge w:val="continue"/>
                  <w:tcBorders>
                    <w:right w:val="single" w:color="auto" w:sz="4" w:space="0"/>
                  </w:tcBorders>
                  <w:shd w:val="clear" w:color="auto" w:fill="auto"/>
                  <w:noWrap w:val="0"/>
                  <w:vAlign w:val="center"/>
                </w:tcPr>
                <w:p w14:paraId="0564C0C2">
                  <w:pPr>
                    <w:topLinePunct/>
                    <w:spacing w:line="360" w:lineRule="exact"/>
                    <w:jc w:val="center"/>
                    <w:rPr>
                      <w:rFonts w:hint="eastAsia" w:ascii="Times New Roman" w:hAnsi="Times New Roman" w:eastAsia="宋体" w:cs="Times New Roman"/>
                      <w:color w:val="000000" w:themeColor="text1"/>
                      <w:kern w:val="2"/>
                      <w:sz w:val="21"/>
                      <w:szCs w:val="21"/>
                      <w:lang w:val="en-US" w:eastAsia="en-US" w:bidi="ar-SA"/>
                      <w14:textFill>
                        <w14:solidFill>
                          <w14:schemeClr w14:val="tx1"/>
                        </w14:solidFill>
                      </w14:textFill>
                    </w:rPr>
                  </w:pPr>
                </w:p>
              </w:tc>
              <w:tc>
                <w:tcPr>
                  <w:tcW w:w="1188" w:type="pct"/>
                  <w:tcBorders>
                    <w:left w:val="single" w:color="auto" w:sz="4" w:space="0"/>
                  </w:tcBorders>
                  <w:shd w:val="clear" w:color="auto" w:fill="auto"/>
                  <w:noWrap w:val="0"/>
                  <w:vAlign w:val="center"/>
                </w:tcPr>
                <w:p w14:paraId="1FE7A5A3">
                  <w:pPr>
                    <w:topLinePunct/>
                    <w:spacing w:line="360" w:lineRule="exac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六味地黄丸</w:t>
                  </w:r>
                </w:p>
              </w:tc>
              <w:tc>
                <w:tcPr>
                  <w:tcW w:w="863" w:type="pct"/>
                  <w:tcBorders>
                    <w:right w:val="single" w:color="auto" w:sz="4" w:space="0"/>
                  </w:tcBorders>
                  <w:shd w:val="clear" w:color="auto" w:fill="auto"/>
                  <w:noWrap w:val="0"/>
                  <w:vAlign w:val="center"/>
                </w:tcPr>
                <w:p w14:paraId="3AA85938">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1.6g/8丸</w:t>
                  </w:r>
                </w:p>
              </w:tc>
              <w:tc>
                <w:tcPr>
                  <w:tcW w:w="1290" w:type="pct"/>
                  <w:tcBorders>
                    <w:right w:val="single" w:color="auto" w:sz="4" w:space="0"/>
                  </w:tcBorders>
                  <w:shd w:val="clear" w:color="auto" w:fill="auto"/>
                  <w:noWrap w:val="0"/>
                  <w:vAlign w:val="center"/>
                </w:tcPr>
                <w:p w14:paraId="12318566">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3亿丸</w:t>
                  </w:r>
                </w:p>
              </w:tc>
              <w:tc>
                <w:tcPr>
                  <w:tcW w:w="822" w:type="pct"/>
                  <w:tcBorders>
                    <w:left w:val="single" w:color="auto" w:sz="4" w:space="0"/>
                  </w:tcBorders>
                  <w:shd w:val="clear" w:color="auto" w:fill="auto"/>
                  <w:noWrap w:val="0"/>
                  <w:vAlign w:val="center"/>
                </w:tcPr>
                <w:p w14:paraId="05CDB23F">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丸剂</w:t>
                  </w:r>
                </w:p>
              </w:tc>
            </w:tr>
            <w:tr w14:paraId="6F62A6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406" w:type="pct"/>
                  <w:noWrap w:val="0"/>
                  <w:vAlign w:val="center"/>
                </w:tcPr>
                <w:p w14:paraId="7F56D093">
                  <w:pPr>
                    <w:topLinePunct/>
                    <w:spacing w:line="360" w:lineRule="exac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428" w:type="pct"/>
                  <w:vMerge w:val="restart"/>
                  <w:tcBorders>
                    <w:right w:val="single" w:color="auto" w:sz="4" w:space="0"/>
                  </w:tcBorders>
                  <w:shd w:val="clear" w:color="auto" w:fill="auto"/>
                  <w:noWrap w:val="0"/>
                  <w:vAlign w:val="center"/>
                </w:tcPr>
                <w:p w14:paraId="37FF0955">
                  <w:pPr>
                    <w:topLinePunct/>
                    <w:spacing w:line="36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液体</w:t>
                  </w:r>
                </w:p>
              </w:tc>
              <w:tc>
                <w:tcPr>
                  <w:tcW w:w="1188" w:type="pct"/>
                  <w:tcBorders>
                    <w:left w:val="single" w:color="auto" w:sz="4" w:space="0"/>
                  </w:tcBorders>
                  <w:shd w:val="clear" w:color="auto" w:fill="auto"/>
                  <w:noWrap w:val="0"/>
                  <w:vAlign w:val="center"/>
                </w:tcPr>
                <w:p w14:paraId="5053C928">
                  <w:pPr>
                    <w:topLinePunct/>
                    <w:spacing w:line="360" w:lineRule="exac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藿香正气水</w:t>
                  </w:r>
                </w:p>
              </w:tc>
              <w:tc>
                <w:tcPr>
                  <w:tcW w:w="863" w:type="pct"/>
                  <w:tcBorders>
                    <w:right w:val="single" w:color="auto" w:sz="4" w:space="0"/>
                  </w:tcBorders>
                  <w:shd w:val="clear" w:color="auto" w:fill="auto"/>
                  <w:noWrap w:val="0"/>
                  <w:vAlign w:val="center"/>
                </w:tcPr>
                <w:p w14:paraId="2E5ECF2C">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10mL/支</w:t>
                  </w:r>
                </w:p>
              </w:tc>
              <w:tc>
                <w:tcPr>
                  <w:tcW w:w="1290" w:type="pct"/>
                  <w:tcBorders>
                    <w:right w:val="single" w:color="auto" w:sz="4" w:space="0"/>
                  </w:tcBorders>
                  <w:shd w:val="clear" w:color="auto" w:fill="auto"/>
                  <w:noWrap w:val="0"/>
                  <w:vAlign w:val="center"/>
                </w:tcPr>
                <w:p w14:paraId="363F4307">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2.7亿支</w:t>
                  </w:r>
                </w:p>
              </w:tc>
              <w:tc>
                <w:tcPr>
                  <w:tcW w:w="822" w:type="pct"/>
                  <w:tcBorders>
                    <w:left w:val="single" w:color="auto" w:sz="4" w:space="0"/>
                  </w:tcBorders>
                  <w:shd w:val="clear" w:color="auto" w:fill="auto"/>
                  <w:noWrap w:val="0"/>
                  <w:vAlign w:val="center"/>
                </w:tcPr>
                <w:p w14:paraId="1EA5809B">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酊剂</w:t>
                  </w:r>
                </w:p>
              </w:tc>
            </w:tr>
            <w:tr w14:paraId="0C00C3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406" w:type="pct"/>
                  <w:noWrap w:val="0"/>
                  <w:vAlign w:val="center"/>
                </w:tcPr>
                <w:p w14:paraId="2AC9C8F7">
                  <w:pPr>
                    <w:topLinePunct/>
                    <w:spacing w:line="360" w:lineRule="exac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p>
              </w:tc>
              <w:tc>
                <w:tcPr>
                  <w:tcW w:w="428" w:type="pct"/>
                  <w:vMerge w:val="continue"/>
                  <w:tcBorders>
                    <w:right w:val="single" w:color="auto" w:sz="4" w:space="0"/>
                  </w:tcBorders>
                  <w:shd w:val="clear" w:color="auto" w:fill="auto"/>
                  <w:noWrap w:val="0"/>
                  <w:vAlign w:val="center"/>
                </w:tcPr>
                <w:p w14:paraId="0696D4B1">
                  <w:pPr>
                    <w:topLinePunct/>
                    <w:spacing w:line="360" w:lineRule="exact"/>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1188" w:type="pct"/>
                  <w:tcBorders>
                    <w:left w:val="single" w:color="auto" w:sz="4" w:space="0"/>
                  </w:tcBorders>
                  <w:shd w:val="clear" w:color="auto" w:fill="auto"/>
                  <w:noWrap w:val="0"/>
                  <w:vAlign w:val="center"/>
                </w:tcPr>
                <w:p w14:paraId="4CFD4D89">
                  <w:pPr>
                    <w:topLinePunct/>
                    <w:spacing w:line="360" w:lineRule="exac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川贝枇杷糖浆</w:t>
                  </w:r>
                </w:p>
              </w:tc>
              <w:tc>
                <w:tcPr>
                  <w:tcW w:w="863" w:type="pct"/>
                  <w:tcBorders>
                    <w:right w:val="single" w:color="auto" w:sz="4" w:space="0"/>
                  </w:tcBorders>
                  <w:shd w:val="clear" w:color="auto" w:fill="auto"/>
                  <w:noWrap w:val="0"/>
                  <w:vAlign w:val="center"/>
                </w:tcPr>
                <w:p w14:paraId="0A709358">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100mL/瓶</w:t>
                  </w:r>
                </w:p>
              </w:tc>
              <w:tc>
                <w:tcPr>
                  <w:tcW w:w="1290" w:type="pct"/>
                  <w:tcBorders>
                    <w:right w:val="single" w:color="auto" w:sz="4" w:space="0"/>
                  </w:tcBorders>
                  <w:shd w:val="clear" w:color="auto" w:fill="auto"/>
                  <w:noWrap w:val="0"/>
                  <w:vAlign w:val="center"/>
                </w:tcPr>
                <w:p w14:paraId="493BA52D">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0.12亿瓶</w:t>
                  </w:r>
                </w:p>
              </w:tc>
              <w:tc>
                <w:tcPr>
                  <w:tcW w:w="822" w:type="pct"/>
                  <w:tcBorders>
                    <w:left w:val="single" w:color="auto" w:sz="4" w:space="0"/>
                  </w:tcBorders>
                  <w:shd w:val="clear" w:color="auto" w:fill="auto"/>
                  <w:noWrap w:val="0"/>
                  <w:vAlign w:val="center"/>
                </w:tcPr>
                <w:p w14:paraId="40BB0402">
                  <w:pPr>
                    <w:topLinePunct/>
                    <w:spacing w:line="36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糖浆剂</w:t>
                  </w:r>
                </w:p>
              </w:tc>
            </w:tr>
            <w:tr w14:paraId="345526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406" w:type="pct"/>
                  <w:noWrap w:val="0"/>
                  <w:vAlign w:val="center"/>
                </w:tcPr>
                <w:p w14:paraId="5F67FE00">
                  <w:pPr>
                    <w:topLinePunct/>
                    <w:spacing w:line="360" w:lineRule="exact"/>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w:t>
                  </w:r>
                </w:p>
              </w:tc>
              <w:tc>
                <w:tcPr>
                  <w:tcW w:w="428" w:type="pct"/>
                  <w:vMerge w:val="continue"/>
                  <w:tcBorders>
                    <w:right w:val="single" w:color="auto" w:sz="4" w:space="0"/>
                  </w:tcBorders>
                  <w:noWrap w:val="0"/>
                  <w:vAlign w:val="center"/>
                </w:tcPr>
                <w:p w14:paraId="670540B8">
                  <w:pPr>
                    <w:topLinePunct/>
                    <w:spacing w:line="360" w:lineRule="exact"/>
                    <w:jc w:val="center"/>
                    <w:rPr>
                      <w:rFonts w:hint="default"/>
                      <w:color w:val="000000" w:themeColor="text1"/>
                      <w:sz w:val="21"/>
                      <w:szCs w:val="21"/>
                      <w:lang w:val="en-US" w:eastAsia="zh-CN"/>
                      <w14:textFill>
                        <w14:solidFill>
                          <w14:schemeClr w14:val="tx1"/>
                        </w14:solidFill>
                      </w14:textFill>
                    </w:rPr>
                  </w:pPr>
                </w:p>
              </w:tc>
              <w:tc>
                <w:tcPr>
                  <w:tcW w:w="1188" w:type="pct"/>
                  <w:tcBorders>
                    <w:left w:val="single" w:color="auto" w:sz="4" w:space="0"/>
                  </w:tcBorders>
                  <w:noWrap w:val="0"/>
                  <w:vAlign w:val="center"/>
                </w:tcPr>
                <w:p w14:paraId="198BA960">
                  <w:pPr>
                    <w:topLinePunct/>
                    <w:spacing w:line="360" w:lineRule="exac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金果饮口服液</w:t>
                  </w:r>
                </w:p>
              </w:tc>
              <w:tc>
                <w:tcPr>
                  <w:tcW w:w="863" w:type="pct"/>
                  <w:tcBorders>
                    <w:right w:val="single" w:color="auto" w:sz="4" w:space="0"/>
                  </w:tcBorders>
                  <w:noWrap w:val="0"/>
                  <w:vAlign w:val="center"/>
                </w:tcPr>
                <w:p w14:paraId="11631390">
                  <w:pPr>
                    <w:topLinePunct/>
                    <w:spacing w:line="360" w:lineRule="exac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15mL/支</w:t>
                  </w:r>
                </w:p>
              </w:tc>
              <w:tc>
                <w:tcPr>
                  <w:tcW w:w="1290" w:type="pct"/>
                  <w:tcBorders>
                    <w:right w:val="single" w:color="auto" w:sz="4" w:space="0"/>
                  </w:tcBorders>
                  <w:noWrap w:val="0"/>
                  <w:vAlign w:val="center"/>
                </w:tcPr>
                <w:p w14:paraId="1DF7637C">
                  <w:pPr>
                    <w:topLinePunct/>
                    <w:spacing w:line="360" w:lineRule="exact"/>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0.5亿支</w:t>
                  </w:r>
                </w:p>
              </w:tc>
              <w:tc>
                <w:tcPr>
                  <w:tcW w:w="822" w:type="pct"/>
                  <w:tcBorders>
                    <w:left w:val="single" w:color="auto" w:sz="4" w:space="0"/>
                  </w:tcBorders>
                  <w:noWrap w:val="0"/>
                  <w:vAlign w:val="center"/>
                </w:tcPr>
                <w:p w14:paraId="6A7DB514">
                  <w:pPr>
                    <w:topLinePunct/>
                    <w:spacing w:line="360" w:lineRule="exact"/>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口服液</w:t>
                  </w:r>
                </w:p>
              </w:tc>
            </w:tr>
            <w:tr w14:paraId="783DE7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2886" w:type="pct"/>
                  <w:gridSpan w:val="4"/>
                  <w:noWrap w:val="0"/>
                  <w:vAlign w:val="center"/>
                </w:tcPr>
                <w:p w14:paraId="37CF2937">
                  <w:pPr>
                    <w:topLinePunct/>
                    <w:spacing w:line="360" w:lineRule="exac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合计</w:t>
                  </w:r>
                </w:p>
              </w:tc>
              <w:tc>
                <w:tcPr>
                  <w:tcW w:w="1290" w:type="pct"/>
                  <w:tcBorders>
                    <w:right w:val="single" w:color="auto" w:sz="4" w:space="0"/>
                  </w:tcBorders>
                  <w:noWrap w:val="0"/>
                  <w:vAlign w:val="center"/>
                </w:tcPr>
                <w:p w14:paraId="5031E946">
                  <w:pPr>
                    <w:topLinePunct/>
                    <w:spacing w:line="360" w:lineRule="exac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13.5亿粒/片/瓶/袋</w:t>
                  </w:r>
                </w:p>
              </w:tc>
              <w:tc>
                <w:tcPr>
                  <w:tcW w:w="822" w:type="pct"/>
                  <w:tcBorders>
                    <w:left w:val="single" w:color="auto" w:sz="4" w:space="0"/>
                  </w:tcBorders>
                  <w:noWrap w:val="0"/>
                  <w:vAlign w:val="center"/>
                </w:tcPr>
                <w:p w14:paraId="29AFFC1C">
                  <w:pPr>
                    <w:topLinePunct/>
                    <w:spacing w:line="360" w:lineRule="exac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bl>
          <w:p w14:paraId="78B153C4">
            <w:pPr>
              <w:pStyle w:val="16"/>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color w:val="000000" w:themeColor="text1"/>
                <w:lang w:val="en-US" w:eastAsia="zh-CN"/>
                <w14:textFill>
                  <w14:solidFill>
                    <w14:schemeClr w14:val="tx1"/>
                  </w14:solidFill>
                </w14:textFill>
              </w:rPr>
            </w:pPr>
          </w:p>
          <w:p w14:paraId="133E54D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三、</w:t>
            </w:r>
            <w:r>
              <w:rPr>
                <w:rFonts w:hint="default"/>
                <w:color w:val="000000" w:themeColor="text1"/>
                <w:sz w:val="24"/>
                <w:szCs w:val="24"/>
                <w14:textFill>
                  <w14:solidFill>
                    <w14:schemeClr w14:val="tx1"/>
                  </w14:solidFill>
                </w14:textFill>
              </w:rPr>
              <w:t>主要</w:t>
            </w:r>
            <w:r>
              <w:rPr>
                <w:rFonts w:hint="eastAsia"/>
                <w:color w:val="000000" w:themeColor="text1"/>
                <w:sz w:val="24"/>
                <w:szCs w:val="24"/>
                <w:lang w:val="en-US" w:eastAsia="zh-CN"/>
                <w14:textFill>
                  <w14:solidFill>
                    <w14:schemeClr w14:val="tx1"/>
                  </w14:solidFill>
                </w14:textFill>
              </w:rPr>
              <w:t>生产</w:t>
            </w:r>
            <w:r>
              <w:rPr>
                <w:rFonts w:hint="default"/>
                <w:color w:val="000000" w:themeColor="text1"/>
                <w:sz w:val="24"/>
                <w:szCs w:val="24"/>
                <w14:textFill>
                  <w14:solidFill>
                    <w14:schemeClr w14:val="tx1"/>
                  </w14:solidFill>
                </w14:textFill>
              </w:rPr>
              <w:t>设备</w:t>
            </w:r>
          </w:p>
          <w:p w14:paraId="73E22E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本项目为扩建项目，原有项目生产设备不发生变化，不再赘述；</w:t>
            </w:r>
            <w:r>
              <w:rPr>
                <w:rFonts w:hint="default"/>
                <w:color w:val="000000" w:themeColor="text1"/>
                <w:sz w:val="24"/>
                <w:szCs w:val="24"/>
                <w14:textFill>
                  <w14:solidFill>
                    <w14:schemeClr w14:val="tx1"/>
                  </w14:solidFill>
                </w14:textFill>
              </w:rPr>
              <w:t>本</w:t>
            </w:r>
            <w:r>
              <w:rPr>
                <w:rFonts w:hint="eastAsia"/>
                <w:color w:val="000000" w:themeColor="text1"/>
                <w:sz w:val="24"/>
                <w:szCs w:val="24"/>
                <w:lang w:val="en-US" w:eastAsia="zh-CN"/>
                <w14:textFill>
                  <w14:solidFill>
                    <w14:schemeClr w14:val="tx1"/>
                  </w14:solidFill>
                </w14:textFill>
              </w:rPr>
              <w:t>扩建</w:t>
            </w:r>
            <w:r>
              <w:rPr>
                <w:rFonts w:hint="default"/>
                <w:color w:val="000000" w:themeColor="text1"/>
                <w:sz w:val="24"/>
                <w:szCs w:val="24"/>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使用的主要生产设备均不在</w:t>
            </w:r>
            <w:r>
              <w:rPr>
                <w:rFonts w:hint="eastAsia"/>
                <w:color w:val="000000" w:themeColor="text1"/>
                <w:sz w:val="24"/>
                <w:szCs w:val="24"/>
                <w14:textFill>
                  <w14:solidFill>
                    <w14:schemeClr w14:val="tx1"/>
                  </w14:solidFill>
                </w14:textFill>
              </w:rPr>
              <w:t>《高耗能落后机电设备（产品）淘汰目录（全四批）》规定需淘汰的落后生产设备之列</w:t>
            </w:r>
            <w:r>
              <w:rPr>
                <w:rFonts w:hint="eastAsia"/>
                <w:color w:val="000000" w:themeColor="text1"/>
                <w:sz w:val="24"/>
                <w:szCs w:val="24"/>
                <w:lang w:eastAsia="zh-CN"/>
                <w14:textFill>
                  <w14:solidFill>
                    <w14:schemeClr w14:val="tx1"/>
                  </w14:solidFill>
                </w14:textFill>
              </w:rPr>
              <w:t>，</w:t>
            </w:r>
            <w:r>
              <w:rPr>
                <w:rFonts w:hint="default"/>
                <w:color w:val="000000" w:themeColor="text1"/>
                <w:sz w:val="24"/>
                <w:szCs w:val="24"/>
                <w14:textFill>
                  <w14:solidFill>
                    <w14:schemeClr w14:val="tx1"/>
                  </w14:solidFill>
                </w14:textFill>
              </w:rPr>
              <w:t>主要</w:t>
            </w:r>
            <w:r>
              <w:rPr>
                <w:rFonts w:hint="eastAsia"/>
                <w:color w:val="000000" w:themeColor="text1"/>
                <w:sz w:val="24"/>
                <w:szCs w:val="24"/>
                <w:lang w:val="en-US" w:eastAsia="zh-CN"/>
                <w14:textFill>
                  <w14:solidFill>
                    <w14:schemeClr w14:val="tx1"/>
                  </w14:solidFill>
                </w14:textFill>
              </w:rPr>
              <w:t>生产</w:t>
            </w:r>
            <w:r>
              <w:rPr>
                <w:rFonts w:hint="default"/>
                <w:color w:val="000000" w:themeColor="text1"/>
                <w:sz w:val="24"/>
                <w:szCs w:val="24"/>
                <w14:textFill>
                  <w14:solidFill>
                    <w14:schemeClr w14:val="tx1"/>
                  </w14:solidFill>
                </w14:textFill>
              </w:rPr>
              <w:t>设备</w:t>
            </w:r>
            <w:r>
              <w:rPr>
                <w:rFonts w:hint="eastAsia"/>
                <w:color w:val="000000" w:themeColor="text1"/>
                <w:sz w:val="24"/>
                <w:szCs w:val="24"/>
                <w:lang w:val="en-US" w:eastAsia="zh-CN"/>
                <w14:textFill>
                  <w14:solidFill>
                    <w14:schemeClr w14:val="tx1"/>
                  </w14:solidFill>
                </w14:textFill>
              </w:rPr>
              <w:t>具体</w:t>
            </w:r>
            <w:r>
              <w:rPr>
                <w:rFonts w:hint="default"/>
                <w:color w:val="000000" w:themeColor="text1"/>
                <w:sz w:val="24"/>
                <w:szCs w:val="24"/>
                <w14:textFill>
                  <w14:solidFill>
                    <w14:schemeClr w14:val="tx1"/>
                  </w14:solidFill>
                </w14:textFill>
              </w:rPr>
              <w:t>情况见</w:t>
            </w:r>
            <w:r>
              <w:rPr>
                <w:rFonts w:hint="default"/>
                <w:color w:val="000000" w:themeColor="text1"/>
                <w:sz w:val="24"/>
                <w:szCs w:val="24"/>
                <w:lang w:val="en-US" w:eastAsia="zh-CN"/>
                <w14:textFill>
                  <w14:solidFill>
                    <w14:schemeClr w14:val="tx1"/>
                  </w14:solidFill>
                </w14:textFill>
              </w:rPr>
              <w:t>下表</w:t>
            </w:r>
            <w:r>
              <w:rPr>
                <w:rFonts w:hint="default"/>
                <w:color w:val="000000" w:themeColor="text1"/>
                <w:sz w:val="24"/>
                <w:szCs w:val="24"/>
                <w14:textFill>
                  <w14:solidFill>
                    <w14:schemeClr w14:val="tx1"/>
                  </w14:solidFill>
                </w14:textFill>
              </w:rPr>
              <w:t>。</w:t>
            </w:r>
          </w:p>
          <w:p w14:paraId="60EF3BE8">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cs="Times New Roman"/>
                <w:b w:val="0"/>
                <w:bCs w:val="0"/>
                <w:color w:val="000000" w:themeColor="text1"/>
                <w:sz w:val="24"/>
                <w:szCs w:val="24"/>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s="Times New Roman"/>
                <w:b w:val="0"/>
                <w:bCs w:val="0"/>
                <w:color w:val="000000" w:themeColor="text1"/>
                <w:sz w:val="24"/>
                <w:szCs w:val="24"/>
                <w:lang w:val="en-US" w:eastAsia="zh-CN"/>
                <w14:textFill>
                  <w14:solidFill>
                    <w14:schemeClr w14:val="tx1"/>
                  </w14:solidFill>
                </w14:textFill>
              </w:rPr>
              <w:t>扩建</w:t>
            </w:r>
            <w:r>
              <w:rPr>
                <w:rFonts w:hint="default" w:ascii="Times New Roman" w:hAnsi="Times New Roman" w:eastAsia="宋体" w:cs="Times New Roman"/>
                <w:b w:val="0"/>
                <w:bCs w:val="0"/>
                <w:color w:val="000000" w:themeColor="text1"/>
                <w:sz w:val="24"/>
                <w:szCs w:val="24"/>
                <w14:textFill>
                  <w14:solidFill>
                    <w14:schemeClr w14:val="tx1"/>
                  </w14:solidFill>
                </w14:textFill>
              </w:rPr>
              <w:t>项目主要设备一览表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660"/>
              <w:gridCol w:w="2160"/>
              <w:gridCol w:w="1830"/>
              <w:gridCol w:w="645"/>
              <w:gridCol w:w="750"/>
              <w:gridCol w:w="1179"/>
            </w:tblGrid>
            <w:tr w14:paraId="6295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413" w:type="pct"/>
                  <w:noWrap w:val="0"/>
                  <w:vAlign w:val="center"/>
                </w:tcPr>
                <w:p w14:paraId="3653AB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序号</w:t>
                  </w:r>
                </w:p>
              </w:tc>
              <w:tc>
                <w:tcPr>
                  <w:tcW w:w="1790" w:type="pct"/>
                  <w:gridSpan w:val="2"/>
                  <w:noWrap w:val="0"/>
                  <w:vAlign w:val="center"/>
                </w:tcPr>
                <w:p w14:paraId="51023F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设备名称</w:t>
                  </w:r>
                </w:p>
              </w:tc>
              <w:tc>
                <w:tcPr>
                  <w:tcW w:w="1161" w:type="pct"/>
                  <w:noWrap w:val="0"/>
                  <w:vAlign w:val="center"/>
                </w:tcPr>
                <w:p w14:paraId="3832AC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规格型号</w:t>
                  </w:r>
                </w:p>
              </w:tc>
              <w:tc>
                <w:tcPr>
                  <w:tcW w:w="409" w:type="pct"/>
                  <w:noWrap w:val="0"/>
                  <w:vAlign w:val="center"/>
                </w:tcPr>
                <w:p w14:paraId="357707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单位</w:t>
                  </w:r>
                </w:p>
              </w:tc>
              <w:tc>
                <w:tcPr>
                  <w:tcW w:w="476" w:type="pct"/>
                  <w:noWrap w:val="0"/>
                  <w:vAlign w:val="center"/>
                </w:tcPr>
                <w:p w14:paraId="524A0F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数量</w:t>
                  </w:r>
                </w:p>
              </w:tc>
              <w:tc>
                <w:tcPr>
                  <w:tcW w:w="748" w:type="pct"/>
                  <w:noWrap w:val="0"/>
                  <w:vAlign w:val="center"/>
                </w:tcPr>
                <w:p w14:paraId="1E8D70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备注</w:t>
                  </w:r>
                </w:p>
              </w:tc>
            </w:tr>
            <w:tr w14:paraId="578A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413" w:type="pct"/>
                  <w:noWrap w:val="0"/>
                  <w:vAlign w:val="center"/>
                </w:tcPr>
                <w:p w14:paraId="35BCB3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一</w:t>
                  </w:r>
                </w:p>
              </w:tc>
              <w:tc>
                <w:tcPr>
                  <w:tcW w:w="4586" w:type="pct"/>
                  <w:gridSpan w:val="6"/>
                  <w:noWrap w:val="0"/>
                  <w:vAlign w:val="center"/>
                </w:tcPr>
                <w:p w14:paraId="14B163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中药前处理生产设备</w:t>
                  </w:r>
                </w:p>
              </w:tc>
            </w:tr>
            <w:tr w14:paraId="00B7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noWrap w:val="0"/>
                  <w:vAlign w:val="center"/>
                </w:tcPr>
                <w:p w14:paraId="7C3571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418" w:type="pct"/>
                  <w:vMerge w:val="restart"/>
                  <w:noWrap w:val="0"/>
                  <w:vAlign w:val="center"/>
                </w:tcPr>
                <w:p w14:paraId="0E4885B2">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拣选</w:t>
                  </w:r>
                </w:p>
              </w:tc>
              <w:tc>
                <w:tcPr>
                  <w:tcW w:w="1371" w:type="pct"/>
                  <w:shd w:val="clear" w:color="auto" w:fill="auto"/>
                  <w:noWrap w:val="0"/>
                  <w:vAlign w:val="center"/>
                </w:tcPr>
                <w:p w14:paraId="1B46E2CE">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中药拣选台</w:t>
                  </w:r>
                </w:p>
              </w:tc>
              <w:tc>
                <w:tcPr>
                  <w:tcW w:w="1161" w:type="pct"/>
                  <w:noWrap w:val="0"/>
                  <w:vAlign w:val="center"/>
                </w:tcPr>
                <w:p w14:paraId="4E4DD7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1700×1100×800</w:t>
                  </w:r>
                </w:p>
              </w:tc>
              <w:tc>
                <w:tcPr>
                  <w:tcW w:w="409" w:type="pct"/>
                  <w:noWrap w:val="0"/>
                  <w:vAlign w:val="center"/>
                </w:tcPr>
                <w:p w14:paraId="58F447AA">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个</w:t>
                  </w:r>
                </w:p>
              </w:tc>
              <w:tc>
                <w:tcPr>
                  <w:tcW w:w="476" w:type="pct"/>
                  <w:noWrap w:val="0"/>
                  <w:vAlign w:val="center"/>
                </w:tcPr>
                <w:p w14:paraId="599A0015">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16</w:t>
                  </w:r>
                </w:p>
              </w:tc>
              <w:tc>
                <w:tcPr>
                  <w:tcW w:w="748" w:type="pct"/>
                  <w:noWrap w:val="0"/>
                  <w:vAlign w:val="center"/>
                </w:tcPr>
                <w:p w14:paraId="448450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0534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noWrap w:val="0"/>
                  <w:vAlign w:val="center"/>
                </w:tcPr>
                <w:p w14:paraId="6EEF5D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418" w:type="pct"/>
                  <w:vMerge w:val="continue"/>
                  <w:noWrap w:val="0"/>
                  <w:vAlign w:val="center"/>
                </w:tcPr>
                <w:p w14:paraId="36DBFD73">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60B77F02">
                  <w:pPr>
                    <w:widowControl/>
                    <w:spacing w:line="240" w:lineRule="auto"/>
                    <w:ind w:firstLine="0" w:firstLineChars="0"/>
                    <w:jc w:val="center"/>
                    <w:rPr>
                      <w:rFonts w:hint="default"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自动拣选机</w:t>
                  </w:r>
                </w:p>
              </w:tc>
              <w:tc>
                <w:tcPr>
                  <w:tcW w:w="1161" w:type="pct"/>
                  <w:noWrap w:val="0"/>
                  <w:vAlign w:val="center"/>
                </w:tcPr>
                <w:p w14:paraId="7F999E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500B</w:t>
                  </w:r>
                </w:p>
              </w:tc>
              <w:tc>
                <w:tcPr>
                  <w:tcW w:w="409" w:type="pct"/>
                  <w:noWrap w:val="0"/>
                  <w:vAlign w:val="center"/>
                </w:tcPr>
                <w:p w14:paraId="7C2B4CC0">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7017EDBB">
                  <w:pPr>
                    <w:widowControl/>
                    <w:spacing w:line="240" w:lineRule="auto"/>
                    <w:ind w:firstLine="0" w:firstLineChars="0"/>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748" w:type="pct"/>
                  <w:noWrap w:val="0"/>
                  <w:vAlign w:val="center"/>
                </w:tcPr>
                <w:p w14:paraId="1B2A56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1456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1573AF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418" w:type="pct"/>
                  <w:vMerge w:val="restart"/>
                  <w:noWrap w:val="0"/>
                  <w:vAlign w:val="center"/>
                </w:tcPr>
                <w:p w14:paraId="6D363BB7">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清洗</w:t>
                  </w:r>
                </w:p>
              </w:tc>
              <w:tc>
                <w:tcPr>
                  <w:tcW w:w="1371" w:type="pct"/>
                  <w:shd w:val="clear" w:color="auto" w:fill="auto"/>
                  <w:noWrap w:val="0"/>
                  <w:vAlign w:val="center"/>
                </w:tcPr>
                <w:p w14:paraId="49A26229">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洗药机</w:t>
                  </w:r>
                </w:p>
              </w:tc>
              <w:tc>
                <w:tcPr>
                  <w:tcW w:w="1161" w:type="pct"/>
                  <w:noWrap w:val="0"/>
                  <w:vAlign w:val="center"/>
                </w:tcPr>
                <w:p w14:paraId="6177DE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X</w:t>
                  </w:r>
                  <w:r>
                    <w:rPr>
                      <w:rFonts w:hint="eastAsia" w:cs="Times New Roman"/>
                      <w:color w:val="000000" w:themeColor="text1"/>
                      <w:kern w:val="2"/>
                      <w:sz w:val="21"/>
                      <w:szCs w:val="21"/>
                      <w:lang w:val="en-US" w:eastAsia="zh-CN" w:bidi="ar-SA"/>
                      <w14:textFill>
                        <w14:solidFill>
                          <w14:schemeClr w14:val="tx1"/>
                        </w14:solidFill>
                      </w14:textFill>
                    </w:rPr>
                    <w:t>Y</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w:t>
                  </w:r>
                  <w:r>
                    <w:rPr>
                      <w:rFonts w:hint="eastAsia" w:cs="Times New Roman"/>
                      <w:color w:val="000000" w:themeColor="text1"/>
                      <w:kern w:val="2"/>
                      <w:sz w:val="21"/>
                      <w:szCs w:val="21"/>
                      <w:lang w:val="en-US" w:eastAsia="zh-CN" w:bidi="ar-SA"/>
                      <w14:textFill>
                        <w14:solidFill>
                          <w14:schemeClr w14:val="tx1"/>
                        </w14:solidFill>
                      </w14:textFill>
                    </w:rPr>
                    <w:t>700</w:t>
                  </w:r>
                </w:p>
              </w:tc>
              <w:tc>
                <w:tcPr>
                  <w:tcW w:w="409" w:type="pct"/>
                  <w:noWrap w:val="0"/>
                  <w:vAlign w:val="center"/>
                </w:tcPr>
                <w:p w14:paraId="386F08BD">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23EC34C2">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w:t>
                  </w:r>
                </w:p>
              </w:tc>
              <w:tc>
                <w:tcPr>
                  <w:tcW w:w="748" w:type="pct"/>
                  <w:noWrap w:val="0"/>
                  <w:vAlign w:val="center"/>
                </w:tcPr>
                <w:p w14:paraId="72E326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5369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660FC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418" w:type="pct"/>
                  <w:vMerge w:val="continue"/>
                  <w:noWrap w:val="0"/>
                  <w:vAlign w:val="center"/>
                </w:tcPr>
                <w:p w14:paraId="1D601563">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4B2A25C9">
                  <w:pPr>
                    <w:widowControl/>
                    <w:spacing w:line="240" w:lineRule="auto"/>
                    <w:ind w:firstLine="0" w:firstLineChars="0"/>
                    <w:jc w:val="center"/>
                    <w:rPr>
                      <w:rFonts w:hint="default"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浸泡槽</w:t>
                  </w:r>
                </w:p>
              </w:tc>
              <w:tc>
                <w:tcPr>
                  <w:tcW w:w="1161" w:type="pct"/>
                  <w:noWrap w:val="0"/>
                  <w:vAlign w:val="center"/>
                </w:tcPr>
                <w:p w14:paraId="5C7D15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1600×2500×800</w:t>
                  </w:r>
                </w:p>
              </w:tc>
              <w:tc>
                <w:tcPr>
                  <w:tcW w:w="409" w:type="pct"/>
                  <w:noWrap w:val="0"/>
                  <w:vAlign w:val="center"/>
                </w:tcPr>
                <w:p w14:paraId="0ACC339D">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3750432C">
                  <w:pPr>
                    <w:widowControl/>
                    <w:spacing w:line="240" w:lineRule="auto"/>
                    <w:ind w:firstLine="0" w:firstLineChars="0"/>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11</w:t>
                  </w:r>
                </w:p>
              </w:tc>
              <w:tc>
                <w:tcPr>
                  <w:tcW w:w="748" w:type="pct"/>
                  <w:noWrap w:val="0"/>
                  <w:vAlign w:val="center"/>
                </w:tcPr>
                <w:p w14:paraId="56432B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931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DAFA7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418" w:type="pct"/>
                  <w:vMerge w:val="restart"/>
                  <w:noWrap w:val="0"/>
                  <w:vAlign w:val="center"/>
                </w:tcPr>
                <w:p w14:paraId="775F1FDE">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切制</w:t>
                  </w:r>
                </w:p>
              </w:tc>
              <w:tc>
                <w:tcPr>
                  <w:tcW w:w="1371" w:type="pct"/>
                  <w:shd w:val="clear" w:color="auto" w:fill="auto"/>
                  <w:noWrap w:val="0"/>
                  <w:vAlign w:val="center"/>
                </w:tcPr>
                <w:p w14:paraId="781F6C7B">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往复</w:t>
                  </w:r>
                  <w:r>
                    <w:rPr>
                      <w:rFonts w:hint="default" w:ascii="宋体" w:hAnsi="宋体" w:eastAsia="宋体" w:cs="宋体"/>
                      <w:color w:val="000000" w:themeColor="text1"/>
                      <w:kern w:val="0"/>
                      <w:sz w:val="21"/>
                      <w:szCs w:val="24"/>
                      <w:lang w:val="en-US" w:eastAsia="zh-CN" w:bidi="ar-SA"/>
                      <w14:textFill>
                        <w14:solidFill>
                          <w14:schemeClr w14:val="tx1"/>
                        </w14:solidFill>
                      </w14:textFill>
                    </w:rPr>
                    <w:t>式切药机</w:t>
                  </w:r>
                </w:p>
              </w:tc>
              <w:tc>
                <w:tcPr>
                  <w:tcW w:w="1161" w:type="pct"/>
                  <w:noWrap w:val="0"/>
                  <w:vAlign w:val="center"/>
                </w:tcPr>
                <w:p w14:paraId="2AFCD9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PC-800</w:t>
                  </w:r>
                </w:p>
              </w:tc>
              <w:tc>
                <w:tcPr>
                  <w:tcW w:w="409" w:type="pct"/>
                  <w:noWrap w:val="0"/>
                  <w:vAlign w:val="center"/>
                </w:tcPr>
                <w:p w14:paraId="1EB4A16E">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0CC21B9C">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w:t>
                  </w:r>
                </w:p>
              </w:tc>
              <w:tc>
                <w:tcPr>
                  <w:tcW w:w="748" w:type="pct"/>
                  <w:noWrap w:val="0"/>
                  <w:vAlign w:val="center"/>
                </w:tcPr>
                <w:p w14:paraId="5C63F0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C4D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D0446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w:t>
                  </w:r>
                </w:p>
              </w:tc>
              <w:tc>
                <w:tcPr>
                  <w:tcW w:w="418" w:type="pct"/>
                  <w:vMerge w:val="continue"/>
                  <w:noWrap w:val="0"/>
                  <w:vAlign w:val="center"/>
                </w:tcPr>
                <w:p w14:paraId="0A31D299">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34C161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破碎机</w:t>
                  </w:r>
                </w:p>
              </w:tc>
              <w:tc>
                <w:tcPr>
                  <w:tcW w:w="1161" w:type="pct"/>
                  <w:noWrap w:val="0"/>
                  <w:vAlign w:val="center"/>
                </w:tcPr>
                <w:p w14:paraId="45D6EA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TDP-500</w:t>
                  </w:r>
                </w:p>
              </w:tc>
              <w:tc>
                <w:tcPr>
                  <w:tcW w:w="409" w:type="pct"/>
                  <w:noWrap w:val="0"/>
                  <w:vAlign w:val="center"/>
                </w:tcPr>
                <w:p w14:paraId="540B4D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台</w:t>
                  </w:r>
                </w:p>
              </w:tc>
              <w:tc>
                <w:tcPr>
                  <w:tcW w:w="476" w:type="pct"/>
                  <w:noWrap w:val="0"/>
                  <w:vAlign w:val="center"/>
                </w:tcPr>
                <w:p w14:paraId="61A7A3ED">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748" w:type="pct"/>
                  <w:noWrap w:val="0"/>
                  <w:vAlign w:val="center"/>
                </w:tcPr>
                <w:p w14:paraId="157970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404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066C2F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w:t>
                  </w:r>
                </w:p>
              </w:tc>
              <w:tc>
                <w:tcPr>
                  <w:tcW w:w="418" w:type="pct"/>
                  <w:noWrap w:val="0"/>
                  <w:vAlign w:val="center"/>
                </w:tcPr>
                <w:p w14:paraId="64C284F3">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干燥</w:t>
                  </w:r>
                </w:p>
              </w:tc>
              <w:tc>
                <w:tcPr>
                  <w:tcW w:w="1371" w:type="pct"/>
                  <w:noWrap w:val="0"/>
                  <w:vAlign w:val="center"/>
                </w:tcPr>
                <w:p w14:paraId="3F00572D">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default" w:ascii="宋体" w:hAnsi="宋体" w:eastAsia="宋体" w:cs="宋体"/>
                      <w:color w:val="000000" w:themeColor="text1"/>
                      <w:kern w:val="0"/>
                      <w:sz w:val="21"/>
                      <w:szCs w:val="24"/>
                      <w:lang w:val="en-US" w:eastAsia="zh-CN" w:bidi="ar-SA"/>
                      <w14:textFill>
                        <w14:solidFill>
                          <w14:schemeClr w14:val="tx1"/>
                        </w14:solidFill>
                      </w14:textFill>
                    </w:rPr>
                    <w:t>热风循环式烘</w:t>
                  </w:r>
                  <w:r>
                    <w:rPr>
                      <w:rFonts w:hint="eastAsia" w:ascii="宋体" w:hAnsi="宋体" w:cs="宋体"/>
                      <w:color w:val="000000" w:themeColor="text1"/>
                      <w:kern w:val="0"/>
                      <w:sz w:val="21"/>
                      <w:szCs w:val="24"/>
                      <w:lang w:val="en-US" w:eastAsia="zh-CN" w:bidi="ar-SA"/>
                      <w14:textFill>
                        <w14:solidFill>
                          <w14:schemeClr w14:val="tx1"/>
                        </w14:solidFill>
                      </w14:textFill>
                    </w:rPr>
                    <w:t>箱</w:t>
                  </w:r>
                </w:p>
              </w:tc>
              <w:tc>
                <w:tcPr>
                  <w:tcW w:w="1161" w:type="pct"/>
                  <w:noWrap w:val="0"/>
                  <w:vAlign w:val="center"/>
                </w:tcPr>
                <w:p w14:paraId="4AA01F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noWrap w:val="0"/>
                  <w:vAlign w:val="center"/>
                </w:tcPr>
                <w:p w14:paraId="536B201A">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0FA7F452">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w:t>
                  </w:r>
                </w:p>
              </w:tc>
              <w:tc>
                <w:tcPr>
                  <w:tcW w:w="748" w:type="pct"/>
                  <w:shd w:val="clear" w:color="auto" w:fill="auto"/>
                  <w:noWrap w:val="0"/>
                  <w:vAlign w:val="center"/>
                </w:tcPr>
                <w:p w14:paraId="68ABE1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47E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AB3A9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w:t>
                  </w:r>
                </w:p>
              </w:tc>
              <w:tc>
                <w:tcPr>
                  <w:tcW w:w="418" w:type="pct"/>
                  <w:vMerge w:val="restart"/>
                  <w:noWrap w:val="0"/>
                  <w:vAlign w:val="center"/>
                </w:tcPr>
                <w:p w14:paraId="47A89BF0">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炮制</w:t>
                  </w:r>
                </w:p>
              </w:tc>
              <w:tc>
                <w:tcPr>
                  <w:tcW w:w="1371" w:type="pct"/>
                  <w:shd w:val="clear" w:color="auto" w:fill="auto"/>
                  <w:noWrap w:val="0"/>
                  <w:vAlign w:val="center"/>
                </w:tcPr>
                <w:p w14:paraId="45FB6E3F">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电炒药机</w:t>
                  </w:r>
                </w:p>
              </w:tc>
              <w:tc>
                <w:tcPr>
                  <w:tcW w:w="1161" w:type="pct"/>
                  <w:shd w:val="clear" w:color="auto" w:fill="auto"/>
                  <w:noWrap w:val="0"/>
                  <w:vAlign w:val="center"/>
                </w:tcPr>
                <w:p w14:paraId="21BF33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CY-900</w:t>
                  </w:r>
                </w:p>
              </w:tc>
              <w:tc>
                <w:tcPr>
                  <w:tcW w:w="409" w:type="pct"/>
                  <w:shd w:val="clear" w:color="auto" w:fill="auto"/>
                  <w:noWrap w:val="0"/>
                  <w:vAlign w:val="center"/>
                </w:tcPr>
                <w:p w14:paraId="7282F940">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37DE7236">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748" w:type="pct"/>
                  <w:shd w:val="clear" w:color="auto" w:fill="auto"/>
                  <w:noWrap w:val="0"/>
                  <w:vAlign w:val="center"/>
                </w:tcPr>
                <w:p w14:paraId="2E5113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37D3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F62BF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w:t>
                  </w:r>
                </w:p>
              </w:tc>
              <w:tc>
                <w:tcPr>
                  <w:tcW w:w="418" w:type="pct"/>
                  <w:vMerge w:val="continue"/>
                  <w:noWrap w:val="0"/>
                  <w:vAlign w:val="center"/>
                </w:tcPr>
                <w:p w14:paraId="010F4E8B">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4F5A8400">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榨汁机</w:t>
                  </w:r>
                </w:p>
              </w:tc>
              <w:tc>
                <w:tcPr>
                  <w:tcW w:w="1161" w:type="pct"/>
                  <w:shd w:val="clear" w:color="auto" w:fill="auto"/>
                  <w:noWrap w:val="0"/>
                  <w:vAlign w:val="center"/>
                </w:tcPr>
                <w:p w14:paraId="37EB78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MA-0.5</w:t>
                  </w:r>
                </w:p>
              </w:tc>
              <w:tc>
                <w:tcPr>
                  <w:tcW w:w="409" w:type="pct"/>
                  <w:shd w:val="clear" w:color="auto" w:fill="auto"/>
                  <w:noWrap w:val="0"/>
                  <w:vAlign w:val="center"/>
                </w:tcPr>
                <w:p w14:paraId="7D1A8A4B">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394B28DF">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748" w:type="pct"/>
                  <w:shd w:val="clear" w:color="auto" w:fill="auto"/>
                  <w:noWrap w:val="0"/>
                  <w:vAlign w:val="center"/>
                </w:tcPr>
                <w:p w14:paraId="4FF450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123E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09F6A0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w:t>
                  </w:r>
                </w:p>
              </w:tc>
              <w:tc>
                <w:tcPr>
                  <w:tcW w:w="418" w:type="pct"/>
                  <w:vMerge w:val="continue"/>
                  <w:noWrap w:val="0"/>
                  <w:vAlign w:val="center"/>
                </w:tcPr>
                <w:p w14:paraId="62EBAD3E">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7E5E703E">
                  <w:pPr>
                    <w:widowControl/>
                    <w:spacing w:line="240" w:lineRule="auto"/>
                    <w:ind w:firstLine="0" w:firstLineChars="0"/>
                    <w:jc w:val="center"/>
                    <w:rPr>
                      <w:rFonts w:hint="default" w:ascii="宋体" w:hAnsi="宋体" w:eastAsia="宋体" w:cs="宋体"/>
                      <w:color w:val="000000" w:themeColor="text1"/>
                      <w:kern w:val="0"/>
                      <w:sz w:val="21"/>
                      <w:szCs w:val="24"/>
                      <w:highlight w:val="none"/>
                      <w:lang w:val="en-US" w:eastAsia="zh-CN" w:bidi="ar-SA"/>
                      <w14:textFill>
                        <w14:solidFill>
                          <w14:schemeClr w14:val="tx1"/>
                        </w14:solidFill>
                      </w14:textFill>
                    </w:rPr>
                  </w:pPr>
                  <w:r>
                    <w:rPr>
                      <w:rFonts w:hint="eastAsia" w:ascii="宋体" w:hAnsi="宋体" w:cs="宋体"/>
                      <w:color w:val="000000" w:themeColor="text1"/>
                      <w:kern w:val="0"/>
                      <w:sz w:val="21"/>
                      <w:szCs w:val="24"/>
                      <w:highlight w:val="none"/>
                      <w:lang w:val="en-US" w:eastAsia="zh-CN" w:bidi="ar-SA"/>
                      <w14:textFill>
                        <w14:solidFill>
                          <w14:schemeClr w14:val="tx1"/>
                        </w14:solidFill>
                      </w14:textFill>
                    </w:rPr>
                    <w:t>中药材压扁机</w:t>
                  </w:r>
                </w:p>
              </w:tc>
              <w:tc>
                <w:tcPr>
                  <w:tcW w:w="1161" w:type="pct"/>
                  <w:shd w:val="clear" w:color="auto" w:fill="auto"/>
                  <w:noWrap w:val="0"/>
                  <w:vAlign w:val="center"/>
                </w:tcPr>
                <w:p w14:paraId="65928F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766E44C1">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5C973BC0">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748" w:type="pct"/>
                  <w:shd w:val="clear" w:color="auto" w:fill="auto"/>
                  <w:noWrap w:val="0"/>
                  <w:vAlign w:val="center"/>
                </w:tcPr>
                <w:p w14:paraId="03B8E3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1A67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noWrap w:val="0"/>
                  <w:vAlign w:val="center"/>
                </w:tcPr>
                <w:p w14:paraId="45ACE2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二</w:t>
                  </w:r>
                </w:p>
              </w:tc>
              <w:tc>
                <w:tcPr>
                  <w:tcW w:w="4586" w:type="pct"/>
                  <w:gridSpan w:val="6"/>
                  <w:noWrap w:val="0"/>
                  <w:vAlign w:val="center"/>
                </w:tcPr>
                <w:p w14:paraId="3FA559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中药提取生产设备</w:t>
                  </w:r>
                </w:p>
              </w:tc>
            </w:tr>
            <w:tr w14:paraId="1CC9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09AF9A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w:t>
                  </w:r>
                </w:p>
              </w:tc>
              <w:tc>
                <w:tcPr>
                  <w:tcW w:w="418" w:type="pct"/>
                  <w:vMerge w:val="restart"/>
                  <w:noWrap w:val="0"/>
                  <w:vAlign w:val="center"/>
                </w:tcPr>
                <w:p w14:paraId="339B1DD2">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醇提</w:t>
                  </w:r>
                </w:p>
              </w:tc>
              <w:tc>
                <w:tcPr>
                  <w:tcW w:w="1371" w:type="pct"/>
                  <w:shd w:val="clear" w:color="auto" w:fill="auto"/>
                  <w:noWrap w:val="0"/>
                  <w:vAlign w:val="center"/>
                </w:tcPr>
                <w:p w14:paraId="36466B48">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default" w:ascii="宋体" w:hAnsi="宋体" w:eastAsia="宋体" w:cs="宋体"/>
                      <w:color w:val="000000" w:themeColor="text1"/>
                      <w:kern w:val="0"/>
                      <w:sz w:val="21"/>
                      <w:szCs w:val="24"/>
                      <w:lang w:val="en-US" w:eastAsia="zh-CN" w:bidi="ar-SA"/>
                      <w14:textFill>
                        <w14:solidFill>
                          <w14:schemeClr w14:val="tx1"/>
                        </w14:solidFill>
                      </w14:textFill>
                    </w:rPr>
                    <w:t>多功能提取罐</w:t>
                  </w:r>
                </w:p>
              </w:tc>
              <w:tc>
                <w:tcPr>
                  <w:tcW w:w="1161" w:type="pct"/>
                  <w:shd w:val="clear" w:color="auto" w:fill="auto"/>
                  <w:noWrap w:val="0"/>
                  <w:vAlign w:val="center"/>
                </w:tcPr>
                <w:p w14:paraId="5BA24A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5B4EC8B0">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个</w:t>
                  </w:r>
                </w:p>
              </w:tc>
              <w:tc>
                <w:tcPr>
                  <w:tcW w:w="476" w:type="pct"/>
                  <w:shd w:val="clear" w:color="auto" w:fill="auto"/>
                  <w:noWrap w:val="0"/>
                  <w:vAlign w:val="center"/>
                </w:tcPr>
                <w:p w14:paraId="76C87375">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748" w:type="pct"/>
                  <w:shd w:val="clear" w:color="auto" w:fill="auto"/>
                  <w:noWrap w:val="0"/>
                  <w:vAlign w:val="center"/>
                </w:tcPr>
                <w:p w14:paraId="65A213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587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6A857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w:t>
                  </w:r>
                </w:p>
              </w:tc>
              <w:tc>
                <w:tcPr>
                  <w:tcW w:w="418" w:type="pct"/>
                  <w:vMerge w:val="continue"/>
                  <w:noWrap w:val="0"/>
                  <w:vAlign w:val="center"/>
                </w:tcPr>
                <w:p w14:paraId="212CE0BD">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668FE4BE">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冷凝器</w:t>
                  </w:r>
                </w:p>
              </w:tc>
              <w:tc>
                <w:tcPr>
                  <w:tcW w:w="1161" w:type="pct"/>
                  <w:shd w:val="clear" w:color="auto" w:fill="auto"/>
                  <w:noWrap w:val="0"/>
                  <w:vAlign w:val="center"/>
                </w:tcPr>
                <w:p w14:paraId="2710EB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1DBDCE65">
                  <w:pPr>
                    <w:widowControl/>
                    <w:spacing w:line="240" w:lineRule="auto"/>
                    <w:ind w:firstLine="0" w:firstLineChars="0"/>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个</w:t>
                  </w:r>
                </w:p>
              </w:tc>
              <w:tc>
                <w:tcPr>
                  <w:tcW w:w="476" w:type="pct"/>
                  <w:shd w:val="clear" w:color="auto" w:fill="auto"/>
                  <w:noWrap w:val="0"/>
                  <w:vAlign w:val="center"/>
                </w:tcPr>
                <w:p w14:paraId="5F0B2064">
                  <w:pPr>
                    <w:widowControl/>
                    <w:spacing w:line="240" w:lineRule="auto"/>
                    <w:ind w:firstLine="0" w:firstLineChars="0"/>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748" w:type="pct"/>
                  <w:shd w:val="clear" w:color="auto" w:fill="auto"/>
                  <w:noWrap w:val="0"/>
                  <w:vAlign w:val="center"/>
                </w:tcPr>
                <w:p w14:paraId="67DDFF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2D36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062EBC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418" w:type="pct"/>
                  <w:vMerge w:val="continue"/>
                  <w:noWrap w:val="0"/>
                  <w:vAlign w:val="center"/>
                </w:tcPr>
                <w:p w14:paraId="296E7B4E">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08866D6A">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冷却器</w:t>
                  </w:r>
                </w:p>
              </w:tc>
              <w:tc>
                <w:tcPr>
                  <w:tcW w:w="1161" w:type="pct"/>
                  <w:shd w:val="clear" w:color="auto" w:fill="auto"/>
                  <w:noWrap w:val="0"/>
                  <w:vAlign w:val="center"/>
                </w:tcPr>
                <w:p w14:paraId="68FB85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749A1A4D">
                  <w:pPr>
                    <w:widowControl/>
                    <w:spacing w:line="240" w:lineRule="auto"/>
                    <w:ind w:firstLine="0" w:firstLineChars="0"/>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个</w:t>
                  </w:r>
                </w:p>
              </w:tc>
              <w:tc>
                <w:tcPr>
                  <w:tcW w:w="476" w:type="pct"/>
                  <w:shd w:val="clear" w:color="auto" w:fill="auto"/>
                  <w:noWrap w:val="0"/>
                  <w:vAlign w:val="center"/>
                </w:tcPr>
                <w:p w14:paraId="028C195A">
                  <w:pPr>
                    <w:widowControl/>
                    <w:spacing w:line="240" w:lineRule="auto"/>
                    <w:ind w:firstLine="0" w:firstLineChars="0"/>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748" w:type="pct"/>
                  <w:shd w:val="clear" w:color="auto" w:fill="auto"/>
                  <w:noWrap w:val="0"/>
                  <w:vAlign w:val="center"/>
                </w:tcPr>
                <w:p w14:paraId="4C6C41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54E0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213B21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w:t>
                  </w:r>
                </w:p>
              </w:tc>
              <w:tc>
                <w:tcPr>
                  <w:tcW w:w="418" w:type="pct"/>
                  <w:vMerge w:val="continue"/>
                  <w:noWrap w:val="0"/>
                  <w:vAlign w:val="center"/>
                </w:tcPr>
                <w:p w14:paraId="2EBFCEF4">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0CF9E2E0">
                  <w:pPr>
                    <w:widowControl/>
                    <w:spacing w:line="240" w:lineRule="auto"/>
                    <w:ind w:firstLine="0" w:firstLineChars="0"/>
                    <w:jc w:val="center"/>
                    <w:rPr>
                      <w:rFonts w:hint="default"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管式过滤器</w:t>
                  </w:r>
                </w:p>
              </w:tc>
              <w:tc>
                <w:tcPr>
                  <w:tcW w:w="1161" w:type="pct"/>
                  <w:shd w:val="clear" w:color="auto" w:fill="auto"/>
                  <w:noWrap w:val="0"/>
                  <w:vAlign w:val="center"/>
                </w:tcPr>
                <w:p w14:paraId="1C3E2A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2F6B7F7B">
                  <w:pPr>
                    <w:widowControl/>
                    <w:spacing w:line="240" w:lineRule="auto"/>
                    <w:ind w:firstLine="0" w:firstLineChars="0"/>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个</w:t>
                  </w:r>
                </w:p>
              </w:tc>
              <w:tc>
                <w:tcPr>
                  <w:tcW w:w="476" w:type="pct"/>
                  <w:shd w:val="clear" w:color="auto" w:fill="auto"/>
                  <w:noWrap w:val="0"/>
                  <w:vAlign w:val="center"/>
                </w:tcPr>
                <w:p w14:paraId="185A8F2B">
                  <w:pPr>
                    <w:widowControl/>
                    <w:spacing w:line="240" w:lineRule="auto"/>
                    <w:ind w:firstLine="0" w:firstLineChars="0"/>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748" w:type="pct"/>
                  <w:shd w:val="clear" w:color="auto" w:fill="auto"/>
                  <w:noWrap w:val="0"/>
                  <w:vAlign w:val="center"/>
                </w:tcPr>
                <w:p w14:paraId="339185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248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1ED2A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w:t>
                  </w:r>
                </w:p>
              </w:tc>
              <w:tc>
                <w:tcPr>
                  <w:tcW w:w="418" w:type="pct"/>
                  <w:vMerge w:val="continue"/>
                  <w:noWrap w:val="0"/>
                  <w:vAlign w:val="center"/>
                </w:tcPr>
                <w:p w14:paraId="11758D05">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41CE1F8A">
                  <w:pPr>
                    <w:widowControl/>
                    <w:spacing w:line="240" w:lineRule="auto"/>
                    <w:ind w:firstLine="0" w:firstLineChars="0"/>
                    <w:jc w:val="center"/>
                    <w:rPr>
                      <w:rFonts w:hint="default" w:ascii="宋体" w:hAnsi="宋体" w:eastAsia="宋体" w:cs="宋体"/>
                      <w:color w:val="000000" w:themeColor="text1"/>
                      <w:kern w:val="0"/>
                      <w:sz w:val="21"/>
                      <w:szCs w:val="24"/>
                      <w:highlight w:val="none"/>
                      <w:lang w:val="en-US" w:eastAsia="zh-CN" w:bidi="ar-SA"/>
                      <w14:textFill>
                        <w14:solidFill>
                          <w14:schemeClr w14:val="tx1"/>
                        </w14:solidFill>
                      </w14:textFill>
                    </w:rPr>
                  </w:pPr>
                  <w:r>
                    <w:rPr>
                      <w:rFonts w:hint="default" w:ascii="宋体" w:hAnsi="宋体" w:eastAsia="宋体" w:cs="宋体"/>
                      <w:color w:val="000000" w:themeColor="text1"/>
                      <w:kern w:val="0"/>
                      <w:sz w:val="21"/>
                      <w:szCs w:val="24"/>
                      <w:highlight w:val="none"/>
                      <w:lang w:val="en-US" w:eastAsia="zh-CN" w:bidi="ar-SA"/>
                      <w14:textFill>
                        <w14:solidFill>
                          <w14:schemeClr w14:val="tx1"/>
                        </w14:solidFill>
                      </w14:textFill>
                    </w:rPr>
                    <w:t>渗漉罐</w:t>
                  </w:r>
                </w:p>
              </w:tc>
              <w:tc>
                <w:tcPr>
                  <w:tcW w:w="1161" w:type="pct"/>
                  <w:shd w:val="clear" w:color="auto" w:fill="auto"/>
                  <w:noWrap w:val="0"/>
                  <w:vAlign w:val="center"/>
                </w:tcPr>
                <w:p w14:paraId="46E6D7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2m</w:t>
                  </w:r>
                  <w:r>
                    <w:rPr>
                      <w:rFonts w:hint="eastAsia" w:cs="Times New Roman"/>
                      <w:color w:val="000000" w:themeColor="text1"/>
                      <w:kern w:val="2"/>
                      <w:sz w:val="21"/>
                      <w:szCs w:val="21"/>
                      <w:highlight w:val="none"/>
                      <w:vertAlign w:val="superscript"/>
                      <w:lang w:val="en-US" w:eastAsia="zh-CN" w:bidi="ar-SA"/>
                      <w14:textFill>
                        <w14:solidFill>
                          <w14:schemeClr w14:val="tx1"/>
                        </w14:solidFill>
                      </w14:textFill>
                    </w:rPr>
                    <w:t>3</w:t>
                  </w:r>
                </w:p>
              </w:tc>
              <w:tc>
                <w:tcPr>
                  <w:tcW w:w="409" w:type="pct"/>
                  <w:shd w:val="clear" w:color="auto" w:fill="auto"/>
                  <w:noWrap w:val="0"/>
                  <w:vAlign w:val="center"/>
                </w:tcPr>
                <w:p w14:paraId="18E76445">
                  <w:pPr>
                    <w:widowControl/>
                    <w:spacing w:line="240" w:lineRule="auto"/>
                    <w:ind w:firstLine="0" w:firstLine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个</w:t>
                  </w:r>
                </w:p>
              </w:tc>
              <w:tc>
                <w:tcPr>
                  <w:tcW w:w="476" w:type="pct"/>
                  <w:shd w:val="clear" w:color="auto" w:fill="auto"/>
                  <w:noWrap w:val="0"/>
                  <w:vAlign w:val="center"/>
                </w:tcPr>
                <w:p w14:paraId="38F60803">
                  <w:pPr>
                    <w:widowControl/>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12</w:t>
                  </w:r>
                </w:p>
              </w:tc>
              <w:tc>
                <w:tcPr>
                  <w:tcW w:w="748" w:type="pct"/>
                  <w:shd w:val="clear" w:color="auto" w:fill="auto"/>
                  <w:noWrap w:val="0"/>
                  <w:vAlign w:val="center"/>
                </w:tcPr>
                <w:p w14:paraId="2C8A5E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4A8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27D819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w:t>
                  </w:r>
                </w:p>
              </w:tc>
              <w:tc>
                <w:tcPr>
                  <w:tcW w:w="418" w:type="pct"/>
                  <w:vMerge w:val="continue"/>
                  <w:noWrap w:val="0"/>
                  <w:vAlign w:val="center"/>
                </w:tcPr>
                <w:p w14:paraId="2929600F">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noWrap w:val="0"/>
                  <w:vAlign w:val="center"/>
                </w:tcPr>
                <w:p w14:paraId="00411E63">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收集</w:t>
                  </w:r>
                  <w:r>
                    <w:rPr>
                      <w:rFonts w:hint="eastAsia" w:ascii="宋体" w:hAnsi="宋体" w:eastAsia="宋体" w:cs="宋体"/>
                      <w:color w:val="000000" w:themeColor="text1"/>
                      <w:szCs w:val="21"/>
                      <w:lang w:eastAsia="zh-CN"/>
                      <w14:textFill>
                        <w14:solidFill>
                          <w14:schemeClr w14:val="tx1"/>
                        </w14:solidFill>
                      </w14:textFill>
                    </w:rPr>
                    <w:t>罐</w:t>
                  </w:r>
                </w:p>
              </w:tc>
              <w:tc>
                <w:tcPr>
                  <w:tcW w:w="1161" w:type="pct"/>
                  <w:noWrap w:val="0"/>
                  <w:vAlign w:val="center"/>
                </w:tcPr>
                <w:p w14:paraId="56A592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0F891141">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个</w:t>
                  </w:r>
                </w:p>
              </w:tc>
              <w:tc>
                <w:tcPr>
                  <w:tcW w:w="476" w:type="pct"/>
                  <w:noWrap w:val="0"/>
                  <w:vAlign w:val="center"/>
                </w:tcPr>
                <w:p w14:paraId="2246A4F8">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w:t>
                  </w:r>
                </w:p>
              </w:tc>
              <w:tc>
                <w:tcPr>
                  <w:tcW w:w="748" w:type="pct"/>
                  <w:shd w:val="clear" w:color="auto" w:fill="auto"/>
                  <w:noWrap w:val="0"/>
                  <w:vAlign w:val="center"/>
                </w:tcPr>
                <w:p w14:paraId="4F5705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E05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6577FE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7</w:t>
                  </w:r>
                </w:p>
              </w:tc>
              <w:tc>
                <w:tcPr>
                  <w:tcW w:w="418" w:type="pct"/>
                  <w:vMerge w:val="continue"/>
                  <w:noWrap w:val="0"/>
                  <w:vAlign w:val="center"/>
                </w:tcPr>
                <w:p w14:paraId="3B463FAF">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noWrap w:val="0"/>
                  <w:vAlign w:val="center"/>
                </w:tcPr>
                <w:p w14:paraId="7FC7ADCD">
                  <w:pPr>
                    <w:widowControl/>
                    <w:spacing w:line="240" w:lineRule="auto"/>
                    <w:ind w:firstLine="0" w:firstLineChars="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乙醇高位罐</w:t>
                  </w:r>
                </w:p>
              </w:tc>
              <w:tc>
                <w:tcPr>
                  <w:tcW w:w="1161" w:type="pct"/>
                  <w:noWrap w:val="0"/>
                  <w:vAlign w:val="center"/>
                </w:tcPr>
                <w:p w14:paraId="2D650A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1.5m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7076AE48">
                  <w:pPr>
                    <w:widowControl/>
                    <w:spacing w:line="240" w:lineRule="auto"/>
                    <w:ind w:firstLine="0" w:firstLineChars="0"/>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个</w:t>
                  </w:r>
                </w:p>
              </w:tc>
              <w:tc>
                <w:tcPr>
                  <w:tcW w:w="476" w:type="pct"/>
                  <w:noWrap w:val="0"/>
                  <w:vAlign w:val="center"/>
                </w:tcPr>
                <w:p w14:paraId="60BB29E2">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748" w:type="pct"/>
                  <w:shd w:val="clear" w:color="auto" w:fill="auto"/>
                  <w:noWrap w:val="0"/>
                  <w:vAlign w:val="center"/>
                </w:tcPr>
                <w:p w14:paraId="78C787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226F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B2351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w:t>
                  </w:r>
                </w:p>
              </w:tc>
              <w:tc>
                <w:tcPr>
                  <w:tcW w:w="418" w:type="pct"/>
                  <w:vMerge w:val="continue"/>
                  <w:noWrap w:val="0"/>
                  <w:vAlign w:val="center"/>
                </w:tcPr>
                <w:p w14:paraId="272B7A8F">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noWrap w:val="0"/>
                  <w:vAlign w:val="center"/>
                </w:tcPr>
                <w:p w14:paraId="0F6EACC0">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default" w:ascii="宋体" w:hAnsi="宋体" w:eastAsia="宋体" w:cs="宋体"/>
                      <w:color w:val="000000" w:themeColor="text1"/>
                      <w:kern w:val="0"/>
                      <w:sz w:val="21"/>
                      <w:szCs w:val="24"/>
                      <w:lang w:val="en-US" w:eastAsia="zh-CN" w:bidi="ar-SA"/>
                      <w14:textFill>
                        <w14:solidFill>
                          <w14:schemeClr w14:val="tx1"/>
                        </w14:solidFill>
                      </w14:textFill>
                    </w:rPr>
                    <w:t>稀乙醇配制罐</w:t>
                  </w:r>
                </w:p>
              </w:tc>
              <w:tc>
                <w:tcPr>
                  <w:tcW w:w="1161" w:type="pct"/>
                  <w:noWrap w:val="0"/>
                  <w:vAlign w:val="center"/>
                </w:tcPr>
                <w:p w14:paraId="153AB4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26137EE6">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个</w:t>
                  </w:r>
                </w:p>
              </w:tc>
              <w:tc>
                <w:tcPr>
                  <w:tcW w:w="476" w:type="pct"/>
                  <w:noWrap w:val="0"/>
                  <w:vAlign w:val="center"/>
                </w:tcPr>
                <w:p w14:paraId="5810FE5E">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748" w:type="pct"/>
                  <w:shd w:val="clear" w:color="auto" w:fill="auto"/>
                  <w:noWrap w:val="0"/>
                  <w:vAlign w:val="center"/>
                </w:tcPr>
                <w:p w14:paraId="3250C0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C96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971FE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9</w:t>
                  </w:r>
                </w:p>
              </w:tc>
              <w:tc>
                <w:tcPr>
                  <w:tcW w:w="418" w:type="pct"/>
                  <w:vMerge w:val="restart"/>
                  <w:noWrap w:val="0"/>
                  <w:vAlign w:val="center"/>
                </w:tcPr>
                <w:p w14:paraId="7465DA92">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水提</w:t>
                  </w:r>
                </w:p>
              </w:tc>
              <w:tc>
                <w:tcPr>
                  <w:tcW w:w="1371" w:type="pct"/>
                  <w:noWrap w:val="0"/>
                  <w:vAlign w:val="center"/>
                </w:tcPr>
                <w:p w14:paraId="0B780BAA">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default" w:ascii="宋体" w:hAnsi="宋体" w:eastAsia="宋体" w:cs="宋体"/>
                      <w:color w:val="000000" w:themeColor="text1"/>
                      <w:kern w:val="0"/>
                      <w:sz w:val="21"/>
                      <w:szCs w:val="24"/>
                      <w:lang w:val="en-US" w:eastAsia="zh-CN" w:bidi="ar-SA"/>
                      <w14:textFill>
                        <w14:solidFill>
                          <w14:schemeClr w14:val="tx1"/>
                        </w14:solidFill>
                      </w14:textFill>
                    </w:rPr>
                    <w:t>多功能提取罐</w:t>
                  </w:r>
                </w:p>
              </w:tc>
              <w:tc>
                <w:tcPr>
                  <w:tcW w:w="1161" w:type="pct"/>
                  <w:noWrap w:val="0"/>
                  <w:vAlign w:val="center"/>
                </w:tcPr>
                <w:p w14:paraId="08540F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7B9AF786">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个</w:t>
                  </w:r>
                </w:p>
              </w:tc>
              <w:tc>
                <w:tcPr>
                  <w:tcW w:w="476" w:type="pct"/>
                  <w:noWrap w:val="0"/>
                  <w:vAlign w:val="center"/>
                </w:tcPr>
                <w:p w14:paraId="63FC947E">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w:t>
                  </w:r>
                </w:p>
              </w:tc>
              <w:tc>
                <w:tcPr>
                  <w:tcW w:w="748" w:type="pct"/>
                  <w:shd w:val="clear" w:color="auto" w:fill="auto"/>
                  <w:noWrap w:val="0"/>
                  <w:vAlign w:val="center"/>
                </w:tcPr>
                <w:p w14:paraId="564740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FE2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FB913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w:t>
                  </w:r>
                </w:p>
              </w:tc>
              <w:tc>
                <w:tcPr>
                  <w:tcW w:w="418" w:type="pct"/>
                  <w:vMerge w:val="continue"/>
                  <w:noWrap w:val="0"/>
                  <w:vAlign w:val="center"/>
                </w:tcPr>
                <w:p w14:paraId="060D4D5C">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06B8A293">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冷凝器</w:t>
                  </w:r>
                </w:p>
              </w:tc>
              <w:tc>
                <w:tcPr>
                  <w:tcW w:w="1161" w:type="pct"/>
                  <w:shd w:val="clear" w:color="auto" w:fill="auto"/>
                  <w:noWrap w:val="0"/>
                  <w:vAlign w:val="center"/>
                </w:tcPr>
                <w:p w14:paraId="706882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69531B56">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个</w:t>
                  </w:r>
                </w:p>
              </w:tc>
              <w:tc>
                <w:tcPr>
                  <w:tcW w:w="476" w:type="pct"/>
                  <w:shd w:val="clear" w:color="auto" w:fill="auto"/>
                  <w:noWrap w:val="0"/>
                  <w:vAlign w:val="center"/>
                </w:tcPr>
                <w:p w14:paraId="25B5127C">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12</w:t>
                  </w:r>
                </w:p>
              </w:tc>
              <w:tc>
                <w:tcPr>
                  <w:tcW w:w="748" w:type="pct"/>
                  <w:shd w:val="clear" w:color="auto" w:fill="auto"/>
                  <w:noWrap w:val="0"/>
                  <w:vAlign w:val="center"/>
                </w:tcPr>
                <w:p w14:paraId="725865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FFE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98726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11</w:t>
                  </w:r>
                </w:p>
              </w:tc>
              <w:tc>
                <w:tcPr>
                  <w:tcW w:w="418" w:type="pct"/>
                  <w:vMerge w:val="continue"/>
                  <w:noWrap w:val="0"/>
                  <w:vAlign w:val="center"/>
                </w:tcPr>
                <w:p w14:paraId="6CFA8230">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7A869F00">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冷却器</w:t>
                  </w:r>
                </w:p>
              </w:tc>
              <w:tc>
                <w:tcPr>
                  <w:tcW w:w="1161" w:type="pct"/>
                  <w:shd w:val="clear" w:color="auto" w:fill="auto"/>
                  <w:noWrap w:val="0"/>
                  <w:vAlign w:val="center"/>
                </w:tcPr>
                <w:p w14:paraId="61368C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5F5E32E1">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个</w:t>
                  </w:r>
                </w:p>
              </w:tc>
              <w:tc>
                <w:tcPr>
                  <w:tcW w:w="476" w:type="pct"/>
                  <w:noWrap w:val="0"/>
                  <w:vAlign w:val="center"/>
                </w:tcPr>
                <w:p w14:paraId="685AF0F3">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w:t>
                  </w:r>
                </w:p>
              </w:tc>
              <w:tc>
                <w:tcPr>
                  <w:tcW w:w="748" w:type="pct"/>
                  <w:shd w:val="clear" w:color="auto" w:fill="auto"/>
                  <w:noWrap w:val="0"/>
                  <w:vAlign w:val="center"/>
                </w:tcPr>
                <w:p w14:paraId="5EDB0F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19E9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733C3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12</w:t>
                  </w:r>
                </w:p>
              </w:tc>
              <w:tc>
                <w:tcPr>
                  <w:tcW w:w="418" w:type="pct"/>
                  <w:vMerge w:val="continue"/>
                  <w:noWrap w:val="0"/>
                  <w:vAlign w:val="center"/>
                </w:tcPr>
                <w:p w14:paraId="2B37D73A">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2B2DD979">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管式过滤器</w:t>
                  </w:r>
                </w:p>
              </w:tc>
              <w:tc>
                <w:tcPr>
                  <w:tcW w:w="1161" w:type="pct"/>
                  <w:shd w:val="clear" w:color="auto" w:fill="auto"/>
                  <w:noWrap w:val="0"/>
                  <w:vAlign w:val="center"/>
                </w:tcPr>
                <w:p w14:paraId="570D3F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2EC93EB3">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个</w:t>
                  </w:r>
                </w:p>
              </w:tc>
              <w:tc>
                <w:tcPr>
                  <w:tcW w:w="476" w:type="pct"/>
                  <w:shd w:val="clear" w:color="auto" w:fill="auto"/>
                  <w:noWrap w:val="0"/>
                  <w:vAlign w:val="center"/>
                </w:tcPr>
                <w:p w14:paraId="4911F294">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12</w:t>
                  </w:r>
                </w:p>
              </w:tc>
              <w:tc>
                <w:tcPr>
                  <w:tcW w:w="748" w:type="pct"/>
                  <w:shd w:val="clear" w:color="auto" w:fill="auto"/>
                  <w:noWrap w:val="0"/>
                  <w:vAlign w:val="center"/>
                </w:tcPr>
                <w:p w14:paraId="101048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0AC2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EDC5B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13</w:t>
                  </w:r>
                </w:p>
              </w:tc>
              <w:tc>
                <w:tcPr>
                  <w:tcW w:w="418" w:type="pct"/>
                  <w:vMerge w:val="continue"/>
                  <w:noWrap w:val="0"/>
                  <w:vAlign w:val="center"/>
                </w:tcPr>
                <w:p w14:paraId="1B61DC22">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noWrap w:val="0"/>
                  <w:vAlign w:val="center"/>
                </w:tcPr>
                <w:p w14:paraId="6FAEAC63">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储液</w:t>
                  </w:r>
                  <w:r>
                    <w:rPr>
                      <w:rFonts w:hint="default" w:ascii="宋体" w:hAnsi="宋体" w:eastAsia="宋体" w:cs="宋体"/>
                      <w:color w:val="000000" w:themeColor="text1"/>
                      <w:kern w:val="0"/>
                      <w:sz w:val="21"/>
                      <w:szCs w:val="24"/>
                      <w:lang w:val="en-US" w:eastAsia="zh-CN" w:bidi="ar-SA"/>
                      <w14:textFill>
                        <w14:solidFill>
                          <w14:schemeClr w14:val="tx1"/>
                        </w14:solidFill>
                      </w14:textFill>
                    </w:rPr>
                    <w:t>罐</w:t>
                  </w:r>
                </w:p>
              </w:tc>
              <w:tc>
                <w:tcPr>
                  <w:tcW w:w="1161" w:type="pct"/>
                  <w:noWrap w:val="0"/>
                  <w:vAlign w:val="center"/>
                </w:tcPr>
                <w:p w14:paraId="4BA5E3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02841919">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个</w:t>
                  </w:r>
                </w:p>
              </w:tc>
              <w:tc>
                <w:tcPr>
                  <w:tcW w:w="476" w:type="pct"/>
                  <w:noWrap w:val="0"/>
                  <w:vAlign w:val="center"/>
                </w:tcPr>
                <w:p w14:paraId="112DCCCF">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w:t>
                  </w:r>
                </w:p>
              </w:tc>
              <w:tc>
                <w:tcPr>
                  <w:tcW w:w="748" w:type="pct"/>
                  <w:shd w:val="clear" w:color="auto" w:fill="auto"/>
                  <w:noWrap w:val="0"/>
                  <w:vAlign w:val="center"/>
                </w:tcPr>
                <w:p w14:paraId="595647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237A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901D0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14</w:t>
                  </w:r>
                </w:p>
              </w:tc>
              <w:tc>
                <w:tcPr>
                  <w:tcW w:w="418" w:type="pct"/>
                  <w:vMerge w:val="restart"/>
                  <w:noWrap w:val="0"/>
                  <w:vAlign w:val="center"/>
                </w:tcPr>
                <w:p w14:paraId="4D8B10E8">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醇沉</w:t>
                  </w:r>
                </w:p>
              </w:tc>
              <w:tc>
                <w:tcPr>
                  <w:tcW w:w="1371" w:type="pct"/>
                  <w:shd w:val="clear" w:color="auto" w:fill="auto"/>
                  <w:noWrap w:val="0"/>
                  <w:vAlign w:val="center"/>
                </w:tcPr>
                <w:p w14:paraId="5CEFA1CA">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沉淀罐</w:t>
                  </w:r>
                </w:p>
              </w:tc>
              <w:tc>
                <w:tcPr>
                  <w:tcW w:w="1161" w:type="pct"/>
                  <w:shd w:val="clear" w:color="auto" w:fill="auto"/>
                  <w:noWrap w:val="0"/>
                  <w:vAlign w:val="center"/>
                </w:tcPr>
                <w:p w14:paraId="45AAEB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6A2E9DCF">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个</w:t>
                  </w:r>
                </w:p>
              </w:tc>
              <w:tc>
                <w:tcPr>
                  <w:tcW w:w="476" w:type="pct"/>
                  <w:shd w:val="clear" w:color="auto" w:fill="auto"/>
                  <w:noWrap w:val="0"/>
                  <w:vAlign w:val="center"/>
                </w:tcPr>
                <w:p w14:paraId="4C8515E9">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w:t>
                  </w:r>
                </w:p>
              </w:tc>
              <w:tc>
                <w:tcPr>
                  <w:tcW w:w="748" w:type="pct"/>
                  <w:shd w:val="clear" w:color="auto" w:fill="auto"/>
                  <w:noWrap w:val="0"/>
                  <w:vAlign w:val="center"/>
                </w:tcPr>
                <w:p w14:paraId="1331C4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268E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06BC20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15</w:t>
                  </w:r>
                </w:p>
              </w:tc>
              <w:tc>
                <w:tcPr>
                  <w:tcW w:w="418" w:type="pct"/>
                  <w:vMerge w:val="continue"/>
                  <w:noWrap w:val="0"/>
                  <w:vAlign w:val="center"/>
                </w:tcPr>
                <w:p w14:paraId="4545C2A8">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5B0D7358">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贮罐</w:t>
                  </w:r>
                </w:p>
              </w:tc>
              <w:tc>
                <w:tcPr>
                  <w:tcW w:w="1161" w:type="pct"/>
                  <w:shd w:val="clear" w:color="auto" w:fill="auto"/>
                  <w:noWrap w:val="0"/>
                  <w:vAlign w:val="center"/>
                </w:tcPr>
                <w:p w14:paraId="536864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680E1882">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个</w:t>
                  </w:r>
                </w:p>
              </w:tc>
              <w:tc>
                <w:tcPr>
                  <w:tcW w:w="476" w:type="pct"/>
                  <w:shd w:val="clear" w:color="auto" w:fill="auto"/>
                  <w:noWrap w:val="0"/>
                  <w:vAlign w:val="center"/>
                </w:tcPr>
                <w:p w14:paraId="5E0E74A1">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w:t>
                  </w:r>
                </w:p>
              </w:tc>
              <w:tc>
                <w:tcPr>
                  <w:tcW w:w="748" w:type="pct"/>
                  <w:shd w:val="clear" w:color="auto" w:fill="auto"/>
                  <w:noWrap w:val="0"/>
                  <w:vAlign w:val="center"/>
                </w:tcPr>
                <w:p w14:paraId="16F300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22F3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7E744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16</w:t>
                  </w:r>
                </w:p>
              </w:tc>
              <w:tc>
                <w:tcPr>
                  <w:tcW w:w="418" w:type="pct"/>
                  <w:vMerge w:val="restart"/>
                  <w:noWrap w:val="0"/>
                  <w:vAlign w:val="center"/>
                </w:tcPr>
                <w:p w14:paraId="13456261">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水提</w:t>
                  </w:r>
                </w:p>
                <w:p w14:paraId="7A212CEB">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浓缩</w:t>
                  </w:r>
                </w:p>
              </w:tc>
              <w:tc>
                <w:tcPr>
                  <w:tcW w:w="1371" w:type="pct"/>
                  <w:shd w:val="clear" w:color="auto" w:fill="auto"/>
                  <w:noWrap w:val="0"/>
                  <w:vAlign w:val="center"/>
                </w:tcPr>
                <w:p w14:paraId="70FDA08E">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单</w:t>
                  </w:r>
                  <w:r>
                    <w:rPr>
                      <w:rFonts w:hint="default" w:ascii="宋体" w:hAnsi="宋体" w:eastAsia="宋体" w:cs="宋体"/>
                      <w:color w:val="000000" w:themeColor="text1"/>
                      <w:kern w:val="0"/>
                      <w:sz w:val="21"/>
                      <w:szCs w:val="24"/>
                      <w:lang w:val="en-US" w:eastAsia="zh-CN" w:bidi="ar-SA"/>
                      <w14:textFill>
                        <w14:solidFill>
                          <w14:schemeClr w14:val="tx1"/>
                        </w14:solidFill>
                      </w14:textFill>
                    </w:rPr>
                    <w:t>效蒸发</w:t>
                  </w:r>
                  <w:r>
                    <w:rPr>
                      <w:rFonts w:hint="eastAsia" w:ascii="宋体" w:hAnsi="宋体" w:cs="宋体"/>
                      <w:color w:val="000000" w:themeColor="text1"/>
                      <w:kern w:val="0"/>
                      <w:sz w:val="21"/>
                      <w:szCs w:val="24"/>
                      <w:lang w:val="en-US" w:eastAsia="zh-CN" w:bidi="ar-SA"/>
                      <w14:textFill>
                        <w14:solidFill>
                          <w14:schemeClr w14:val="tx1"/>
                        </w14:solidFill>
                      </w14:textFill>
                    </w:rPr>
                    <w:t>浓缩</w:t>
                  </w:r>
                  <w:r>
                    <w:rPr>
                      <w:rFonts w:hint="default" w:ascii="宋体" w:hAnsi="宋体" w:eastAsia="宋体" w:cs="宋体"/>
                      <w:color w:val="000000" w:themeColor="text1"/>
                      <w:kern w:val="0"/>
                      <w:sz w:val="21"/>
                      <w:szCs w:val="24"/>
                      <w:lang w:val="en-US" w:eastAsia="zh-CN" w:bidi="ar-SA"/>
                      <w14:textFill>
                        <w14:solidFill>
                          <w14:schemeClr w14:val="tx1"/>
                        </w14:solidFill>
                      </w14:textFill>
                    </w:rPr>
                    <w:t>器</w:t>
                  </w:r>
                </w:p>
              </w:tc>
              <w:tc>
                <w:tcPr>
                  <w:tcW w:w="1161" w:type="pct"/>
                  <w:shd w:val="clear" w:color="auto" w:fill="auto"/>
                  <w:noWrap w:val="0"/>
                  <w:vAlign w:val="center"/>
                </w:tcPr>
                <w:p w14:paraId="72F243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WZE-3000</w:t>
                  </w:r>
                </w:p>
              </w:tc>
              <w:tc>
                <w:tcPr>
                  <w:tcW w:w="409" w:type="pct"/>
                  <w:noWrap w:val="0"/>
                  <w:vAlign w:val="center"/>
                </w:tcPr>
                <w:p w14:paraId="50586F69">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294E22F6">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748" w:type="pct"/>
                  <w:shd w:val="clear" w:color="auto" w:fill="auto"/>
                  <w:noWrap w:val="0"/>
                  <w:vAlign w:val="center"/>
                </w:tcPr>
                <w:p w14:paraId="329392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768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32ED9E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17</w:t>
                  </w:r>
                </w:p>
              </w:tc>
              <w:tc>
                <w:tcPr>
                  <w:tcW w:w="418" w:type="pct"/>
                  <w:vMerge w:val="continue"/>
                  <w:noWrap w:val="0"/>
                  <w:vAlign w:val="center"/>
                </w:tcPr>
                <w:p w14:paraId="11A54150">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4012AC41">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高</w:t>
                  </w:r>
                  <w:r>
                    <w:rPr>
                      <w:rFonts w:hint="eastAsia" w:ascii="宋体" w:hAnsi="宋体" w:eastAsia="宋体" w:cs="宋体"/>
                      <w:color w:val="000000" w:themeColor="text1"/>
                      <w:szCs w:val="21"/>
                      <w:lang w:eastAsia="zh-CN"/>
                      <w14:textFill>
                        <w14:solidFill>
                          <w14:schemeClr w14:val="tx1"/>
                        </w14:solidFill>
                      </w14:textFill>
                    </w:rPr>
                    <w:t>效蒸发</w:t>
                  </w:r>
                  <w:r>
                    <w:rPr>
                      <w:rFonts w:hint="eastAsia" w:ascii="宋体" w:hAnsi="宋体" w:cs="宋体"/>
                      <w:color w:val="000000" w:themeColor="text1"/>
                      <w:szCs w:val="21"/>
                      <w:lang w:val="en-US" w:eastAsia="zh-CN"/>
                      <w14:textFill>
                        <w14:solidFill>
                          <w14:schemeClr w14:val="tx1"/>
                        </w14:solidFill>
                      </w14:textFill>
                    </w:rPr>
                    <w:t>浓缩</w:t>
                  </w:r>
                  <w:r>
                    <w:rPr>
                      <w:rFonts w:hint="eastAsia" w:ascii="宋体" w:hAnsi="宋体" w:eastAsia="宋体" w:cs="宋体"/>
                      <w:color w:val="000000" w:themeColor="text1"/>
                      <w:szCs w:val="21"/>
                      <w:lang w:eastAsia="zh-CN"/>
                      <w14:textFill>
                        <w14:solidFill>
                          <w14:schemeClr w14:val="tx1"/>
                        </w14:solidFill>
                      </w14:textFill>
                    </w:rPr>
                    <w:t>器</w:t>
                  </w:r>
                </w:p>
              </w:tc>
              <w:tc>
                <w:tcPr>
                  <w:tcW w:w="1161" w:type="pct"/>
                  <w:shd w:val="clear" w:color="auto" w:fill="auto"/>
                  <w:noWrap w:val="0"/>
                  <w:vAlign w:val="center"/>
                </w:tcPr>
                <w:p w14:paraId="4D7F06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3D22E81D">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75C0CD41">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748" w:type="pct"/>
                  <w:shd w:val="clear" w:color="auto" w:fill="auto"/>
                  <w:noWrap w:val="0"/>
                  <w:vAlign w:val="center"/>
                </w:tcPr>
                <w:p w14:paraId="2B0B98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2830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F1845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c>
                <w:tcPr>
                  <w:tcW w:w="418" w:type="pct"/>
                  <w:vMerge w:val="continue"/>
                  <w:noWrap w:val="0"/>
                  <w:vAlign w:val="center"/>
                </w:tcPr>
                <w:p w14:paraId="30574EF1">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5E602C4C">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储液</w:t>
                  </w:r>
                  <w:r>
                    <w:rPr>
                      <w:rFonts w:hint="default" w:ascii="宋体" w:hAnsi="宋体" w:eastAsia="宋体" w:cs="宋体"/>
                      <w:color w:val="000000" w:themeColor="text1"/>
                      <w:kern w:val="0"/>
                      <w:sz w:val="21"/>
                      <w:szCs w:val="24"/>
                      <w:lang w:val="en-US" w:eastAsia="zh-CN" w:bidi="ar-SA"/>
                      <w14:textFill>
                        <w14:solidFill>
                          <w14:schemeClr w14:val="tx1"/>
                        </w14:solidFill>
                      </w14:textFill>
                    </w:rPr>
                    <w:t>罐</w:t>
                  </w:r>
                </w:p>
              </w:tc>
              <w:tc>
                <w:tcPr>
                  <w:tcW w:w="1161" w:type="pct"/>
                  <w:shd w:val="clear" w:color="auto" w:fill="auto"/>
                  <w:noWrap w:val="0"/>
                  <w:vAlign w:val="center"/>
                </w:tcPr>
                <w:p w14:paraId="3F8EFF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19DB1B97">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个</w:t>
                  </w:r>
                </w:p>
              </w:tc>
              <w:tc>
                <w:tcPr>
                  <w:tcW w:w="476" w:type="pct"/>
                  <w:shd w:val="clear" w:color="auto" w:fill="auto"/>
                  <w:noWrap w:val="0"/>
                  <w:vAlign w:val="center"/>
                </w:tcPr>
                <w:p w14:paraId="649D104E">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748" w:type="pct"/>
                  <w:shd w:val="clear" w:color="auto" w:fill="auto"/>
                  <w:noWrap w:val="0"/>
                  <w:vAlign w:val="center"/>
                </w:tcPr>
                <w:p w14:paraId="209C06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784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6EA894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19</w:t>
                  </w:r>
                </w:p>
              </w:tc>
              <w:tc>
                <w:tcPr>
                  <w:tcW w:w="418" w:type="pct"/>
                  <w:vMerge w:val="restart"/>
                  <w:noWrap w:val="0"/>
                  <w:vAlign w:val="center"/>
                </w:tcPr>
                <w:p w14:paraId="363A1AA2">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乙醇</w:t>
                  </w:r>
                </w:p>
                <w:p w14:paraId="02C9AA29">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回收</w:t>
                  </w:r>
                </w:p>
              </w:tc>
              <w:tc>
                <w:tcPr>
                  <w:tcW w:w="1371" w:type="pct"/>
                  <w:shd w:val="clear" w:color="auto" w:fill="auto"/>
                  <w:noWrap w:val="0"/>
                  <w:vAlign w:val="center"/>
                </w:tcPr>
                <w:p w14:paraId="4865B34E">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单</w:t>
                  </w:r>
                  <w:r>
                    <w:rPr>
                      <w:rFonts w:hint="default" w:ascii="宋体" w:hAnsi="宋体" w:eastAsia="宋体" w:cs="宋体"/>
                      <w:color w:val="000000" w:themeColor="text1"/>
                      <w:kern w:val="0"/>
                      <w:sz w:val="21"/>
                      <w:szCs w:val="24"/>
                      <w:lang w:val="en-US" w:eastAsia="zh-CN" w:bidi="ar-SA"/>
                      <w14:textFill>
                        <w14:solidFill>
                          <w14:schemeClr w14:val="tx1"/>
                        </w14:solidFill>
                      </w14:textFill>
                    </w:rPr>
                    <w:t>效蒸发</w:t>
                  </w:r>
                  <w:r>
                    <w:rPr>
                      <w:rFonts w:hint="eastAsia" w:ascii="宋体" w:hAnsi="宋体" w:cs="宋体"/>
                      <w:color w:val="000000" w:themeColor="text1"/>
                      <w:kern w:val="0"/>
                      <w:sz w:val="21"/>
                      <w:szCs w:val="24"/>
                      <w:lang w:val="en-US" w:eastAsia="zh-CN" w:bidi="ar-SA"/>
                      <w14:textFill>
                        <w14:solidFill>
                          <w14:schemeClr w14:val="tx1"/>
                        </w14:solidFill>
                      </w14:textFill>
                    </w:rPr>
                    <w:t>浓缩</w:t>
                  </w:r>
                  <w:r>
                    <w:rPr>
                      <w:rFonts w:hint="default" w:ascii="宋体" w:hAnsi="宋体" w:eastAsia="宋体" w:cs="宋体"/>
                      <w:color w:val="000000" w:themeColor="text1"/>
                      <w:kern w:val="0"/>
                      <w:sz w:val="21"/>
                      <w:szCs w:val="24"/>
                      <w:lang w:val="en-US" w:eastAsia="zh-CN" w:bidi="ar-SA"/>
                      <w14:textFill>
                        <w14:solidFill>
                          <w14:schemeClr w14:val="tx1"/>
                        </w14:solidFill>
                      </w14:textFill>
                    </w:rPr>
                    <w:t>器</w:t>
                  </w:r>
                </w:p>
              </w:tc>
              <w:tc>
                <w:tcPr>
                  <w:tcW w:w="1161" w:type="pct"/>
                  <w:shd w:val="clear" w:color="auto" w:fill="auto"/>
                  <w:noWrap w:val="0"/>
                  <w:vAlign w:val="center"/>
                </w:tcPr>
                <w:p w14:paraId="2F6CCF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WZE-3000</w:t>
                  </w:r>
                </w:p>
              </w:tc>
              <w:tc>
                <w:tcPr>
                  <w:tcW w:w="409" w:type="pct"/>
                  <w:shd w:val="clear" w:color="auto" w:fill="auto"/>
                  <w:noWrap w:val="0"/>
                  <w:vAlign w:val="center"/>
                </w:tcPr>
                <w:p w14:paraId="54D28EAC">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799CF984">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748" w:type="pct"/>
                  <w:shd w:val="clear" w:color="auto" w:fill="auto"/>
                  <w:noWrap w:val="0"/>
                  <w:vAlign w:val="center"/>
                </w:tcPr>
                <w:p w14:paraId="7ED49A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F50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63B5B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w:t>
                  </w:r>
                </w:p>
              </w:tc>
              <w:tc>
                <w:tcPr>
                  <w:tcW w:w="418" w:type="pct"/>
                  <w:vMerge w:val="continue"/>
                  <w:noWrap w:val="0"/>
                  <w:vAlign w:val="center"/>
                </w:tcPr>
                <w:p w14:paraId="1D406864">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7E388E5C">
                  <w:pPr>
                    <w:widowControl/>
                    <w:spacing w:line="240" w:lineRule="auto"/>
                    <w:ind w:firstLine="0" w:firstLineChars="0"/>
                    <w:jc w:val="center"/>
                    <w:rPr>
                      <w:rFonts w:hint="default"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精馏塔</w:t>
                  </w:r>
                </w:p>
              </w:tc>
              <w:tc>
                <w:tcPr>
                  <w:tcW w:w="1161" w:type="pct"/>
                  <w:shd w:val="clear" w:color="auto" w:fill="auto"/>
                  <w:noWrap w:val="0"/>
                  <w:vAlign w:val="center"/>
                </w:tcPr>
                <w:p w14:paraId="74188D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2000L</w:t>
                  </w:r>
                </w:p>
              </w:tc>
              <w:tc>
                <w:tcPr>
                  <w:tcW w:w="409" w:type="pct"/>
                  <w:shd w:val="clear" w:color="auto" w:fill="auto"/>
                  <w:noWrap w:val="0"/>
                  <w:vAlign w:val="center"/>
                </w:tcPr>
                <w:p w14:paraId="098D8091">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套</w:t>
                  </w:r>
                </w:p>
              </w:tc>
              <w:tc>
                <w:tcPr>
                  <w:tcW w:w="476" w:type="pct"/>
                  <w:noWrap w:val="0"/>
                  <w:vAlign w:val="center"/>
                </w:tcPr>
                <w:p w14:paraId="1111334F">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748" w:type="pct"/>
                  <w:shd w:val="clear" w:color="auto" w:fill="auto"/>
                  <w:noWrap w:val="0"/>
                  <w:vAlign w:val="center"/>
                </w:tcPr>
                <w:p w14:paraId="260506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2833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2B12F7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21</w:t>
                  </w:r>
                </w:p>
              </w:tc>
              <w:tc>
                <w:tcPr>
                  <w:tcW w:w="418" w:type="pct"/>
                  <w:vMerge w:val="continue"/>
                  <w:noWrap w:val="0"/>
                  <w:vAlign w:val="center"/>
                </w:tcPr>
                <w:p w14:paraId="50821206">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6563F6AD">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储液</w:t>
                  </w:r>
                  <w:r>
                    <w:rPr>
                      <w:rFonts w:hint="default" w:ascii="宋体" w:hAnsi="宋体" w:eastAsia="宋体" w:cs="宋体"/>
                      <w:color w:val="000000" w:themeColor="text1"/>
                      <w:kern w:val="0"/>
                      <w:sz w:val="21"/>
                      <w:szCs w:val="24"/>
                      <w:lang w:val="en-US" w:eastAsia="zh-CN" w:bidi="ar-SA"/>
                      <w14:textFill>
                        <w14:solidFill>
                          <w14:schemeClr w14:val="tx1"/>
                        </w14:solidFill>
                      </w14:textFill>
                    </w:rPr>
                    <w:t>罐</w:t>
                  </w:r>
                </w:p>
              </w:tc>
              <w:tc>
                <w:tcPr>
                  <w:tcW w:w="1161" w:type="pct"/>
                  <w:shd w:val="clear" w:color="auto" w:fill="auto"/>
                  <w:noWrap w:val="0"/>
                  <w:vAlign w:val="center"/>
                </w:tcPr>
                <w:p w14:paraId="3C0D4C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77330C0E">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个</w:t>
                  </w:r>
                </w:p>
              </w:tc>
              <w:tc>
                <w:tcPr>
                  <w:tcW w:w="476" w:type="pct"/>
                  <w:noWrap w:val="0"/>
                  <w:vAlign w:val="center"/>
                </w:tcPr>
                <w:p w14:paraId="3D222239">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748" w:type="pct"/>
                  <w:shd w:val="clear" w:color="auto" w:fill="auto"/>
                  <w:noWrap w:val="0"/>
                  <w:vAlign w:val="center"/>
                </w:tcPr>
                <w:p w14:paraId="7C04EB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71D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BBB65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22</w:t>
                  </w:r>
                </w:p>
              </w:tc>
              <w:tc>
                <w:tcPr>
                  <w:tcW w:w="418" w:type="pct"/>
                  <w:vMerge w:val="continue"/>
                  <w:noWrap w:val="0"/>
                  <w:vAlign w:val="center"/>
                </w:tcPr>
                <w:p w14:paraId="03E21645">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53854BA0">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乙醇中间储罐</w:t>
                  </w:r>
                </w:p>
              </w:tc>
              <w:tc>
                <w:tcPr>
                  <w:tcW w:w="1161" w:type="pct"/>
                  <w:shd w:val="clear" w:color="auto" w:fill="auto"/>
                  <w:noWrap w:val="0"/>
                  <w:vAlign w:val="center"/>
                </w:tcPr>
                <w:p w14:paraId="084AE0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4E09254F">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个</w:t>
                  </w:r>
                </w:p>
              </w:tc>
              <w:tc>
                <w:tcPr>
                  <w:tcW w:w="476" w:type="pct"/>
                  <w:shd w:val="clear" w:color="auto" w:fill="auto"/>
                  <w:noWrap w:val="0"/>
                  <w:vAlign w:val="center"/>
                </w:tcPr>
                <w:p w14:paraId="46B05171">
                  <w:pPr>
                    <w:widowControl/>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w:t>
                  </w:r>
                </w:p>
              </w:tc>
              <w:tc>
                <w:tcPr>
                  <w:tcW w:w="748" w:type="pct"/>
                  <w:shd w:val="clear" w:color="auto" w:fill="auto"/>
                  <w:noWrap w:val="0"/>
                  <w:vAlign w:val="center"/>
                </w:tcPr>
                <w:p w14:paraId="23A8E7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5D29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AF27D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三</w:t>
                  </w:r>
                </w:p>
              </w:tc>
              <w:tc>
                <w:tcPr>
                  <w:tcW w:w="4586" w:type="pct"/>
                  <w:gridSpan w:val="6"/>
                  <w:noWrap w:val="0"/>
                  <w:vAlign w:val="center"/>
                </w:tcPr>
                <w:p w14:paraId="5FF79D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固体制剂生产设备</w:t>
                  </w:r>
                </w:p>
              </w:tc>
            </w:tr>
            <w:tr w14:paraId="5180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215EAB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w:t>
                  </w:r>
                </w:p>
              </w:tc>
              <w:tc>
                <w:tcPr>
                  <w:tcW w:w="418" w:type="pct"/>
                  <w:noWrap w:val="0"/>
                  <w:vAlign w:val="center"/>
                </w:tcPr>
                <w:p w14:paraId="0E89ADF1">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粉碎</w:t>
                  </w:r>
                </w:p>
              </w:tc>
              <w:tc>
                <w:tcPr>
                  <w:tcW w:w="1371" w:type="pct"/>
                  <w:shd w:val="clear" w:color="auto" w:fill="auto"/>
                  <w:noWrap w:val="0"/>
                  <w:vAlign w:val="center"/>
                </w:tcPr>
                <w:p w14:paraId="1B8B94AB">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吸尘万能中药粉碎机</w:t>
                  </w:r>
                </w:p>
              </w:tc>
              <w:tc>
                <w:tcPr>
                  <w:tcW w:w="1161" w:type="pct"/>
                  <w:shd w:val="clear" w:color="auto" w:fill="auto"/>
                  <w:noWrap w:val="0"/>
                  <w:vAlign w:val="center"/>
                </w:tcPr>
                <w:p w14:paraId="1C3CC5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30B/60B</w:t>
                  </w:r>
                </w:p>
              </w:tc>
              <w:tc>
                <w:tcPr>
                  <w:tcW w:w="409" w:type="pct"/>
                  <w:shd w:val="clear" w:color="auto" w:fill="auto"/>
                  <w:noWrap w:val="0"/>
                  <w:vAlign w:val="center"/>
                </w:tcPr>
                <w:p w14:paraId="0A71C781">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49E2E207">
                  <w:pPr>
                    <w:widowControl/>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347C5F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3CEC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A0BE1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w:t>
                  </w:r>
                </w:p>
              </w:tc>
              <w:tc>
                <w:tcPr>
                  <w:tcW w:w="418" w:type="pct"/>
                  <w:noWrap w:val="0"/>
                  <w:vAlign w:val="center"/>
                </w:tcPr>
                <w:p w14:paraId="248793AD">
                  <w:pPr>
                    <w:widowControl/>
                    <w:spacing w:line="240" w:lineRule="auto"/>
                    <w:ind w:firstLine="0" w:firstLineChars="0"/>
                    <w:jc w:val="center"/>
                    <w:rPr>
                      <w:rFonts w:hint="default"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混合</w:t>
                  </w:r>
                </w:p>
              </w:tc>
              <w:tc>
                <w:tcPr>
                  <w:tcW w:w="1371" w:type="pct"/>
                  <w:noWrap w:val="0"/>
                  <w:vAlign w:val="center"/>
                </w:tcPr>
                <w:p w14:paraId="6D488E90">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混合机</w:t>
                  </w:r>
                </w:p>
              </w:tc>
              <w:tc>
                <w:tcPr>
                  <w:tcW w:w="1161" w:type="pct"/>
                  <w:shd w:val="clear" w:color="auto" w:fill="auto"/>
                  <w:noWrap w:val="0"/>
                  <w:vAlign w:val="center"/>
                </w:tcPr>
                <w:p w14:paraId="6B17F01F">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200型</w:t>
                  </w:r>
                </w:p>
              </w:tc>
              <w:tc>
                <w:tcPr>
                  <w:tcW w:w="409" w:type="pct"/>
                  <w:shd w:val="clear" w:color="auto" w:fill="auto"/>
                  <w:noWrap w:val="0"/>
                  <w:vAlign w:val="center"/>
                </w:tcPr>
                <w:p w14:paraId="5C988290">
                  <w:pPr>
                    <w:widowControl/>
                    <w:spacing w:line="240" w:lineRule="auto"/>
                    <w:ind w:firstLine="0" w:firstLineChars="0"/>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7F628F23">
                  <w:pPr>
                    <w:widowControl/>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3</w:t>
                  </w:r>
                </w:p>
              </w:tc>
              <w:tc>
                <w:tcPr>
                  <w:tcW w:w="748" w:type="pct"/>
                  <w:shd w:val="clear" w:color="auto" w:fill="auto"/>
                  <w:noWrap w:val="0"/>
                  <w:vAlign w:val="center"/>
                </w:tcPr>
                <w:p w14:paraId="431A31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50E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18C00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418" w:type="pct"/>
                  <w:vMerge w:val="restart"/>
                  <w:noWrap w:val="0"/>
                  <w:vAlign w:val="center"/>
                </w:tcPr>
                <w:p w14:paraId="77AFB29B">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制粒</w:t>
                  </w:r>
                </w:p>
              </w:tc>
              <w:tc>
                <w:tcPr>
                  <w:tcW w:w="1371" w:type="pct"/>
                  <w:shd w:val="clear" w:color="auto" w:fill="auto"/>
                  <w:noWrap w:val="0"/>
                  <w:vAlign w:val="center"/>
                </w:tcPr>
                <w:p w14:paraId="7CC0F28C">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高效湿法制粒机</w:t>
                  </w:r>
                </w:p>
              </w:tc>
              <w:tc>
                <w:tcPr>
                  <w:tcW w:w="1161" w:type="pct"/>
                  <w:shd w:val="clear" w:color="auto" w:fill="auto"/>
                  <w:noWrap w:val="0"/>
                  <w:vAlign w:val="center"/>
                </w:tcPr>
                <w:p w14:paraId="1115B903">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bCs/>
                      <w:color w:val="000000" w:themeColor="text1"/>
                      <w:szCs w:val="21"/>
                      <w14:textFill>
                        <w14:solidFill>
                          <w14:schemeClr w14:val="tx1"/>
                        </w14:solidFill>
                      </w14:textFill>
                    </w:rPr>
                    <w:t>250型</w:t>
                  </w:r>
                </w:p>
              </w:tc>
              <w:tc>
                <w:tcPr>
                  <w:tcW w:w="409" w:type="pct"/>
                  <w:shd w:val="clear" w:color="auto" w:fill="auto"/>
                  <w:noWrap w:val="0"/>
                  <w:vAlign w:val="center"/>
                </w:tcPr>
                <w:p w14:paraId="0C10EE9F">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552280AE">
                  <w:pPr>
                    <w:widowControl/>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2058DB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3039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60A140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w:t>
                  </w:r>
                </w:p>
              </w:tc>
              <w:tc>
                <w:tcPr>
                  <w:tcW w:w="418" w:type="pct"/>
                  <w:vMerge w:val="continue"/>
                  <w:noWrap w:val="0"/>
                  <w:vAlign w:val="center"/>
                </w:tcPr>
                <w:p w14:paraId="0CEEF20E">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12A6863A">
                  <w:pPr>
                    <w:widowControl/>
                    <w:spacing w:line="240" w:lineRule="auto"/>
                    <w:ind w:firstLine="0" w:firstLineChars="0"/>
                    <w:jc w:val="center"/>
                    <w:rPr>
                      <w:rFonts w:hint="default"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颗粒机</w:t>
                  </w:r>
                </w:p>
              </w:tc>
              <w:tc>
                <w:tcPr>
                  <w:tcW w:w="1161" w:type="pct"/>
                  <w:shd w:val="clear" w:color="auto" w:fill="auto"/>
                  <w:noWrap w:val="0"/>
                  <w:vAlign w:val="center"/>
                </w:tcPr>
                <w:p w14:paraId="18D6147C">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bCs/>
                      <w:color w:val="000000" w:themeColor="text1"/>
                      <w:szCs w:val="21"/>
                      <w14:textFill>
                        <w14:solidFill>
                          <w14:schemeClr w14:val="tx1"/>
                        </w14:solidFill>
                      </w14:textFill>
                    </w:rPr>
                    <w:t>200型</w:t>
                  </w:r>
                </w:p>
              </w:tc>
              <w:tc>
                <w:tcPr>
                  <w:tcW w:w="409" w:type="pct"/>
                  <w:shd w:val="clear" w:color="auto" w:fill="auto"/>
                  <w:noWrap w:val="0"/>
                  <w:vAlign w:val="center"/>
                </w:tcPr>
                <w:p w14:paraId="4C58083E">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1C4497CB">
                  <w:pPr>
                    <w:widowControl/>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8</w:t>
                  </w:r>
                </w:p>
              </w:tc>
              <w:tc>
                <w:tcPr>
                  <w:tcW w:w="748" w:type="pct"/>
                  <w:shd w:val="clear" w:color="auto" w:fill="auto"/>
                  <w:noWrap w:val="0"/>
                  <w:vAlign w:val="center"/>
                </w:tcPr>
                <w:p w14:paraId="07F941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0EA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C8087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w:t>
                  </w:r>
                </w:p>
              </w:tc>
              <w:tc>
                <w:tcPr>
                  <w:tcW w:w="418" w:type="pct"/>
                  <w:noWrap w:val="0"/>
                  <w:vAlign w:val="center"/>
                </w:tcPr>
                <w:p w14:paraId="1F238813">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干燥</w:t>
                  </w:r>
                </w:p>
              </w:tc>
              <w:tc>
                <w:tcPr>
                  <w:tcW w:w="1371" w:type="pct"/>
                  <w:shd w:val="clear" w:color="auto" w:fill="auto"/>
                  <w:noWrap w:val="0"/>
                  <w:vAlign w:val="center"/>
                </w:tcPr>
                <w:p w14:paraId="6D984714">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沸腾干燥机</w:t>
                  </w:r>
                </w:p>
              </w:tc>
              <w:tc>
                <w:tcPr>
                  <w:tcW w:w="1161" w:type="pct"/>
                  <w:shd w:val="clear" w:color="auto" w:fill="auto"/>
                  <w:noWrap w:val="0"/>
                  <w:vAlign w:val="center"/>
                </w:tcPr>
                <w:p w14:paraId="4C2F19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bCs/>
                      <w:color w:val="000000" w:themeColor="text1"/>
                      <w:szCs w:val="21"/>
                      <w14:textFill>
                        <w14:solidFill>
                          <w14:schemeClr w14:val="tx1"/>
                        </w14:solidFill>
                      </w14:textFill>
                    </w:rPr>
                    <w:t>300型</w:t>
                  </w:r>
                </w:p>
              </w:tc>
              <w:tc>
                <w:tcPr>
                  <w:tcW w:w="409" w:type="pct"/>
                  <w:shd w:val="clear" w:color="auto" w:fill="auto"/>
                  <w:noWrap w:val="0"/>
                  <w:vAlign w:val="center"/>
                </w:tcPr>
                <w:p w14:paraId="7C569F47">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422FE437">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3</w:t>
                  </w:r>
                </w:p>
              </w:tc>
              <w:tc>
                <w:tcPr>
                  <w:tcW w:w="748" w:type="pct"/>
                  <w:shd w:val="clear" w:color="auto" w:fill="auto"/>
                  <w:noWrap w:val="0"/>
                  <w:vAlign w:val="center"/>
                </w:tcPr>
                <w:p w14:paraId="0F5D80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256D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2C7E82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w:t>
                  </w:r>
                </w:p>
              </w:tc>
              <w:tc>
                <w:tcPr>
                  <w:tcW w:w="418" w:type="pct"/>
                  <w:noWrap w:val="0"/>
                  <w:vAlign w:val="center"/>
                </w:tcPr>
                <w:p w14:paraId="6228D21E">
                  <w:pPr>
                    <w:widowControl/>
                    <w:spacing w:line="240" w:lineRule="auto"/>
                    <w:ind w:firstLine="0" w:firstLineChars="0"/>
                    <w:jc w:val="center"/>
                    <w:rPr>
                      <w:rFonts w:hint="default"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筛粒</w:t>
                  </w:r>
                </w:p>
              </w:tc>
              <w:tc>
                <w:tcPr>
                  <w:tcW w:w="1371" w:type="pct"/>
                  <w:shd w:val="clear" w:color="auto" w:fill="auto"/>
                  <w:noWrap w:val="0"/>
                  <w:vAlign w:val="center"/>
                </w:tcPr>
                <w:p w14:paraId="6A11BF29">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旋振筛</w:t>
                  </w:r>
                </w:p>
              </w:tc>
              <w:tc>
                <w:tcPr>
                  <w:tcW w:w="1161" w:type="pct"/>
                  <w:shd w:val="clear" w:color="auto" w:fill="auto"/>
                  <w:noWrap w:val="0"/>
                  <w:vAlign w:val="center"/>
                </w:tcPr>
                <w:p w14:paraId="02A86C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70DD271A">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21EA0D26">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3</w:t>
                  </w:r>
                </w:p>
              </w:tc>
              <w:tc>
                <w:tcPr>
                  <w:tcW w:w="748" w:type="pct"/>
                  <w:shd w:val="clear" w:color="auto" w:fill="auto"/>
                  <w:noWrap w:val="0"/>
                  <w:vAlign w:val="center"/>
                </w:tcPr>
                <w:p w14:paraId="652778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958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18588B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7</w:t>
                  </w:r>
                </w:p>
              </w:tc>
              <w:tc>
                <w:tcPr>
                  <w:tcW w:w="418" w:type="pct"/>
                  <w:noWrap w:val="0"/>
                  <w:vAlign w:val="center"/>
                </w:tcPr>
                <w:p w14:paraId="1A1E216F">
                  <w:pPr>
                    <w:widowControl/>
                    <w:spacing w:line="240" w:lineRule="auto"/>
                    <w:ind w:firstLine="0" w:firstLineChars="0"/>
                    <w:jc w:val="center"/>
                    <w:rPr>
                      <w:rFonts w:hint="default"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总混</w:t>
                  </w:r>
                </w:p>
              </w:tc>
              <w:tc>
                <w:tcPr>
                  <w:tcW w:w="1371" w:type="pct"/>
                  <w:shd w:val="clear" w:color="auto" w:fill="auto"/>
                  <w:noWrap w:val="0"/>
                  <w:vAlign w:val="center"/>
                </w:tcPr>
                <w:p w14:paraId="05B5D26D">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二维运动</w:t>
                  </w:r>
                  <w:r>
                    <w:rPr>
                      <w:rFonts w:hint="eastAsia" w:ascii="宋体" w:hAnsi="宋体" w:cs="宋体"/>
                      <w:color w:val="000000" w:themeColor="text1"/>
                      <w:kern w:val="0"/>
                      <w:sz w:val="21"/>
                      <w:szCs w:val="24"/>
                      <w:lang w:val="en-US" w:eastAsia="zh-CN" w:bidi="ar-SA"/>
                      <w14:textFill>
                        <w14:solidFill>
                          <w14:schemeClr w14:val="tx1"/>
                        </w14:solidFill>
                      </w14:textFill>
                    </w:rPr>
                    <w:t>混合机</w:t>
                  </w:r>
                </w:p>
              </w:tc>
              <w:tc>
                <w:tcPr>
                  <w:tcW w:w="1161" w:type="pct"/>
                  <w:shd w:val="clear" w:color="auto" w:fill="auto"/>
                  <w:noWrap w:val="0"/>
                  <w:vAlign w:val="center"/>
                </w:tcPr>
                <w:p w14:paraId="2F12D9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shd w:val="clear" w:color="auto" w:fill="auto"/>
                  <w:noWrap w:val="0"/>
                  <w:vAlign w:val="center"/>
                </w:tcPr>
                <w:p w14:paraId="5984ABE1">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72AE8DF2">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27AA52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097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5D886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w:t>
                  </w:r>
                </w:p>
              </w:tc>
              <w:tc>
                <w:tcPr>
                  <w:tcW w:w="418" w:type="pct"/>
                  <w:noWrap w:val="0"/>
                  <w:vAlign w:val="center"/>
                </w:tcPr>
                <w:p w14:paraId="6989968F">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压片</w:t>
                  </w:r>
                </w:p>
              </w:tc>
              <w:tc>
                <w:tcPr>
                  <w:tcW w:w="1371" w:type="pct"/>
                  <w:noWrap w:val="0"/>
                  <w:vAlign w:val="center"/>
                </w:tcPr>
                <w:p w14:paraId="0D1FF275">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default" w:ascii="宋体" w:hAnsi="宋体" w:eastAsia="宋体" w:cs="宋体"/>
                      <w:color w:val="000000" w:themeColor="text1"/>
                      <w:kern w:val="0"/>
                      <w:sz w:val="21"/>
                      <w:szCs w:val="24"/>
                      <w:lang w:val="en-US" w:eastAsia="zh-CN" w:bidi="ar-SA"/>
                      <w14:textFill>
                        <w14:solidFill>
                          <w14:schemeClr w14:val="tx1"/>
                        </w14:solidFill>
                      </w14:textFill>
                    </w:rPr>
                    <w:t>旋转式压片机</w:t>
                  </w:r>
                </w:p>
              </w:tc>
              <w:tc>
                <w:tcPr>
                  <w:tcW w:w="1161" w:type="pct"/>
                  <w:shd w:val="clear" w:color="auto" w:fill="auto"/>
                  <w:noWrap w:val="0"/>
                  <w:vAlign w:val="center"/>
                </w:tcPr>
                <w:p w14:paraId="13413618">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bCs/>
                      <w:color w:val="000000" w:themeColor="text1"/>
                      <w:szCs w:val="21"/>
                      <w14:textFill>
                        <w14:solidFill>
                          <w14:schemeClr w14:val="tx1"/>
                        </w14:solidFill>
                      </w14:textFill>
                    </w:rPr>
                    <w:t>47冲</w:t>
                  </w:r>
                </w:p>
              </w:tc>
              <w:tc>
                <w:tcPr>
                  <w:tcW w:w="409" w:type="pct"/>
                  <w:noWrap w:val="0"/>
                  <w:vAlign w:val="center"/>
                </w:tcPr>
                <w:p w14:paraId="59279131">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4B2F656A">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4</w:t>
                  </w:r>
                </w:p>
              </w:tc>
              <w:tc>
                <w:tcPr>
                  <w:tcW w:w="748" w:type="pct"/>
                  <w:shd w:val="clear" w:color="auto" w:fill="auto"/>
                  <w:noWrap w:val="0"/>
                  <w:vAlign w:val="center"/>
                </w:tcPr>
                <w:p w14:paraId="5C54AE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C2B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269A88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9</w:t>
                  </w:r>
                </w:p>
              </w:tc>
              <w:tc>
                <w:tcPr>
                  <w:tcW w:w="418" w:type="pct"/>
                  <w:vMerge w:val="restart"/>
                  <w:noWrap w:val="0"/>
                  <w:vAlign w:val="center"/>
                </w:tcPr>
                <w:p w14:paraId="5DEF2671">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包衣</w:t>
                  </w:r>
                </w:p>
              </w:tc>
              <w:tc>
                <w:tcPr>
                  <w:tcW w:w="1371" w:type="pct"/>
                  <w:shd w:val="clear" w:color="auto" w:fill="auto"/>
                  <w:noWrap w:val="0"/>
                  <w:vAlign w:val="center"/>
                </w:tcPr>
                <w:p w14:paraId="37F903A7">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包衣机</w:t>
                  </w:r>
                </w:p>
              </w:tc>
              <w:tc>
                <w:tcPr>
                  <w:tcW w:w="1161" w:type="pct"/>
                  <w:shd w:val="clear" w:color="auto" w:fill="auto"/>
                  <w:noWrap w:val="0"/>
                  <w:vAlign w:val="center"/>
                </w:tcPr>
                <w:p w14:paraId="4CC9FA4E">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bCs/>
                      <w:color w:val="000000" w:themeColor="text1"/>
                      <w:szCs w:val="21"/>
                      <w14:textFill>
                        <w14:solidFill>
                          <w14:schemeClr w14:val="tx1"/>
                        </w14:solidFill>
                      </w14:textFill>
                    </w:rPr>
                    <w:t>1000型</w:t>
                  </w:r>
                </w:p>
              </w:tc>
              <w:tc>
                <w:tcPr>
                  <w:tcW w:w="409" w:type="pct"/>
                  <w:noWrap w:val="0"/>
                  <w:vAlign w:val="center"/>
                </w:tcPr>
                <w:p w14:paraId="2204637D">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447D7E21">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12</w:t>
                  </w:r>
                </w:p>
              </w:tc>
              <w:tc>
                <w:tcPr>
                  <w:tcW w:w="748" w:type="pct"/>
                  <w:shd w:val="clear" w:color="auto" w:fill="auto"/>
                  <w:noWrap w:val="0"/>
                  <w:vAlign w:val="center"/>
                </w:tcPr>
                <w:p w14:paraId="5ACE15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423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EA00A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w:t>
                  </w:r>
                </w:p>
              </w:tc>
              <w:tc>
                <w:tcPr>
                  <w:tcW w:w="418" w:type="pct"/>
                  <w:vMerge w:val="continue"/>
                  <w:noWrap w:val="0"/>
                  <w:vAlign w:val="center"/>
                </w:tcPr>
                <w:p w14:paraId="15CAF770">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4F95B971">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夹层锅</w:t>
                  </w:r>
                </w:p>
              </w:tc>
              <w:tc>
                <w:tcPr>
                  <w:tcW w:w="1161" w:type="pct"/>
                  <w:shd w:val="clear" w:color="auto" w:fill="auto"/>
                  <w:noWrap w:val="0"/>
                  <w:vAlign w:val="center"/>
                </w:tcPr>
                <w:p w14:paraId="6057671D">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bCs/>
                      <w:color w:val="000000" w:themeColor="text1"/>
                      <w:szCs w:val="21"/>
                      <w14:textFill>
                        <w14:solidFill>
                          <w14:schemeClr w14:val="tx1"/>
                        </w14:solidFill>
                      </w14:textFill>
                    </w:rPr>
                    <w:t>200L</w:t>
                  </w:r>
                </w:p>
              </w:tc>
              <w:tc>
                <w:tcPr>
                  <w:tcW w:w="409" w:type="pct"/>
                  <w:noWrap w:val="0"/>
                  <w:vAlign w:val="center"/>
                </w:tcPr>
                <w:p w14:paraId="0A292886">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59A32A5F">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717661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FF7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27DB1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11</w:t>
                  </w:r>
                </w:p>
              </w:tc>
              <w:tc>
                <w:tcPr>
                  <w:tcW w:w="418" w:type="pct"/>
                  <w:noWrap w:val="0"/>
                  <w:vAlign w:val="center"/>
                </w:tcPr>
                <w:p w14:paraId="4DF49B34">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合坨</w:t>
                  </w:r>
                </w:p>
              </w:tc>
              <w:tc>
                <w:tcPr>
                  <w:tcW w:w="1371" w:type="pct"/>
                  <w:shd w:val="clear" w:color="auto" w:fill="auto"/>
                  <w:noWrap w:val="0"/>
                  <w:vAlign w:val="center"/>
                </w:tcPr>
                <w:p w14:paraId="7D8D6345">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炼药机</w:t>
                  </w:r>
                </w:p>
              </w:tc>
              <w:tc>
                <w:tcPr>
                  <w:tcW w:w="1161" w:type="pct"/>
                  <w:noWrap w:val="0"/>
                  <w:vAlign w:val="center"/>
                </w:tcPr>
                <w:p w14:paraId="63F3C4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noWrap w:val="0"/>
                  <w:vAlign w:val="center"/>
                </w:tcPr>
                <w:p w14:paraId="4999A19F">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37776BB7">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60D2A7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6DA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65E40A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12</w:t>
                  </w:r>
                </w:p>
              </w:tc>
              <w:tc>
                <w:tcPr>
                  <w:tcW w:w="418" w:type="pct"/>
                  <w:noWrap w:val="0"/>
                  <w:vAlign w:val="center"/>
                </w:tcPr>
                <w:p w14:paraId="627C0461">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制丸</w:t>
                  </w:r>
                </w:p>
              </w:tc>
              <w:tc>
                <w:tcPr>
                  <w:tcW w:w="1371" w:type="pct"/>
                  <w:shd w:val="clear" w:color="auto" w:fill="auto"/>
                  <w:noWrap w:val="0"/>
                  <w:vAlign w:val="center"/>
                </w:tcPr>
                <w:p w14:paraId="695ADB27">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default" w:ascii="宋体" w:hAnsi="宋体" w:eastAsia="宋体" w:cs="宋体"/>
                      <w:color w:val="000000" w:themeColor="text1"/>
                      <w:kern w:val="0"/>
                      <w:sz w:val="21"/>
                      <w:szCs w:val="24"/>
                      <w:lang w:val="en-US" w:eastAsia="zh-CN" w:bidi="ar-SA"/>
                      <w14:textFill>
                        <w14:solidFill>
                          <w14:schemeClr w14:val="tx1"/>
                        </w14:solidFill>
                      </w14:textFill>
                    </w:rPr>
                    <w:t>中药制丸机</w:t>
                  </w:r>
                </w:p>
              </w:tc>
              <w:tc>
                <w:tcPr>
                  <w:tcW w:w="1161" w:type="pct"/>
                  <w:noWrap w:val="0"/>
                  <w:vAlign w:val="center"/>
                </w:tcPr>
                <w:p w14:paraId="648E6B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noWrap w:val="0"/>
                  <w:vAlign w:val="center"/>
                </w:tcPr>
                <w:p w14:paraId="0696F28A">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0183BE5F">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7C2B33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B05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094411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13</w:t>
                  </w:r>
                </w:p>
              </w:tc>
              <w:tc>
                <w:tcPr>
                  <w:tcW w:w="418" w:type="pct"/>
                  <w:noWrap w:val="0"/>
                  <w:vAlign w:val="center"/>
                </w:tcPr>
                <w:p w14:paraId="4C99F7D2">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筛丸</w:t>
                  </w:r>
                </w:p>
              </w:tc>
              <w:tc>
                <w:tcPr>
                  <w:tcW w:w="1371" w:type="pct"/>
                  <w:shd w:val="clear" w:color="auto" w:fill="auto"/>
                  <w:noWrap w:val="0"/>
                  <w:vAlign w:val="center"/>
                </w:tcPr>
                <w:p w14:paraId="3A842298">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default" w:ascii="宋体" w:hAnsi="宋体" w:eastAsia="宋体" w:cs="宋体"/>
                      <w:color w:val="000000" w:themeColor="text1"/>
                      <w:kern w:val="0"/>
                      <w:sz w:val="21"/>
                      <w:szCs w:val="24"/>
                      <w:lang w:val="en-US" w:eastAsia="zh-CN" w:bidi="ar-SA"/>
                      <w14:textFill>
                        <w14:solidFill>
                          <w14:schemeClr w14:val="tx1"/>
                        </w14:solidFill>
                      </w14:textFill>
                    </w:rPr>
                    <w:t>丸粒滚</w:t>
                  </w:r>
                  <w:r>
                    <w:rPr>
                      <w:rFonts w:hint="eastAsia" w:ascii="宋体" w:hAnsi="宋体" w:cs="宋体"/>
                      <w:color w:val="000000" w:themeColor="text1"/>
                      <w:kern w:val="0"/>
                      <w:sz w:val="21"/>
                      <w:szCs w:val="24"/>
                      <w:lang w:val="en-US" w:eastAsia="zh-CN" w:bidi="ar-SA"/>
                      <w14:textFill>
                        <w14:solidFill>
                          <w14:schemeClr w14:val="tx1"/>
                        </w14:solidFill>
                      </w14:textFill>
                    </w:rPr>
                    <w:t>筒</w:t>
                  </w:r>
                  <w:r>
                    <w:rPr>
                      <w:rFonts w:hint="default" w:ascii="宋体" w:hAnsi="宋体" w:eastAsia="宋体" w:cs="宋体"/>
                      <w:color w:val="000000" w:themeColor="text1"/>
                      <w:kern w:val="0"/>
                      <w:sz w:val="21"/>
                      <w:szCs w:val="24"/>
                      <w:lang w:val="en-US" w:eastAsia="zh-CN" w:bidi="ar-SA"/>
                      <w14:textFill>
                        <w14:solidFill>
                          <w14:schemeClr w14:val="tx1"/>
                        </w14:solidFill>
                      </w14:textFill>
                    </w:rPr>
                    <w:t>筛</w:t>
                  </w:r>
                </w:p>
              </w:tc>
              <w:tc>
                <w:tcPr>
                  <w:tcW w:w="1161" w:type="pct"/>
                  <w:noWrap w:val="0"/>
                  <w:vAlign w:val="center"/>
                </w:tcPr>
                <w:p w14:paraId="0166E6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noWrap w:val="0"/>
                  <w:vAlign w:val="center"/>
                </w:tcPr>
                <w:p w14:paraId="4FED6AB2">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48A12165">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1D24E7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928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2164B3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14</w:t>
                  </w:r>
                </w:p>
              </w:tc>
              <w:tc>
                <w:tcPr>
                  <w:tcW w:w="418" w:type="pct"/>
                  <w:noWrap w:val="0"/>
                  <w:vAlign w:val="center"/>
                </w:tcPr>
                <w:p w14:paraId="02B94094">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打光</w:t>
                  </w:r>
                </w:p>
              </w:tc>
              <w:tc>
                <w:tcPr>
                  <w:tcW w:w="1371" w:type="pct"/>
                  <w:shd w:val="clear" w:color="auto" w:fill="auto"/>
                  <w:noWrap w:val="0"/>
                  <w:vAlign w:val="center"/>
                </w:tcPr>
                <w:p w14:paraId="7836C835">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夹层锅</w:t>
                  </w:r>
                </w:p>
              </w:tc>
              <w:tc>
                <w:tcPr>
                  <w:tcW w:w="1161" w:type="pct"/>
                  <w:noWrap w:val="0"/>
                  <w:vAlign w:val="center"/>
                </w:tcPr>
                <w:p w14:paraId="5E1000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Cs/>
                      <w:color w:val="000000" w:themeColor="text1"/>
                      <w:szCs w:val="21"/>
                      <w:lang w:val="en-US" w:eastAsia="zh-CN"/>
                      <w14:textFill>
                        <w14:solidFill>
                          <w14:schemeClr w14:val="tx1"/>
                        </w14:solidFill>
                      </w14:textFill>
                    </w:rPr>
                  </w:pPr>
                  <w:r>
                    <w:rPr>
                      <w:rFonts w:hint="eastAsia"/>
                      <w:bCs/>
                      <w:color w:val="000000" w:themeColor="text1"/>
                      <w:szCs w:val="21"/>
                      <w14:textFill>
                        <w14:solidFill>
                          <w14:schemeClr w14:val="tx1"/>
                        </w14:solidFill>
                      </w14:textFill>
                    </w:rPr>
                    <w:t>200L</w:t>
                  </w:r>
                </w:p>
              </w:tc>
              <w:tc>
                <w:tcPr>
                  <w:tcW w:w="409" w:type="pct"/>
                  <w:noWrap w:val="0"/>
                  <w:vAlign w:val="center"/>
                </w:tcPr>
                <w:p w14:paraId="3E4DBD92">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3810FF34">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147FF4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5BB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0CAB54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15</w:t>
                  </w:r>
                </w:p>
              </w:tc>
              <w:tc>
                <w:tcPr>
                  <w:tcW w:w="418" w:type="pct"/>
                  <w:vMerge w:val="restart"/>
                  <w:noWrap w:val="0"/>
                  <w:vAlign w:val="center"/>
                </w:tcPr>
                <w:p w14:paraId="00CFDB5A">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内包装</w:t>
                  </w:r>
                </w:p>
              </w:tc>
              <w:tc>
                <w:tcPr>
                  <w:tcW w:w="1371" w:type="pct"/>
                  <w:shd w:val="clear" w:color="auto" w:fill="auto"/>
                  <w:noWrap w:val="0"/>
                  <w:vAlign w:val="center"/>
                </w:tcPr>
                <w:p w14:paraId="00BA9CCE">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全自动包装机</w:t>
                  </w:r>
                </w:p>
              </w:tc>
              <w:tc>
                <w:tcPr>
                  <w:tcW w:w="1161" w:type="pct"/>
                  <w:noWrap w:val="0"/>
                  <w:vAlign w:val="center"/>
                </w:tcPr>
                <w:p w14:paraId="49CD95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noWrap w:val="0"/>
                  <w:vAlign w:val="center"/>
                </w:tcPr>
                <w:p w14:paraId="76A9A0F3">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5861595F">
                  <w:pPr>
                    <w:widowControl/>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w:t>
                  </w:r>
                </w:p>
              </w:tc>
              <w:tc>
                <w:tcPr>
                  <w:tcW w:w="748" w:type="pct"/>
                  <w:shd w:val="clear" w:color="auto" w:fill="auto"/>
                  <w:noWrap w:val="0"/>
                  <w:vAlign w:val="center"/>
                </w:tcPr>
                <w:p w14:paraId="04280E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0391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0BC1A0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16</w:t>
                  </w:r>
                </w:p>
              </w:tc>
              <w:tc>
                <w:tcPr>
                  <w:tcW w:w="418" w:type="pct"/>
                  <w:vMerge w:val="continue"/>
                  <w:noWrap w:val="0"/>
                  <w:vAlign w:val="center"/>
                </w:tcPr>
                <w:p w14:paraId="5A56734F">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057CF879">
                  <w:pPr>
                    <w:widowControl/>
                    <w:spacing w:line="240" w:lineRule="auto"/>
                    <w:ind w:firstLine="0" w:firstLineChars="0"/>
                    <w:jc w:val="center"/>
                    <w:rPr>
                      <w:rFonts w:hint="default" w:ascii="宋体" w:hAnsi="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自动颗粒包装机</w:t>
                  </w:r>
                </w:p>
              </w:tc>
              <w:tc>
                <w:tcPr>
                  <w:tcW w:w="1161" w:type="pct"/>
                  <w:noWrap w:val="0"/>
                  <w:vAlign w:val="center"/>
                </w:tcPr>
                <w:p w14:paraId="6EA84C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noWrap w:val="0"/>
                  <w:vAlign w:val="center"/>
                </w:tcPr>
                <w:p w14:paraId="7A02B3BB">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68464C47">
                  <w:pPr>
                    <w:widowControl/>
                    <w:jc w:val="center"/>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w:t>
                  </w:r>
                </w:p>
              </w:tc>
              <w:tc>
                <w:tcPr>
                  <w:tcW w:w="748" w:type="pct"/>
                  <w:shd w:val="clear" w:color="auto" w:fill="auto"/>
                  <w:noWrap w:val="0"/>
                  <w:vAlign w:val="center"/>
                </w:tcPr>
                <w:p w14:paraId="12162D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7E1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AAF4C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17</w:t>
                  </w:r>
                </w:p>
              </w:tc>
              <w:tc>
                <w:tcPr>
                  <w:tcW w:w="418" w:type="pct"/>
                  <w:vMerge w:val="continue"/>
                  <w:noWrap w:val="0"/>
                  <w:vAlign w:val="center"/>
                </w:tcPr>
                <w:p w14:paraId="3C11599D">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63739A4B">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高速理瓶机</w:t>
                  </w:r>
                </w:p>
              </w:tc>
              <w:tc>
                <w:tcPr>
                  <w:tcW w:w="1161" w:type="pct"/>
                  <w:shd w:val="clear" w:color="auto" w:fill="auto"/>
                  <w:noWrap w:val="0"/>
                  <w:vAlign w:val="center"/>
                </w:tcPr>
                <w:p w14:paraId="31D513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59934CB4">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379FE68A">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42274F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251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2AC108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c>
                <w:tcPr>
                  <w:tcW w:w="418" w:type="pct"/>
                  <w:vMerge w:val="continue"/>
                  <w:noWrap w:val="0"/>
                  <w:vAlign w:val="center"/>
                </w:tcPr>
                <w:p w14:paraId="2AA2FCFF">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1700242E">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高速摆动式数片机</w:t>
                  </w:r>
                </w:p>
              </w:tc>
              <w:tc>
                <w:tcPr>
                  <w:tcW w:w="1161" w:type="pct"/>
                  <w:noWrap w:val="0"/>
                  <w:vAlign w:val="center"/>
                </w:tcPr>
                <w:p w14:paraId="3D2221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noWrap w:val="0"/>
                  <w:vAlign w:val="center"/>
                </w:tcPr>
                <w:p w14:paraId="38D68122">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2743FDDC">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06FDD0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875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045304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19</w:t>
                  </w:r>
                </w:p>
              </w:tc>
              <w:tc>
                <w:tcPr>
                  <w:tcW w:w="418" w:type="pct"/>
                  <w:vMerge w:val="continue"/>
                  <w:noWrap w:val="0"/>
                  <w:vAlign w:val="center"/>
                </w:tcPr>
                <w:p w14:paraId="00BE338C">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0F29EEAB">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高速旋盖机</w:t>
                  </w:r>
                </w:p>
              </w:tc>
              <w:tc>
                <w:tcPr>
                  <w:tcW w:w="1161" w:type="pct"/>
                  <w:shd w:val="clear" w:color="auto" w:fill="auto"/>
                  <w:noWrap w:val="0"/>
                  <w:vAlign w:val="center"/>
                </w:tcPr>
                <w:p w14:paraId="161B30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shd w:val="clear" w:color="auto" w:fill="auto"/>
                  <w:noWrap w:val="0"/>
                  <w:vAlign w:val="center"/>
                </w:tcPr>
                <w:p w14:paraId="12E27616">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0B640620">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513ACA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2CCD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38348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w:t>
                  </w:r>
                </w:p>
              </w:tc>
              <w:tc>
                <w:tcPr>
                  <w:tcW w:w="418" w:type="pct"/>
                  <w:vMerge w:val="continue"/>
                  <w:noWrap w:val="0"/>
                  <w:vAlign w:val="center"/>
                </w:tcPr>
                <w:p w14:paraId="419B43FE">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6ACF60BE">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电磁感应封口机</w:t>
                  </w:r>
                </w:p>
              </w:tc>
              <w:tc>
                <w:tcPr>
                  <w:tcW w:w="1161" w:type="pct"/>
                  <w:shd w:val="clear" w:color="auto" w:fill="auto"/>
                  <w:noWrap w:val="0"/>
                  <w:vAlign w:val="center"/>
                </w:tcPr>
                <w:p w14:paraId="4A8882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shd w:val="clear" w:color="auto" w:fill="auto"/>
                  <w:noWrap w:val="0"/>
                  <w:vAlign w:val="center"/>
                </w:tcPr>
                <w:p w14:paraId="069F5797">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4657C146">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325335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57F4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1DD54E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21</w:t>
                  </w:r>
                </w:p>
              </w:tc>
              <w:tc>
                <w:tcPr>
                  <w:tcW w:w="418" w:type="pct"/>
                  <w:vMerge w:val="restart"/>
                  <w:noWrap w:val="0"/>
                  <w:vAlign w:val="center"/>
                </w:tcPr>
                <w:p w14:paraId="1C00FB36">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中包装</w:t>
                  </w:r>
                </w:p>
              </w:tc>
              <w:tc>
                <w:tcPr>
                  <w:tcW w:w="1371" w:type="pct"/>
                  <w:shd w:val="clear" w:color="auto" w:fill="auto"/>
                  <w:noWrap w:val="0"/>
                  <w:vAlign w:val="center"/>
                </w:tcPr>
                <w:p w14:paraId="7CD54656">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自动装盒机</w:t>
                  </w:r>
                </w:p>
              </w:tc>
              <w:tc>
                <w:tcPr>
                  <w:tcW w:w="1161" w:type="pct"/>
                  <w:shd w:val="clear" w:color="auto" w:fill="auto"/>
                  <w:noWrap w:val="0"/>
                  <w:vAlign w:val="center"/>
                </w:tcPr>
                <w:p w14:paraId="4A418B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shd w:val="clear" w:color="auto" w:fill="auto"/>
                  <w:noWrap w:val="0"/>
                  <w:vAlign w:val="center"/>
                </w:tcPr>
                <w:p w14:paraId="3E4DEA18">
                  <w:pPr>
                    <w:widowControl/>
                    <w:spacing w:line="240" w:lineRule="auto"/>
                    <w:ind w:firstLine="0" w:firstLineChars="0"/>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6AFF2520">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780C20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F95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1267F5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22</w:t>
                  </w:r>
                </w:p>
              </w:tc>
              <w:tc>
                <w:tcPr>
                  <w:tcW w:w="418" w:type="pct"/>
                  <w:vMerge w:val="continue"/>
                  <w:noWrap w:val="0"/>
                  <w:vAlign w:val="center"/>
                </w:tcPr>
                <w:p w14:paraId="1CB4A044">
                  <w:pPr>
                    <w:widowControl/>
                    <w:spacing w:line="240" w:lineRule="auto"/>
                    <w:ind w:firstLine="0" w:firstLineChars="0"/>
                    <w:jc w:val="center"/>
                    <w:rPr>
                      <w:rFonts w:hint="eastAsia" w:ascii="宋体" w:hAnsi="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62887AE5">
                  <w:pPr>
                    <w:widowControl/>
                    <w:spacing w:line="240" w:lineRule="auto"/>
                    <w:ind w:firstLine="0" w:firstLineChars="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全自动热收缩包装机</w:t>
                  </w:r>
                </w:p>
              </w:tc>
              <w:tc>
                <w:tcPr>
                  <w:tcW w:w="1161" w:type="pct"/>
                  <w:shd w:val="clear" w:color="auto" w:fill="auto"/>
                  <w:noWrap w:val="0"/>
                  <w:vAlign w:val="center"/>
                </w:tcPr>
                <w:p w14:paraId="7B0B0F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shd w:val="clear" w:color="auto" w:fill="auto"/>
                  <w:noWrap w:val="0"/>
                  <w:vAlign w:val="center"/>
                </w:tcPr>
                <w:p w14:paraId="02A04FCA">
                  <w:pPr>
                    <w:widowControl/>
                    <w:spacing w:line="240" w:lineRule="auto"/>
                    <w:ind w:firstLine="0" w:firstLineChars="0"/>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714FF953">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1F4EF0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5496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093D17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23</w:t>
                  </w:r>
                </w:p>
              </w:tc>
              <w:tc>
                <w:tcPr>
                  <w:tcW w:w="418" w:type="pct"/>
                  <w:vMerge w:val="restart"/>
                  <w:noWrap w:val="0"/>
                  <w:vAlign w:val="center"/>
                </w:tcPr>
                <w:p w14:paraId="2D48F419">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外包装</w:t>
                  </w:r>
                </w:p>
              </w:tc>
              <w:tc>
                <w:tcPr>
                  <w:tcW w:w="1371" w:type="pct"/>
                  <w:shd w:val="clear" w:color="auto" w:fill="auto"/>
                  <w:noWrap w:val="0"/>
                  <w:vAlign w:val="center"/>
                </w:tcPr>
                <w:p w14:paraId="5C53E0D6">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不干胶贴标机</w:t>
                  </w:r>
                </w:p>
              </w:tc>
              <w:tc>
                <w:tcPr>
                  <w:tcW w:w="1161" w:type="pct"/>
                  <w:shd w:val="clear" w:color="auto" w:fill="auto"/>
                  <w:noWrap w:val="0"/>
                  <w:vAlign w:val="center"/>
                </w:tcPr>
                <w:p w14:paraId="3CF903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shd w:val="clear" w:color="auto" w:fill="auto"/>
                  <w:noWrap w:val="0"/>
                  <w:vAlign w:val="center"/>
                </w:tcPr>
                <w:p w14:paraId="352458AE">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462465CF">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7D2DA0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5B72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285FF6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24</w:t>
                  </w:r>
                </w:p>
              </w:tc>
              <w:tc>
                <w:tcPr>
                  <w:tcW w:w="418" w:type="pct"/>
                  <w:vMerge w:val="continue"/>
                  <w:noWrap w:val="0"/>
                  <w:vAlign w:val="center"/>
                </w:tcPr>
                <w:p w14:paraId="765EDFA7">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4CB2AEAF">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A-P多米诺喷码机</w:t>
                  </w:r>
                </w:p>
              </w:tc>
              <w:tc>
                <w:tcPr>
                  <w:tcW w:w="1161" w:type="pct"/>
                  <w:shd w:val="clear" w:color="auto" w:fill="auto"/>
                  <w:noWrap w:val="0"/>
                  <w:vAlign w:val="center"/>
                </w:tcPr>
                <w:p w14:paraId="1E1835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shd w:val="clear" w:color="auto" w:fill="auto"/>
                  <w:noWrap w:val="0"/>
                  <w:vAlign w:val="center"/>
                </w:tcPr>
                <w:p w14:paraId="5B386C74">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63885D6E">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489803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9F6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C2B6E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25</w:t>
                  </w:r>
                </w:p>
              </w:tc>
              <w:tc>
                <w:tcPr>
                  <w:tcW w:w="418" w:type="pct"/>
                  <w:vMerge w:val="continue"/>
                  <w:noWrap w:val="0"/>
                  <w:vAlign w:val="center"/>
                </w:tcPr>
                <w:p w14:paraId="33295402">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279BEA49">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远红外收缩炉</w:t>
                  </w:r>
                </w:p>
              </w:tc>
              <w:tc>
                <w:tcPr>
                  <w:tcW w:w="1161" w:type="pct"/>
                  <w:shd w:val="clear" w:color="auto" w:fill="auto"/>
                  <w:noWrap w:val="0"/>
                  <w:vAlign w:val="center"/>
                </w:tcPr>
                <w:p w14:paraId="14F6AB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shd w:val="clear" w:color="auto" w:fill="auto"/>
                  <w:noWrap w:val="0"/>
                  <w:vAlign w:val="center"/>
                </w:tcPr>
                <w:p w14:paraId="36EB43ED">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71E1CA05">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1A8FF5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14B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6DC5C2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26</w:t>
                  </w:r>
                </w:p>
              </w:tc>
              <w:tc>
                <w:tcPr>
                  <w:tcW w:w="418" w:type="pct"/>
                  <w:vMerge w:val="continue"/>
                  <w:noWrap w:val="0"/>
                  <w:vAlign w:val="center"/>
                </w:tcPr>
                <w:p w14:paraId="612B9013">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1B318459">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自动有色标示机</w:t>
                  </w:r>
                </w:p>
              </w:tc>
              <w:tc>
                <w:tcPr>
                  <w:tcW w:w="1161" w:type="pct"/>
                  <w:shd w:val="clear" w:color="auto" w:fill="auto"/>
                  <w:noWrap w:val="0"/>
                  <w:vAlign w:val="center"/>
                </w:tcPr>
                <w:p w14:paraId="4BDB07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shd w:val="clear" w:color="auto" w:fill="auto"/>
                  <w:noWrap w:val="0"/>
                  <w:vAlign w:val="center"/>
                </w:tcPr>
                <w:p w14:paraId="17C2A3D9">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328C0F11">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20593C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5589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noWrap w:val="0"/>
                  <w:vAlign w:val="center"/>
                </w:tcPr>
                <w:p w14:paraId="0E289B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27</w:t>
                  </w:r>
                </w:p>
              </w:tc>
              <w:tc>
                <w:tcPr>
                  <w:tcW w:w="418" w:type="pct"/>
                  <w:vMerge w:val="continue"/>
                  <w:noWrap w:val="0"/>
                  <w:vAlign w:val="center"/>
                </w:tcPr>
                <w:p w14:paraId="2E3D3E2B">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68930A02">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themeColor="text1"/>
                      <w:kern w:val="0"/>
                      <w:sz w:val="21"/>
                      <w:szCs w:val="24"/>
                      <w:lang w:val="en-US" w:eastAsia="zh-CN" w:bidi="ar-SA"/>
                      <w14:textFill>
                        <w14:solidFill>
                          <w14:schemeClr w14:val="tx1"/>
                        </w14:solidFill>
                      </w14:textFill>
                    </w:rPr>
                    <w:t>塑料带捆扎机</w:t>
                  </w:r>
                </w:p>
              </w:tc>
              <w:tc>
                <w:tcPr>
                  <w:tcW w:w="1161" w:type="pct"/>
                  <w:shd w:val="clear" w:color="auto" w:fill="auto"/>
                  <w:noWrap w:val="0"/>
                  <w:vAlign w:val="center"/>
                </w:tcPr>
                <w:p w14:paraId="62E436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w:t>
                  </w:r>
                </w:p>
              </w:tc>
              <w:tc>
                <w:tcPr>
                  <w:tcW w:w="409" w:type="pct"/>
                  <w:shd w:val="clear" w:color="auto" w:fill="auto"/>
                  <w:noWrap w:val="0"/>
                  <w:vAlign w:val="center"/>
                </w:tcPr>
                <w:p w14:paraId="5724639C">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757B0CD5">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5292C1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09DB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noWrap w:val="0"/>
                  <w:vAlign w:val="center"/>
                </w:tcPr>
                <w:p w14:paraId="7E7E60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四</w:t>
                  </w:r>
                </w:p>
              </w:tc>
              <w:tc>
                <w:tcPr>
                  <w:tcW w:w="4586" w:type="pct"/>
                  <w:gridSpan w:val="6"/>
                  <w:noWrap w:val="0"/>
                  <w:vAlign w:val="center"/>
                </w:tcPr>
                <w:p w14:paraId="3DB18E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液体制剂生产设备</w:t>
                  </w:r>
                </w:p>
              </w:tc>
            </w:tr>
            <w:tr w14:paraId="59FD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A1210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w:t>
                  </w:r>
                </w:p>
              </w:tc>
              <w:tc>
                <w:tcPr>
                  <w:tcW w:w="418" w:type="pct"/>
                  <w:vMerge w:val="restart"/>
                  <w:noWrap w:val="0"/>
                  <w:vAlign w:val="center"/>
                </w:tcPr>
                <w:p w14:paraId="2F3A3702">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default" w:ascii="宋体" w:hAnsi="宋体" w:eastAsia="宋体" w:cs="宋体"/>
                      <w:color w:val="000000" w:themeColor="text1"/>
                      <w:kern w:val="0"/>
                      <w:sz w:val="21"/>
                      <w:szCs w:val="24"/>
                      <w:lang w:val="en-US" w:eastAsia="zh-CN" w:bidi="ar-SA"/>
                      <w14:textFill>
                        <w14:solidFill>
                          <w14:schemeClr w14:val="tx1"/>
                        </w14:solidFill>
                      </w14:textFill>
                    </w:rPr>
                    <w:t>配液</w:t>
                  </w:r>
                </w:p>
              </w:tc>
              <w:tc>
                <w:tcPr>
                  <w:tcW w:w="1371" w:type="pct"/>
                  <w:shd w:val="clear" w:color="auto" w:fill="auto"/>
                  <w:noWrap w:val="0"/>
                  <w:vAlign w:val="center"/>
                </w:tcPr>
                <w:p w14:paraId="7AA9AA01">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配制罐</w:t>
                  </w:r>
                </w:p>
              </w:tc>
              <w:tc>
                <w:tcPr>
                  <w:tcW w:w="1161" w:type="pct"/>
                  <w:noWrap w:val="0"/>
                  <w:vAlign w:val="center"/>
                </w:tcPr>
                <w:p w14:paraId="55B542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627C48DF">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3C5349F9">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78C7C6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554F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8D28D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w:t>
                  </w:r>
                </w:p>
              </w:tc>
              <w:tc>
                <w:tcPr>
                  <w:tcW w:w="418" w:type="pct"/>
                  <w:vMerge w:val="continue"/>
                  <w:noWrap w:val="0"/>
                  <w:vAlign w:val="center"/>
                </w:tcPr>
                <w:p w14:paraId="2543F7CD">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66517C06">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静置罐</w:t>
                  </w:r>
                </w:p>
              </w:tc>
              <w:tc>
                <w:tcPr>
                  <w:tcW w:w="1161" w:type="pct"/>
                  <w:noWrap w:val="0"/>
                  <w:vAlign w:val="center"/>
                </w:tcPr>
                <w:p w14:paraId="104B7B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0C1B11C9">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139A8F0D">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0617A3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7982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536A2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418" w:type="pct"/>
                  <w:vMerge w:val="continue"/>
                  <w:noWrap w:val="0"/>
                  <w:vAlign w:val="center"/>
                </w:tcPr>
                <w:p w14:paraId="5D10136B">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5EDDCD35">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贮罐</w:t>
                  </w:r>
                </w:p>
              </w:tc>
              <w:tc>
                <w:tcPr>
                  <w:tcW w:w="1161" w:type="pct"/>
                  <w:noWrap w:val="0"/>
                  <w:vAlign w:val="center"/>
                </w:tcPr>
                <w:p w14:paraId="52E31E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10m</w:t>
                  </w:r>
                  <w:r>
                    <w:rPr>
                      <w:rFonts w:hint="eastAsia" w:cs="Times New Roman"/>
                      <w:color w:val="000000" w:themeColor="text1"/>
                      <w:kern w:val="2"/>
                      <w:sz w:val="21"/>
                      <w:szCs w:val="21"/>
                      <w:vertAlign w:val="superscript"/>
                      <w:lang w:val="en-US" w:eastAsia="zh-CN" w:bidi="ar-SA"/>
                      <w14:textFill>
                        <w14:solidFill>
                          <w14:schemeClr w14:val="tx1"/>
                        </w14:solidFill>
                      </w14:textFill>
                    </w:rPr>
                    <w:t>3</w:t>
                  </w:r>
                </w:p>
              </w:tc>
              <w:tc>
                <w:tcPr>
                  <w:tcW w:w="409" w:type="pct"/>
                  <w:shd w:val="clear" w:color="auto" w:fill="auto"/>
                  <w:noWrap w:val="0"/>
                  <w:vAlign w:val="center"/>
                </w:tcPr>
                <w:p w14:paraId="45041709">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415F8363">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0C2065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1D60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BB089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w:t>
                  </w:r>
                </w:p>
              </w:tc>
              <w:tc>
                <w:tcPr>
                  <w:tcW w:w="418" w:type="pct"/>
                  <w:vMerge w:val="restart"/>
                  <w:noWrap w:val="0"/>
                  <w:vAlign w:val="center"/>
                </w:tcPr>
                <w:p w14:paraId="05C12657">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灌装</w:t>
                  </w:r>
                </w:p>
              </w:tc>
              <w:tc>
                <w:tcPr>
                  <w:tcW w:w="1371" w:type="pct"/>
                  <w:shd w:val="clear" w:color="auto" w:fill="auto"/>
                  <w:noWrap w:val="0"/>
                  <w:vAlign w:val="center"/>
                </w:tcPr>
                <w:p w14:paraId="5A4084C5">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理瓶机</w:t>
                  </w:r>
                </w:p>
              </w:tc>
              <w:tc>
                <w:tcPr>
                  <w:tcW w:w="1161" w:type="pct"/>
                  <w:noWrap w:val="0"/>
                  <w:vAlign w:val="center"/>
                </w:tcPr>
                <w:p w14:paraId="015B91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6B0F67AE">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5882493B">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3631B5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B75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6515A8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w:t>
                  </w:r>
                </w:p>
              </w:tc>
              <w:tc>
                <w:tcPr>
                  <w:tcW w:w="418" w:type="pct"/>
                  <w:vMerge w:val="continue"/>
                  <w:noWrap w:val="0"/>
                  <w:vAlign w:val="center"/>
                </w:tcPr>
                <w:p w14:paraId="7A69B684">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78E112EC">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八泵直线灌装机</w:t>
                  </w:r>
                </w:p>
              </w:tc>
              <w:tc>
                <w:tcPr>
                  <w:tcW w:w="1161" w:type="pct"/>
                  <w:noWrap w:val="0"/>
                  <w:vAlign w:val="center"/>
                </w:tcPr>
                <w:p w14:paraId="72F969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70669255">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7EBD5580">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13BEDC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0553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EB9B3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w:t>
                  </w:r>
                </w:p>
              </w:tc>
              <w:tc>
                <w:tcPr>
                  <w:tcW w:w="418" w:type="pct"/>
                  <w:vMerge w:val="continue"/>
                  <w:noWrap w:val="0"/>
                  <w:vAlign w:val="center"/>
                </w:tcPr>
                <w:p w14:paraId="5EB5A9D5">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37518CBD">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旋盖机</w:t>
                  </w:r>
                </w:p>
              </w:tc>
              <w:tc>
                <w:tcPr>
                  <w:tcW w:w="1161" w:type="pct"/>
                  <w:noWrap w:val="0"/>
                  <w:vAlign w:val="center"/>
                </w:tcPr>
                <w:p w14:paraId="3D62FA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11ADA4F3">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7FD9575E">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7B3BE7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1555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A2CA0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7</w:t>
                  </w:r>
                </w:p>
              </w:tc>
              <w:tc>
                <w:tcPr>
                  <w:tcW w:w="418" w:type="pct"/>
                  <w:vMerge w:val="continue"/>
                  <w:noWrap w:val="0"/>
                  <w:vAlign w:val="center"/>
                </w:tcPr>
                <w:p w14:paraId="07926180">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0632F87B">
                  <w:pPr>
                    <w:widowControl/>
                    <w:spacing w:line="240" w:lineRule="auto"/>
                    <w:ind w:firstLine="0" w:firstLineChars="0"/>
                    <w:jc w:val="center"/>
                    <w:rPr>
                      <w:rFonts w:hint="default" w:ascii="宋体" w:hAnsi="宋体" w:eastAsia="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洗瓶机</w:t>
                  </w:r>
                </w:p>
              </w:tc>
              <w:tc>
                <w:tcPr>
                  <w:tcW w:w="1161" w:type="pct"/>
                  <w:noWrap w:val="0"/>
                  <w:vAlign w:val="center"/>
                </w:tcPr>
                <w:p w14:paraId="7996BC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3F024AEB">
                  <w:pPr>
                    <w:widowControl/>
                    <w:spacing w:line="240" w:lineRule="auto"/>
                    <w:ind w:firstLine="0" w:firstLineChars="0"/>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5E7E6DFD">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06D1C4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89D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2B0094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w:t>
                  </w:r>
                </w:p>
              </w:tc>
              <w:tc>
                <w:tcPr>
                  <w:tcW w:w="418" w:type="pct"/>
                  <w:vMerge w:val="continue"/>
                  <w:noWrap w:val="0"/>
                  <w:vAlign w:val="center"/>
                </w:tcPr>
                <w:p w14:paraId="0E16A8D6">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429E1DEA">
                  <w:pPr>
                    <w:widowControl/>
                    <w:spacing w:line="240" w:lineRule="auto"/>
                    <w:ind w:firstLine="0" w:firstLineChars="0"/>
                    <w:jc w:val="center"/>
                    <w:rPr>
                      <w:rFonts w:hint="eastAsia"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Cs w:val="21"/>
                      <w14:textFill>
                        <w14:solidFill>
                          <w14:schemeClr w14:val="tx1"/>
                        </w14:solidFill>
                      </w14:textFill>
                    </w:rPr>
                    <w:t>正压灌装机</w:t>
                  </w:r>
                </w:p>
              </w:tc>
              <w:tc>
                <w:tcPr>
                  <w:tcW w:w="1161" w:type="pct"/>
                  <w:noWrap w:val="0"/>
                  <w:vAlign w:val="center"/>
                </w:tcPr>
                <w:p w14:paraId="4DAB92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7448DD1E">
                  <w:pPr>
                    <w:widowControl/>
                    <w:spacing w:line="240" w:lineRule="auto"/>
                    <w:ind w:firstLine="0" w:firstLineChars="0"/>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38521E03">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2</w:t>
                  </w:r>
                </w:p>
              </w:tc>
              <w:tc>
                <w:tcPr>
                  <w:tcW w:w="748" w:type="pct"/>
                  <w:shd w:val="clear" w:color="auto" w:fill="auto"/>
                  <w:noWrap w:val="0"/>
                  <w:vAlign w:val="center"/>
                </w:tcPr>
                <w:p w14:paraId="56AE49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27E5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9A661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9</w:t>
                  </w:r>
                </w:p>
              </w:tc>
              <w:tc>
                <w:tcPr>
                  <w:tcW w:w="418" w:type="pct"/>
                  <w:noWrap w:val="0"/>
                  <w:vAlign w:val="center"/>
                </w:tcPr>
                <w:p w14:paraId="647A73BC">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中包装</w:t>
                  </w:r>
                </w:p>
              </w:tc>
              <w:tc>
                <w:tcPr>
                  <w:tcW w:w="1371" w:type="pct"/>
                  <w:shd w:val="clear" w:color="auto" w:fill="auto"/>
                  <w:noWrap w:val="0"/>
                  <w:vAlign w:val="center"/>
                </w:tcPr>
                <w:p w14:paraId="196853C0">
                  <w:pPr>
                    <w:widowControl/>
                    <w:spacing w:line="240" w:lineRule="auto"/>
                    <w:ind w:firstLine="0" w:firstLineChars="0"/>
                    <w:jc w:val="center"/>
                    <w:rPr>
                      <w:rFonts w:hint="eastAsia" w:ascii="宋体" w:hAnsi="宋体" w:eastAsia="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装盒机</w:t>
                  </w:r>
                </w:p>
              </w:tc>
              <w:tc>
                <w:tcPr>
                  <w:tcW w:w="1161" w:type="pct"/>
                  <w:noWrap w:val="0"/>
                  <w:vAlign w:val="center"/>
                </w:tcPr>
                <w:p w14:paraId="45A5E4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2ECEA075">
                  <w:pPr>
                    <w:widowControl/>
                    <w:spacing w:line="240" w:lineRule="auto"/>
                    <w:ind w:firstLine="0" w:firstLineChars="0"/>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2E8C2052">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10BCD4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0A17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5B47C6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w:t>
                  </w:r>
                </w:p>
              </w:tc>
              <w:tc>
                <w:tcPr>
                  <w:tcW w:w="418" w:type="pct"/>
                  <w:vMerge w:val="restart"/>
                  <w:noWrap w:val="0"/>
                  <w:vAlign w:val="center"/>
                </w:tcPr>
                <w:p w14:paraId="0AF40B49">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cs="宋体"/>
                      <w:color w:val="000000" w:themeColor="text1"/>
                      <w:kern w:val="0"/>
                      <w:sz w:val="21"/>
                      <w:szCs w:val="24"/>
                      <w:lang w:val="en-US" w:eastAsia="zh-CN" w:bidi="ar-SA"/>
                      <w14:textFill>
                        <w14:solidFill>
                          <w14:schemeClr w14:val="tx1"/>
                        </w14:solidFill>
                      </w14:textFill>
                    </w:rPr>
                    <w:t>外包装</w:t>
                  </w:r>
                </w:p>
              </w:tc>
              <w:tc>
                <w:tcPr>
                  <w:tcW w:w="1371" w:type="pct"/>
                  <w:shd w:val="clear" w:color="auto" w:fill="auto"/>
                  <w:noWrap w:val="0"/>
                  <w:vAlign w:val="center"/>
                </w:tcPr>
                <w:p w14:paraId="7F55F3ED">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立式不干胶贴标机</w:t>
                  </w:r>
                </w:p>
              </w:tc>
              <w:tc>
                <w:tcPr>
                  <w:tcW w:w="1161" w:type="pct"/>
                  <w:noWrap w:val="0"/>
                  <w:vAlign w:val="center"/>
                </w:tcPr>
                <w:p w14:paraId="1EE247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1D4EADFB">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08D071AB">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5DF1D4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3972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79EDF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11</w:t>
                  </w:r>
                </w:p>
              </w:tc>
              <w:tc>
                <w:tcPr>
                  <w:tcW w:w="418" w:type="pct"/>
                  <w:vMerge w:val="continue"/>
                  <w:noWrap w:val="0"/>
                  <w:vAlign w:val="center"/>
                </w:tcPr>
                <w:p w14:paraId="35EA3113">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00E3208C">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自动有色标示机</w:t>
                  </w:r>
                </w:p>
              </w:tc>
              <w:tc>
                <w:tcPr>
                  <w:tcW w:w="1161" w:type="pct"/>
                  <w:noWrap w:val="0"/>
                  <w:vAlign w:val="center"/>
                </w:tcPr>
                <w:p w14:paraId="07DD78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shd w:val="clear" w:color="auto" w:fill="auto"/>
                  <w:noWrap w:val="0"/>
                  <w:vAlign w:val="center"/>
                </w:tcPr>
                <w:p w14:paraId="3D8997E2">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0EDCEB45">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78402F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6F79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F1B88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12</w:t>
                  </w:r>
                </w:p>
              </w:tc>
              <w:tc>
                <w:tcPr>
                  <w:tcW w:w="418" w:type="pct"/>
                  <w:vMerge w:val="continue"/>
                  <w:noWrap w:val="0"/>
                  <w:vAlign w:val="center"/>
                </w:tcPr>
                <w:p w14:paraId="3AB40955">
                  <w:pPr>
                    <w:widowControl/>
                    <w:spacing w:line="240" w:lineRule="auto"/>
                    <w:ind w:firstLine="0" w:firstLineChars="0"/>
                    <w:jc w:val="center"/>
                    <w:rPr>
                      <w:rFonts w:hint="default" w:ascii="宋体" w:hAnsi="宋体" w:eastAsia="宋体" w:cs="宋体"/>
                      <w:color w:val="000000" w:themeColor="text1"/>
                      <w:kern w:val="0"/>
                      <w:sz w:val="21"/>
                      <w:szCs w:val="24"/>
                      <w:lang w:val="en-US" w:eastAsia="zh-CN" w:bidi="ar-SA"/>
                      <w14:textFill>
                        <w14:solidFill>
                          <w14:schemeClr w14:val="tx1"/>
                        </w14:solidFill>
                      </w14:textFill>
                    </w:rPr>
                  </w:pPr>
                </w:p>
              </w:tc>
              <w:tc>
                <w:tcPr>
                  <w:tcW w:w="1371" w:type="pct"/>
                  <w:shd w:val="clear" w:color="auto" w:fill="auto"/>
                  <w:noWrap w:val="0"/>
                  <w:vAlign w:val="center"/>
                </w:tcPr>
                <w:p w14:paraId="597CA150">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塑料带</w:t>
                  </w:r>
                  <w:r>
                    <w:rPr>
                      <w:rFonts w:hint="eastAsia" w:ascii="宋体" w:hAnsi="宋体"/>
                      <w:bCs/>
                      <w:color w:val="000000" w:themeColor="text1"/>
                      <w:sz w:val="21"/>
                      <w:szCs w:val="21"/>
                      <w:highlight w:val="none"/>
                      <w14:textFill>
                        <w14:solidFill>
                          <w14:schemeClr w14:val="tx1"/>
                        </w14:solidFill>
                      </w14:textFill>
                    </w:rPr>
                    <w:t>捆扎机</w:t>
                  </w:r>
                </w:p>
              </w:tc>
              <w:tc>
                <w:tcPr>
                  <w:tcW w:w="1161" w:type="pct"/>
                  <w:noWrap w:val="0"/>
                  <w:vAlign w:val="center"/>
                </w:tcPr>
                <w:p w14:paraId="0711FF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noWrap w:val="0"/>
                  <w:vAlign w:val="center"/>
                </w:tcPr>
                <w:p w14:paraId="6B18151E">
                  <w:pPr>
                    <w:widowControl/>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shd w:val="clear" w:color="auto" w:fill="auto"/>
                  <w:noWrap w:val="0"/>
                  <w:vAlign w:val="center"/>
                </w:tcPr>
                <w:p w14:paraId="2393BBF8">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1</w:t>
                  </w:r>
                </w:p>
              </w:tc>
              <w:tc>
                <w:tcPr>
                  <w:tcW w:w="748" w:type="pct"/>
                  <w:shd w:val="clear" w:color="auto" w:fill="auto"/>
                  <w:noWrap w:val="0"/>
                  <w:vAlign w:val="center"/>
                </w:tcPr>
                <w:p w14:paraId="66704F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C4B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89691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五</w:t>
                  </w:r>
                </w:p>
              </w:tc>
              <w:tc>
                <w:tcPr>
                  <w:tcW w:w="4586" w:type="pct"/>
                  <w:gridSpan w:val="6"/>
                  <w:noWrap w:val="0"/>
                  <w:vAlign w:val="center"/>
                </w:tcPr>
                <w:p w14:paraId="6290E8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辅助生产设备</w:t>
                  </w:r>
                </w:p>
              </w:tc>
            </w:tr>
            <w:tr w14:paraId="06CF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E6CC5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w:t>
                  </w:r>
                </w:p>
              </w:tc>
              <w:tc>
                <w:tcPr>
                  <w:tcW w:w="1790" w:type="pct"/>
                  <w:gridSpan w:val="2"/>
                  <w:noWrap w:val="0"/>
                  <w:vAlign w:val="center"/>
                </w:tcPr>
                <w:p w14:paraId="35534721">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纯化水机</w:t>
                  </w:r>
                </w:p>
              </w:tc>
              <w:tc>
                <w:tcPr>
                  <w:tcW w:w="1161" w:type="pct"/>
                  <w:noWrap w:val="0"/>
                  <w:vAlign w:val="center"/>
                </w:tcPr>
                <w:p w14:paraId="055017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10T</w:t>
                  </w:r>
                </w:p>
              </w:tc>
              <w:tc>
                <w:tcPr>
                  <w:tcW w:w="409" w:type="pct"/>
                  <w:noWrap w:val="0"/>
                  <w:vAlign w:val="center"/>
                </w:tcPr>
                <w:p w14:paraId="0E8A1448">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28114196">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2</w:t>
                  </w:r>
                </w:p>
              </w:tc>
              <w:tc>
                <w:tcPr>
                  <w:tcW w:w="748" w:type="pct"/>
                  <w:shd w:val="clear" w:color="auto" w:fill="auto"/>
                  <w:noWrap w:val="0"/>
                  <w:vAlign w:val="center"/>
                </w:tcPr>
                <w:p w14:paraId="6CB9FE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1FEA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F8F54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w:t>
                  </w:r>
                </w:p>
              </w:tc>
              <w:tc>
                <w:tcPr>
                  <w:tcW w:w="1790" w:type="pct"/>
                  <w:gridSpan w:val="2"/>
                  <w:noWrap w:val="0"/>
                  <w:vAlign w:val="center"/>
                </w:tcPr>
                <w:p w14:paraId="6B53EF85">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冷却塔</w:t>
                  </w:r>
                </w:p>
              </w:tc>
              <w:tc>
                <w:tcPr>
                  <w:tcW w:w="1161" w:type="pct"/>
                  <w:noWrap w:val="0"/>
                  <w:vAlign w:val="center"/>
                </w:tcPr>
                <w:p w14:paraId="553CB3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200T</w:t>
                  </w:r>
                </w:p>
              </w:tc>
              <w:tc>
                <w:tcPr>
                  <w:tcW w:w="409" w:type="pct"/>
                  <w:noWrap w:val="0"/>
                  <w:vAlign w:val="center"/>
                </w:tcPr>
                <w:p w14:paraId="6BDE153D">
                  <w:pPr>
                    <w:widowControl/>
                    <w:spacing w:line="240" w:lineRule="auto"/>
                    <w:ind w:firstLine="0" w:firstLineChars="0"/>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3A0C42F0">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1</w:t>
                  </w:r>
                </w:p>
              </w:tc>
              <w:tc>
                <w:tcPr>
                  <w:tcW w:w="748" w:type="pct"/>
                  <w:shd w:val="clear" w:color="auto" w:fill="auto"/>
                  <w:noWrap w:val="0"/>
                  <w:vAlign w:val="center"/>
                </w:tcPr>
                <w:p w14:paraId="193C6E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43FF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48820F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1790" w:type="pct"/>
                  <w:gridSpan w:val="2"/>
                  <w:noWrap w:val="0"/>
                  <w:vAlign w:val="center"/>
                </w:tcPr>
                <w:p w14:paraId="319436C3">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真空泵</w:t>
                  </w:r>
                </w:p>
              </w:tc>
              <w:tc>
                <w:tcPr>
                  <w:tcW w:w="1161" w:type="pct"/>
                  <w:noWrap w:val="0"/>
                  <w:vAlign w:val="center"/>
                </w:tcPr>
                <w:p w14:paraId="231AFC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409" w:type="pct"/>
                  <w:noWrap w:val="0"/>
                  <w:vAlign w:val="center"/>
                </w:tcPr>
                <w:p w14:paraId="75FC0028">
                  <w:pPr>
                    <w:widowControl/>
                    <w:spacing w:line="240" w:lineRule="auto"/>
                    <w:ind w:firstLine="0" w:firstLineChars="0"/>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台</w:t>
                  </w:r>
                </w:p>
              </w:tc>
              <w:tc>
                <w:tcPr>
                  <w:tcW w:w="476" w:type="pct"/>
                  <w:noWrap w:val="0"/>
                  <w:vAlign w:val="center"/>
                </w:tcPr>
                <w:p w14:paraId="426C0BA5">
                  <w:pPr>
                    <w:widowControl/>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6</w:t>
                  </w:r>
                </w:p>
              </w:tc>
              <w:tc>
                <w:tcPr>
                  <w:tcW w:w="748" w:type="pct"/>
                  <w:shd w:val="clear" w:color="auto" w:fill="auto"/>
                  <w:noWrap w:val="0"/>
                  <w:vAlign w:val="center"/>
                </w:tcPr>
                <w:p w14:paraId="66EFFB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r w14:paraId="3FCB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3" w:type="pct"/>
                  <w:shd w:val="clear" w:color="auto" w:fill="auto"/>
                  <w:noWrap w:val="0"/>
                  <w:vAlign w:val="center"/>
                </w:tcPr>
                <w:p w14:paraId="76C412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w:t>
                  </w:r>
                </w:p>
              </w:tc>
              <w:tc>
                <w:tcPr>
                  <w:tcW w:w="1790" w:type="pct"/>
                  <w:gridSpan w:val="2"/>
                  <w:noWrap w:val="0"/>
                  <w:vAlign w:val="center"/>
                </w:tcPr>
                <w:p w14:paraId="497106CB">
                  <w:pPr>
                    <w:widowControl/>
                    <w:spacing w:line="240" w:lineRule="auto"/>
                    <w:ind w:firstLine="0" w:firstLineChars="0"/>
                    <w:jc w:val="center"/>
                    <w:rPr>
                      <w:rFonts w:hint="default"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乙醇储罐</w:t>
                  </w:r>
                </w:p>
              </w:tc>
              <w:tc>
                <w:tcPr>
                  <w:tcW w:w="1161" w:type="pct"/>
                  <w:noWrap w:val="0"/>
                  <w:vAlign w:val="center"/>
                </w:tcPr>
                <w:p w14:paraId="47B6A0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20T</w:t>
                  </w:r>
                </w:p>
              </w:tc>
              <w:tc>
                <w:tcPr>
                  <w:tcW w:w="409" w:type="pct"/>
                  <w:noWrap w:val="0"/>
                  <w:vAlign w:val="center"/>
                </w:tcPr>
                <w:p w14:paraId="13A64D58">
                  <w:pPr>
                    <w:widowControl/>
                    <w:spacing w:line="240" w:lineRule="auto"/>
                    <w:ind w:firstLine="0" w:firstLineChars="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个</w:t>
                  </w:r>
                </w:p>
              </w:tc>
              <w:tc>
                <w:tcPr>
                  <w:tcW w:w="476" w:type="pct"/>
                  <w:noWrap w:val="0"/>
                  <w:vAlign w:val="center"/>
                </w:tcPr>
                <w:p w14:paraId="31115D72">
                  <w:pPr>
                    <w:widowControl/>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w:t>
                  </w:r>
                </w:p>
              </w:tc>
              <w:tc>
                <w:tcPr>
                  <w:tcW w:w="748" w:type="pct"/>
                  <w:shd w:val="clear" w:color="auto" w:fill="auto"/>
                  <w:noWrap w:val="0"/>
                  <w:vAlign w:val="center"/>
                </w:tcPr>
                <w:p w14:paraId="505840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新购</w:t>
                  </w:r>
                </w:p>
              </w:tc>
            </w:tr>
          </w:tbl>
          <w:p w14:paraId="267DE3F7">
            <w:pPr>
              <w:pStyle w:val="16"/>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p w14:paraId="093CEB0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四、</w:t>
            </w:r>
            <w:r>
              <w:rPr>
                <w:rFonts w:hint="default"/>
                <w:color w:val="000000" w:themeColor="text1"/>
                <w:sz w:val="24"/>
                <w:szCs w:val="24"/>
                <w14:textFill>
                  <w14:solidFill>
                    <w14:schemeClr w14:val="tx1"/>
                  </w14:solidFill>
                </w14:textFill>
              </w:rPr>
              <w:t>主要</w:t>
            </w:r>
            <w:r>
              <w:rPr>
                <w:rFonts w:hint="eastAsia"/>
                <w:color w:val="000000" w:themeColor="text1"/>
                <w:sz w:val="24"/>
                <w:szCs w:val="24"/>
                <w:lang w:val="en-US" w:eastAsia="zh-CN"/>
                <w14:textFill>
                  <w14:solidFill>
                    <w14:schemeClr w14:val="tx1"/>
                  </w14:solidFill>
                </w14:textFill>
              </w:rPr>
              <w:t>原辅材料</w:t>
            </w:r>
            <w:r>
              <w:rPr>
                <w:rFonts w:hint="default"/>
                <w:color w:val="000000" w:themeColor="text1"/>
                <w:sz w:val="24"/>
                <w:szCs w:val="24"/>
                <w14:textFill>
                  <w14:solidFill>
                    <w14:schemeClr w14:val="tx1"/>
                  </w14:solidFill>
                </w14:textFill>
              </w:rPr>
              <w:t>及资源能源消耗</w:t>
            </w:r>
          </w:p>
          <w:p w14:paraId="6922CB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color w:val="000000" w:themeColor="text1"/>
                <w:sz w:val="24"/>
                <w:szCs w:val="24"/>
                <w14:textFill>
                  <w14:solidFill>
                    <w14:schemeClr w14:val="tx1"/>
                  </w14:solidFill>
                </w14:textFill>
              </w:rPr>
              <w:t>本项目</w:t>
            </w:r>
            <w:r>
              <w:rPr>
                <w:rFonts w:hint="eastAsia"/>
                <w:color w:val="000000" w:themeColor="text1"/>
                <w:sz w:val="24"/>
                <w:szCs w:val="24"/>
                <w:lang w:val="en-US" w:eastAsia="zh-CN"/>
                <w14:textFill>
                  <w14:solidFill>
                    <w14:schemeClr w14:val="tx1"/>
                  </w14:solidFill>
                </w14:textFill>
              </w:rPr>
              <w:t>为扩建项目，原有项目</w:t>
            </w:r>
            <w:r>
              <w:rPr>
                <w:rFonts w:hint="default" w:ascii="Times New Roman" w:hAnsi="Times New Roman" w:eastAsia="宋体" w:cs="Times New Roman"/>
                <w:b w:val="0"/>
                <w:bCs w:val="0"/>
                <w:color w:val="000000" w:themeColor="text1"/>
                <w:sz w:val="24"/>
                <w:szCs w:val="24"/>
                <w14:textFill>
                  <w14:solidFill>
                    <w14:schemeClr w14:val="tx1"/>
                  </w14:solidFill>
                </w14:textFill>
              </w:rPr>
              <w:t>主要原辅材料消耗量</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不发生变化，不再赘述；本</w:t>
            </w:r>
            <w:r>
              <w:rPr>
                <w:rFonts w:hint="eastAsia" w:cs="Times New Roman"/>
                <w:b w:val="0"/>
                <w:bCs w:val="0"/>
                <w:color w:val="000000" w:themeColor="text1"/>
                <w:sz w:val="24"/>
                <w:szCs w:val="24"/>
                <w:lang w:val="en-US" w:eastAsia="zh-CN"/>
                <w14:textFill>
                  <w14:solidFill>
                    <w14:schemeClr w14:val="tx1"/>
                  </w14:solidFill>
                </w14:textFill>
              </w:rPr>
              <w:t>次</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扩建</w:t>
            </w:r>
            <w:r>
              <w:rPr>
                <w:rFonts w:hint="default"/>
                <w:color w:val="000000" w:themeColor="text1"/>
                <w:sz w:val="24"/>
                <w:szCs w:val="24"/>
                <w14:textFill>
                  <w14:solidFill>
                    <w14:schemeClr w14:val="tx1"/>
                  </w14:solidFill>
                </w14:textFill>
              </w:rPr>
              <w:t>主要原辅材料消耗</w:t>
            </w:r>
            <w:r>
              <w:rPr>
                <w:rFonts w:hint="eastAsia"/>
                <w:color w:val="000000" w:themeColor="text1"/>
                <w:sz w:val="24"/>
                <w:szCs w:val="24"/>
                <w:lang w:val="en-US" w:eastAsia="zh-CN"/>
                <w14:textFill>
                  <w14:solidFill>
                    <w14:schemeClr w14:val="tx1"/>
                  </w14:solidFill>
                </w14:textFill>
              </w:rPr>
              <w:t>情况</w:t>
            </w:r>
            <w:r>
              <w:rPr>
                <w:rFonts w:hint="default"/>
                <w:color w:val="000000" w:themeColor="text1"/>
                <w:sz w:val="24"/>
                <w:szCs w:val="24"/>
                <w14:textFill>
                  <w14:solidFill>
                    <w14:schemeClr w14:val="tx1"/>
                  </w14:solidFill>
                </w14:textFill>
              </w:rPr>
              <w:t>见</w:t>
            </w:r>
            <w:r>
              <w:rPr>
                <w:rFonts w:hint="default"/>
                <w:color w:val="000000" w:themeColor="text1"/>
                <w:sz w:val="24"/>
                <w:szCs w:val="24"/>
                <w:lang w:val="en-US" w:eastAsia="zh-CN"/>
                <w14:textFill>
                  <w14:solidFill>
                    <w14:schemeClr w14:val="tx1"/>
                  </w14:solidFill>
                </w14:textFill>
              </w:rPr>
              <w:t>下表</w:t>
            </w:r>
            <w:r>
              <w:rPr>
                <w:rFonts w:hint="default"/>
                <w:color w:val="000000" w:themeColor="text1"/>
                <w:sz w:val="24"/>
                <w:szCs w:val="24"/>
                <w14:textFill>
                  <w14:solidFill>
                    <w14:schemeClr w14:val="tx1"/>
                  </w14:solidFill>
                </w14:textFill>
              </w:rPr>
              <w:t>。</w:t>
            </w:r>
          </w:p>
          <w:p w14:paraId="34E1BE10">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cs="Times New Roman"/>
                <w:b w:val="0"/>
                <w:bCs w:val="0"/>
                <w:color w:val="000000" w:themeColor="text1"/>
                <w:sz w:val="24"/>
                <w:szCs w:val="24"/>
                <w:lang w:val="en-US" w:eastAsia="zh-CN"/>
                <w14:textFill>
                  <w14:solidFill>
                    <w14:schemeClr w14:val="tx1"/>
                  </w14:solidFill>
                </w14:textFill>
              </w:rPr>
              <w:t>11</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s="Times New Roman"/>
                <w:b w:val="0"/>
                <w:bCs w:val="0"/>
                <w:color w:val="000000" w:themeColor="text1"/>
                <w:sz w:val="24"/>
                <w:szCs w:val="24"/>
                <w:lang w:val="en-US" w:eastAsia="zh-CN"/>
                <w14:textFill>
                  <w14:solidFill>
                    <w14:schemeClr w14:val="tx1"/>
                  </w14:solidFill>
                </w14:textFill>
              </w:rPr>
              <w:t>扩建</w:t>
            </w:r>
            <w:r>
              <w:rPr>
                <w:rFonts w:hint="default" w:ascii="Times New Roman" w:hAnsi="Times New Roman" w:eastAsia="宋体" w:cs="Times New Roman"/>
                <w:b w:val="0"/>
                <w:bCs w:val="0"/>
                <w:color w:val="000000" w:themeColor="text1"/>
                <w:sz w:val="24"/>
                <w:szCs w:val="24"/>
                <w14:textFill>
                  <w14:solidFill>
                    <w14:schemeClr w14:val="tx1"/>
                  </w14:solidFill>
                </w14:textFill>
              </w:rPr>
              <w:t>项目主要原辅材料消耗量</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051"/>
              <w:gridCol w:w="687"/>
              <w:gridCol w:w="1622"/>
              <w:gridCol w:w="820"/>
              <w:gridCol w:w="2029"/>
            </w:tblGrid>
            <w:tr w14:paraId="03DD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noWrap w:val="0"/>
                  <w:vAlign w:val="center"/>
                </w:tcPr>
                <w:p w14:paraId="26C636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序号</w:t>
                  </w:r>
                </w:p>
              </w:tc>
              <w:tc>
                <w:tcPr>
                  <w:tcW w:w="1302" w:type="pct"/>
                  <w:noWrap w:val="0"/>
                  <w:vAlign w:val="center"/>
                </w:tcPr>
                <w:p w14:paraId="3047B5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名称</w:t>
                  </w:r>
                </w:p>
              </w:tc>
              <w:tc>
                <w:tcPr>
                  <w:tcW w:w="436" w:type="pct"/>
                  <w:noWrap w:val="0"/>
                  <w:vAlign w:val="center"/>
                </w:tcPr>
                <w:p w14:paraId="3E1B9A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单位</w:t>
                  </w:r>
                </w:p>
              </w:tc>
              <w:tc>
                <w:tcPr>
                  <w:tcW w:w="1029" w:type="pct"/>
                  <w:noWrap w:val="0"/>
                  <w:vAlign w:val="center"/>
                </w:tcPr>
                <w:p w14:paraId="4F82F3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数量</w:t>
                  </w:r>
                </w:p>
              </w:tc>
              <w:tc>
                <w:tcPr>
                  <w:tcW w:w="520" w:type="pct"/>
                  <w:noWrap w:val="0"/>
                  <w:vAlign w:val="center"/>
                </w:tcPr>
                <w:p w14:paraId="7B5C1A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类别</w:t>
                  </w:r>
                </w:p>
              </w:tc>
              <w:tc>
                <w:tcPr>
                  <w:tcW w:w="1288" w:type="pct"/>
                  <w:noWrap w:val="0"/>
                  <w:vAlign w:val="center"/>
                </w:tcPr>
                <w:p w14:paraId="117768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备注</w:t>
                  </w:r>
                </w:p>
              </w:tc>
            </w:tr>
            <w:tr w14:paraId="47F4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noWrap w:val="0"/>
                  <w:vAlign w:val="center"/>
                </w:tcPr>
                <w:p w14:paraId="669306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一</w:t>
                  </w:r>
                </w:p>
              </w:tc>
              <w:tc>
                <w:tcPr>
                  <w:tcW w:w="4576" w:type="pct"/>
                  <w:gridSpan w:val="5"/>
                  <w:noWrap w:val="0"/>
                  <w:vAlign w:val="center"/>
                </w:tcPr>
                <w:p w14:paraId="69AF72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参苓白术散</w:t>
                  </w:r>
                </w:p>
              </w:tc>
            </w:tr>
            <w:tr w14:paraId="7F85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2C9402C8">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w:t>
                  </w:r>
                </w:p>
              </w:tc>
              <w:tc>
                <w:tcPr>
                  <w:tcW w:w="1302" w:type="pct"/>
                  <w:shd w:val="clear" w:color="auto" w:fill="auto"/>
                  <w:noWrap w:val="0"/>
                  <w:vAlign w:val="center"/>
                </w:tcPr>
                <w:p w14:paraId="18EBAE5A">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人参</w:t>
                  </w:r>
                </w:p>
              </w:tc>
              <w:tc>
                <w:tcPr>
                  <w:tcW w:w="436" w:type="pct"/>
                  <w:shd w:val="clear" w:color="auto" w:fill="auto"/>
                  <w:noWrap w:val="0"/>
                  <w:vAlign w:val="center"/>
                </w:tcPr>
                <w:p w14:paraId="63FA26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777ADFB5">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16.83 </w:t>
                  </w:r>
                </w:p>
              </w:tc>
              <w:tc>
                <w:tcPr>
                  <w:tcW w:w="520" w:type="pct"/>
                  <w:noWrap w:val="0"/>
                  <w:vAlign w:val="center"/>
                </w:tcPr>
                <w:p w14:paraId="7420E6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原料</w:t>
                  </w:r>
                </w:p>
              </w:tc>
              <w:tc>
                <w:tcPr>
                  <w:tcW w:w="1288" w:type="pct"/>
                  <w:noWrap w:val="0"/>
                  <w:vAlign w:val="center"/>
                </w:tcPr>
                <w:p w14:paraId="6DE56D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2E0F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3848A971">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w:t>
                  </w:r>
                </w:p>
              </w:tc>
              <w:tc>
                <w:tcPr>
                  <w:tcW w:w="1302" w:type="pct"/>
                  <w:shd w:val="clear" w:color="auto" w:fill="auto"/>
                  <w:noWrap w:val="0"/>
                  <w:vAlign w:val="center"/>
                </w:tcPr>
                <w:p w14:paraId="371502B2">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茯苓</w:t>
                  </w:r>
                </w:p>
              </w:tc>
              <w:tc>
                <w:tcPr>
                  <w:tcW w:w="436" w:type="pct"/>
                  <w:shd w:val="clear" w:color="auto" w:fill="auto"/>
                  <w:noWrap w:val="0"/>
                  <w:vAlign w:val="center"/>
                </w:tcPr>
                <w:p w14:paraId="68F2AC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71DD738F">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16.83 </w:t>
                  </w:r>
                </w:p>
              </w:tc>
              <w:tc>
                <w:tcPr>
                  <w:tcW w:w="520" w:type="pct"/>
                  <w:noWrap w:val="0"/>
                  <w:vAlign w:val="center"/>
                </w:tcPr>
                <w:p w14:paraId="6B3C54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原料</w:t>
                  </w:r>
                </w:p>
              </w:tc>
              <w:tc>
                <w:tcPr>
                  <w:tcW w:w="1288" w:type="pct"/>
                  <w:noWrap w:val="0"/>
                  <w:vAlign w:val="center"/>
                </w:tcPr>
                <w:p w14:paraId="2EA265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05F3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08A3C08B">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3</w:t>
                  </w:r>
                </w:p>
              </w:tc>
              <w:tc>
                <w:tcPr>
                  <w:tcW w:w="1302" w:type="pct"/>
                  <w:shd w:val="clear" w:color="auto" w:fill="auto"/>
                  <w:noWrap w:val="0"/>
                  <w:vAlign w:val="center"/>
                </w:tcPr>
                <w:p w14:paraId="13679263">
                  <w:pPr>
                    <w:keepNext w:val="0"/>
                    <w:keepLines w:val="0"/>
                    <w:pageBreakBefore w:val="0"/>
                    <w:kinsoku/>
                    <w:wordWrap/>
                    <w:overflowPunct/>
                    <w:topLinePunct w:val="0"/>
                    <w:bidi w:val="0"/>
                    <w:adjustRightInd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白术</w:t>
                  </w:r>
                  <w:r>
                    <w:rPr>
                      <w:rFonts w:hint="default" w:ascii="Times New Roman" w:hAnsi="Times New Roman" w:cs="Times New Roman"/>
                      <w:color w:val="000000" w:themeColor="text1"/>
                      <w:sz w:val="21"/>
                      <w:szCs w:val="21"/>
                      <w:lang w:val="en-US" w:eastAsia="zh-CN"/>
                      <w14:textFill>
                        <w14:solidFill>
                          <w14:schemeClr w14:val="tx1"/>
                        </w14:solidFill>
                      </w14:textFill>
                    </w:rPr>
                    <w:t>(炒)</w:t>
                  </w:r>
                </w:p>
              </w:tc>
              <w:tc>
                <w:tcPr>
                  <w:tcW w:w="436" w:type="pct"/>
                  <w:shd w:val="clear" w:color="auto" w:fill="auto"/>
                  <w:noWrap w:val="0"/>
                  <w:vAlign w:val="center"/>
                </w:tcPr>
                <w:p w14:paraId="12BCA9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09BB8A0F">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16.83 </w:t>
                  </w:r>
                </w:p>
              </w:tc>
              <w:tc>
                <w:tcPr>
                  <w:tcW w:w="520" w:type="pct"/>
                  <w:noWrap w:val="0"/>
                  <w:vAlign w:val="center"/>
                </w:tcPr>
                <w:p w14:paraId="2170DC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原料</w:t>
                  </w:r>
                </w:p>
              </w:tc>
              <w:tc>
                <w:tcPr>
                  <w:tcW w:w="1288" w:type="pct"/>
                  <w:noWrap w:val="0"/>
                  <w:vAlign w:val="center"/>
                </w:tcPr>
                <w:p w14:paraId="152233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086D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11F1C6B2">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4</w:t>
                  </w:r>
                </w:p>
              </w:tc>
              <w:tc>
                <w:tcPr>
                  <w:tcW w:w="1302" w:type="pct"/>
                  <w:shd w:val="clear" w:color="auto" w:fill="auto"/>
                  <w:noWrap w:val="0"/>
                  <w:vAlign w:val="center"/>
                </w:tcPr>
                <w:p w14:paraId="09613193">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山药</w:t>
                  </w:r>
                </w:p>
              </w:tc>
              <w:tc>
                <w:tcPr>
                  <w:tcW w:w="436" w:type="pct"/>
                  <w:shd w:val="clear" w:color="auto" w:fill="auto"/>
                  <w:noWrap w:val="0"/>
                  <w:vAlign w:val="center"/>
                </w:tcPr>
                <w:p w14:paraId="555F64FF">
                  <w:pPr>
                    <w:keepNext w:val="0"/>
                    <w:keepLines w:val="0"/>
                    <w:pageBreakBefore w:val="0"/>
                    <w:widowControl w:val="0"/>
                    <w:tabs>
                      <w:tab w:val="left" w:pos="209"/>
                      <w:tab w:val="center" w:pos="536"/>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1D297CDB">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16.83 </w:t>
                  </w:r>
                </w:p>
              </w:tc>
              <w:tc>
                <w:tcPr>
                  <w:tcW w:w="520" w:type="pct"/>
                  <w:noWrap w:val="0"/>
                  <w:vAlign w:val="center"/>
                </w:tcPr>
                <w:p w14:paraId="06030C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原料</w:t>
                  </w:r>
                </w:p>
              </w:tc>
              <w:tc>
                <w:tcPr>
                  <w:tcW w:w="1288" w:type="pct"/>
                  <w:noWrap w:val="0"/>
                  <w:vAlign w:val="center"/>
                </w:tcPr>
                <w:p w14:paraId="6A23F5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392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7F58ACF4">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5</w:t>
                  </w:r>
                </w:p>
              </w:tc>
              <w:tc>
                <w:tcPr>
                  <w:tcW w:w="1302" w:type="pct"/>
                  <w:shd w:val="clear" w:color="auto" w:fill="auto"/>
                  <w:noWrap w:val="0"/>
                  <w:vAlign w:val="center"/>
                </w:tcPr>
                <w:p w14:paraId="773351FE">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白</w:t>
                  </w:r>
                  <w:r>
                    <w:rPr>
                      <w:rFonts w:hint="eastAsia" w:cs="Times New Roman"/>
                      <w:color w:val="000000" w:themeColor="text1"/>
                      <w:kern w:val="2"/>
                      <w:sz w:val="21"/>
                      <w:szCs w:val="21"/>
                      <w:u w:val="none"/>
                      <w:lang w:val="en-US" w:eastAsia="zh-CN" w:bidi="ar-SA"/>
                      <w14:textFill>
                        <w14:solidFill>
                          <w14:schemeClr w14:val="tx1"/>
                        </w14:solidFill>
                      </w14:textFill>
                    </w:rPr>
                    <w:t>扁</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豆</w:t>
                  </w:r>
                  <w:r>
                    <w:rPr>
                      <w:rFonts w:hint="default" w:ascii="Times New Roman" w:hAnsi="Times New Roman" w:cs="Times New Roman"/>
                      <w:color w:val="000000" w:themeColor="text1"/>
                      <w:sz w:val="21"/>
                      <w:szCs w:val="21"/>
                      <w:lang w:val="en-US" w:eastAsia="zh-CN"/>
                      <w14:textFill>
                        <w14:solidFill>
                          <w14:schemeClr w14:val="tx1"/>
                        </w14:solidFill>
                      </w14:textFill>
                    </w:rPr>
                    <w:t>(炒)</w:t>
                  </w:r>
                </w:p>
              </w:tc>
              <w:tc>
                <w:tcPr>
                  <w:tcW w:w="436" w:type="pct"/>
                  <w:shd w:val="clear" w:color="auto" w:fill="auto"/>
                  <w:noWrap w:val="0"/>
                  <w:vAlign w:val="center"/>
                </w:tcPr>
                <w:p w14:paraId="3AE340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2C7F398A">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12.62 </w:t>
                  </w:r>
                </w:p>
              </w:tc>
              <w:tc>
                <w:tcPr>
                  <w:tcW w:w="520" w:type="pct"/>
                  <w:noWrap w:val="0"/>
                  <w:vAlign w:val="center"/>
                </w:tcPr>
                <w:p w14:paraId="1CBD96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原料</w:t>
                  </w:r>
                </w:p>
              </w:tc>
              <w:tc>
                <w:tcPr>
                  <w:tcW w:w="1288" w:type="pct"/>
                  <w:noWrap w:val="0"/>
                  <w:vAlign w:val="center"/>
                </w:tcPr>
                <w:p w14:paraId="7D1DAD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5D4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562207A7">
                  <w:pPr>
                    <w:keepNext w:val="0"/>
                    <w:keepLines w:val="0"/>
                    <w:pageBreakBefore w:val="0"/>
                    <w:kinsoku/>
                    <w:wordWrap/>
                    <w:overflowPunct/>
                    <w:topLinePunct w:val="0"/>
                    <w:bidi w:val="0"/>
                    <w:adjustRightInd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6</w:t>
                  </w:r>
                </w:p>
              </w:tc>
              <w:tc>
                <w:tcPr>
                  <w:tcW w:w="1302" w:type="pct"/>
                  <w:shd w:val="clear" w:color="auto" w:fill="auto"/>
                  <w:noWrap w:val="0"/>
                  <w:vAlign w:val="center"/>
                </w:tcPr>
                <w:p w14:paraId="18361576">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莲子</w:t>
                  </w:r>
                </w:p>
              </w:tc>
              <w:tc>
                <w:tcPr>
                  <w:tcW w:w="436" w:type="pct"/>
                  <w:shd w:val="clear" w:color="auto" w:fill="auto"/>
                  <w:noWrap w:val="0"/>
                  <w:vAlign w:val="center"/>
                </w:tcPr>
                <w:p w14:paraId="00E46A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3EA71BBC">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8.42 </w:t>
                  </w:r>
                </w:p>
              </w:tc>
              <w:tc>
                <w:tcPr>
                  <w:tcW w:w="520" w:type="pct"/>
                  <w:noWrap w:val="0"/>
                  <w:vAlign w:val="center"/>
                </w:tcPr>
                <w:p w14:paraId="2C12A7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原料</w:t>
                  </w:r>
                </w:p>
              </w:tc>
              <w:tc>
                <w:tcPr>
                  <w:tcW w:w="1288" w:type="pct"/>
                  <w:shd w:val="clear" w:color="auto" w:fill="auto"/>
                  <w:noWrap w:val="0"/>
                  <w:vAlign w:val="center"/>
                </w:tcPr>
                <w:p w14:paraId="375BB1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3B04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2F46AACE">
                  <w:pPr>
                    <w:keepNext w:val="0"/>
                    <w:keepLines w:val="0"/>
                    <w:pageBreakBefore w:val="0"/>
                    <w:kinsoku/>
                    <w:wordWrap/>
                    <w:overflowPunct/>
                    <w:topLinePunct w:val="0"/>
                    <w:bidi w:val="0"/>
                    <w:adjustRightInd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7</w:t>
                  </w:r>
                </w:p>
              </w:tc>
              <w:tc>
                <w:tcPr>
                  <w:tcW w:w="1302" w:type="pct"/>
                  <w:shd w:val="clear" w:color="auto" w:fill="auto"/>
                  <w:noWrap w:val="0"/>
                  <w:vAlign w:val="center"/>
                </w:tcPr>
                <w:p w14:paraId="2FCC039C">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意苡仁</w:t>
                  </w:r>
                  <w:r>
                    <w:rPr>
                      <w:rFonts w:hint="default" w:ascii="Times New Roman" w:hAnsi="Times New Roman" w:cs="Times New Roman"/>
                      <w:color w:val="000000" w:themeColor="text1"/>
                      <w:sz w:val="21"/>
                      <w:szCs w:val="21"/>
                      <w:lang w:val="en-US" w:eastAsia="zh-CN"/>
                      <w14:textFill>
                        <w14:solidFill>
                          <w14:schemeClr w14:val="tx1"/>
                        </w14:solidFill>
                      </w14:textFill>
                    </w:rPr>
                    <w:t>(炒)</w:t>
                  </w:r>
                </w:p>
              </w:tc>
              <w:tc>
                <w:tcPr>
                  <w:tcW w:w="436" w:type="pct"/>
                  <w:shd w:val="clear" w:color="auto" w:fill="auto"/>
                  <w:noWrap w:val="0"/>
                  <w:vAlign w:val="center"/>
                </w:tcPr>
                <w:p w14:paraId="7B545D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04722A4D">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8.42 </w:t>
                  </w:r>
                </w:p>
              </w:tc>
              <w:tc>
                <w:tcPr>
                  <w:tcW w:w="520" w:type="pct"/>
                  <w:noWrap w:val="0"/>
                  <w:vAlign w:val="center"/>
                </w:tcPr>
                <w:p w14:paraId="61B2BB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原料</w:t>
                  </w:r>
                </w:p>
              </w:tc>
              <w:tc>
                <w:tcPr>
                  <w:tcW w:w="1288" w:type="pct"/>
                  <w:shd w:val="clear" w:color="auto" w:fill="auto"/>
                  <w:noWrap w:val="0"/>
                  <w:vAlign w:val="center"/>
                </w:tcPr>
                <w:p w14:paraId="312007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6058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76ED096A">
                  <w:pPr>
                    <w:keepNext w:val="0"/>
                    <w:keepLines w:val="0"/>
                    <w:pageBreakBefore w:val="0"/>
                    <w:kinsoku/>
                    <w:wordWrap/>
                    <w:overflowPunct/>
                    <w:topLinePunct w:val="0"/>
                    <w:bidi w:val="0"/>
                    <w:adjustRightInd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8</w:t>
                  </w:r>
                </w:p>
              </w:tc>
              <w:tc>
                <w:tcPr>
                  <w:tcW w:w="1302" w:type="pct"/>
                  <w:shd w:val="clear" w:color="auto" w:fill="auto"/>
                  <w:noWrap w:val="0"/>
                  <w:vAlign w:val="center"/>
                </w:tcPr>
                <w:p w14:paraId="35B30959">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砂仁</w:t>
                  </w:r>
                </w:p>
              </w:tc>
              <w:tc>
                <w:tcPr>
                  <w:tcW w:w="436" w:type="pct"/>
                  <w:shd w:val="clear" w:color="auto" w:fill="auto"/>
                  <w:noWrap w:val="0"/>
                  <w:vAlign w:val="center"/>
                </w:tcPr>
                <w:p w14:paraId="7EDEE8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2C032A83">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8.42 </w:t>
                  </w:r>
                </w:p>
              </w:tc>
              <w:tc>
                <w:tcPr>
                  <w:tcW w:w="520" w:type="pct"/>
                  <w:noWrap w:val="0"/>
                  <w:vAlign w:val="center"/>
                </w:tcPr>
                <w:p w14:paraId="7EDA14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原料</w:t>
                  </w:r>
                </w:p>
              </w:tc>
              <w:tc>
                <w:tcPr>
                  <w:tcW w:w="1288" w:type="pct"/>
                  <w:shd w:val="clear" w:color="auto" w:fill="auto"/>
                  <w:noWrap w:val="0"/>
                  <w:vAlign w:val="center"/>
                </w:tcPr>
                <w:p w14:paraId="54EB10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0B08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1E614014">
                  <w:pPr>
                    <w:keepNext w:val="0"/>
                    <w:keepLines w:val="0"/>
                    <w:pageBreakBefore w:val="0"/>
                    <w:kinsoku/>
                    <w:wordWrap/>
                    <w:overflowPunct/>
                    <w:topLinePunct w:val="0"/>
                    <w:bidi w:val="0"/>
                    <w:adjustRightInd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9</w:t>
                  </w:r>
                </w:p>
              </w:tc>
              <w:tc>
                <w:tcPr>
                  <w:tcW w:w="1302" w:type="pct"/>
                  <w:shd w:val="clear" w:color="auto" w:fill="auto"/>
                  <w:noWrap w:val="0"/>
                  <w:vAlign w:val="center"/>
                </w:tcPr>
                <w:p w14:paraId="7EACF50A">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桔梗</w:t>
                  </w:r>
                </w:p>
              </w:tc>
              <w:tc>
                <w:tcPr>
                  <w:tcW w:w="436" w:type="pct"/>
                  <w:shd w:val="clear" w:color="auto" w:fill="auto"/>
                  <w:noWrap w:val="0"/>
                  <w:vAlign w:val="center"/>
                </w:tcPr>
                <w:p w14:paraId="543AA4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570B5565">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8.42 </w:t>
                  </w:r>
                </w:p>
              </w:tc>
              <w:tc>
                <w:tcPr>
                  <w:tcW w:w="520" w:type="pct"/>
                  <w:noWrap w:val="0"/>
                  <w:vAlign w:val="center"/>
                </w:tcPr>
                <w:p w14:paraId="6D0C87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原料</w:t>
                  </w:r>
                </w:p>
              </w:tc>
              <w:tc>
                <w:tcPr>
                  <w:tcW w:w="1288" w:type="pct"/>
                  <w:shd w:val="clear" w:color="auto" w:fill="auto"/>
                  <w:noWrap w:val="0"/>
                  <w:vAlign w:val="center"/>
                </w:tcPr>
                <w:p w14:paraId="23D95B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354C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3EF5AD77">
                  <w:pPr>
                    <w:keepNext w:val="0"/>
                    <w:keepLines w:val="0"/>
                    <w:pageBreakBefore w:val="0"/>
                    <w:kinsoku/>
                    <w:wordWrap/>
                    <w:overflowPunct/>
                    <w:topLinePunct w:val="0"/>
                    <w:bidi w:val="0"/>
                    <w:adjustRightInd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10</w:t>
                  </w:r>
                </w:p>
              </w:tc>
              <w:tc>
                <w:tcPr>
                  <w:tcW w:w="1302" w:type="pct"/>
                  <w:shd w:val="clear" w:color="auto" w:fill="auto"/>
                  <w:noWrap w:val="0"/>
                  <w:vAlign w:val="center"/>
                </w:tcPr>
                <w:p w14:paraId="4961E3FF">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甘草</w:t>
                  </w:r>
                </w:p>
              </w:tc>
              <w:tc>
                <w:tcPr>
                  <w:tcW w:w="436" w:type="pct"/>
                  <w:shd w:val="clear" w:color="auto" w:fill="auto"/>
                  <w:noWrap w:val="0"/>
                  <w:vAlign w:val="center"/>
                </w:tcPr>
                <w:p w14:paraId="19BCF0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4B098567">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16.83 </w:t>
                  </w:r>
                </w:p>
              </w:tc>
              <w:tc>
                <w:tcPr>
                  <w:tcW w:w="520" w:type="pct"/>
                  <w:noWrap w:val="0"/>
                  <w:vAlign w:val="center"/>
                </w:tcPr>
                <w:p w14:paraId="7BB9B0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原料</w:t>
                  </w:r>
                </w:p>
              </w:tc>
              <w:tc>
                <w:tcPr>
                  <w:tcW w:w="1288" w:type="pct"/>
                  <w:shd w:val="clear" w:color="auto" w:fill="auto"/>
                  <w:noWrap w:val="0"/>
                  <w:vAlign w:val="center"/>
                </w:tcPr>
                <w:p w14:paraId="4972AD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69B5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4FB210D8">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11</w:t>
                  </w:r>
                </w:p>
              </w:tc>
              <w:tc>
                <w:tcPr>
                  <w:tcW w:w="1302" w:type="pct"/>
                  <w:shd w:val="clear" w:color="auto" w:fill="auto"/>
                  <w:noWrap w:val="0"/>
                  <w:vAlign w:val="center"/>
                </w:tcPr>
                <w:p w14:paraId="242D9005">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麦麸</w:t>
                  </w:r>
                </w:p>
              </w:tc>
              <w:tc>
                <w:tcPr>
                  <w:tcW w:w="436" w:type="pct"/>
                  <w:shd w:val="clear" w:color="auto" w:fill="auto"/>
                  <w:noWrap w:val="0"/>
                  <w:vAlign w:val="center"/>
                </w:tcPr>
                <w:p w14:paraId="5D1979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4C4346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2.02</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520" w:type="pct"/>
                  <w:noWrap w:val="0"/>
                  <w:vAlign w:val="center"/>
                </w:tcPr>
                <w:p w14:paraId="2F15CC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辅料</w:t>
                  </w:r>
                </w:p>
              </w:tc>
              <w:tc>
                <w:tcPr>
                  <w:tcW w:w="1288" w:type="pct"/>
                  <w:noWrap w:val="0"/>
                  <w:vAlign w:val="center"/>
                </w:tcPr>
                <w:p w14:paraId="035E6A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4C3D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shd w:val="clear" w:color="auto" w:fill="auto"/>
                  <w:noWrap w:val="0"/>
                  <w:vAlign w:val="center"/>
                </w:tcPr>
                <w:p w14:paraId="5CA61384">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12</w:t>
                  </w:r>
                </w:p>
              </w:tc>
              <w:tc>
                <w:tcPr>
                  <w:tcW w:w="1302" w:type="pct"/>
                  <w:shd w:val="clear" w:color="auto" w:fill="auto"/>
                  <w:noWrap w:val="0"/>
                  <w:vAlign w:val="center"/>
                </w:tcPr>
                <w:p w14:paraId="50EF7812">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蜂蜜</w:t>
                  </w:r>
                </w:p>
              </w:tc>
              <w:tc>
                <w:tcPr>
                  <w:tcW w:w="436" w:type="pct"/>
                  <w:shd w:val="clear" w:color="auto" w:fill="auto"/>
                  <w:noWrap w:val="0"/>
                  <w:vAlign w:val="center"/>
                </w:tcPr>
                <w:p w14:paraId="505A0A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306327FB">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0.31</w:t>
                  </w:r>
                </w:p>
              </w:tc>
              <w:tc>
                <w:tcPr>
                  <w:tcW w:w="520" w:type="pct"/>
                  <w:shd w:val="clear" w:color="auto" w:fill="auto"/>
                  <w:noWrap w:val="0"/>
                  <w:vAlign w:val="center"/>
                </w:tcPr>
                <w:p w14:paraId="277103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辅料</w:t>
                  </w:r>
                </w:p>
              </w:tc>
              <w:tc>
                <w:tcPr>
                  <w:tcW w:w="1288" w:type="pct"/>
                  <w:shd w:val="clear" w:color="auto" w:fill="auto"/>
                  <w:noWrap w:val="0"/>
                  <w:vAlign w:val="center"/>
                </w:tcPr>
                <w:p w14:paraId="39C51A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394E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23" w:type="pct"/>
                  <w:noWrap w:val="0"/>
                  <w:vAlign w:val="center"/>
                </w:tcPr>
                <w:p w14:paraId="3289A2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二</w:t>
                  </w:r>
                </w:p>
              </w:tc>
              <w:tc>
                <w:tcPr>
                  <w:tcW w:w="4576" w:type="pct"/>
                  <w:gridSpan w:val="5"/>
                  <w:noWrap w:val="0"/>
                  <w:vAlign w:val="center"/>
                </w:tcPr>
                <w:p w14:paraId="400F49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复方板蓝根颗粒</w:t>
                  </w:r>
                </w:p>
              </w:tc>
            </w:tr>
            <w:tr w14:paraId="2021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10FC2A24">
                  <w:pPr>
                    <w:keepNext w:val="0"/>
                    <w:keepLines w:val="0"/>
                    <w:pageBreakBefore w:val="0"/>
                    <w:kinsoku/>
                    <w:wordWrap/>
                    <w:overflowPunct/>
                    <w:topLinePunct w:val="0"/>
                    <w:bidi w:val="0"/>
                    <w:adjustRightInd w:val="0"/>
                    <w:spacing w:line="240" w:lineRule="auto"/>
                    <w:jc w:val="center"/>
                    <w:rPr>
                      <w:rFonts w:hint="default" w:ascii="Times New Roman" w:hAnsi="Times New Roman"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w:t>
                  </w:r>
                </w:p>
              </w:tc>
              <w:tc>
                <w:tcPr>
                  <w:tcW w:w="1302" w:type="pct"/>
                  <w:shd w:val="clear" w:color="auto" w:fill="auto"/>
                  <w:noWrap w:val="0"/>
                  <w:vAlign w:val="center"/>
                </w:tcPr>
                <w:p w14:paraId="61F20278">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板蓝根</w:t>
                  </w:r>
                </w:p>
              </w:tc>
              <w:tc>
                <w:tcPr>
                  <w:tcW w:w="436" w:type="pct"/>
                  <w:noWrap w:val="0"/>
                  <w:vAlign w:val="center"/>
                </w:tcPr>
                <w:p w14:paraId="6F71E7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7F2A42CC">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1060.8</w:t>
                  </w:r>
                </w:p>
              </w:tc>
              <w:tc>
                <w:tcPr>
                  <w:tcW w:w="520" w:type="pct"/>
                  <w:noWrap w:val="0"/>
                  <w:vAlign w:val="center"/>
                </w:tcPr>
                <w:p w14:paraId="31B243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5A1D7A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7FE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13069229">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w:t>
                  </w:r>
                </w:p>
              </w:tc>
              <w:tc>
                <w:tcPr>
                  <w:tcW w:w="1302" w:type="pct"/>
                  <w:shd w:val="clear" w:color="auto" w:fill="auto"/>
                  <w:noWrap w:val="0"/>
                  <w:vAlign w:val="center"/>
                </w:tcPr>
                <w:p w14:paraId="174FE4BC">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大青叶</w:t>
                  </w:r>
                </w:p>
              </w:tc>
              <w:tc>
                <w:tcPr>
                  <w:tcW w:w="436" w:type="pct"/>
                  <w:noWrap w:val="0"/>
                  <w:vAlign w:val="center"/>
                </w:tcPr>
                <w:p w14:paraId="3FDB50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75021395">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1591.8</w:t>
                  </w:r>
                </w:p>
              </w:tc>
              <w:tc>
                <w:tcPr>
                  <w:tcW w:w="520" w:type="pct"/>
                  <w:noWrap w:val="0"/>
                  <w:vAlign w:val="center"/>
                </w:tcPr>
                <w:p w14:paraId="7C9F09F4">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25E2A1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4611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735D0B52">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3</w:t>
                  </w:r>
                </w:p>
              </w:tc>
              <w:tc>
                <w:tcPr>
                  <w:tcW w:w="1302" w:type="pct"/>
                  <w:shd w:val="clear" w:color="auto" w:fill="auto"/>
                  <w:noWrap w:val="0"/>
                  <w:vAlign w:val="center"/>
                </w:tcPr>
                <w:p w14:paraId="033748E9">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玉米淀粉</w:t>
                  </w:r>
                </w:p>
              </w:tc>
              <w:tc>
                <w:tcPr>
                  <w:tcW w:w="436" w:type="pct"/>
                  <w:shd w:val="clear" w:color="auto" w:fill="auto"/>
                  <w:noWrap w:val="0"/>
                  <w:vAlign w:val="center"/>
                </w:tcPr>
                <w:p w14:paraId="6AA8CA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shd w:val="clear" w:color="auto" w:fill="auto"/>
                  <w:noWrap w:val="0"/>
                  <w:vAlign w:val="center"/>
                </w:tcPr>
                <w:p w14:paraId="128BECF6">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4.79</w:t>
                  </w:r>
                </w:p>
              </w:tc>
              <w:tc>
                <w:tcPr>
                  <w:tcW w:w="520" w:type="pct"/>
                  <w:shd w:val="clear" w:color="auto" w:fill="auto"/>
                  <w:noWrap w:val="0"/>
                  <w:vAlign w:val="center"/>
                </w:tcPr>
                <w:p w14:paraId="0F95D7F3">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4982AA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5544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0046E4AE">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4</w:t>
                  </w:r>
                </w:p>
              </w:tc>
              <w:tc>
                <w:tcPr>
                  <w:tcW w:w="1302" w:type="pct"/>
                  <w:shd w:val="clear" w:color="auto" w:fill="auto"/>
                  <w:noWrap w:val="0"/>
                  <w:vAlign w:val="center"/>
                </w:tcPr>
                <w:p w14:paraId="577A0AE9">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蔗糖</w:t>
                  </w:r>
                </w:p>
              </w:tc>
              <w:tc>
                <w:tcPr>
                  <w:tcW w:w="436" w:type="pct"/>
                  <w:shd w:val="clear" w:color="auto" w:fill="auto"/>
                  <w:noWrap w:val="0"/>
                  <w:vAlign w:val="center"/>
                </w:tcPr>
                <w:p w14:paraId="7EB3F2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shd w:val="clear" w:color="auto" w:fill="auto"/>
                  <w:noWrap w:val="0"/>
                  <w:vAlign w:val="center"/>
                </w:tcPr>
                <w:p w14:paraId="1F859CF2">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2394</w:t>
                  </w:r>
                </w:p>
              </w:tc>
              <w:tc>
                <w:tcPr>
                  <w:tcW w:w="520" w:type="pct"/>
                  <w:shd w:val="clear" w:color="auto" w:fill="auto"/>
                  <w:noWrap w:val="0"/>
                  <w:vAlign w:val="center"/>
                </w:tcPr>
                <w:p w14:paraId="583769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49BF33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5B08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6CA1D54C">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5</w:t>
                  </w:r>
                </w:p>
              </w:tc>
              <w:tc>
                <w:tcPr>
                  <w:tcW w:w="1302" w:type="pct"/>
                  <w:shd w:val="clear" w:color="auto" w:fill="auto"/>
                  <w:noWrap w:val="0"/>
                  <w:vAlign w:val="center"/>
                </w:tcPr>
                <w:p w14:paraId="3C773B0F">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95%乙醇</w:t>
                  </w:r>
                </w:p>
              </w:tc>
              <w:tc>
                <w:tcPr>
                  <w:tcW w:w="436" w:type="pct"/>
                  <w:shd w:val="clear" w:color="auto" w:fill="auto"/>
                  <w:noWrap w:val="0"/>
                  <w:vAlign w:val="center"/>
                </w:tcPr>
                <w:p w14:paraId="140262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shd w:val="clear" w:color="auto" w:fill="auto"/>
                  <w:noWrap w:val="0"/>
                  <w:vAlign w:val="center"/>
                </w:tcPr>
                <w:p w14:paraId="5F8FF9BD">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51.84(消耗量)</w:t>
                  </w:r>
                </w:p>
                <w:p w14:paraId="4BCD4BE5">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2592(使用量)</w:t>
                  </w:r>
                </w:p>
              </w:tc>
              <w:tc>
                <w:tcPr>
                  <w:tcW w:w="520" w:type="pct"/>
                  <w:shd w:val="clear" w:color="auto" w:fill="auto"/>
                  <w:noWrap w:val="0"/>
                  <w:vAlign w:val="center"/>
                </w:tcPr>
                <w:p w14:paraId="6A199A73">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溶剂</w:t>
                  </w:r>
                </w:p>
              </w:tc>
              <w:tc>
                <w:tcPr>
                  <w:tcW w:w="1288" w:type="pct"/>
                  <w:shd w:val="clear" w:color="auto" w:fill="auto"/>
                  <w:noWrap w:val="0"/>
                  <w:vAlign w:val="center"/>
                </w:tcPr>
                <w:p w14:paraId="34D23768">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外购</w:t>
                  </w:r>
                </w:p>
              </w:tc>
            </w:tr>
            <w:tr w14:paraId="6B63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0A32E25C">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三</w:t>
                  </w:r>
                </w:p>
              </w:tc>
              <w:tc>
                <w:tcPr>
                  <w:tcW w:w="4576" w:type="pct"/>
                  <w:gridSpan w:val="5"/>
                  <w:shd w:val="clear" w:color="auto" w:fill="auto"/>
                  <w:noWrap w:val="0"/>
                  <w:vAlign w:val="center"/>
                </w:tcPr>
                <w:p w14:paraId="7A82DBA1">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复方丹参片</w:t>
                  </w:r>
                </w:p>
              </w:tc>
            </w:tr>
            <w:tr w14:paraId="3172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44679686">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w:t>
                  </w:r>
                </w:p>
              </w:tc>
              <w:tc>
                <w:tcPr>
                  <w:tcW w:w="1302" w:type="pct"/>
                  <w:shd w:val="clear" w:color="auto" w:fill="auto"/>
                  <w:noWrap w:val="0"/>
                  <w:vAlign w:val="center"/>
                </w:tcPr>
                <w:p w14:paraId="1796E57D">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丹参</w:t>
                  </w:r>
                </w:p>
              </w:tc>
              <w:tc>
                <w:tcPr>
                  <w:tcW w:w="436" w:type="pct"/>
                  <w:shd w:val="clear" w:color="auto" w:fill="auto"/>
                  <w:noWrap w:val="0"/>
                  <w:vAlign w:val="center"/>
                </w:tcPr>
                <w:p w14:paraId="0CEF5E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1928608B">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241.6</w:t>
                  </w:r>
                </w:p>
              </w:tc>
              <w:tc>
                <w:tcPr>
                  <w:tcW w:w="520" w:type="pct"/>
                  <w:noWrap w:val="0"/>
                  <w:vAlign w:val="center"/>
                </w:tcPr>
                <w:p w14:paraId="2AF11D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noWrap w:val="0"/>
                  <w:vAlign w:val="center"/>
                </w:tcPr>
                <w:p w14:paraId="2B57D01F">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4D80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056B6D8D">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w:t>
                  </w:r>
                </w:p>
              </w:tc>
              <w:tc>
                <w:tcPr>
                  <w:tcW w:w="1302" w:type="pct"/>
                  <w:shd w:val="clear" w:color="auto" w:fill="auto"/>
                  <w:noWrap w:val="0"/>
                  <w:vAlign w:val="center"/>
                </w:tcPr>
                <w:p w14:paraId="3FD2A2AC">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三七</w:t>
                  </w:r>
                </w:p>
              </w:tc>
              <w:tc>
                <w:tcPr>
                  <w:tcW w:w="436" w:type="pct"/>
                  <w:shd w:val="clear" w:color="auto" w:fill="auto"/>
                  <w:noWrap w:val="0"/>
                  <w:vAlign w:val="center"/>
                </w:tcPr>
                <w:p w14:paraId="1C7C7E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77FBD95A">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75.69</w:t>
                  </w:r>
                </w:p>
              </w:tc>
              <w:tc>
                <w:tcPr>
                  <w:tcW w:w="520" w:type="pct"/>
                  <w:noWrap w:val="0"/>
                  <w:vAlign w:val="center"/>
                </w:tcPr>
                <w:p w14:paraId="30986B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19D714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5F10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57668056">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3</w:t>
                  </w:r>
                </w:p>
              </w:tc>
              <w:tc>
                <w:tcPr>
                  <w:tcW w:w="1302" w:type="pct"/>
                  <w:shd w:val="clear" w:color="auto" w:fill="auto"/>
                  <w:noWrap w:val="0"/>
                  <w:vAlign w:val="center"/>
                </w:tcPr>
                <w:p w14:paraId="39EC70FF">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冰片</w:t>
                  </w:r>
                </w:p>
              </w:tc>
              <w:tc>
                <w:tcPr>
                  <w:tcW w:w="436" w:type="pct"/>
                  <w:shd w:val="clear" w:color="auto" w:fill="auto"/>
                  <w:noWrap w:val="0"/>
                  <w:vAlign w:val="center"/>
                </w:tcPr>
                <w:p w14:paraId="4FD075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0E098A20">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4.08</w:t>
                  </w:r>
                </w:p>
              </w:tc>
              <w:tc>
                <w:tcPr>
                  <w:tcW w:w="520" w:type="pct"/>
                  <w:noWrap w:val="0"/>
                  <w:vAlign w:val="center"/>
                </w:tcPr>
                <w:p w14:paraId="7AAF30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650577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01B7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19A27C65">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4</w:t>
                  </w:r>
                </w:p>
              </w:tc>
              <w:tc>
                <w:tcPr>
                  <w:tcW w:w="1302" w:type="pct"/>
                  <w:shd w:val="clear" w:color="auto" w:fill="auto"/>
                  <w:noWrap w:val="0"/>
                  <w:vAlign w:val="center"/>
                </w:tcPr>
                <w:p w14:paraId="7731E5EC">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玉米淀粉</w:t>
                  </w:r>
                </w:p>
              </w:tc>
              <w:tc>
                <w:tcPr>
                  <w:tcW w:w="436" w:type="pct"/>
                  <w:shd w:val="clear" w:color="auto" w:fill="auto"/>
                  <w:noWrap w:val="0"/>
                  <w:vAlign w:val="center"/>
                </w:tcPr>
                <w:p w14:paraId="15F0A8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2F34E30B">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31.62</w:t>
                  </w:r>
                </w:p>
              </w:tc>
              <w:tc>
                <w:tcPr>
                  <w:tcW w:w="520" w:type="pct"/>
                  <w:noWrap w:val="0"/>
                  <w:vAlign w:val="center"/>
                </w:tcPr>
                <w:p w14:paraId="3A205C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40D186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7E7A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38286A23">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5</w:t>
                  </w:r>
                </w:p>
              </w:tc>
              <w:tc>
                <w:tcPr>
                  <w:tcW w:w="1302" w:type="pct"/>
                  <w:shd w:val="clear" w:color="auto" w:fill="auto"/>
                  <w:noWrap w:val="0"/>
                  <w:vAlign w:val="center"/>
                </w:tcPr>
                <w:p w14:paraId="1915A757">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硬脂酸镁</w:t>
                  </w:r>
                </w:p>
              </w:tc>
              <w:tc>
                <w:tcPr>
                  <w:tcW w:w="436" w:type="pct"/>
                  <w:shd w:val="clear" w:color="auto" w:fill="auto"/>
                  <w:noWrap w:val="0"/>
                  <w:vAlign w:val="center"/>
                </w:tcPr>
                <w:p w14:paraId="33D61D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1739ED64">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1.58</w:t>
                  </w:r>
                </w:p>
              </w:tc>
              <w:tc>
                <w:tcPr>
                  <w:tcW w:w="520" w:type="pct"/>
                  <w:noWrap w:val="0"/>
                  <w:vAlign w:val="center"/>
                </w:tcPr>
                <w:p w14:paraId="5407BA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25FAEA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DD5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3410799E">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6</w:t>
                  </w:r>
                </w:p>
              </w:tc>
              <w:tc>
                <w:tcPr>
                  <w:tcW w:w="1302" w:type="pct"/>
                  <w:shd w:val="clear" w:color="auto" w:fill="auto"/>
                  <w:noWrap w:val="0"/>
                  <w:vAlign w:val="center"/>
                </w:tcPr>
                <w:p w14:paraId="31B3B84A">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eastAsia="宋体" w:cs="Times New Roman"/>
                      <w:color w:val="000000" w:themeColor="text1"/>
                      <w:kern w:val="2"/>
                      <w:sz w:val="21"/>
                      <w:szCs w:val="21"/>
                      <w:u w:val="none"/>
                      <w:lang w:val="en-US" w:eastAsia="zh-CN" w:bidi="ar-SA"/>
                      <w14:textFill>
                        <w14:solidFill>
                          <w14:schemeClr w14:val="tx1"/>
                        </w14:solidFill>
                      </w14:textFill>
                    </w:rPr>
                    <w:t>水溶性包衣液</w:t>
                  </w:r>
                </w:p>
              </w:tc>
              <w:tc>
                <w:tcPr>
                  <w:tcW w:w="436" w:type="pct"/>
                  <w:shd w:val="clear" w:color="auto" w:fill="auto"/>
                  <w:noWrap w:val="0"/>
                  <w:vAlign w:val="center"/>
                </w:tcPr>
                <w:p w14:paraId="1EA305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3A1B9A83">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150.3</w:t>
                  </w:r>
                </w:p>
              </w:tc>
              <w:tc>
                <w:tcPr>
                  <w:tcW w:w="520" w:type="pct"/>
                  <w:noWrap w:val="0"/>
                  <w:vAlign w:val="center"/>
                </w:tcPr>
                <w:p w14:paraId="7877D5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0DA9A4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3DB9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3D02B0A9">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7</w:t>
                  </w:r>
                </w:p>
              </w:tc>
              <w:tc>
                <w:tcPr>
                  <w:tcW w:w="1302" w:type="pct"/>
                  <w:shd w:val="clear" w:color="auto" w:fill="auto"/>
                  <w:noWrap w:val="0"/>
                  <w:vAlign w:val="center"/>
                </w:tcPr>
                <w:p w14:paraId="42F56D49">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eastAsia="宋体" w:cs="Times New Roman"/>
                      <w:color w:val="000000" w:themeColor="text1"/>
                      <w:kern w:val="2"/>
                      <w:sz w:val="21"/>
                      <w:szCs w:val="21"/>
                      <w:u w:val="none"/>
                      <w:lang w:val="en-US" w:eastAsia="zh-CN" w:bidi="ar-SA"/>
                      <w14:textFill>
                        <w14:solidFill>
                          <w14:schemeClr w14:val="tx1"/>
                        </w14:solidFill>
                      </w14:textFill>
                    </w:rPr>
                    <w:t>95%乙醇</w:t>
                  </w:r>
                </w:p>
              </w:tc>
              <w:tc>
                <w:tcPr>
                  <w:tcW w:w="436" w:type="pct"/>
                  <w:shd w:val="clear" w:color="auto" w:fill="auto"/>
                  <w:noWrap w:val="0"/>
                  <w:vAlign w:val="center"/>
                </w:tcPr>
                <w:p w14:paraId="68B783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7081CE34">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25.7</w:t>
                  </w:r>
                  <w:r>
                    <w:rPr>
                      <w:rFonts w:hint="eastAsia" w:cs="Times New Roman"/>
                      <w:color w:val="000000" w:themeColor="text1"/>
                      <w:kern w:val="2"/>
                      <w:sz w:val="21"/>
                      <w:szCs w:val="21"/>
                      <w:u w:val="none"/>
                      <w:lang w:val="en-US" w:eastAsia="zh-CN" w:bidi="ar-SA"/>
                      <w14:textFill>
                        <w14:solidFill>
                          <w14:schemeClr w14:val="tx1"/>
                        </w14:solidFill>
                      </w14:textFill>
                    </w:rPr>
                    <w:t>(消耗量)</w:t>
                  </w:r>
                </w:p>
                <w:p w14:paraId="79675640">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1285.2(使用量)</w:t>
                  </w:r>
                </w:p>
              </w:tc>
              <w:tc>
                <w:tcPr>
                  <w:tcW w:w="520" w:type="pct"/>
                  <w:noWrap w:val="0"/>
                  <w:vAlign w:val="center"/>
                </w:tcPr>
                <w:p w14:paraId="38CF29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溶剂</w:t>
                  </w:r>
                </w:p>
              </w:tc>
              <w:tc>
                <w:tcPr>
                  <w:tcW w:w="1288" w:type="pct"/>
                  <w:shd w:val="clear" w:color="auto" w:fill="auto"/>
                  <w:noWrap w:val="0"/>
                  <w:vAlign w:val="center"/>
                </w:tcPr>
                <w:p w14:paraId="3E3F12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020E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2479267E">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四</w:t>
                  </w:r>
                </w:p>
              </w:tc>
              <w:tc>
                <w:tcPr>
                  <w:tcW w:w="4576" w:type="pct"/>
                  <w:gridSpan w:val="5"/>
                  <w:shd w:val="clear" w:color="auto" w:fill="auto"/>
                  <w:noWrap w:val="0"/>
                  <w:vAlign w:val="center"/>
                </w:tcPr>
                <w:p w14:paraId="170CDBA2">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六味地黄丸</w:t>
                  </w:r>
                </w:p>
              </w:tc>
            </w:tr>
            <w:tr w14:paraId="3581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0C197865">
                  <w:pPr>
                    <w:keepNext w:val="0"/>
                    <w:keepLines w:val="0"/>
                    <w:pageBreakBefore w:val="0"/>
                    <w:kinsoku/>
                    <w:wordWrap/>
                    <w:overflowPunct/>
                    <w:topLinePunct w:val="0"/>
                    <w:bidi w:val="0"/>
                    <w:adjustRightInd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w:t>
                  </w:r>
                </w:p>
              </w:tc>
              <w:tc>
                <w:tcPr>
                  <w:tcW w:w="1302" w:type="pct"/>
                  <w:shd w:val="clear" w:color="auto" w:fill="auto"/>
                  <w:noWrap w:val="0"/>
                  <w:vAlign w:val="center"/>
                </w:tcPr>
                <w:p w14:paraId="3A4CD0E5">
                  <w:pPr>
                    <w:keepNext w:val="0"/>
                    <w:keepLines w:val="0"/>
                    <w:widowControl/>
                    <w:suppressLineNumbers w:val="0"/>
                    <w:jc w:val="center"/>
                    <w:textAlignment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熟地黄</w:t>
                  </w:r>
                </w:p>
              </w:tc>
              <w:tc>
                <w:tcPr>
                  <w:tcW w:w="436" w:type="pct"/>
                  <w:shd w:val="clear" w:color="auto" w:fill="auto"/>
                  <w:noWrap w:val="0"/>
                  <w:vAlign w:val="center"/>
                </w:tcPr>
                <w:p w14:paraId="5E1545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7481AB82">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37.9 </w:t>
                  </w:r>
                </w:p>
              </w:tc>
              <w:tc>
                <w:tcPr>
                  <w:tcW w:w="520" w:type="pct"/>
                  <w:noWrap w:val="0"/>
                  <w:vAlign w:val="center"/>
                </w:tcPr>
                <w:p w14:paraId="183ED2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605556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3417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172EBE99">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w:t>
                  </w:r>
                </w:p>
              </w:tc>
              <w:tc>
                <w:tcPr>
                  <w:tcW w:w="1302" w:type="pct"/>
                  <w:shd w:val="clear" w:color="auto" w:fill="auto"/>
                  <w:noWrap w:val="0"/>
                  <w:vAlign w:val="center"/>
                </w:tcPr>
                <w:p w14:paraId="21EA2A91">
                  <w:pPr>
                    <w:keepNext w:val="0"/>
                    <w:keepLines w:val="0"/>
                    <w:widowControl/>
                    <w:suppressLineNumbers w:val="0"/>
                    <w:jc w:val="center"/>
                    <w:textAlignment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酒萸肉</w:t>
                  </w:r>
                </w:p>
              </w:tc>
              <w:tc>
                <w:tcPr>
                  <w:tcW w:w="436" w:type="pct"/>
                  <w:shd w:val="clear" w:color="auto" w:fill="auto"/>
                  <w:noWrap w:val="0"/>
                  <w:vAlign w:val="center"/>
                </w:tcPr>
                <w:p w14:paraId="41794C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3E7405B2">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18.9 </w:t>
                  </w:r>
                </w:p>
              </w:tc>
              <w:tc>
                <w:tcPr>
                  <w:tcW w:w="520" w:type="pct"/>
                  <w:noWrap w:val="0"/>
                  <w:vAlign w:val="center"/>
                </w:tcPr>
                <w:p w14:paraId="7A16FB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435B00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2DB9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6E07FC30">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3</w:t>
                  </w:r>
                </w:p>
              </w:tc>
              <w:tc>
                <w:tcPr>
                  <w:tcW w:w="1302" w:type="pct"/>
                  <w:shd w:val="clear" w:color="auto" w:fill="auto"/>
                  <w:noWrap w:val="0"/>
                  <w:vAlign w:val="center"/>
                </w:tcPr>
                <w:p w14:paraId="34687CC5">
                  <w:pPr>
                    <w:keepNext w:val="0"/>
                    <w:keepLines w:val="0"/>
                    <w:widowControl/>
                    <w:suppressLineNumbers w:val="0"/>
                    <w:jc w:val="center"/>
                    <w:textAlignment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牡丹皮</w:t>
                  </w:r>
                </w:p>
              </w:tc>
              <w:tc>
                <w:tcPr>
                  <w:tcW w:w="436" w:type="pct"/>
                  <w:shd w:val="clear" w:color="auto" w:fill="auto"/>
                  <w:noWrap w:val="0"/>
                  <w:vAlign w:val="center"/>
                </w:tcPr>
                <w:p w14:paraId="052FDE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164FBA90">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14.2 </w:t>
                  </w:r>
                </w:p>
              </w:tc>
              <w:tc>
                <w:tcPr>
                  <w:tcW w:w="520" w:type="pct"/>
                  <w:noWrap w:val="0"/>
                  <w:vAlign w:val="center"/>
                </w:tcPr>
                <w:p w14:paraId="64DA4C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6A73B3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32FC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4217F74D">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4</w:t>
                  </w:r>
                </w:p>
              </w:tc>
              <w:tc>
                <w:tcPr>
                  <w:tcW w:w="1302" w:type="pct"/>
                  <w:shd w:val="clear" w:color="auto" w:fill="auto"/>
                  <w:noWrap w:val="0"/>
                  <w:vAlign w:val="center"/>
                </w:tcPr>
                <w:p w14:paraId="7BC11FB8">
                  <w:pPr>
                    <w:keepNext w:val="0"/>
                    <w:keepLines w:val="0"/>
                    <w:widowControl/>
                    <w:suppressLineNumbers w:val="0"/>
                    <w:jc w:val="center"/>
                    <w:textAlignment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山药</w:t>
                  </w:r>
                </w:p>
              </w:tc>
              <w:tc>
                <w:tcPr>
                  <w:tcW w:w="436" w:type="pct"/>
                  <w:shd w:val="clear" w:color="auto" w:fill="auto"/>
                  <w:noWrap w:val="0"/>
                  <w:vAlign w:val="center"/>
                </w:tcPr>
                <w:p w14:paraId="44EEF8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39FF6BA3">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18.9 </w:t>
                  </w:r>
                </w:p>
              </w:tc>
              <w:tc>
                <w:tcPr>
                  <w:tcW w:w="520" w:type="pct"/>
                  <w:noWrap w:val="0"/>
                  <w:vAlign w:val="center"/>
                </w:tcPr>
                <w:p w14:paraId="70C274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5E4EC3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232D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5A1AA727">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5</w:t>
                  </w:r>
                </w:p>
              </w:tc>
              <w:tc>
                <w:tcPr>
                  <w:tcW w:w="1302" w:type="pct"/>
                  <w:shd w:val="clear" w:color="auto" w:fill="auto"/>
                  <w:noWrap w:val="0"/>
                  <w:vAlign w:val="center"/>
                </w:tcPr>
                <w:p w14:paraId="05305675">
                  <w:pPr>
                    <w:keepNext w:val="0"/>
                    <w:keepLines w:val="0"/>
                    <w:widowControl/>
                    <w:suppressLineNumbers w:val="0"/>
                    <w:jc w:val="center"/>
                    <w:textAlignment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茯苓</w:t>
                  </w:r>
                </w:p>
              </w:tc>
              <w:tc>
                <w:tcPr>
                  <w:tcW w:w="436" w:type="pct"/>
                  <w:shd w:val="clear" w:color="auto" w:fill="auto"/>
                  <w:noWrap w:val="0"/>
                  <w:vAlign w:val="center"/>
                </w:tcPr>
                <w:p w14:paraId="6C1E8E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4DE8D7D7">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14.2 </w:t>
                  </w:r>
                </w:p>
              </w:tc>
              <w:tc>
                <w:tcPr>
                  <w:tcW w:w="520" w:type="pct"/>
                  <w:noWrap w:val="0"/>
                  <w:vAlign w:val="center"/>
                </w:tcPr>
                <w:p w14:paraId="739BF9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60D9D5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1F4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3CA156F4">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6</w:t>
                  </w:r>
                </w:p>
              </w:tc>
              <w:tc>
                <w:tcPr>
                  <w:tcW w:w="1302" w:type="pct"/>
                  <w:shd w:val="clear" w:color="auto" w:fill="auto"/>
                  <w:noWrap w:val="0"/>
                  <w:vAlign w:val="center"/>
                </w:tcPr>
                <w:p w14:paraId="427C1970">
                  <w:pPr>
                    <w:keepNext w:val="0"/>
                    <w:keepLines w:val="0"/>
                    <w:widowControl/>
                    <w:suppressLineNumbers w:val="0"/>
                    <w:jc w:val="center"/>
                    <w:textAlignment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泽泻</w:t>
                  </w:r>
                </w:p>
              </w:tc>
              <w:tc>
                <w:tcPr>
                  <w:tcW w:w="436" w:type="pct"/>
                  <w:shd w:val="clear" w:color="auto" w:fill="auto"/>
                  <w:noWrap w:val="0"/>
                  <w:vAlign w:val="center"/>
                </w:tcPr>
                <w:p w14:paraId="33499B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0ADC02F4">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14.2 </w:t>
                  </w:r>
                </w:p>
              </w:tc>
              <w:tc>
                <w:tcPr>
                  <w:tcW w:w="520" w:type="pct"/>
                  <w:noWrap w:val="0"/>
                  <w:vAlign w:val="center"/>
                </w:tcPr>
                <w:p w14:paraId="6566FF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747720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4B08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31434161">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7</w:t>
                  </w:r>
                </w:p>
              </w:tc>
              <w:tc>
                <w:tcPr>
                  <w:tcW w:w="1302" w:type="pct"/>
                  <w:shd w:val="clear" w:color="auto" w:fill="auto"/>
                  <w:noWrap w:val="0"/>
                  <w:vAlign w:val="center"/>
                </w:tcPr>
                <w:p w14:paraId="2EE5ED3B">
                  <w:pPr>
                    <w:keepNext w:val="0"/>
                    <w:keepLines w:val="0"/>
                    <w:widowControl/>
                    <w:suppressLineNumbers w:val="0"/>
                    <w:jc w:val="center"/>
                    <w:textAlignment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明胶</w:t>
                  </w:r>
                </w:p>
              </w:tc>
              <w:tc>
                <w:tcPr>
                  <w:tcW w:w="436" w:type="pct"/>
                  <w:shd w:val="clear" w:color="auto" w:fill="auto"/>
                  <w:noWrap w:val="0"/>
                  <w:vAlign w:val="center"/>
                </w:tcPr>
                <w:p w14:paraId="092FCE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6071B112">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0.2 </w:t>
                  </w:r>
                </w:p>
              </w:tc>
              <w:tc>
                <w:tcPr>
                  <w:tcW w:w="520" w:type="pct"/>
                  <w:noWrap w:val="0"/>
                  <w:vAlign w:val="center"/>
                </w:tcPr>
                <w:p w14:paraId="13B79A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6FDDAE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32BA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60D41CEB">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8</w:t>
                  </w:r>
                </w:p>
              </w:tc>
              <w:tc>
                <w:tcPr>
                  <w:tcW w:w="1302" w:type="pct"/>
                  <w:shd w:val="clear" w:color="auto" w:fill="auto"/>
                  <w:noWrap w:val="0"/>
                  <w:vAlign w:val="center"/>
                </w:tcPr>
                <w:p w14:paraId="7E73ABE3">
                  <w:pPr>
                    <w:keepNext w:val="0"/>
                    <w:keepLines w:val="0"/>
                    <w:widowControl/>
                    <w:suppressLineNumbers w:val="0"/>
                    <w:jc w:val="center"/>
                    <w:textAlignment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虫白蜡</w:t>
                  </w:r>
                </w:p>
              </w:tc>
              <w:tc>
                <w:tcPr>
                  <w:tcW w:w="436" w:type="pct"/>
                  <w:shd w:val="clear" w:color="auto" w:fill="auto"/>
                  <w:noWrap w:val="0"/>
                  <w:vAlign w:val="center"/>
                </w:tcPr>
                <w:p w14:paraId="7E3455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6E7EE7CD">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0.1 </w:t>
                  </w:r>
                </w:p>
              </w:tc>
              <w:tc>
                <w:tcPr>
                  <w:tcW w:w="520" w:type="pct"/>
                  <w:noWrap w:val="0"/>
                  <w:vAlign w:val="center"/>
                </w:tcPr>
                <w:p w14:paraId="03200C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52C81A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4DBF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7D3BD177">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五</w:t>
                  </w:r>
                </w:p>
              </w:tc>
              <w:tc>
                <w:tcPr>
                  <w:tcW w:w="4576" w:type="pct"/>
                  <w:gridSpan w:val="5"/>
                  <w:noWrap w:val="0"/>
                  <w:vAlign w:val="center"/>
                </w:tcPr>
                <w:p w14:paraId="41C2140B">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藿香正气水</w:t>
                  </w:r>
                </w:p>
              </w:tc>
            </w:tr>
            <w:tr w14:paraId="1E40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149F2F4F">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w:t>
                  </w:r>
                </w:p>
              </w:tc>
              <w:tc>
                <w:tcPr>
                  <w:tcW w:w="1302" w:type="pct"/>
                  <w:shd w:val="clear" w:color="auto" w:fill="auto"/>
                  <w:noWrap w:val="0"/>
                  <w:vAlign w:val="center"/>
                </w:tcPr>
                <w:p w14:paraId="4357CC80">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苍术</w:t>
                  </w:r>
                </w:p>
              </w:tc>
              <w:tc>
                <w:tcPr>
                  <w:tcW w:w="436" w:type="pct"/>
                  <w:noWrap w:val="0"/>
                  <w:vAlign w:val="center"/>
                </w:tcPr>
                <w:p w14:paraId="062AB1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74B385C7">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222.3</w:t>
                  </w:r>
                </w:p>
              </w:tc>
              <w:tc>
                <w:tcPr>
                  <w:tcW w:w="520" w:type="pct"/>
                  <w:noWrap w:val="0"/>
                  <w:vAlign w:val="center"/>
                </w:tcPr>
                <w:p w14:paraId="283956F7">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370E48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B51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50969C61">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w:t>
                  </w:r>
                </w:p>
              </w:tc>
              <w:tc>
                <w:tcPr>
                  <w:tcW w:w="1302" w:type="pct"/>
                  <w:shd w:val="clear" w:color="auto" w:fill="auto"/>
                  <w:noWrap w:val="0"/>
                  <w:vAlign w:val="center"/>
                </w:tcPr>
                <w:p w14:paraId="531AB74D">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陈皮</w:t>
                  </w:r>
                </w:p>
              </w:tc>
              <w:tc>
                <w:tcPr>
                  <w:tcW w:w="436" w:type="pct"/>
                  <w:noWrap w:val="0"/>
                  <w:vAlign w:val="center"/>
                </w:tcPr>
                <w:p w14:paraId="516B34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29C73B67">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222.3</w:t>
                  </w:r>
                </w:p>
              </w:tc>
              <w:tc>
                <w:tcPr>
                  <w:tcW w:w="520" w:type="pct"/>
                  <w:noWrap w:val="0"/>
                  <w:vAlign w:val="center"/>
                </w:tcPr>
                <w:p w14:paraId="5EAE36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0ACC27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201B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1EFEBB67">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3</w:t>
                  </w:r>
                </w:p>
              </w:tc>
              <w:tc>
                <w:tcPr>
                  <w:tcW w:w="1302" w:type="pct"/>
                  <w:shd w:val="clear" w:color="auto" w:fill="auto"/>
                  <w:noWrap w:val="0"/>
                  <w:vAlign w:val="center"/>
                </w:tcPr>
                <w:p w14:paraId="2450308D">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白芷</w:t>
                  </w:r>
                </w:p>
              </w:tc>
              <w:tc>
                <w:tcPr>
                  <w:tcW w:w="436" w:type="pct"/>
                  <w:noWrap w:val="0"/>
                  <w:vAlign w:val="center"/>
                </w:tcPr>
                <w:p w14:paraId="246496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065E4E6A">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333.5</w:t>
                  </w:r>
                </w:p>
              </w:tc>
              <w:tc>
                <w:tcPr>
                  <w:tcW w:w="520" w:type="pct"/>
                  <w:noWrap w:val="0"/>
                  <w:vAlign w:val="center"/>
                </w:tcPr>
                <w:p w14:paraId="73A78014">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7177AA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4A5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4F8F8828">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4</w:t>
                  </w:r>
                </w:p>
              </w:tc>
              <w:tc>
                <w:tcPr>
                  <w:tcW w:w="1302" w:type="pct"/>
                  <w:shd w:val="clear" w:color="auto" w:fill="auto"/>
                  <w:noWrap w:val="0"/>
                  <w:vAlign w:val="center"/>
                </w:tcPr>
                <w:p w14:paraId="4A480B4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厚朴</w:t>
                  </w:r>
                  <w:r>
                    <w:rPr>
                      <w:rFonts w:hint="eastAsia" w:cs="Times New Roman"/>
                      <w:color w:val="000000" w:themeColor="text1"/>
                      <w:kern w:val="2"/>
                      <w:sz w:val="21"/>
                      <w:szCs w:val="21"/>
                      <w:u w:val="none"/>
                      <w:lang w:val="en-US" w:eastAsia="zh-CN" w:bidi="ar-SA"/>
                      <w14:textFill>
                        <w14:solidFill>
                          <w14:schemeClr w14:val="tx1"/>
                        </w14:solidFill>
                      </w14:textFill>
                    </w:rPr>
                    <w:t>(姜)</w:t>
                  </w:r>
                </w:p>
              </w:tc>
              <w:tc>
                <w:tcPr>
                  <w:tcW w:w="436" w:type="pct"/>
                  <w:noWrap w:val="0"/>
                  <w:vAlign w:val="center"/>
                </w:tcPr>
                <w:p w14:paraId="42FE57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04009C05">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222.3          </w:t>
                  </w:r>
                </w:p>
              </w:tc>
              <w:tc>
                <w:tcPr>
                  <w:tcW w:w="520" w:type="pct"/>
                  <w:noWrap w:val="0"/>
                  <w:vAlign w:val="center"/>
                </w:tcPr>
                <w:p w14:paraId="592EA5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506171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0489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346A4FA5">
                  <w:pPr>
                    <w:keepNext w:val="0"/>
                    <w:keepLines w:val="0"/>
                    <w:pageBreakBefore w:val="0"/>
                    <w:kinsoku/>
                    <w:wordWrap/>
                    <w:overflowPunct/>
                    <w:topLinePunct w:val="0"/>
                    <w:bidi w:val="0"/>
                    <w:adjustRightInd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5</w:t>
                  </w:r>
                </w:p>
              </w:tc>
              <w:tc>
                <w:tcPr>
                  <w:tcW w:w="1302" w:type="pct"/>
                  <w:shd w:val="clear" w:color="auto" w:fill="auto"/>
                  <w:noWrap w:val="0"/>
                  <w:vAlign w:val="center"/>
                </w:tcPr>
                <w:p w14:paraId="4D922702">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生姜</w:t>
                  </w:r>
                </w:p>
              </w:tc>
              <w:tc>
                <w:tcPr>
                  <w:tcW w:w="436" w:type="pct"/>
                  <w:noWrap w:val="0"/>
                  <w:vAlign w:val="center"/>
                </w:tcPr>
                <w:p w14:paraId="6CD1FA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2BB83D3F">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22.23</w:t>
                  </w:r>
                </w:p>
              </w:tc>
              <w:tc>
                <w:tcPr>
                  <w:tcW w:w="520" w:type="pct"/>
                  <w:noWrap w:val="0"/>
                  <w:vAlign w:val="center"/>
                </w:tcPr>
                <w:p w14:paraId="35E9D6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74D92B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54A1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1C92BEA5">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6</w:t>
                  </w:r>
                </w:p>
              </w:tc>
              <w:tc>
                <w:tcPr>
                  <w:tcW w:w="1302" w:type="pct"/>
                  <w:shd w:val="clear" w:color="auto" w:fill="auto"/>
                  <w:noWrap w:val="0"/>
                  <w:vAlign w:val="center"/>
                </w:tcPr>
                <w:p w14:paraId="4504B671">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大腹皮</w:t>
                  </w:r>
                </w:p>
              </w:tc>
              <w:tc>
                <w:tcPr>
                  <w:tcW w:w="436" w:type="pct"/>
                  <w:noWrap w:val="0"/>
                  <w:vAlign w:val="center"/>
                </w:tcPr>
                <w:p w14:paraId="0E0DF9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11E55B1A">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333.5</w:t>
                  </w:r>
                </w:p>
              </w:tc>
              <w:tc>
                <w:tcPr>
                  <w:tcW w:w="520" w:type="pct"/>
                  <w:noWrap w:val="0"/>
                  <w:vAlign w:val="center"/>
                </w:tcPr>
                <w:p w14:paraId="53A517DD">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10B12A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83C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4F248328">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7</w:t>
                  </w:r>
                </w:p>
              </w:tc>
              <w:tc>
                <w:tcPr>
                  <w:tcW w:w="1302" w:type="pct"/>
                  <w:shd w:val="clear" w:color="auto" w:fill="auto"/>
                  <w:noWrap w:val="0"/>
                  <w:vAlign w:val="center"/>
                </w:tcPr>
                <w:p w14:paraId="79DE8377">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生半夏</w:t>
                  </w:r>
                </w:p>
              </w:tc>
              <w:tc>
                <w:tcPr>
                  <w:tcW w:w="436" w:type="pct"/>
                  <w:noWrap w:val="0"/>
                  <w:vAlign w:val="center"/>
                </w:tcPr>
                <w:p w14:paraId="789472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34971295">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222.3</w:t>
                  </w:r>
                </w:p>
              </w:tc>
              <w:tc>
                <w:tcPr>
                  <w:tcW w:w="520" w:type="pct"/>
                  <w:noWrap w:val="0"/>
                  <w:vAlign w:val="center"/>
                </w:tcPr>
                <w:p w14:paraId="522BA4CC">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2B741E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2A0E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2EC87AEE">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8</w:t>
                  </w:r>
                </w:p>
              </w:tc>
              <w:tc>
                <w:tcPr>
                  <w:tcW w:w="1302" w:type="pct"/>
                  <w:shd w:val="clear" w:color="auto" w:fill="auto"/>
                  <w:noWrap w:val="0"/>
                  <w:vAlign w:val="center"/>
                </w:tcPr>
                <w:p w14:paraId="0809E9E4">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干姜</w:t>
                  </w:r>
                </w:p>
              </w:tc>
              <w:tc>
                <w:tcPr>
                  <w:tcW w:w="436" w:type="pct"/>
                  <w:noWrap w:val="0"/>
                  <w:vAlign w:val="center"/>
                </w:tcPr>
                <w:p w14:paraId="49D1E9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429783F2">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18.75</w:t>
                  </w:r>
                </w:p>
              </w:tc>
              <w:tc>
                <w:tcPr>
                  <w:tcW w:w="520" w:type="pct"/>
                  <w:noWrap w:val="0"/>
                  <w:vAlign w:val="center"/>
                </w:tcPr>
                <w:p w14:paraId="0C8BEE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59B7F1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676D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1490C06B">
                  <w:pPr>
                    <w:keepNext w:val="0"/>
                    <w:keepLines w:val="0"/>
                    <w:pageBreakBefore w:val="0"/>
                    <w:kinsoku/>
                    <w:wordWrap/>
                    <w:overflowPunct/>
                    <w:topLinePunct w:val="0"/>
                    <w:bidi w:val="0"/>
                    <w:adjustRightInd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9</w:t>
                  </w:r>
                </w:p>
              </w:tc>
              <w:tc>
                <w:tcPr>
                  <w:tcW w:w="1302" w:type="pct"/>
                  <w:shd w:val="clear" w:color="auto" w:fill="auto"/>
                  <w:noWrap w:val="0"/>
                  <w:vAlign w:val="center"/>
                </w:tcPr>
                <w:p w14:paraId="5D45EBE6">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茯苓</w:t>
                  </w:r>
                </w:p>
              </w:tc>
              <w:tc>
                <w:tcPr>
                  <w:tcW w:w="436" w:type="pct"/>
                  <w:shd w:val="clear" w:color="auto" w:fill="auto"/>
                  <w:noWrap w:val="0"/>
                  <w:vAlign w:val="center"/>
                </w:tcPr>
                <w:p w14:paraId="39BF2B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shd w:val="clear" w:color="auto" w:fill="auto"/>
                  <w:noWrap w:val="0"/>
                  <w:vAlign w:val="center"/>
                </w:tcPr>
                <w:p w14:paraId="48C31608">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333.5</w:t>
                  </w:r>
                </w:p>
              </w:tc>
              <w:tc>
                <w:tcPr>
                  <w:tcW w:w="520" w:type="pct"/>
                  <w:shd w:val="clear" w:color="auto" w:fill="auto"/>
                  <w:noWrap w:val="0"/>
                  <w:vAlign w:val="center"/>
                </w:tcPr>
                <w:p w14:paraId="0B16C1A3">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0E8CFC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58D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26DE567E">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10</w:t>
                  </w:r>
                </w:p>
              </w:tc>
              <w:tc>
                <w:tcPr>
                  <w:tcW w:w="1302" w:type="pct"/>
                  <w:shd w:val="clear" w:color="auto" w:fill="auto"/>
                  <w:noWrap w:val="0"/>
                  <w:vAlign w:val="center"/>
                </w:tcPr>
                <w:p w14:paraId="76765E83">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甘草浸膏</w:t>
                  </w:r>
                </w:p>
              </w:tc>
              <w:tc>
                <w:tcPr>
                  <w:tcW w:w="436" w:type="pct"/>
                  <w:shd w:val="clear" w:color="auto" w:fill="auto"/>
                  <w:noWrap w:val="0"/>
                  <w:vAlign w:val="center"/>
                </w:tcPr>
                <w:p w14:paraId="376887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shd w:val="clear" w:color="auto" w:fill="auto"/>
                  <w:noWrap w:val="0"/>
                  <w:vAlign w:val="center"/>
                </w:tcPr>
                <w:p w14:paraId="192C1FE1">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26.4</w:t>
                  </w:r>
                </w:p>
              </w:tc>
              <w:tc>
                <w:tcPr>
                  <w:tcW w:w="520" w:type="pct"/>
                  <w:shd w:val="clear" w:color="auto" w:fill="auto"/>
                  <w:noWrap w:val="0"/>
                  <w:vAlign w:val="center"/>
                </w:tcPr>
                <w:p w14:paraId="690E9B5A">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原料</w:t>
                  </w:r>
                </w:p>
              </w:tc>
              <w:tc>
                <w:tcPr>
                  <w:tcW w:w="1288" w:type="pct"/>
                  <w:shd w:val="clear" w:color="auto" w:fill="auto"/>
                  <w:noWrap w:val="0"/>
                  <w:vAlign w:val="center"/>
                </w:tcPr>
                <w:p w14:paraId="559617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4697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4DA4C86B">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11</w:t>
                  </w:r>
                </w:p>
              </w:tc>
              <w:tc>
                <w:tcPr>
                  <w:tcW w:w="1302" w:type="pct"/>
                  <w:shd w:val="clear" w:color="auto" w:fill="auto"/>
                  <w:noWrap w:val="0"/>
                  <w:vAlign w:val="center"/>
                </w:tcPr>
                <w:p w14:paraId="5A499A22">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紫苏叶油</w:t>
                  </w:r>
                </w:p>
              </w:tc>
              <w:tc>
                <w:tcPr>
                  <w:tcW w:w="436" w:type="pct"/>
                  <w:noWrap w:val="0"/>
                  <w:vAlign w:val="center"/>
                </w:tcPr>
                <w:p w14:paraId="5F6535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7F72EB97">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1.06</w:t>
                  </w:r>
                </w:p>
              </w:tc>
              <w:tc>
                <w:tcPr>
                  <w:tcW w:w="520" w:type="pct"/>
                  <w:noWrap w:val="0"/>
                  <w:vAlign w:val="center"/>
                </w:tcPr>
                <w:p w14:paraId="63FBC069">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0F4761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594F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shd w:val="clear" w:color="auto" w:fill="auto"/>
                  <w:noWrap w:val="0"/>
                  <w:vAlign w:val="center"/>
                </w:tcPr>
                <w:p w14:paraId="1B6E8FC6">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12</w:t>
                  </w:r>
                </w:p>
              </w:tc>
              <w:tc>
                <w:tcPr>
                  <w:tcW w:w="1302" w:type="pct"/>
                  <w:shd w:val="clear" w:color="auto" w:fill="auto"/>
                  <w:noWrap w:val="0"/>
                  <w:vAlign w:val="center"/>
                </w:tcPr>
                <w:p w14:paraId="0FA009BF">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广藿香油</w:t>
                  </w:r>
                </w:p>
              </w:tc>
              <w:tc>
                <w:tcPr>
                  <w:tcW w:w="436" w:type="pct"/>
                  <w:noWrap w:val="0"/>
                  <w:vAlign w:val="center"/>
                </w:tcPr>
                <w:p w14:paraId="450EA3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77405EF8">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2.11</w:t>
                  </w:r>
                </w:p>
              </w:tc>
              <w:tc>
                <w:tcPr>
                  <w:tcW w:w="520" w:type="pct"/>
                  <w:noWrap w:val="0"/>
                  <w:vAlign w:val="center"/>
                </w:tcPr>
                <w:p w14:paraId="70ECC7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74FE51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41DD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128DA4C8">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13</w:t>
                  </w:r>
                </w:p>
              </w:tc>
              <w:tc>
                <w:tcPr>
                  <w:tcW w:w="1302" w:type="pct"/>
                  <w:shd w:val="clear" w:color="auto" w:fill="auto"/>
                  <w:noWrap w:val="0"/>
                  <w:vAlign w:val="center"/>
                </w:tcPr>
                <w:p w14:paraId="4423917F">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95%乙醇</w:t>
                  </w:r>
                </w:p>
              </w:tc>
              <w:tc>
                <w:tcPr>
                  <w:tcW w:w="436" w:type="pct"/>
                  <w:noWrap w:val="0"/>
                  <w:vAlign w:val="center"/>
                </w:tcPr>
                <w:p w14:paraId="0A0B9E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4368344E">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1272.8(消耗量)</w:t>
                  </w:r>
                </w:p>
                <w:p w14:paraId="6F7C2AC1">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3503.2(使用量)</w:t>
                  </w:r>
                </w:p>
              </w:tc>
              <w:tc>
                <w:tcPr>
                  <w:tcW w:w="520" w:type="pct"/>
                  <w:noWrap w:val="0"/>
                  <w:vAlign w:val="center"/>
                </w:tcPr>
                <w:p w14:paraId="6D196B89">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溶剂</w:t>
                  </w:r>
                </w:p>
              </w:tc>
              <w:tc>
                <w:tcPr>
                  <w:tcW w:w="1288" w:type="pct"/>
                  <w:noWrap w:val="0"/>
                  <w:vAlign w:val="center"/>
                </w:tcPr>
                <w:p w14:paraId="46D3C34E">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52B3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2EA18934">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六</w:t>
                  </w:r>
                </w:p>
              </w:tc>
              <w:tc>
                <w:tcPr>
                  <w:tcW w:w="4576" w:type="pct"/>
                  <w:gridSpan w:val="5"/>
                  <w:noWrap w:val="0"/>
                  <w:vAlign w:val="center"/>
                </w:tcPr>
                <w:p w14:paraId="28346F78">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t>川贝枇杷糖浆</w:t>
                  </w:r>
                </w:p>
              </w:tc>
            </w:tr>
            <w:tr w14:paraId="6614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796AEF68">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w:t>
                  </w:r>
                </w:p>
              </w:tc>
              <w:tc>
                <w:tcPr>
                  <w:tcW w:w="1302" w:type="pct"/>
                  <w:shd w:val="clear" w:color="auto" w:fill="auto"/>
                  <w:noWrap w:val="0"/>
                  <w:vAlign w:val="center"/>
                </w:tcPr>
                <w:p w14:paraId="50909EED">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川贝母</w:t>
                  </w:r>
                </w:p>
              </w:tc>
              <w:tc>
                <w:tcPr>
                  <w:tcW w:w="436" w:type="pct"/>
                  <w:noWrap w:val="0"/>
                  <w:vAlign w:val="center"/>
                </w:tcPr>
                <w:p w14:paraId="12084D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3BE3E75C">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56.65 </w:t>
                  </w:r>
                </w:p>
              </w:tc>
              <w:tc>
                <w:tcPr>
                  <w:tcW w:w="520" w:type="pct"/>
                  <w:noWrap w:val="0"/>
                  <w:vAlign w:val="center"/>
                </w:tcPr>
                <w:p w14:paraId="6D24DD11">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原料</w:t>
                  </w:r>
                </w:p>
              </w:tc>
              <w:tc>
                <w:tcPr>
                  <w:tcW w:w="1288" w:type="pct"/>
                  <w:shd w:val="clear" w:color="auto" w:fill="auto"/>
                  <w:noWrap w:val="0"/>
                  <w:vAlign w:val="center"/>
                </w:tcPr>
                <w:p w14:paraId="7B3E61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5AB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20F5C736">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w:t>
                  </w:r>
                </w:p>
              </w:tc>
              <w:tc>
                <w:tcPr>
                  <w:tcW w:w="1302" w:type="pct"/>
                  <w:shd w:val="clear" w:color="auto" w:fill="auto"/>
                  <w:noWrap w:val="0"/>
                  <w:vAlign w:val="center"/>
                </w:tcPr>
                <w:p w14:paraId="4AE6C2CF">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桔梗</w:t>
                  </w:r>
                </w:p>
              </w:tc>
              <w:tc>
                <w:tcPr>
                  <w:tcW w:w="436" w:type="pct"/>
                  <w:noWrap w:val="0"/>
                  <w:vAlign w:val="center"/>
                </w:tcPr>
                <w:p w14:paraId="16C849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33B7FCC2">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56.65 </w:t>
                  </w:r>
                </w:p>
              </w:tc>
              <w:tc>
                <w:tcPr>
                  <w:tcW w:w="520" w:type="pct"/>
                  <w:noWrap w:val="0"/>
                  <w:vAlign w:val="center"/>
                </w:tcPr>
                <w:p w14:paraId="579A3798">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原料</w:t>
                  </w:r>
                </w:p>
              </w:tc>
              <w:tc>
                <w:tcPr>
                  <w:tcW w:w="1288" w:type="pct"/>
                  <w:shd w:val="clear" w:color="auto" w:fill="auto"/>
                  <w:noWrap w:val="0"/>
                  <w:vAlign w:val="center"/>
                </w:tcPr>
                <w:p w14:paraId="00D3A7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2909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45B01943">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3</w:t>
                  </w:r>
                </w:p>
              </w:tc>
              <w:tc>
                <w:tcPr>
                  <w:tcW w:w="1302" w:type="pct"/>
                  <w:shd w:val="clear" w:color="auto" w:fill="auto"/>
                  <w:noWrap w:val="0"/>
                  <w:vAlign w:val="center"/>
                </w:tcPr>
                <w:p w14:paraId="7C806B05">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枇杷叶</w:t>
                  </w:r>
                </w:p>
              </w:tc>
              <w:tc>
                <w:tcPr>
                  <w:tcW w:w="436" w:type="pct"/>
                  <w:noWrap w:val="0"/>
                  <w:vAlign w:val="center"/>
                </w:tcPr>
                <w:p w14:paraId="691DA7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3921CD78">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377.7 </w:t>
                  </w:r>
                </w:p>
              </w:tc>
              <w:tc>
                <w:tcPr>
                  <w:tcW w:w="520" w:type="pct"/>
                  <w:noWrap w:val="0"/>
                  <w:vAlign w:val="center"/>
                </w:tcPr>
                <w:p w14:paraId="6D4FAB6B">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原料</w:t>
                  </w:r>
                </w:p>
              </w:tc>
              <w:tc>
                <w:tcPr>
                  <w:tcW w:w="1288" w:type="pct"/>
                  <w:shd w:val="clear" w:color="auto" w:fill="auto"/>
                  <w:noWrap w:val="0"/>
                  <w:vAlign w:val="center"/>
                </w:tcPr>
                <w:p w14:paraId="6AE487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4014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2C9A426F">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4</w:t>
                  </w:r>
                </w:p>
              </w:tc>
              <w:tc>
                <w:tcPr>
                  <w:tcW w:w="1302" w:type="pct"/>
                  <w:shd w:val="clear" w:color="auto" w:fill="auto"/>
                  <w:noWrap w:val="0"/>
                  <w:vAlign w:val="center"/>
                </w:tcPr>
                <w:p w14:paraId="7736C863">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薄荷脑</w:t>
                  </w:r>
                </w:p>
              </w:tc>
              <w:tc>
                <w:tcPr>
                  <w:tcW w:w="436" w:type="pct"/>
                  <w:noWrap w:val="0"/>
                  <w:vAlign w:val="center"/>
                </w:tcPr>
                <w:p w14:paraId="57CD6C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1D3A8A2A">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0.41 </w:t>
                  </w:r>
                </w:p>
              </w:tc>
              <w:tc>
                <w:tcPr>
                  <w:tcW w:w="520" w:type="pct"/>
                  <w:noWrap w:val="0"/>
                  <w:vAlign w:val="center"/>
                </w:tcPr>
                <w:p w14:paraId="691B9553">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11BE1E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6F4C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619D95E2">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5</w:t>
                  </w:r>
                </w:p>
              </w:tc>
              <w:tc>
                <w:tcPr>
                  <w:tcW w:w="1302" w:type="pct"/>
                  <w:shd w:val="clear" w:color="auto" w:fill="auto"/>
                  <w:noWrap w:val="0"/>
                  <w:vAlign w:val="center"/>
                </w:tcPr>
                <w:p w14:paraId="047E2399">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蔗糖</w:t>
                  </w:r>
                </w:p>
              </w:tc>
              <w:tc>
                <w:tcPr>
                  <w:tcW w:w="436" w:type="pct"/>
                  <w:noWrap w:val="0"/>
                  <w:vAlign w:val="center"/>
                </w:tcPr>
                <w:p w14:paraId="451AA3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2288B87E">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478.4</w:t>
                  </w:r>
                </w:p>
              </w:tc>
              <w:tc>
                <w:tcPr>
                  <w:tcW w:w="520" w:type="pct"/>
                  <w:noWrap w:val="0"/>
                  <w:vAlign w:val="center"/>
                </w:tcPr>
                <w:p w14:paraId="2DAD32BA">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38472D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79AC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055D9EA7">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6</w:t>
                  </w:r>
                </w:p>
              </w:tc>
              <w:tc>
                <w:tcPr>
                  <w:tcW w:w="1302" w:type="pct"/>
                  <w:shd w:val="clear" w:color="auto" w:fill="auto"/>
                  <w:noWrap w:val="0"/>
                  <w:vAlign w:val="center"/>
                </w:tcPr>
                <w:p w14:paraId="264DEA5E">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苯甲酸</w:t>
                  </w:r>
                  <w:r>
                    <w:rPr>
                      <w:rFonts w:hint="eastAsia" w:cs="Times New Roman"/>
                      <w:color w:val="000000" w:themeColor="text1"/>
                      <w:kern w:val="2"/>
                      <w:sz w:val="21"/>
                      <w:szCs w:val="21"/>
                      <w:u w:val="none"/>
                      <w:lang w:val="en-US" w:eastAsia="zh-CN" w:bidi="ar-SA"/>
                      <w14:textFill>
                        <w14:solidFill>
                          <w14:schemeClr w14:val="tx1"/>
                        </w14:solidFill>
                      </w14:textFill>
                    </w:rPr>
                    <w:t>钠</w:t>
                  </w:r>
                </w:p>
              </w:tc>
              <w:tc>
                <w:tcPr>
                  <w:tcW w:w="436" w:type="pct"/>
                  <w:noWrap w:val="0"/>
                  <w:vAlign w:val="center"/>
                </w:tcPr>
                <w:p w14:paraId="03A86A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35711CC4">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3.38</w:t>
                  </w:r>
                </w:p>
              </w:tc>
              <w:tc>
                <w:tcPr>
                  <w:tcW w:w="520" w:type="pct"/>
                  <w:noWrap w:val="0"/>
                  <w:vAlign w:val="center"/>
                </w:tcPr>
                <w:p w14:paraId="705F6296">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59FBB3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710A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5353BB80">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7</w:t>
                  </w:r>
                </w:p>
              </w:tc>
              <w:tc>
                <w:tcPr>
                  <w:tcW w:w="1302" w:type="pct"/>
                  <w:shd w:val="clear" w:color="auto" w:fill="auto"/>
                  <w:noWrap w:val="0"/>
                  <w:vAlign w:val="center"/>
                </w:tcPr>
                <w:p w14:paraId="30B0EA21">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杏仁香精</w:t>
                  </w:r>
                </w:p>
              </w:tc>
              <w:tc>
                <w:tcPr>
                  <w:tcW w:w="436" w:type="pct"/>
                  <w:noWrap w:val="0"/>
                  <w:vAlign w:val="center"/>
                </w:tcPr>
                <w:p w14:paraId="771CE4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2DB7D6EF">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0.24 </w:t>
                  </w:r>
                </w:p>
              </w:tc>
              <w:tc>
                <w:tcPr>
                  <w:tcW w:w="520" w:type="pct"/>
                  <w:noWrap w:val="0"/>
                  <w:vAlign w:val="center"/>
                </w:tcPr>
                <w:p w14:paraId="046B1F15">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辅料</w:t>
                  </w:r>
                </w:p>
              </w:tc>
              <w:tc>
                <w:tcPr>
                  <w:tcW w:w="1288" w:type="pct"/>
                  <w:shd w:val="clear" w:color="auto" w:fill="auto"/>
                  <w:noWrap w:val="0"/>
                  <w:vAlign w:val="center"/>
                </w:tcPr>
                <w:p w14:paraId="21F6C0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5422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noWrap w:val="0"/>
                  <w:vAlign w:val="center"/>
                </w:tcPr>
                <w:p w14:paraId="09F454DF">
                  <w:pPr>
                    <w:keepNext w:val="0"/>
                    <w:keepLines w:val="0"/>
                    <w:pageBreakBefore w:val="0"/>
                    <w:kinsoku/>
                    <w:wordWrap/>
                    <w:overflowPunct/>
                    <w:topLinePunct w:val="0"/>
                    <w:bidi w:val="0"/>
                    <w:adjustRightInd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8</w:t>
                  </w:r>
                </w:p>
              </w:tc>
              <w:tc>
                <w:tcPr>
                  <w:tcW w:w="1302" w:type="pct"/>
                  <w:shd w:val="clear" w:color="auto" w:fill="auto"/>
                  <w:noWrap w:val="0"/>
                  <w:vAlign w:val="center"/>
                </w:tcPr>
                <w:p w14:paraId="04201DF3">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95%乙醇</w:t>
                  </w:r>
                </w:p>
              </w:tc>
              <w:tc>
                <w:tcPr>
                  <w:tcW w:w="436" w:type="pct"/>
                  <w:noWrap w:val="0"/>
                  <w:vAlign w:val="center"/>
                </w:tcPr>
                <w:p w14:paraId="74A591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noWrap w:val="0"/>
                  <w:vAlign w:val="center"/>
                </w:tcPr>
                <w:p w14:paraId="53FCBD5C">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2.59(消耗量)</w:t>
                  </w:r>
                </w:p>
                <w:p w14:paraId="16BE3FED">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129.6(使用量)</w:t>
                  </w:r>
                </w:p>
              </w:tc>
              <w:tc>
                <w:tcPr>
                  <w:tcW w:w="520" w:type="pct"/>
                  <w:noWrap w:val="0"/>
                  <w:vAlign w:val="center"/>
                </w:tcPr>
                <w:p w14:paraId="26F49FC7">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溶剂</w:t>
                  </w:r>
                </w:p>
              </w:tc>
              <w:tc>
                <w:tcPr>
                  <w:tcW w:w="1288" w:type="pct"/>
                  <w:shd w:val="clear" w:color="auto" w:fill="auto"/>
                  <w:noWrap w:val="0"/>
                  <w:vAlign w:val="center"/>
                </w:tcPr>
                <w:p w14:paraId="78AE4C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69F1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25D9D89E">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七</w:t>
                  </w:r>
                </w:p>
              </w:tc>
              <w:tc>
                <w:tcPr>
                  <w:tcW w:w="4576" w:type="pct"/>
                  <w:gridSpan w:val="5"/>
                  <w:vAlign w:val="center"/>
                </w:tcPr>
                <w:p w14:paraId="0661AE0B">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金果饮口服液</w:t>
                  </w:r>
                </w:p>
              </w:tc>
            </w:tr>
            <w:tr w14:paraId="15F6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6B6C07DB">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w:t>
                  </w:r>
                </w:p>
              </w:tc>
              <w:tc>
                <w:tcPr>
                  <w:tcW w:w="1302" w:type="pct"/>
                  <w:vAlign w:val="center"/>
                </w:tcPr>
                <w:p w14:paraId="0A534E96">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地黄</w:t>
                  </w:r>
                </w:p>
              </w:tc>
              <w:tc>
                <w:tcPr>
                  <w:tcW w:w="436" w:type="pct"/>
                  <w:shd w:val="clear" w:color="auto" w:fill="auto"/>
                  <w:vAlign w:val="center"/>
                </w:tcPr>
                <w:p w14:paraId="4900D4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1D0686B6">
                  <w:pPr>
                    <w:keepNext w:val="0"/>
                    <w:keepLines w:val="0"/>
                    <w:widowControl/>
                    <w:suppressLineNumbers w:val="0"/>
                    <w:jc w:val="center"/>
                    <w:textAlignment w:val="center"/>
                    <w:rPr>
                      <w:rFonts w:hint="default" w:cs="Times New Roman"/>
                      <w:color w:val="000000" w:themeColor="text1"/>
                      <w:szCs w:val="21"/>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57.63 </w:t>
                  </w:r>
                </w:p>
              </w:tc>
              <w:tc>
                <w:tcPr>
                  <w:tcW w:w="520" w:type="pct"/>
                  <w:vAlign w:val="center"/>
                </w:tcPr>
                <w:p w14:paraId="3D275E6C">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1288" w:type="pct"/>
                  <w:shd w:val="clear" w:color="auto" w:fill="auto"/>
                  <w:vAlign w:val="center"/>
                </w:tcPr>
                <w:p w14:paraId="4C461B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5600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461E96C0">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w:t>
                  </w:r>
                </w:p>
              </w:tc>
              <w:tc>
                <w:tcPr>
                  <w:tcW w:w="1302" w:type="pct"/>
                  <w:vAlign w:val="center"/>
                </w:tcPr>
                <w:p w14:paraId="546DD180">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玄参</w:t>
                  </w:r>
                </w:p>
              </w:tc>
              <w:tc>
                <w:tcPr>
                  <w:tcW w:w="436" w:type="pct"/>
                  <w:shd w:val="clear" w:color="auto" w:fill="auto"/>
                  <w:vAlign w:val="center"/>
                </w:tcPr>
                <w:p w14:paraId="34552F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578C0788">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43.43 </w:t>
                  </w:r>
                </w:p>
              </w:tc>
              <w:tc>
                <w:tcPr>
                  <w:tcW w:w="520" w:type="pct"/>
                  <w:vAlign w:val="center"/>
                </w:tcPr>
                <w:p w14:paraId="17C48C31">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1288" w:type="pct"/>
                  <w:shd w:val="clear" w:color="auto" w:fill="auto"/>
                  <w:vAlign w:val="center"/>
                </w:tcPr>
                <w:p w14:paraId="19C0C3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4E7D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7F5D933C">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3</w:t>
                  </w:r>
                </w:p>
              </w:tc>
              <w:tc>
                <w:tcPr>
                  <w:tcW w:w="1302" w:type="pct"/>
                  <w:vAlign w:val="center"/>
                </w:tcPr>
                <w:p w14:paraId="4550B7B4">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西青果</w:t>
                  </w:r>
                </w:p>
              </w:tc>
              <w:tc>
                <w:tcPr>
                  <w:tcW w:w="436" w:type="pct"/>
                  <w:shd w:val="clear" w:color="auto" w:fill="auto"/>
                  <w:vAlign w:val="center"/>
                </w:tcPr>
                <w:p w14:paraId="0714CB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7B59E2F4">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14.21 </w:t>
                  </w:r>
                </w:p>
              </w:tc>
              <w:tc>
                <w:tcPr>
                  <w:tcW w:w="520" w:type="pct"/>
                  <w:vAlign w:val="center"/>
                </w:tcPr>
                <w:p w14:paraId="1BEE932C">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1288" w:type="pct"/>
                  <w:shd w:val="clear" w:color="auto" w:fill="auto"/>
                  <w:vAlign w:val="center"/>
                </w:tcPr>
                <w:p w14:paraId="5E3CB4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3000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3B1C57F5">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4</w:t>
                  </w:r>
                </w:p>
              </w:tc>
              <w:tc>
                <w:tcPr>
                  <w:tcW w:w="1302" w:type="pct"/>
                  <w:vAlign w:val="center"/>
                </w:tcPr>
                <w:p w14:paraId="3D5E9CE4">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蝉蜕</w:t>
                  </w:r>
                </w:p>
              </w:tc>
              <w:tc>
                <w:tcPr>
                  <w:tcW w:w="436" w:type="pct"/>
                  <w:shd w:val="clear" w:color="auto" w:fill="auto"/>
                  <w:vAlign w:val="center"/>
                </w:tcPr>
                <w:p w14:paraId="14EFE2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04A8AB69">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21.32 </w:t>
                  </w:r>
                </w:p>
              </w:tc>
              <w:tc>
                <w:tcPr>
                  <w:tcW w:w="520" w:type="pct"/>
                  <w:vAlign w:val="center"/>
                </w:tcPr>
                <w:p w14:paraId="2109B8C8">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1288" w:type="pct"/>
                  <w:shd w:val="clear" w:color="auto" w:fill="auto"/>
                  <w:vAlign w:val="center"/>
                </w:tcPr>
                <w:p w14:paraId="1C3C96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076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2F74DDA7">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5</w:t>
                  </w:r>
                </w:p>
              </w:tc>
              <w:tc>
                <w:tcPr>
                  <w:tcW w:w="1302" w:type="pct"/>
                  <w:vAlign w:val="center"/>
                </w:tcPr>
                <w:p w14:paraId="37960871">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麦冬</w:t>
                  </w:r>
                </w:p>
              </w:tc>
              <w:tc>
                <w:tcPr>
                  <w:tcW w:w="436" w:type="pct"/>
                  <w:shd w:val="clear" w:color="auto" w:fill="auto"/>
                  <w:vAlign w:val="center"/>
                </w:tcPr>
                <w:p w14:paraId="577AE1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3795DBDE">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43.43 </w:t>
                  </w:r>
                </w:p>
              </w:tc>
              <w:tc>
                <w:tcPr>
                  <w:tcW w:w="520" w:type="pct"/>
                  <w:vAlign w:val="center"/>
                </w:tcPr>
                <w:p w14:paraId="4E76EB7C">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1288" w:type="pct"/>
                  <w:shd w:val="clear" w:color="auto" w:fill="auto"/>
                  <w:vAlign w:val="center"/>
                </w:tcPr>
                <w:p w14:paraId="3D8384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5F0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350707CB">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6</w:t>
                  </w:r>
                </w:p>
              </w:tc>
              <w:tc>
                <w:tcPr>
                  <w:tcW w:w="1302" w:type="pct"/>
                  <w:vAlign w:val="center"/>
                </w:tcPr>
                <w:p w14:paraId="57F5FF6D">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胖大海</w:t>
                  </w:r>
                </w:p>
              </w:tc>
              <w:tc>
                <w:tcPr>
                  <w:tcW w:w="436" w:type="pct"/>
                  <w:shd w:val="clear" w:color="auto" w:fill="auto"/>
                  <w:vAlign w:val="center"/>
                </w:tcPr>
                <w:p w14:paraId="55EC59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31D8FE12">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14.21 </w:t>
                  </w:r>
                </w:p>
              </w:tc>
              <w:tc>
                <w:tcPr>
                  <w:tcW w:w="520" w:type="pct"/>
                  <w:vAlign w:val="center"/>
                </w:tcPr>
                <w:p w14:paraId="096A2FA9">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1288" w:type="pct"/>
                  <w:shd w:val="clear" w:color="auto" w:fill="auto"/>
                  <w:vAlign w:val="center"/>
                </w:tcPr>
                <w:p w14:paraId="5F8D0E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588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7F6D2FB0">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7</w:t>
                  </w:r>
                </w:p>
              </w:tc>
              <w:tc>
                <w:tcPr>
                  <w:tcW w:w="1302" w:type="pct"/>
                  <w:vAlign w:val="center"/>
                </w:tcPr>
                <w:p w14:paraId="6EA21528">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南沙参</w:t>
                  </w:r>
                </w:p>
              </w:tc>
              <w:tc>
                <w:tcPr>
                  <w:tcW w:w="436" w:type="pct"/>
                  <w:shd w:val="clear" w:color="auto" w:fill="auto"/>
                  <w:vAlign w:val="center"/>
                </w:tcPr>
                <w:p w14:paraId="3D0033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0B100782">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43.43 </w:t>
                  </w:r>
                </w:p>
              </w:tc>
              <w:tc>
                <w:tcPr>
                  <w:tcW w:w="520" w:type="pct"/>
                  <w:vAlign w:val="center"/>
                </w:tcPr>
                <w:p w14:paraId="256C6769">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1288" w:type="pct"/>
                  <w:shd w:val="clear" w:color="auto" w:fill="auto"/>
                  <w:vAlign w:val="center"/>
                </w:tcPr>
                <w:p w14:paraId="3E8FC3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08CC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2F79122F">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8</w:t>
                  </w:r>
                </w:p>
              </w:tc>
              <w:tc>
                <w:tcPr>
                  <w:tcW w:w="1302" w:type="pct"/>
                  <w:vAlign w:val="center"/>
                </w:tcPr>
                <w:p w14:paraId="4B057FBA">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太子参</w:t>
                  </w:r>
                </w:p>
              </w:tc>
              <w:tc>
                <w:tcPr>
                  <w:tcW w:w="436" w:type="pct"/>
                  <w:shd w:val="clear" w:color="auto" w:fill="auto"/>
                  <w:vAlign w:val="center"/>
                </w:tcPr>
                <w:p w14:paraId="7950D4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25B19A8F">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43.43 </w:t>
                  </w:r>
                </w:p>
              </w:tc>
              <w:tc>
                <w:tcPr>
                  <w:tcW w:w="520" w:type="pct"/>
                  <w:vAlign w:val="center"/>
                </w:tcPr>
                <w:p w14:paraId="65546C33">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1288" w:type="pct"/>
                  <w:shd w:val="clear" w:color="auto" w:fill="auto"/>
                  <w:vAlign w:val="center"/>
                </w:tcPr>
                <w:p w14:paraId="077996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186E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2134C1B0">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9</w:t>
                  </w:r>
                </w:p>
              </w:tc>
              <w:tc>
                <w:tcPr>
                  <w:tcW w:w="1302" w:type="pct"/>
                  <w:vAlign w:val="center"/>
                </w:tcPr>
                <w:p w14:paraId="0E58ACBF">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陈皮</w:t>
                  </w:r>
                </w:p>
              </w:tc>
              <w:tc>
                <w:tcPr>
                  <w:tcW w:w="436" w:type="pct"/>
                  <w:shd w:val="clear" w:color="auto" w:fill="auto"/>
                  <w:vAlign w:val="center"/>
                </w:tcPr>
                <w:p w14:paraId="180A6D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070BE16A">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28.43 </w:t>
                  </w:r>
                </w:p>
              </w:tc>
              <w:tc>
                <w:tcPr>
                  <w:tcW w:w="520" w:type="pct"/>
                  <w:vAlign w:val="center"/>
                </w:tcPr>
                <w:p w14:paraId="61386FE7">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1288" w:type="pct"/>
                  <w:shd w:val="clear" w:color="auto" w:fill="auto"/>
                  <w:vAlign w:val="center"/>
                </w:tcPr>
                <w:p w14:paraId="056AD2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0A03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4B46F6D4">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10</w:t>
                  </w:r>
                </w:p>
              </w:tc>
              <w:tc>
                <w:tcPr>
                  <w:tcW w:w="1302" w:type="pct"/>
                  <w:vAlign w:val="center"/>
                </w:tcPr>
                <w:p w14:paraId="29863AE6">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蔗糖</w:t>
                  </w:r>
                </w:p>
              </w:tc>
              <w:tc>
                <w:tcPr>
                  <w:tcW w:w="436" w:type="pct"/>
                  <w:shd w:val="clear" w:color="auto" w:fill="auto"/>
                  <w:vAlign w:val="center"/>
                </w:tcPr>
                <w:p w14:paraId="79F754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0D56D823">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150</w:t>
                  </w:r>
                </w:p>
              </w:tc>
              <w:tc>
                <w:tcPr>
                  <w:tcW w:w="520" w:type="pct"/>
                  <w:vAlign w:val="center"/>
                </w:tcPr>
                <w:p w14:paraId="4A3A2345">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辅料</w:t>
                  </w:r>
                </w:p>
              </w:tc>
              <w:tc>
                <w:tcPr>
                  <w:tcW w:w="1288" w:type="pct"/>
                  <w:shd w:val="clear" w:color="auto" w:fill="auto"/>
                  <w:vAlign w:val="center"/>
                </w:tcPr>
                <w:p w14:paraId="4E5C0D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26A6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05A05FB6">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11</w:t>
                  </w:r>
                </w:p>
              </w:tc>
              <w:tc>
                <w:tcPr>
                  <w:tcW w:w="1302" w:type="pct"/>
                  <w:vAlign w:val="center"/>
                </w:tcPr>
                <w:p w14:paraId="05BD9DC4">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薄荷素油</w:t>
                  </w:r>
                </w:p>
              </w:tc>
              <w:tc>
                <w:tcPr>
                  <w:tcW w:w="436" w:type="pct"/>
                  <w:shd w:val="clear" w:color="auto" w:fill="auto"/>
                  <w:vAlign w:val="center"/>
                </w:tcPr>
                <w:p w14:paraId="7CA384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054E3A27">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 xml:space="preserve">0.38 </w:t>
                  </w:r>
                </w:p>
              </w:tc>
              <w:tc>
                <w:tcPr>
                  <w:tcW w:w="520" w:type="pct"/>
                  <w:vAlign w:val="center"/>
                </w:tcPr>
                <w:p w14:paraId="5562309A">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辅料</w:t>
                  </w:r>
                </w:p>
              </w:tc>
              <w:tc>
                <w:tcPr>
                  <w:tcW w:w="1288" w:type="pct"/>
                  <w:shd w:val="clear" w:color="auto" w:fill="auto"/>
                  <w:vAlign w:val="center"/>
                </w:tcPr>
                <w:p w14:paraId="6D2858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60FC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6996CE61">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12</w:t>
                  </w:r>
                </w:p>
              </w:tc>
              <w:tc>
                <w:tcPr>
                  <w:tcW w:w="1302" w:type="pct"/>
                  <w:vAlign w:val="center"/>
                </w:tcPr>
                <w:p w14:paraId="16154F89">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枸橼酸</w:t>
                  </w:r>
                </w:p>
              </w:tc>
              <w:tc>
                <w:tcPr>
                  <w:tcW w:w="436" w:type="pct"/>
                  <w:shd w:val="clear" w:color="auto" w:fill="auto"/>
                  <w:vAlign w:val="center"/>
                </w:tcPr>
                <w:p w14:paraId="002105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46E4F957">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0.75</w:t>
                  </w:r>
                </w:p>
              </w:tc>
              <w:tc>
                <w:tcPr>
                  <w:tcW w:w="520" w:type="pct"/>
                  <w:vAlign w:val="center"/>
                </w:tcPr>
                <w:p w14:paraId="180FC85B">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辅料</w:t>
                  </w:r>
                </w:p>
              </w:tc>
              <w:tc>
                <w:tcPr>
                  <w:tcW w:w="1288" w:type="pct"/>
                  <w:shd w:val="clear" w:color="auto" w:fill="auto"/>
                  <w:vAlign w:val="center"/>
                </w:tcPr>
                <w:p w14:paraId="725CBD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0017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77607F9B">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13</w:t>
                  </w:r>
                </w:p>
              </w:tc>
              <w:tc>
                <w:tcPr>
                  <w:tcW w:w="1302" w:type="pct"/>
                  <w:vAlign w:val="center"/>
                </w:tcPr>
                <w:p w14:paraId="75230A68">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苯甲酸钠</w:t>
                  </w:r>
                </w:p>
              </w:tc>
              <w:tc>
                <w:tcPr>
                  <w:tcW w:w="436" w:type="pct"/>
                  <w:shd w:val="clear" w:color="auto" w:fill="auto"/>
                  <w:vAlign w:val="center"/>
                </w:tcPr>
                <w:p w14:paraId="0B2786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214A3A3B">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1.5</w:t>
                  </w:r>
                </w:p>
              </w:tc>
              <w:tc>
                <w:tcPr>
                  <w:tcW w:w="520" w:type="pct"/>
                  <w:vAlign w:val="center"/>
                </w:tcPr>
                <w:p w14:paraId="666D48A0">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辅料</w:t>
                  </w:r>
                </w:p>
              </w:tc>
              <w:tc>
                <w:tcPr>
                  <w:tcW w:w="1288" w:type="pct"/>
                  <w:shd w:val="clear" w:color="auto" w:fill="auto"/>
                  <w:vAlign w:val="center"/>
                </w:tcPr>
                <w:p w14:paraId="7813D4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3895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22AC47ED">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14</w:t>
                  </w:r>
                </w:p>
              </w:tc>
              <w:tc>
                <w:tcPr>
                  <w:tcW w:w="1302" w:type="pct"/>
                  <w:vAlign w:val="center"/>
                </w:tcPr>
                <w:p w14:paraId="33204102">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95%乙醇</w:t>
                  </w:r>
                </w:p>
              </w:tc>
              <w:tc>
                <w:tcPr>
                  <w:tcW w:w="436" w:type="pct"/>
                  <w:shd w:val="clear" w:color="auto" w:fill="auto"/>
                  <w:vAlign w:val="center"/>
                </w:tcPr>
                <w:p w14:paraId="0FAC1A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6FC519F0">
                  <w:pPr>
                    <w:keepNext w:val="0"/>
                    <w:keepLines w:val="0"/>
                    <w:pageBreakBefore w:val="0"/>
                    <w:kinsoku/>
                    <w:wordWrap/>
                    <w:overflowPunct/>
                    <w:topLinePunct w:val="0"/>
                    <w:bidi w:val="0"/>
                    <w:spacing w:line="240" w:lineRule="auto"/>
                    <w:jc w:val="center"/>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2.28(消耗量)</w:t>
                  </w:r>
                </w:p>
                <w:p w14:paraId="32EEFA37">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114(使用量)</w:t>
                  </w:r>
                </w:p>
              </w:tc>
              <w:tc>
                <w:tcPr>
                  <w:tcW w:w="520" w:type="pct"/>
                  <w:vAlign w:val="center"/>
                </w:tcPr>
                <w:p w14:paraId="557118BE">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溶剂</w:t>
                  </w:r>
                </w:p>
              </w:tc>
              <w:tc>
                <w:tcPr>
                  <w:tcW w:w="1288" w:type="pct"/>
                  <w:shd w:val="clear" w:color="auto" w:fill="auto"/>
                  <w:vAlign w:val="center"/>
                </w:tcPr>
                <w:p w14:paraId="47EB56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外购</w:t>
                  </w:r>
                </w:p>
              </w:tc>
            </w:tr>
            <w:tr w14:paraId="5B9C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3170891A">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八</w:t>
                  </w:r>
                </w:p>
              </w:tc>
              <w:tc>
                <w:tcPr>
                  <w:tcW w:w="4576" w:type="pct"/>
                  <w:gridSpan w:val="5"/>
                  <w:vAlign w:val="center"/>
                </w:tcPr>
                <w:p w14:paraId="6343E4E3">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其他包材</w:t>
                  </w:r>
                </w:p>
              </w:tc>
            </w:tr>
            <w:tr w14:paraId="6F7B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13B41B91">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w:t>
                  </w:r>
                </w:p>
              </w:tc>
              <w:tc>
                <w:tcPr>
                  <w:tcW w:w="1302" w:type="pct"/>
                  <w:vAlign w:val="center"/>
                </w:tcPr>
                <w:p w14:paraId="2FB99F33">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棕色玻璃瓶</w:t>
                  </w:r>
                </w:p>
              </w:tc>
              <w:tc>
                <w:tcPr>
                  <w:tcW w:w="436" w:type="pct"/>
                  <w:shd w:val="clear" w:color="auto" w:fill="auto"/>
                  <w:vAlign w:val="center"/>
                </w:tcPr>
                <w:p w14:paraId="4C10B0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584FB3C4">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5000</w:t>
                  </w:r>
                </w:p>
              </w:tc>
              <w:tc>
                <w:tcPr>
                  <w:tcW w:w="520" w:type="pct"/>
                  <w:vAlign w:val="center"/>
                </w:tcPr>
                <w:p w14:paraId="511D2943">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1288" w:type="pct"/>
                  <w:vMerge w:val="restart"/>
                  <w:vAlign w:val="center"/>
                </w:tcPr>
                <w:p w14:paraId="0471DA7F">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用于液体灌装工序</w:t>
                  </w:r>
                </w:p>
              </w:tc>
            </w:tr>
            <w:tr w14:paraId="722D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72B7F8F0">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w:t>
                  </w:r>
                </w:p>
              </w:tc>
              <w:tc>
                <w:tcPr>
                  <w:tcW w:w="1302" w:type="pct"/>
                  <w:vAlign w:val="center"/>
                </w:tcPr>
                <w:p w14:paraId="0AA7D82F">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聚酯瓶</w:t>
                  </w:r>
                </w:p>
              </w:tc>
              <w:tc>
                <w:tcPr>
                  <w:tcW w:w="436" w:type="pct"/>
                  <w:shd w:val="clear" w:color="auto" w:fill="auto"/>
                  <w:vAlign w:val="center"/>
                </w:tcPr>
                <w:p w14:paraId="5198E5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0A7D47B0">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200</w:t>
                  </w:r>
                </w:p>
              </w:tc>
              <w:tc>
                <w:tcPr>
                  <w:tcW w:w="520" w:type="pct"/>
                  <w:vAlign w:val="center"/>
                </w:tcPr>
                <w:p w14:paraId="54006964">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1288" w:type="pct"/>
                  <w:vMerge w:val="continue"/>
                  <w:vAlign w:val="center"/>
                </w:tcPr>
                <w:p w14:paraId="11C255B5">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r>
            <w:tr w14:paraId="5CA8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1FE7F8D5">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3</w:t>
                  </w:r>
                </w:p>
              </w:tc>
              <w:tc>
                <w:tcPr>
                  <w:tcW w:w="1302" w:type="pct"/>
                  <w:vAlign w:val="center"/>
                </w:tcPr>
                <w:p w14:paraId="7D0E127F">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聚乙烯瓶</w:t>
                  </w:r>
                </w:p>
              </w:tc>
              <w:tc>
                <w:tcPr>
                  <w:tcW w:w="436" w:type="pct"/>
                  <w:shd w:val="clear" w:color="auto" w:fill="auto"/>
                  <w:vAlign w:val="center"/>
                </w:tcPr>
                <w:p w14:paraId="28327F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5B2BE3BA">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187</w:t>
                  </w:r>
                </w:p>
              </w:tc>
              <w:tc>
                <w:tcPr>
                  <w:tcW w:w="520" w:type="pct"/>
                  <w:vAlign w:val="center"/>
                </w:tcPr>
                <w:p w14:paraId="248FC5B8">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1288" w:type="pct"/>
                  <w:vAlign w:val="center"/>
                </w:tcPr>
                <w:p w14:paraId="40AF3425">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用于片剂/丸剂装瓶工序</w:t>
                  </w:r>
                </w:p>
              </w:tc>
            </w:tr>
            <w:tr w14:paraId="3687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2BF82EF6">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4</w:t>
                  </w:r>
                </w:p>
              </w:tc>
              <w:tc>
                <w:tcPr>
                  <w:tcW w:w="1302" w:type="pct"/>
                  <w:vAlign w:val="center"/>
                </w:tcPr>
                <w:p w14:paraId="40791F7D">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药用复合膜</w:t>
                  </w:r>
                </w:p>
              </w:tc>
              <w:tc>
                <w:tcPr>
                  <w:tcW w:w="436" w:type="pct"/>
                  <w:shd w:val="clear" w:color="auto" w:fill="auto"/>
                  <w:vAlign w:val="center"/>
                </w:tcPr>
                <w:p w14:paraId="76069A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07533383">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70.2</w:t>
                  </w:r>
                </w:p>
              </w:tc>
              <w:tc>
                <w:tcPr>
                  <w:tcW w:w="520" w:type="pct"/>
                  <w:vAlign w:val="center"/>
                </w:tcPr>
                <w:p w14:paraId="4B8082EC">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1288" w:type="pct"/>
                  <w:vAlign w:val="center"/>
                </w:tcPr>
                <w:p w14:paraId="0D97BB19">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用于散剂/颗粒剂袋装工序</w:t>
                  </w:r>
                </w:p>
              </w:tc>
            </w:tr>
            <w:tr w14:paraId="0C44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3" w:type="pct"/>
                  <w:vAlign w:val="center"/>
                </w:tcPr>
                <w:p w14:paraId="7D699A62">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5</w:t>
                  </w:r>
                </w:p>
              </w:tc>
              <w:tc>
                <w:tcPr>
                  <w:tcW w:w="1302" w:type="pct"/>
                  <w:vAlign w:val="center"/>
                </w:tcPr>
                <w:p w14:paraId="0D2F1E0A">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包装盒(箱)</w:t>
                  </w:r>
                </w:p>
              </w:tc>
              <w:tc>
                <w:tcPr>
                  <w:tcW w:w="436" w:type="pct"/>
                  <w:shd w:val="clear" w:color="auto" w:fill="auto"/>
                  <w:vAlign w:val="center"/>
                </w:tcPr>
                <w:p w14:paraId="02151D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1029" w:type="pct"/>
                  <w:vAlign w:val="center"/>
                </w:tcPr>
                <w:p w14:paraId="71D5539D">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1000</w:t>
                  </w:r>
                </w:p>
              </w:tc>
              <w:tc>
                <w:tcPr>
                  <w:tcW w:w="520" w:type="pct"/>
                  <w:vAlign w:val="center"/>
                </w:tcPr>
                <w:p w14:paraId="29860AAA">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1288" w:type="pct"/>
                  <w:vAlign w:val="center"/>
                </w:tcPr>
                <w:p w14:paraId="501C471D">
                  <w:pPr>
                    <w:keepNext w:val="0"/>
                    <w:keepLines w:val="0"/>
                    <w:pageBreakBefore w:val="0"/>
                    <w:widowControl w:val="0"/>
                    <w:tabs>
                      <w:tab w:val="left" w:pos="615"/>
                      <w:tab w:val="center" w:pos="671"/>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用于包装工序</w:t>
                  </w:r>
                </w:p>
              </w:tc>
            </w:tr>
          </w:tbl>
          <w:p w14:paraId="1C9A515A">
            <w:pPr>
              <w:keepNext w:val="0"/>
              <w:keepLines w:val="0"/>
              <w:pageBreakBefore w:val="0"/>
              <w:widowControl w:val="0"/>
              <w:kinsoku/>
              <w:wordWrap/>
              <w:overflowPunct/>
              <w:topLinePunct w:val="0"/>
              <w:autoSpaceDE/>
              <w:autoSpaceDN/>
              <w:bidi w:val="0"/>
              <w:adjustRightInd w:val="0"/>
              <w:snapToGrid w:val="0"/>
              <w:spacing w:line="240" w:lineRule="auto"/>
              <w:ind w:firstLine="470" w:firstLineChars="196"/>
              <w:textAlignment w:val="auto"/>
              <w:rPr>
                <w:rFonts w:hint="eastAsia"/>
                <w:color w:val="000000" w:themeColor="text1"/>
                <w:sz w:val="24"/>
                <w:szCs w:val="24"/>
                <w:highlight w:val="none"/>
                <w:lang w:val="en-US" w:eastAsia="zh-CN"/>
                <w14:textFill>
                  <w14:solidFill>
                    <w14:schemeClr w14:val="tx1"/>
                  </w14:solidFill>
                </w14:textFill>
              </w:rPr>
            </w:pPr>
          </w:p>
          <w:p w14:paraId="1C833866">
            <w:pPr>
              <w:keepNext w:val="0"/>
              <w:overflowPunct/>
              <w:adjustRightInd w:val="0"/>
              <w:snapToGrid w:val="0"/>
              <w:spacing w:line="360" w:lineRule="auto"/>
              <w:ind w:firstLine="470" w:firstLineChars="196"/>
              <w:rPr>
                <w:rFonts w:hint="eastAsia" w:cs="Times New Roman"/>
                <w:b w:val="0"/>
                <w:bCs w:val="0"/>
                <w:color w:val="000000" w:themeColor="text1"/>
                <w:sz w:val="24"/>
                <w:szCs w:val="24"/>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w:t>
            </w:r>
            <w:r>
              <w:rPr>
                <w:rFonts w:hint="eastAsia" w:cs="Times New Roman"/>
                <w:b w:val="0"/>
                <w:bCs w:val="0"/>
                <w:color w:val="000000" w:themeColor="text1"/>
                <w:sz w:val="24"/>
                <w:szCs w:val="24"/>
                <w:lang w:val="en-US" w:eastAsia="zh-CN"/>
                <w14:textFill>
                  <w14:solidFill>
                    <w14:schemeClr w14:val="tx1"/>
                  </w14:solidFill>
                </w14:textFill>
              </w:rPr>
              <w:t>主要化学原料药及辅料理化性质情况见下表。</w:t>
            </w:r>
          </w:p>
          <w:p w14:paraId="4B1C417E">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cs="Times New Roman"/>
                <w:b w:val="0"/>
                <w:bCs w:val="0"/>
                <w:color w:val="000000" w:themeColor="text1"/>
                <w:sz w:val="24"/>
                <w:szCs w:val="24"/>
                <w:lang w:val="en-US" w:eastAsia="zh-CN"/>
                <w14:textFill>
                  <w14:solidFill>
                    <w14:schemeClr w14:val="tx1"/>
                  </w14:solidFill>
                </w14:textFill>
              </w:rPr>
              <w:t>12</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14:textFill>
                  <w14:solidFill>
                    <w14:schemeClr w14:val="tx1"/>
                  </w14:solidFill>
                </w14:textFill>
              </w:rPr>
              <w:t>本项目</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主要化学原料药及辅料理化性质一览表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377"/>
              <w:gridCol w:w="5835"/>
            </w:tblGrid>
            <w:tr w14:paraId="17F3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1" w:type="pct"/>
                  <w:noWrap w:val="0"/>
                  <w:vAlign w:val="center"/>
                </w:tcPr>
                <w:p w14:paraId="6A8043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序号</w:t>
                  </w:r>
                </w:p>
              </w:tc>
              <w:tc>
                <w:tcPr>
                  <w:tcW w:w="874" w:type="pct"/>
                  <w:noWrap w:val="0"/>
                  <w:vAlign w:val="center"/>
                </w:tcPr>
                <w:p w14:paraId="6DB02C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名称</w:t>
                  </w:r>
                </w:p>
              </w:tc>
              <w:tc>
                <w:tcPr>
                  <w:tcW w:w="3704" w:type="pct"/>
                  <w:noWrap w:val="0"/>
                  <w:vAlign w:val="center"/>
                </w:tcPr>
                <w:p w14:paraId="0FCE74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主要理化性质及用途</w:t>
                  </w:r>
                </w:p>
              </w:tc>
            </w:tr>
            <w:tr w14:paraId="0E0C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1" w:type="pct"/>
                  <w:tcBorders>
                    <w:top w:val="single" w:color="auto" w:sz="4" w:space="0"/>
                    <w:bottom w:val="single" w:color="auto" w:sz="4" w:space="0"/>
                  </w:tcBorders>
                  <w:noWrap w:val="0"/>
                  <w:vAlign w:val="center"/>
                </w:tcPr>
                <w:p w14:paraId="495FAD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874" w:type="pct"/>
                  <w:noWrap w:val="0"/>
                  <w:vAlign w:val="center"/>
                </w:tcPr>
                <w:p w14:paraId="79FEFC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乙醇</w:t>
                  </w:r>
                </w:p>
              </w:tc>
              <w:tc>
                <w:tcPr>
                  <w:tcW w:w="3704" w:type="pct"/>
                  <w:noWrap w:val="0"/>
                  <w:vAlign w:val="center"/>
                </w:tcPr>
                <w:p w14:paraId="0205B6A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一种有机化合物，结构简式为CH</w:t>
                  </w:r>
                  <w:r>
                    <w:rPr>
                      <w:rFonts w:hint="default" w:ascii="Times New Roman" w:hAnsi="Times New Roman" w:cs="Times New Roman"/>
                      <w:color w:val="000000" w:themeColor="text1"/>
                      <w:szCs w:val="21"/>
                      <w:vertAlign w:val="subscript"/>
                      <w:lang w:val="en-US" w:eastAsia="zh-CN"/>
                      <w14:textFill>
                        <w14:solidFill>
                          <w14:schemeClr w14:val="tx1"/>
                        </w14:solidFill>
                      </w14:textFill>
                    </w:rPr>
                    <w:t>3</w:t>
                  </w:r>
                  <w:r>
                    <w:rPr>
                      <w:rFonts w:hint="default" w:ascii="Times New Roman" w:hAnsi="Times New Roman" w:cs="Times New Roman"/>
                      <w:color w:val="000000" w:themeColor="text1"/>
                      <w:szCs w:val="21"/>
                      <w:lang w:val="en-US" w:eastAsia="zh-CN"/>
                      <w14:textFill>
                        <w14:solidFill>
                          <w14:schemeClr w14:val="tx1"/>
                        </w14:solidFill>
                      </w14:textFill>
                    </w:rPr>
                    <w:t>CH</w:t>
                  </w:r>
                  <w:r>
                    <w:rPr>
                      <w:rFonts w:hint="default" w:ascii="Times New Roman" w:hAnsi="Times New Roman" w:cs="Times New Roman"/>
                      <w:color w:val="000000" w:themeColor="text1"/>
                      <w:szCs w:val="21"/>
                      <w:vertAlign w:val="subscript"/>
                      <w:lang w:val="en-US" w:eastAsia="zh-CN"/>
                      <w14:textFill>
                        <w14:solidFill>
                          <w14:schemeClr w14:val="tx1"/>
                        </w14:solidFill>
                      </w14:textFill>
                    </w:rPr>
                    <w:t>2</w:t>
                  </w:r>
                  <w:r>
                    <w:rPr>
                      <w:rFonts w:hint="default" w:ascii="Times New Roman" w:hAnsi="Times New Roman" w:cs="Times New Roman"/>
                      <w:color w:val="000000" w:themeColor="text1"/>
                      <w:szCs w:val="21"/>
                      <w:lang w:val="en-US" w:eastAsia="zh-CN"/>
                      <w14:textFill>
                        <w14:solidFill>
                          <w14:schemeClr w14:val="tx1"/>
                        </w14:solidFill>
                      </w14:textFill>
                    </w:rPr>
                    <w:t>OH或C</w:t>
                  </w:r>
                  <w:r>
                    <w:rPr>
                      <w:rFonts w:hint="default" w:ascii="Times New Roman" w:hAnsi="Times New Roman" w:cs="Times New Roman"/>
                      <w:color w:val="000000" w:themeColor="text1"/>
                      <w:szCs w:val="21"/>
                      <w:vertAlign w:val="subscript"/>
                      <w:lang w:val="en-US" w:eastAsia="zh-CN"/>
                      <w14:textFill>
                        <w14:solidFill>
                          <w14:schemeClr w14:val="tx1"/>
                        </w14:solidFill>
                      </w14:textFill>
                    </w:rPr>
                    <w:t>2</w:t>
                  </w:r>
                  <w:r>
                    <w:rPr>
                      <w:rFonts w:hint="default" w:ascii="Times New Roman" w:hAnsi="Times New Roman" w:cs="Times New Roman"/>
                      <w:color w:val="000000" w:themeColor="text1"/>
                      <w:szCs w:val="21"/>
                      <w:lang w:val="en-US" w:eastAsia="zh-CN"/>
                      <w14:textFill>
                        <w14:solidFill>
                          <w14:schemeClr w14:val="tx1"/>
                        </w14:solidFill>
                      </w14:textFill>
                    </w:rPr>
                    <w:t>H</w:t>
                  </w:r>
                  <w:r>
                    <w:rPr>
                      <w:rFonts w:hint="default" w:ascii="Times New Roman" w:hAnsi="Times New Roman" w:cs="Times New Roman"/>
                      <w:color w:val="000000" w:themeColor="text1"/>
                      <w:szCs w:val="21"/>
                      <w:vertAlign w:val="subscript"/>
                      <w:lang w:val="en-US" w:eastAsia="zh-CN"/>
                      <w14:textFill>
                        <w14:solidFill>
                          <w14:schemeClr w14:val="tx1"/>
                        </w14:solidFill>
                      </w14:textFill>
                    </w:rPr>
                    <w:t>5</w:t>
                  </w:r>
                  <w:r>
                    <w:rPr>
                      <w:rFonts w:hint="default" w:ascii="Times New Roman" w:hAnsi="Times New Roman" w:cs="Times New Roman"/>
                      <w:color w:val="000000" w:themeColor="text1"/>
                      <w:szCs w:val="21"/>
                      <w:lang w:val="en-US" w:eastAsia="zh-CN"/>
                      <w14:textFill>
                        <w14:solidFill>
                          <w14:schemeClr w14:val="tx1"/>
                        </w14:solidFill>
                      </w14:textFill>
                    </w:rPr>
                    <w:t>OH，分子式为C</w:t>
                  </w:r>
                  <w:r>
                    <w:rPr>
                      <w:rFonts w:hint="default" w:ascii="Times New Roman" w:hAnsi="Times New Roman" w:cs="Times New Roman"/>
                      <w:color w:val="000000" w:themeColor="text1"/>
                      <w:szCs w:val="21"/>
                      <w:vertAlign w:val="subscript"/>
                      <w:lang w:val="en-US" w:eastAsia="zh-CN"/>
                      <w14:textFill>
                        <w14:solidFill>
                          <w14:schemeClr w14:val="tx1"/>
                        </w14:solidFill>
                      </w14:textFill>
                    </w:rPr>
                    <w:t>2</w:t>
                  </w:r>
                  <w:r>
                    <w:rPr>
                      <w:rFonts w:hint="default" w:ascii="Times New Roman" w:hAnsi="Times New Roman" w:cs="Times New Roman"/>
                      <w:color w:val="000000" w:themeColor="text1"/>
                      <w:szCs w:val="21"/>
                      <w:lang w:val="en-US" w:eastAsia="zh-CN"/>
                      <w14:textFill>
                        <w14:solidFill>
                          <w14:schemeClr w14:val="tx1"/>
                        </w14:solidFill>
                      </w14:textFill>
                    </w:rPr>
                    <w:t>H</w:t>
                  </w:r>
                  <w:r>
                    <w:rPr>
                      <w:rFonts w:hint="default" w:ascii="Times New Roman" w:hAnsi="Times New Roman" w:cs="Times New Roman"/>
                      <w:color w:val="000000" w:themeColor="text1"/>
                      <w:szCs w:val="21"/>
                      <w:vertAlign w:val="subscript"/>
                      <w:lang w:val="en-US" w:eastAsia="zh-CN"/>
                      <w14:textFill>
                        <w14:solidFill>
                          <w14:schemeClr w14:val="tx1"/>
                        </w14:solidFill>
                      </w14:textFill>
                    </w:rPr>
                    <w:t>6</w:t>
                  </w:r>
                  <w:r>
                    <w:rPr>
                      <w:rFonts w:hint="default" w:ascii="Times New Roman" w:hAnsi="Times New Roman" w:cs="Times New Roman"/>
                      <w:color w:val="000000" w:themeColor="text1"/>
                      <w:szCs w:val="21"/>
                      <w:lang w:val="en-US" w:eastAsia="zh-CN"/>
                      <w14:textFill>
                        <w14:solidFill>
                          <w14:schemeClr w14:val="tx1"/>
                        </w14:solidFill>
                      </w14:textFill>
                    </w:rPr>
                    <w:t>O，俗称酒精。在常温常压下是一种易挥发的无色透明液体，低毒性，纯液体不可直接饮用。乙醇的水溶液具有酒香的气味，并略带刺激性，味甘。乙醇易燃，其蒸气能与空气形成爆炸性混合物。乙醇能与水以任意比互溶，能与氯仿、乙醚、甲醇、丙酮和其他多数有机溶剂混溶。可用于制造醋酸、饮料、香精、染料、燃料等，医疗上常用体积分数为70%~75%的乙醇作消毒剂。乙醇在化学工业、医疗卫生、食品工业、农业生产等领域都有广泛的用途。</w:t>
                  </w:r>
                </w:p>
              </w:tc>
            </w:tr>
            <w:tr w14:paraId="1A55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1" w:type="pct"/>
                  <w:tcBorders>
                    <w:top w:val="single" w:color="auto" w:sz="4" w:space="0"/>
                    <w:bottom w:val="single" w:color="auto" w:sz="4" w:space="0"/>
                  </w:tcBorders>
                  <w:noWrap w:val="0"/>
                  <w:vAlign w:val="center"/>
                </w:tcPr>
                <w:p w14:paraId="63337F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874" w:type="pct"/>
                  <w:noWrap w:val="0"/>
                  <w:vAlign w:val="center"/>
                </w:tcPr>
                <w:p w14:paraId="22E210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硬脂酸镁</w:t>
                  </w:r>
                </w:p>
              </w:tc>
              <w:tc>
                <w:tcPr>
                  <w:tcW w:w="3704" w:type="pct"/>
                  <w:noWrap w:val="0"/>
                  <w:vAlign w:val="center"/>
                </w:tcPr>
                <w:p w14:paraId="50C2242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外观通常为白色、无臭、无味的细粉末，触感滑腻（类似滑石粉），显微镜下呈鳞片状或针状结晶形态。具有强疏水性，不溶于水、乙醇、乙醚、氯仿等常见溶剂；在热水中可少量分散（形成乳浊液），但不溶解；在热的植物油中可部分溶解并分散。熔点一般为88℃~</w:t>
                  </w:r>
                  <w:r>
                    <w:rPr>
                      <w:rFonts w:hint="eastAsia" w:cs="Times New Roman"/>
                      <w:color w:val="000000" w:themeColor="text1"/>
                      <w:szCs w:val="21"/>
                      <w:lang w:val="en-US" w:eastAsia="zh-CN"/>
                      <w14:textFill>
                        <w14:solidFill>
                          <w14:schemeClr w14:val="tx1"/>
                        </w14:solidFill>
                      </w14:textFill>
                    </w:rPr>
                    <w:t xml:space="preserve"> </w:t>
                  </w:r>
                  <w:r>
                    <w:rPr>
                      <w:rFonts w:hint="default" w:ascii="Times New Roman" w:hAnsi="Times New Roman" w:cs="Times New Roman"/>
                      <w:color w:val="000000" w:themeColor="text1"/>
                      <w:szCs w:val="21"/>
                      <w:lang w:val="en-US" w:eastAsia="zh-CN"/>
                      <w14:textFill>
                        <w14:solidFill>
                          <w14:schemeClr w14:val="tx1"/>
                        </w14:solidFill>
                      </w14:textFill>
                    </w:rPr>
                    <w:t>100℃；热稳定性较好，在常温下不易分解，高于熔点时会逐渐熔化，超过200℃可能缓慢分解，释放出硬脂酸等产物。松密度（堆积密度）约为 0.1~0.2 g/cm³，表观密度较小，质地轻盈；粉末流动性良好，这一特性使其在医药、食品中可作为助流剂使用。吸湿性较低，在空气中不易潮解，因此储存时稳定性较好，无需特殊防潮措施（但需避免长期暴露在高湿度环境中）</w:t>
                  </w:r>
                  <w:r>
                    <w:rPr>
                      <w:rFonts w:hint="eastAsia" w:cs="Times New Roman"/>
                      <w:color w:val="000000" w:themeColor="text1"/>
                      <w:szCs w:val="21"/>
                      <w:lang w:val="en-US" w:eastAsia="zh-CN"/>
                      <w14:textFill>
                        <w14:solidFill>
                          <w14:schemeClr w14:val="tx1"/>
                        </w14:solidFill>
                      </w14:textFill>
                    </w:rPr>
                    <w:t>。在常温、干燥条件下化学性质稳定，不易与空气中的氧气、二氧化碳等发生反应。</w:t>
                  </w:r>
                </w:p>
              </w:tc>
            </w:tr>
            <w:tr w14:paraId="767C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1" w:type="pct"/>
                  <w:tcBorders>
                    <w:top w:val="single" w:color="auto" w:sz="4" w:space="0"/>
                    <w:bottom w:val="single" w:color="auto" w:sz="4" w:space="0"/>
                  </w:tcBorders>
                  <w:noWrap w:val="0"/>
                  <w:vAlign w:val="center"/>
                </w:tcPr>
                <w:p w14:paraId="0EC8EF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874" w:type="pct"/>
                  <w:noWrap w:val="0"/>
                  <w:vAlign w:val="center"/>
                </w:tcPr>
                <w:p w14:paraId="05F46A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苯甲酸</w:t>
                  </w:r>
                  <w:r>
                    <w:rPr>
                      <w:rFonts w:hint="eastAsia" w:cs="Times New Roman"/>
                      <w:color w:val="000000" w:themeColor="text1"/>
                      <w:kern w:val="2"/>
                      <w:sz w:val="21"/>
                      <w:szCs w:val="21"/>
                      <w:u w:val="none"/>
                      <w:lang w:val="en-US" w:eastAsia="zh-CN" w:bidi="ar-SA"/>
                      <w14:textFill>
                        <w14:solidFill>
                          <w14:schemeClr w14:val="tx1"/>
                        </w14:solidFill>
                      </w14:textFill>
                    </w:rPr>
                    <w:t>钠</w:t>
                  </w:r>
                </w:p>
              </w:tc>
              <w:tc>
                <w:tcPr>
                  <w:tcW w:w="3704" w:type="pct"/>
                  <w:noWrap w:val="0"/>
                  <w:vAlign w:val="center"/>
                </w:tcPr>
                <w:p w14:paraId="09BB12A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外观</w:t>
                  </w:r>
                  <w:r>
                    <w:rPr>
                      <w:rFonts w:hint="eastAsia" w:cs="Times New Roman"/>
                      <w:color w:val="000000" w:themeColor="text1"/>
                      <w:szCs w:val="21"/>
                      <w:lang w:val="en-US" w:eastAsia="zh-CN"/>
                      <w14:textFill>
                        <w14:solidFill>
                          <w14:schemeClr w14:val="tx1"/>
                        </w14:solidFill>
                      </w14:textFill>
                    </w:rPr>
                    <w:t>为</w:t>
                  </w:r>
                  <w:r>
                    <w:rPr>
                      <w:rFonts w:hint="default" w:ascii="Times New Roman" w:hAnsi="Times New Roman" w:cs="Times New Roman"/>
                      <w:color w:val="000000" w:themeColor="text1"/>
                      <w:szCs w:val="21"/>
                      <w:lang w:val="en-US" w:eastAsia="zh-CN"/>
                      <w14:textFill>
                        <w14:solidFill>
                          <w14:schemeClr w14:val="tx1"/>
                        </w14:solidFill>
                      </w14:textFill>
                    </w:rPr>
                    <w:t>白色颗粒、结晶性粉末或无色结晶，无臭或微带安息香气味，味微甜涩。极易溶于水（25℃时溶解度约 53g/100mL），水溶液呈弱碱性（pH约8）；微溶于乙醇（1g约溶于25mL乙醇），不溶于乙醚、氯仿等有机溶剂。在干燥状态下稳定，暴露于空气中易吸潮；熔点约300℃，加热至120℃以上会分解，释放出苯甲酸钠蒸气</w:t>
                  </w:r>
                  <w:r>
                    <w:rPr>
                      <w:rFonts w:hint="eastAsia" w:cs="Times New Roman"/>
                      <w:color w:val="000000" w:themeColor="text1"/>
                      <w:szCs w:val="21"/>
                      <w:lang w:val="en-US" w:eastAsia="zh-CN"/>
                      <w14:textFill>
                        <w14:solidFill>
                          <w14:schemeClr w14:val="tx1"/>
                        </w14:solidFill>
                      </w14:textFill>
                    </w:rPr>
                    <w:t>。苯甲酸钠在食品、药品中常作为防腐剂。</w:t>
                  </w:r>
                </w:p>
              </w:tc>
            </w:tr>
            <w:tr w14:paraId="4866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1" w:type="pct"/>
                  <w:tcBorders>
                    <w:top w:val="single" w:color="auto" w:sz="4" w:space="0"/>
                    <w:bottom w:val="single" w:color="auto" w:sz="4" w:space="0"/>
                  </w:tcBorders>
                  <w:noWrap w:val="0"/>
                  <w:vAlign w:val="center"/>
                </w:tcPr>
                <w:p w14:paraId="1D64CF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874" w:type="pct"/>
                  <w:noWrap w:val="0"/>
                  <w:vAlign w:val="center"/>
                </w:tcPr>
                <w:p w14:paraId="178D01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杏仁香精</w:t>
                  </w:r>
                </w:p>
              </w:tc>
              <w:tc>
                <w:tcPr>
                  <w:tcW w:w="3704" w:type="pct"/>
                  <w:noWrap w:val="0"/>
                  <w:vAlign w:val="center"/>
                </w:tcPr>
                <w:p w14:paraId="3DC77CD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是一类模拟杏仁风味的复合香料，通常由多种成分（如苯甲醛、杏仁油、酯类、醇类等）复配而成</w:t>
                  </w:r>
                  <w:r>
                    <w:rPr>
                      <w:rFonts w:hint="eastAsia" w:cs="Times New Roman"/>
                      <w:color w:val="000000" w:themeColor="text1"/>
                      <w:szCs w:val="21"/>
                      <w:lang w:val="en-US" w:eastAsia="zh-CN"/>
                      <w14:textFill>
                        <w14:solidFill>
                          <w14:schemeClr w14:val="tx1"/>
                        </w14:solidFill>
                      </w14:textFill>
                    </w:rPr>
                    <w:t>。</w:t>
                  </w:r>
                  <w:r>
                    <w:rPr>
                      <w:rFonts w:hint="default" w:cs="Times New Roman"/>
                      <w:color w:val="000000" w:themeColor="text1"/>
                      <w:szCs w:val="21"/>
                      <w:lang w:val="en-US" w:eastAsia="zh-CN"/>
                      <w14:textFill>
                        <w14:solidFill>
                          <w14:schemeClr w14:val="tx1"/>
                        </w14:solidFill>
                      </w14:textFill>
                    </w:rPr>
                    <w:t>外观为无色至淡黄色液体，部分油溶性香精可能呈浅琥珀色；少数为粉末状（固体香精，通过载体吸附制成）。液体香精质地通常较澄清，无明显沉淀（优质产品），具有浓郁的杏仁特征香气。油溶性杏仁香精易溶于油脂、乙醇、丙二醇等有机溶剂，难溶于水（或仅部分分散）；水溶性杏仁香精通过乳化剂处理，可均匀分散或溶解于水中，常用于饮料、果冻等水性食品。液体香精的密度通常接近水，约为0.90~1.05 g/cm³</w:t>
                  </w:r>
                  <w:r>
                    <w:rPr>
                      <w:rFonts w:hint="eastAsia" w:cs="Times New Roman"/>
                      <w:color w:val="000000" w:themeColor="text1"/>
                      <w:szCs w:val="21"/>
                      <w:lang w:val="en-US" w:eastAsia="zh-CN"/>
                      <w14:textFill>
                        <w14:solidFill>
                          <w14:schemeClr w14:val="tx1"/>
                        </w14:solidFill>
                      </w14:textFill>
                    </w:rPr>
                    <w:t>；</w:t>
                  </w:r>
                  <w:r>
                    <w:rPr>
                      <w:rFonts w:hint="default" w:cs="Times New Roman"/>
                      <w:color w:val="000000" w:themeColor="text1"/>
                      <w:szCs w:val="21"/>
                      <w:lang w:val="en-US" w:eastAsia="zh-CN"/>
                      <w14:textFill>
                        <w14:solidFill>
                          <w14:schemeClr w14:val="tx1"/>
                        </w14:solidFill>
                      </w14:textFill>
                    </w:rPr>
                    <w:t>无固定沸点（因是混合物），其中主要成分苯甲醛的沸点为178℃，但香精中的低沸点成分（如某些酯类）在加热时易挥发，导致香气减弱，因此需避免长时间高温处理。常温下较稳定</w:t>
                  </w:r>
                  <w:r>
                    <w:rPr>
                      <w:rFonts w:hint="eastAsia" w:cs="Times New Roman"/>
                      <w:color w:val="000000" w:themeColor="text1"/>
                      <w:szCs w:val="21"/>
                      <w:lang w:val="en-US" w:eastAsia="zh-CN"/>
                      <w14:textFill>
                        <w14:solidFill>
                          <w14:schemeClr w14:val="tx1"/>
                        </w14:solidFill>
                      </w14:textFill>
                    </w:rPr>
                    <w:t>。</w:t>
                  </w:r>
                </w:p>
              </w:tc>
            </w:tr>
            <w:tr w14:paraId="1C4F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1" w:type="pct"/>
                  <w:tcBorders>
                    <w:top w:val="single" w:color="auto" w:sz="4" w:space="0"/>
                    <w:bottom w:val="single" w:color="auto" w:sz="4" w:space="0"/>
                  </w:tcBorders>
                  <w:noWrap w:val="0"/>
                  <w:vAlign w:val="center"/>
                </w:tcPr>
                <w:p w14:paraId="417962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874" w:type="pct"/>
                  <w:noWrap w:val="0"/>
                  <w:vAlign w:val="center"/>
                </w:tcPr>
                <w:p w14:paraId="52B6B5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水溶性包衣液</w:t>
                  </w:r>
                </w:p>
              </w:tc>
              <w:tc>
                <w:tcPr>
                  <w:tcW w:w="3704" w:type="pct"/>
                  <w:noWrap w:val="0"/>
                  <w:vAlign w:val="center"/>
                </w:tcPr>
                <w:p w14:paraId="7D84253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主要由蔗糖、明胶、胭脂红、滑石粉、纯化水等按一定比例配置而成，用以复方丹参片等片剂包衣材料。包糖衣过程不使用乙醇等挥发性溶剂。</w:t>
                  </w:r>
                </w:p>
              </w:tc>
            </w:tr>
            <w:tr w14:paraId="48DC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1" w:type="pct"/>
                  <w:tcBorders>
                    <w:top w:val="single" w:color="auto" w:sz="4" w:space="0"/>
                    <w:bottom w:val="single" w:color="auto" w:sz="4" w:space="0"/>
                  </w:tcBorders>
                  <w:noWrap w:val="0"/>
                  <w:vAlign w:val="center"/>
                </w:tcPr>
                <w:p w14:paraId="12978D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w:t>
                  </w:r>
                </w:p>
              </w:tc>
              <w:tc>
                <w:tcPr>
                  <w:tcW w:w="874" w:type="pct"/>
                  <w:noWrap w:val="0"/>
                  <w:vAlign w:val="center"/>
                </w:tcPr>
                <w:p w14:paraId="637766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明胶</w:t>
                  </w:r>
                </w:p>
              </w:tc>
              <w:tc>
                <w:tcPr>
                  <w:tcW w:w="3704" w:type="pct"/>
                  <w:noWrap w:val="0"/>
                  <w:vAlign w:val="center"/>
                </w:tcPr>
                <w:p w14:paraId="2F6CF32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主要来源于牛、猪、鱼等动物的结缔组织（如牛皮、猪骨、鱼皮），经脱脂、浸酸（或碱）、熬煮等工艺提取而成。由多种氨基酸（如甘氨酸、脯氨酸、羟脯氨酸等）组成的多肽链，分子量通常在1万~10万之间。常温下为白色或淡黄色粉末、薄片或颗粒，无臭无味；易溶于热水（60℃以上），形成透明或半透明的胶体溶液，冷却后凝固成凝胶（即“明胶水”的凝胶状态），加热后可重新融化，具有可逆的溶胶-凝胶转化特性</w:t>
                  </w:r>
                  <w:r>
                    <w:rPr>
                      <w:rFonts w:hint="eastAsia" w:cs="Times New Roman"/>
                      <w:color w:val="000000" w:themeColor="text1"/>
                      <w:szCs w:val="21"/>
                      <w:lang w:val="en-US" w:eastAsia="zh-CN"/>
                      <w14:textFill>
                        <w14:solidFill>
                          <w14:schemeClr w14:val="tx1"/>
                        </w14:solidFill>
                      </w14:textFill>
                    </w:rPr>
                    <w:t>。医药行业上通常作为胶囊壳的主要原料（硬胶囊、软胶囊），包裹药物粉末或液体，掩盖苦味，便于服用和储存。</w:t>
                  </w:r>
                </w:p>
              </w:tc>
            </w:tr>
            <w:tr w14:paraId="76ED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1" w:type="pct"/>
                  <w:tcBorders>
                    <w:top w:val="single" w:color="auto" w:sz="4" w:space="0"/>
                    <w:bottom w:val="single" w:color="auto" w:sz="4" w:space="0"/>
                  </w:tcBorders>
                  <w:noWrap w:val="0"/>
                  <w:vAlign w:val="center"/>
                </w:tcPr>
                <w:p w14:paraId="68A412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w:t>
                  </w:r>
                </w:p>
              </w:tc>
              <w:tc>
                <w:tcPr>
                  <w:tcW w:w="874" w:type="pct"/>
                  <w:noWrap w:val="0"/>
                  <w:vAlign w:val="center"/>
                </w:tcPr>
                <w:p w14:paraId="4B40A7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虫白蜡</w:t>
                  </w:r>
                </w:p>
              </w:tc>
              <w:tc>
                <w:tcPr>
                  <w:tcW w:w="3704" w:type="pct"/>
                  <w:noWrap w:val="0"/>
                  <w:vAlign w:val="center"/>
                </w:tcPr>
                <w:p w14:paraId="37F0254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是一种由昆虫分泌物加工制成的天然蜡，外观为白色或略带微黄的固体，呈结晶状或块状，表面光滑，有光泽。熔点较高（约 80~83℃），质地坚硬，不易融化。不溶于水，微溶于乙醇，易溶于乙醚、苯、氯仿等有机溶剂。化学性质稳定，耐酸、耐碱（在合理范围内），不易氧化，具有良好的绝缘性和防潮性。无臭无味，对皮肤无刺激性，具有一定的光泽度和可塑性</w:t>
                  </w:r>
                  <w:r>
                    <w:rPr>
                      <w:rFonts w:hint="eastAsia" w:cs="Times New Roman"/>
                      <w:color w:val="000000" w:themeColor="text1"/>
                      <w:szCs w:val="21"/>
                      <w:lang w:val="en-US" w:eastAsia="zh-CN"/>
                      <w14:textFill>
                        <w14:solidFill>
                          <w14:schemeClr w14:val="tx1"/>
                        </w14:solidFill>
                      </w14:textFill>
                    </w:rPr>
                    <w:t>。医药行业上通常作为中药辅料，用于丸剂、膏剂的包衣或赋形剂，增强药物的稳定性，防止吸潮，同时使药丸表面光滑易服。</w:t>
                  </w:r>
                </w:p>
              </w:tc>
            </w:tr>
            <w:tr w14:paraId="1A65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1" w:type="pct"/>
                  <w:tcBorders>
                    <w:top w:val="single" w:color="auto" w:sz="4" w:space="0"/>
                    <w:bottom w:val="single" w:color="auto" w:sz="4" w:space="0"/>
                  </w:tcBorders>
                  <w:noWrap w:val="0"/>
                  <w:vAlign w:val="center"/>
                </w:tcPr>
                <w:p w14:paraId="18C3DB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w:t>
                  </w:r>
                </w:p>
              </w:tc>
              <w:tc>
                <w:tcPr>
                  <w:tcW w:w="874" w:type="pct"/>
                  <w:noWrap w:val="0"/>
                  <w:vAlign w:val="center"/>
                </w:tcPr>
                <w:p w14:paraId="01FF0B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枸橼酸</w:t>
                  </w:r>
                </w:p>
              </w:tc>
              <w:tc>
                <w:tcPr>
                  <w:tcW w:w="3704" w:type="pct"/>
                  <w:noWrap w:val="0"/>
                  <w:vAlign w:val="center"/>
                </w:tcPr>
                <w:p w14:paraId="2045408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也称柠檬酸，</w:t>
                  </w:r>
                  <w:r>
                    <w:rPr>
                      <w:rFonts w:hint="default" w:ascii="Times New Roman" w:hAnsi="Times New Roman" w:cs="Times New Roman"/>
                      <w:color w:val="000000" w:themeColor="text1"/>
                      <w:szCs w:val="21"/>
                      <w:lang w:val="en-US" w:eastAsia="zh-CN"/>
                      <w14:textFill>
                        <w14:solidFill>
                          <w14:schemeClr w14:val="tx1"/>
                        </w14:solidFill>
                      </w14:textFill>
                    </w:rPr>
                    <w:t>化学名称为2 - 羟基丙烷- 1,2,3 -三羧酸，是一种天然存在的有机酸，广泛应用于食品、医药、化工等领域</w:t>
                  </w:r>
                  <w:r>
                    <w:rPr>
                      <w:rFonts w:hint="eastAsia" w:cs="Times New Roman"/>
                      <w:color w:val="000000" w:themeColor="text1"/>
                      <w:szCs w:val="21"/>
                      <w:lang w:val="en-US" w:eastAsia="zh-CN"/>
                      <w14:textFill>
                        <w14:solidFill>
                          <w14:schemeClr w14:val="tx1"/>
                        </w14:solidFill>
                      </w14:textFill>
                    </w:rPr>
                    <w:t>。外观为白色结晶性粉末，无臭，味酸。易溶于水（20℃时溶解度约 140g/ 100mL）、乙醇，不溶于乙醚。在干燥空气中稳定，遇潮易结块；加热至175℃以上会分解，释放二氧化碳。属于三元弱酸，水溶液呈酸性（pH约2.5~3.0，1%溶液），可与碱反应生成枸橼酸盐（如枸橼酸钠、枸橼酸钾）。</w:t>
                  </w:r>
                </w:p>
              </w:tc>
            </w:tr>
          </w:tbl>
          <w:p w14:paraId="625F5CCE">
            <w:pPr>
              <w:pStyle w:val="16"/>
              <w:keepNext w:val="0"/>
              <w:keepLines w:val="0"/>
              <w:pageBreakBefore w:val="0"/>
              <w:widowControl w:val="0"/>
              <w:kinsoku/>
              <w:wordWrap/>
              <w:overflowPunct/>
              <w:topLinePunct w:val="0"/>
              <w:autoSpaceDE/>
              <w:autoSpaceDN/>
              <w:bidi w:val="0"/>
              <w:adjustRightInd/>
              <w:snapToGrid/>
              <w:spacing w:before="157" w:beforeLines="50" w:after="0" w:line="360" w:lineRule="auto"/>
              <w:textAlignment w:val="auto"/>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本项目物料平衡按产品分批次如下：</w:t>
            </w:r>
          </w:p>
          <w:p w14:paraId="7D822B16">
            <w:pPr>
              <w:pStyle w:val="16"/>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1、参苓白术散</w:t>
            </w:r>
          </w:p>
          <w:p w14:paraId="76CACD39">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cs="Times New Roman"/>
                <w:b w:val="0"/>
                <w:bCs w:val="0"/>
                <w:color w:val="000000" w:themeColor="text1"/>
                <w:sz w:val="24"/>
                <w:szCs w:val="24"/>
                <w:lang w:val="en-US" w:eastAsia="zh-CN"/>
                <w14:textFill>
                  <w14:solidFill>
                    <w14:schemeClr w14:val="tx1"/>
                  </w14:solidFill>
                </w14:textFill>
              </w:rPr>
              <w:t>13</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参苓白术散产品批次</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物料平衡表</w:t>
            </w:r>
            <w:r>
              <w:rPr>
                <w:rFonts w:hint="eastAsia" w:cs="Times New Roman"/>
                <w:b w:val="0"/>
                <w:bCs w:val="0"/>
                <w:color w:val="000000" w:themeColor="text1"/>
                <w:sz w:val="24"/>
                <w:szCs w:val="24"/>
                <w:lang w:val="en-US" w:eastAsia="zh-CN"/>
                <w14:textFill>
                  <w14:solidFill>
                    <w14:schemeClr w14:val="tx1"/>
                  </w14:solidFill>
                </w14:textFill>
              </w:rPr>
              <w:t>（40万袋）</w:t>
            </w:r>
          </w:p>
          <w:tbl>
            <w:tblPr>
              <w:tblStyle w:val="26"/>
              <w:tblW w:w="7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671"/>
              <w:gridCol w:w="1305"/>
              <w:gridCol w:w="775"/>
              <w:gridCol w:w="917"/>
              <w:gridCol w:w="1"/>
              <w:gridCol w:w="692"/>
              <w:gridCol w:w="1290"/>
              <w:gridCol w:w="768"/>
              <w:gridCol w:w="919"/>
            </w:tblGrid>
            <w:tr w14:paraId="7903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vMerge w:val="restart"/>
                  <w:noWrap w:val="0"/>
                  <w:vAlign w:val="center"/>
                </w:tcPr>
                <w:p w14:paraId="3BDAC4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序号</w:t>
                  </w:r>
                </w:p>
              </w:tc>
              <w:tc>
                <w:tcPr>
                  <w:tcW w:w="2326" w:type="pct"/>
                  <w:gridSpan w:val="4"/>
                  <w:noWrap w:val="0"/>
                  <w:vAlign w:val="center"/>
                </w:tcPr>
                <w:p w14:paraId="1626D3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投入</w:t>
                  </w:r>
                </w:p>
              </w:tc>
              <w:tc>
                <w:tcPr>
                  <w:tcW w:w="2327" w:type="pct"/>
                  <w:gridSpan w:val="5"/>
                  <w:noWrap w:val="0"/>
                  <w:vAlign w:val="center"/>
                </w:tcPr>
                <w:p w14:paraId="18AF9A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产出</w:t>
                  </w:r>
                </w:p>
              </w:tc>
            </w:tr>
            <w:tr w14:paraId="741B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vMerge w:val="continue"/>
                  <w:tcBorders>
                    <w:bottom w:val="single" w:color="auto" w:sz="4" w:space="0"/>
                  </w:tcBorders>
                  <w:noWrap w:val="0"/>
                  <w:vAlign w:val="center"/>
                </w:tcPr>
                <w:p w14:paraId="0F150C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1253" w:type="pct"/>
                  <w:gridSpan w:val="2"/>
                  <w:noWrap w:val="0"/>
                  <w:vAlign w:val="center"/>
                </w:tcPr>
                <w:p w14:paraId="6E483D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91" w:type="pct"/>
                  <w:noWrap w:val="0"/>
                  <w:vAlign w:val="center"/>
                </w:tcPr>
                <w:p w14:paraId="20A037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582" w:type="pct"/>
                  <w:gridSpan w:val="2"/>
                  <w:noWrap w:val="0"/>
                  <w:vAlign w:val="center"/>
                </w:tcPr>
                <w:p w14:paraId="0E513F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c>
                <w:tcPr>
                  <w:tcW w:w="1257" w:type="pct"/>
                  <w:gridSpan w:val="2"/>
                  <w:shd w:val="clear" w:color="auto" w:fill="auto"/>
                  <w:noWrap w:val="0"/>
                  <w:vAlign w:val="center"/>
                </w:tcPr>
                <w:p w14:paraId="36E222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87" w:type="pct"/>
                  <w:shd w:val="clear" w:color="auto" w:fill="auto"/>
                  <w:noWrap w:val="0"/>
                  <w:vAlign w:val="center"/>
                </w:tcPr>
                <w:p w14:paraId="225F9F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582" w:type="pct"/>
                  <w:shd w:val="clear" w:color="auto" w:fill="auto"/>
                  <w:noWrap w:val="0"/>
                  <w:vAlign w:val="center"/>
                </w:tcPr>
                <w:p w14:paraId="6802DB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r>
            <w:tr w14:paraId="0CD9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125FB8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425" w:type="pct"/>
                  <w:vMerge w:val="restart"/>
                  <w:noWrap w:val="0"/>
                  <w:vAlign w:val="center"/>
                </w:tcPr>
                <w:p w14:paraId="68EE00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原料</w:t>
                  </w:r>
                </w:p>
              </w:tc>
              <w:tc>
                <w:tcPr>
                  <w:tcW w:w="827" w:type="pct"/>
                  <w:shd w:val="clear" w:color="auto" w:fill="auto"/>
                  <w:noWrap w:val="0"/>
                  <w:vAlign w:val="center"/>
                </w:tcPr>
                <w:p w14:paraId="4928B405">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人参</w:t>
                  </w:r>
                </w:p>
              </w:tc>
              <w:tc>
                <w:tcPr>
                  <w:tcW w:w="491" w:type="pct"/>
                  <w:shd w:val="clear" w:color="auto" w:fill="auto"/>
                  <w:noWrap w:val="0"/>
                  <w:vAlign w:val="center"/>
                </w:tcPr>
                <w:p w14:paraId="0A26E9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1E252E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168.3</w:t>
                  </w:r>
                </w:p>
              </w:tc>
              <w:tc>
                <w:tcPr>
                  <w:tcW w:w="439" w:type="pct"/>
                  <w:gridSpan w:val="2"/>
                  <w:noWrap w:val="0"/>
                  <w:vAlign w:val="center"/>
                </w:tcPr>
                <w:p w14:paraId="3EF2AE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产品</w:t>
                  </w:r>
                </w:p>
              </w:tc>
              <w:tc>
                <w:tcPr>
                  <w:tcW w:w="818" w:type="pct"/>
                  <w:noWrap w:val="0"/>
                  <w:vAlign w:val="center"/>
                </w:tcPr>
                <w:p w14:paraId="3555CF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参苓白术散</w:t>
                  </w:r>
                </w:p>
              </w:tc>
              <w:tc>
                <w:tcPr>
                  <w:tcW w:w="487" w:type="pct"/>
                  <w:noWrap w:val="0"/>
                  <w:vAlign w:val="center"/>
                </w:tcPr>
                <w:p w14:paraId="2A704F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04CB8C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1200</w:t>
                  </w:r>
                </w:p>
              </w:tc>
            </w:tr>
            <w:tr w14:paraId="5D6C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3C31A2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425" w:type="pct"/>
                  <w:vMerge w:val="continue"/>
                  <w:noWrap w:val="0"/>
                  <w:vAlign w:val="center"/>
                </w:tcPr>
                <w:p w14:paraId="1BCB40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7" w:type="pct"/>
                  <w:shd w:val="clear" w:color="auto" w:fill="auto"/>
                  <w:noWrap w:val="0"/>
                  <w:vAlign w:val="center"/>
                </w:tcPr>
                <w:p w14:paraId="75BC6854">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茯苓</w:t>
                  </w:r>
                </w:p>
              </w:tc>
              <w:tc>
                <w:tcPr>
                  <w:tcW w:w="491" w:type="pct"/>
                  <w:shd w:val="clear" w:color="auto" w:fill="auto"/>
                  <w:noWrap w:val="0"/>
                  <w:vAlign w:val="center"/>
                </w:tcPr>
                <w:p w14:paraId="649F49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5D6A0E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168.3</w:t>
                  </w:r>
                </w:p>
              </w:tc>
              <w:tc>
                <w:tcPr>
                  <w:tcW w:w="439" w:type="pct"/>
                  <w:gridSpan w:val="2"/>
                  <w:noWrap w:val="0"/>
                  <w:vAlign w:val="center"/>
                </w:tcPr>
                <w:p w14:paraId="44A77E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废气</w:t>
                  </w:r>
                </w:p>
              </w:tc>
              <w:tc>
                <w:tcPr>
                  <w:tcW w:w="818" w:type="pct"/>
                  <w:noWrap w:val="0"/>
                  <w:vAlign w:val="center"/>
                </w:tcPr>
                <w:p w14:paraId="716A26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粉尘</w:t>
                  </w:r>
                </w:p>
              </w:tc>
              <w:tc>
                <w:tcPr>
                  <w:tcW w:w="487" w:type="pct"/>
                  <w:noWrap w:val="0"/>
                  <w:vAlign w:val="center"/>
                </w:tcPr>
                <w:p w14:paraId="1BB9C2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0C60D8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38.9</w:t>
                  </w:r>
                </w:p>
              </w:tc>
            </w:tr>
            <w:tr w14:paraId="265C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00AB2A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425" w:type="pct"/>
                  <w:vMerge w:val="continue"/>
                  <w:noWrap w:val="0"/>
                  <w:vAlign w:val="center"/>
                </w:tcPr>
                <w:p w14:paraId="02107B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7" w:type="pct"/>
                  <w:shd w:val="clear" w:color="auto" w:fill="auto"/>
                  <w:noWrap w:val="0"/>
                  <w:vAlign w:val="center"/>
                </w:tcPr>
                <w:p w14:paraId="7A48A5BD">
                  <w:pPr>
                    <w:keepNext w:val="0"/>
                    <w:keepLines w:val="0"/>
                    <w:pageBreakBefore w:val="0"/>
                    <w:kinsoku/>
                    <w:wordWrap/>
                    <w:overflowPunct/>
                    <w:topLinePunct w:val="0"/>
                    <w:bidi w:val="0"/>
                    <w:adjustRightInd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白术</w:t>
                  </w:r>
                  <w:r>
                    <w:rPr>
                      <w:rFonts w:hint="default" w:ascii="Times New Roman" w:hAnsi="Times New Roman" w:cs="Times New Roman"/>
                      <w:color w:val="000000" w:themeColor="text1"/>
                      <w:sz w:val="21"/>
                      <w:szCs w:val="21"/>
                      <w:lang w:val="en-US" w:eastAsia="zh-CN"/>
                      <w14:textFill>
                        <w14:solidFill>
                          <w14:schemeClr w14:val="tx1"/>
                        </w14:solidFill>
                      </w14:textFill>
                    </w:rPr>
                    <w:t>(炒)</w:t>
                  </w:r>
                </w:p>
              </w:tc>
              <w:tc>
                <w:tcPr>
                  <w:tcW w:w="491" w:type="pct"/>
                  <w:shd w:val="clear" w:color="auto" w:fill="auto"/>
                  <w:noWrap w:val="0"/>
                  <w:vAlign w:val="center"/>
                </w:tcPr>
                <w:p w14:paraId="606A41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78905E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168.3</w:t>
                  </w:r>
                </w:p>
              </w:tc>
              <w:tc>
                <w:tcPr>
                  <w:tcW w:w="439" w:type="pct"/>
                  <w:gridSpan w:val="2"/>
                  <w:vMerge w:val="restart"/>
                  <w:noWrap w:val="0"/>
                  <w:vAlign w:val="center"/>
                </w:tcPr>
                <w:p w14:paraId="0B5B3C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固废</w:t>
                  </w:r>
                </w:p>
              </w:tc>
              <w:tc>
                <w:tcPr>
                  <w:tcW w:w="818" w:type="pct"/>
                  <w:noWrap w:val="0"/>
                  <w:vAlign w:val="center"/>
                </w:tcPr>
                <w:p w14:paraId="2CEFB3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拣选废弃物</w:t>
                  </w:r>
                </w:p>
              </w:tc>
              <w:tc>
                <w:tcPr>
                  <w:tcW w:w="487" w:type="pct"/>
                  <w:noWrap w:val="0"/>
                  <w:vAlign w:val="center"/>
                </w:tcPr>
                <w:p w14:paraId="2BD2D6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5EBE27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65.2</w:t>
                  </w:r>
                </w:p>
              </w:tc>
            </w:tr>
            <w:tr w14:paraId="042D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49A6DC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425" w:type="pct"/>
                  <w:vMerge w:val="continue"/>
                  <w:noWrap w:val="0"/>
                  <w:vAlign w:val="center"/>
                </w:tcPr>
                <w:p w14:paraId="516DC3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7" w:type="pct"/>
                  <w:shd w:val="clear" w:color="auto" w:fill="auto"/>
                  <w:noWrap w:val="0"/>
                  <w:vAlign w:val="center"/>
                </w:tcPr>
                <w:p w14:paraId="2B036602">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山药</w:t>
                  </w:r>
                </w:p>
              </w:tc>
              <w:tc>
                <w:tcPr>
                  <w:tcW w:w="491" w:type="pct"/>
                  <w:shd w:val="clear" w:color="auto" w:fill="auto"/>
                  <w:noWrap w:val="0"/>
                  <w:vAlign w:val="center"/>
                </w:tcPr>
                <w:p w14:paraId="68409A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27D4A9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168.3</w:t>
                  </w:r>
                </w:p>
              </w:tc>
              <w:tc>
                <w:tcPr>
                  <w:tcW w:w="439" w:type="pct"/>
                  <w:gridSpan w:val="2"/>
                  <w:vMerge w:val="continue"/>
                  <w:noWrap w:val="0"/>
                  <w:vAlign w:val="center"/>
                </w:tcPr>
                <w:p w14:paraId="5424CF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18" w:type="pct"/>
                  <w:noWrap w:val="0"/>
                  <w:vAlign w:val="center"/>
                </w:tcPr>
                <w:p w14:paraId="34E55B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废麦麸</w:t>
                  </w:r>
                </w:p>
              </w:tc>
              <w:tc>
                <w:tcPr>
                  <w:tcW w:w="487" w:type="pct"/>
                  <w:noWrap w:val="0"/>
                  <w:vAlign w:val="center"/>
                </w:tcPr>
                <w:p w14:paraId="242EDD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681A9E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22.9</w:t>
                  </w:r>
                </w:p>
              </w:tc>
            </w:tr>
            <w:tr w14:paraId="74D3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34B5EE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425" w:type="pct"/>
                  <w:vMerge w:val="continue"/>
                  <w:noWrap w:val="0"/>
                  <w:vAlign w:val="center"/>
                </w:tcPr>
                <w:p w14:paraId="7FDA6F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7" w:type="pct"/>
                  <w:shd w:val="clear" w:color="auto" w:fill="auto"/>
                  <w:noWrap w:val="0"/>
                  <w:vAlign w:val="center"/>
                </w:tcPr>
                <w:p w14:paraId="617A5201">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白</w:t>
                  </w:r>
                  <w:r>
                    <w:rPr>
                      <w:rFonts w:hint="eastAsia" w:cs="Times New Roman"/>
                      <w:color w:val="000000" w:themeColor="text1"/>
                      <w:kern w:val="2"/>
                      <w:sz w:val="21"/>
                      <w:szCs w:val="21"/>
                      <w:u w:val="none"/>
                      <w:lang w:val="en-US" w:eastAsia="zh-CN" w:bidi="ar-SA"/>
                      <w14:textFill>
                        <w14:solidFill>
                          <w14:schemeClr w14:val="tx1"/>
                        </w14:solidFill>
                      </w14:textFill>
                    </w:rPr>
                    <w:t>扁</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豆</w:t>
                  </w:r>
                  <w:r>
                    <w:rPr>
                      <w:rFonts w:hint="default" w:ascii="Times New Roman" w:hAnsi="Times New Roman" w:cs="Times New Roman"/>
                      <w:color w:val="000000" w:themeColor="text1"/>
                      <w:sz w:val="21"/>
                      <w:szCs w:val="21"/>
                      <w:lang w:val="en-US" w:eastAsia="zh-CN"/>
                      <w14:textFill>
                        <w14:solidFill>
                          <w14:schemeClr w14:val="tx1"/>
                        </w14:solidFill>
                      </w14:textFill>
                    </w:rPr>
                    <w:t>(炒)</w:t>
                  </w:r>
                </w:p>
              </w:tc>
              <w:tc>
                <w:tcPr>
                  <w:tcW w:w="491" w:type="pct"/>
                  <w:shd w:val="clear" w:color="auto" w:fill="auto"/>
                  <w:noWrap w:val="0"/>
                  <w:vAlign w:val="center"/>
                </w:tcPr>
                <w:p w14:paraId="682CAA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16AD22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126.2</w:t>
                  </w:r>
                </w:p>
              </w:tc>
              <w:tc>
                <w:tcPr>
                  <w:tcW w:w="439" w:type="pct"/>
                  <w:gridSpan w:val="2"/>
                  <w:vMerge w:val="continue"/>
                  <w:noWrap w:val="0"/>
                  <w:vAlign w:val="center"/>
                </w:tcPr>
                <w:p w14:paraId="06DC01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18" w:type="pct"/>
                  <w:noWrap w:val="0"/>
                  <w:vAlign w:val="center"/>
                </w:tcPr>
                <w:p w14:paraId="6C049D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水汽（炒）</w:t>
                  </w:r>
                </w:p>
              </w:tc>
              <w:tc>
                <w:tcPr>
                  <w:tcW w:w="487" w:type="pct"/>
                  <w:noWrap w:val="0"/>
                  <w:vAlign w:val="center"/>
                </w:tcPr>
                <w:p w14:paraId="5F4953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299D85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0.8</w:t>
                  </w:r>
                </w:p>
              </w:tc>
            </w:tr>
            <w:tr w14:paraId="5470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46A538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w:t>
                  </w:r>
                </w:p>
              </w:tc>
              <w:tc>
                <w:tcPr>
                  <w:tcW w:w="425" w:type="pct"/>
                  <w:vMerge w:val="continue"/>
                  <w:noWrap w:val="0"/>
                  <w:vAlign w:val="center"/>
                </w:tcPr>
                <w:p w14:paraId="021864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7" w:type="pct"/>
                  <w:shd w:val="clear" w:color="auto" w:fill="auto"/>
                  <w:noWrap w:val="0"/>
                  <w:vAlign w:val="center"/>
                </w:tcPr>
                <w:p w14:paraId="262FBD6E">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莲子</w:t>
                  </w:r>
                </w:p>
              </w:tc>
              <w:tc>
                <w:tcPr>
                  <w:tcW w:w="491" w:type="pct"/>
                  <w:shd w:val="clear" w:color="auto" w:fill="auto"/>
                  <w:noWrap w:val="0"/>
                  <w:vAlign w:val="center"/>
                </w:tcPr>
                <w:p w14:paraId="74FEDE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1275E3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84.2</w:t>
                  </w:r>
                </w:p>
              </w:tc>
              <w:tc>
                <w:tcPr>
                  <w:tcW w:w="439" w:type="pct"/>
                  <w:gridSpan w:val="2"/>
                  <w:noWrap w:val="0"/>
                  <w:vAlign w:val="center"/>
                </w:tcPr>
                <w:p w14:paraId="1B2B91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18" w:type="pct"/>
                  <w:noWrap w:val="0"/>
                  <w:vAlign w:val="center"/>
                </w:tcPr>
                <w:p w14:paraId="78250E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87" w:type="pct"/>
                  <w:noWrap w:val="0"/>
                  <w:vAlign w:val="center"/>
                </w:tcPr>
                <w:p w14:paraId="6AC6FD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582" w:type="pct"/>
                  <w:noWrap w:val="0"/>
                  <w:vAlign w:val="center"/>
                </w:tcPr>
                <w:p w14:paraId="69BC3E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r>
            <w:tr w14:paraId="25AE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074CCD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w:t>
                  </w:r>
                </w:p>
              </w:tc>
              <w:tc>
                <w:tcPr>
                  <w:tcW w:w="425" w:type="pct"/>
                  <w:vMerge w:val="continue"/>
                  <w:noWrap w:val="0"/>
                  <w:vAlign w:val="center"/>
                </w:tcPr>
                <w:p w14:paraId="63C45E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7" w:type="pct"/>
                  <w:shd w:val="clear" w:color="auto" w:fill="auto"/>
                  <w:noWrap w:val="0"/>
                  <w:vAlign w:val="center"/>
                </w:tcPr>
                <w:p w14:paraId="4C7455A3">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意苡仁</w:t>
                  </w:r>
                  <w:r>
                    <w:rPr>
                      <w:rFonts w:hint="default" w:ascii="Times New Roman" w:hAnsi="Times New Roman" w:cs="Times New Roman"/>
                      <w:color w:val="000000" w:themeColor="text1"/>
                      <w:sz w:val="21"/>
                      <w:szCs w:val="21"/>
                      <w:lang w:val="en-US" w:eastAsia="zh-CN"/>
                      <w14:textFill>
                        <w14:solidFill>
                          <w14:schemeClr w14:val="tx1"/>
                        </w14:solidFill>
                      </w14:textFill>
                    </w:rPr>
                    <w:t>(炒)</w:t>
                  </w:r>
                </w:p>
              </w:tc>
              <w:tc>
                <w:tcPr>
                  <w:tcW w:w="491" w:type="pct"/>
                  <w:shd w:val="clear" w:color="auto" w:fill="auto"/>
                  <w:noWrap w:val="0"/>
                  <w:vAlign w:val="center"/>
                </w:tcPr>
                <w:p w14:paraId="276F70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5C82C1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84.2</w:t>
                  </w:r>
                </w:p>
              </w:tc>
              <w:tc>
                <w:tcPr>
                  <w:tcW w:w="439" w:type="pct"/>
                  <w:gridSpan w:val="2"/>
                  <w:noWrap w:val="0"/>
                  <w:vAlign w:val="center"/>
                </w:tcPr>
                <w:p w14:paraId="2F454F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18" w:type="pct"/>
                  <w:noWrap w:val="0"/>
                  <w:vAlign w:val="center"/>
                </w:tcPr>
                <w:p w14:paraId="1C1516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87" w:type="pct"/>
                  <w:noWrap w:val="0"/>
                  <w:vAlign w:val="center"/>
                </w:tcPr>
                <w:p w14:paraId="34A90A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582" w:type="pct"/>
                  <w:noWrap w:val="0"/>
                  <w:vAlign w:val="center"/>
                </w:tcPr>
                <w:p w14:paraId="12E994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r>
            <w:tr w14:paraId="2B92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7FE2F0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w:t>
                  </w:r>
                </w:p>
              </w:tc>
              <w:tc>
                <w:tcPr>
                  <w:tcW w:w="425" w:type="pct"/>
                  <w:vMerge w:val="continue"/>
                  <w:noWrap w:val="0"/>
                  <w:vAlign w:val="center"/>
                </w:tcPr>
                <w:p w14:paraId="0052D6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7" w:type="pct"/>
                  <w:shd w:val="clear" w:color="auto" w:fill="auto"/>
                  <w:noWrap w:val="0"/>
                  <w:vAlign w:val="center"/>
                </w:tcPr>
                <w:p w14:paraId="2890EE51">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砂仁</w:t>
                  </w:r>
                </w:p>
              </w:tc>
              <w:tc>
                <w:tcPr>
                  <w:tcW w:w="491" w:type="pct"/>
                  <w:shd w:val="clear" w:color="auto" w:fill="auto"/>
                  <w:noWrap w:val="0"/>
                  <w:vAlign w:val="center"/>
                </w:tcPr>
                <w:p w14:paraId="2A7750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0A029D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84.2</w:t>
                  </w:r>
                </w:p>
              </w:tc>
              <w:tc>
                <w:tcPr>
                  <w:tcW w:w="439" w:type="pct"/>
                  <w:gridSpan w:val="2"/>
                  <w:noWrap w:val="0"/>
                  <w:vAlign w:val="center"/>
                </w:tcPr>
                <w:p w14:paraId="378433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18" w:type="pct"/>
                  <w:noWrap w:val="0"/>
                  <w:vAlign w:val="center"/>
                </w:tcPr>
                <w:p w14:paraId="1D57B7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87" w:type="pct"/>
                  <w:noWrap w:val="0"/>
                  <w:vAlign w:val="center"/>
                </w:tcPr>
                <w:p w14:paraId="2C6D4B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582" w:type="pct"/>
                  <w:noWrap w:val="0"/>
                  <w:vAlign w:val="center"/>
                </w:tcPr>
                <w:p w14:paraId="3AA17B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r>
            <w:tr w14:paraId="329E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17C335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w:t>
                  </w:r>
                </w:p>
              </w:tc>
              <w:tc>
                <w:tcPr>
                  <w:tcW w:w="425" w:type="pct"/>
                  <w:vMerge w:val="continue"/>
                  <w:noWrap w:val="0"/>
                  <w:vAlign w:val="center"/>
                </w:tcPr>
                <w:p w14:paraId="653D1F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7" w:type="pct"/>
                  <w:shd w:val="clear" w:color="auto" w:fill="auto"/>
                  <w:noWrap w:val="0"/>
                  <w:vAlign w:val="center"/>
                </w:tcPr>
                <w:p w14:paraId="312A69AE">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桔梗</w:t>
                  </w:r>
                </w:p>
              </w:tc>
              <w:tc>
                <w:tcPr>
                  <w:tcW w:w="491" w:type="pct"/>
                  <w:shd w:val="clear" w:color="auto" w:fill="auto"/>
                  <w:noWrap w:val="0"/>
                  <w:vAlign w:val="center"/>
                </w:tcPr>
                <w:p w14:paraId="3F918E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543085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84.2</w:t>
                  </w:r>
                </w:p>
              </w:tc>
              <w:tc>
                <w:tcPr>
                  <w:tcW w:w="439" w:type="pct"/>
                  <w:gridSpan w:val="2"/>
                  <w:noWrap w:val="0"/>
                  <w:vAlign w:val="center"/>
                </w:tcPr>
                <w:p w14:paraId="2198A5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18" w:type="pct"/>
                  <w:noWrap w:val="0"/>
                  <w:vAlign w:val="center"/>
                </w:tcPr>
                <w:p w14:paraId="261CB5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87" w:type="pct"/>
                  <w:noWrap w:val="0"/>
                  <w:vAlign w:val="center"/>
                </w:tcPr>
                <w:p w14:paraId="74B1E5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582" w:type="pct"/>
                  <w:noWrap w:val="0"/>
                  <w:vAlign w:val="center"/>
                </w:tcPr>
                <w:p w14:paraId="37E25A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r>
            <w:tr w14:paraId="562B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345" w:type="pct"/>
                  <w:tcBorders>
                    <w:top w:val="single" w:color="auto" w:sz="4" w:space="0"/>
                    <w:bottom w:val="single" w:color="auto" w:sz="4" w:space="0"/>
                  </w:tcBorders>
                  <w:noWrap w:val="0"/>
                  <w:vAlign w:val="center"/>
                </w:tcPr>
                <w:p w14:paraId="290723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w:t>
                  </w:r>
                </w:p>
              </w:tc>
              <w:tc>
                <w:tcPr>
                  <w:tcW w:w="425" w:type="pct"/>
                  <w:vMerge w:val="continue"/>
                  <w:noWrap w:val="0"/>
                  <w:vAlign w:val="center"/>
                </w:tcPr>
                <w:p w14:paraId="69EB01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7" w:type="pct"/>
                  <w:shd w:val="clear" w:color="auto" w:fill="auto"/>
                  <w:noWrap w:val="0"/>
                  <w:vAlign w:val="center"/>
                </w:tcPr>
                <w:p w14:paraId="48E18FA1">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甘草</w:t>
                  </w:r>
                </w:p>
              </w:tc>
              <w:tc>
                <w:tcPr>
                  <w:tcW w:w="491" w:type="pct"/>
                  <w:shd w:val="clear" w:color="auto" w:fill="auto"/>
                  <w:noWrap w:val="0"/>
                  <w:vAlign w:val="center"/>
                </w:tcPr>
                <w:p w14:paraId="737549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6F0BA7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168.3</w:t>
                  </w:r>
                </w:p>
              </w:tc>
              <w:tc>
                <w:tcPr>
                  <w:tcW w:w="439" w:type="pct"/>
                  <w:gridSpan w:val="2"/>
                  <w:noWrap w:val="0"/>
                  <w:vAlign w:val="center"/>
                </w:tcPr>
                <w:p w14:paraId="49B6FC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18" w:type="pct"/>
                  <w:noWrap w:val="0"/>
                  <w:vAlign w:val="center"/>
                </w:tcPr>
                <w:p w14:paraId="4CFD84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87" w:type="pct"/>
                  <w:noWrap w:val="0"/>
                  <w:vAlign w:val="center"/>
                </w:tcPr>
                <w:p w14:paraId="24FA3D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582" w:type="pct"/>
                  <w:noWrap w:val="0"/>
                  <w:vAlign w:val="center"/>
                </w:tcPr>
                <w:p w14:paraId="3741EE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r>
            <w:tr w14:paraId="7AC6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10435A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w:t>
                  </w:r>
                </w:p>
              </w:tc>
              <w:tc>
                <w:tcPr>
                  <w:tcW w:w="425" w:type="pct"/>
                  <w:vMerge w:val="restart"/>
                  <w:noWrap w:val="0"/>
                  <w:vAlign w:val="center"/>
                </w:tcPr>
                <w:p w14:paraId="6EB41B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辅料</w:t>
                  </w:r>
                </w:p>
              </w:tc>
              <w:tc>
                <w:tcPr>
                  <w:tcW w:w="827" w:type="pct"/>
                  <w:shd w:val="clear" w:color="auto" w:fill="auto"/>
                  <w:noWrap w:val="0"/>
                  <w:vAlign w:val="center"/>
                </w:tcPr>
                <w:p w14:paraId="4C5A18D8">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麦麸</w:t>
                  </w:r>
                </w:p>
              </w:tc>
              <w:tc>
                <w:tcPr>
                  <w:tcW w:w="491" w:type="pct"/>
                  <w:shd w:val="clear" w:color="auto" w:fill="auto"/>
                  <w:noWrap w:val="0"/>
                  <w:vAlign w:val="center"/>
                </w:tcPr>
                <w:p w14:paraId="67EDBD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364983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20.2</w:t>
                  </w:r>
                </w:p>
              </w:tc>
              <w:tc>
                <w:tcPr>
                  <w:tcW w:w="439" w:type="pct"/>
                  <w:gridSpan w:val="2"/>
                  <w:noWrap w:val="0"/>
                  <w:vAlign w:val="center"/>
                </w:tcPr>
                <w:p w14:paraId="70D418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18" w:type="pct"/>
                  <w:noWrap w:val="0"/>
                  <w:vAlign w:val="center"/>
                </w:tcPr>
                <w:p w14:paraId="43EF54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87" w:type="pct"/>
                  <w:noWrap w:val="0"/>
                  <w:vAlign w:val="center"/>
                </w:tcPr>
                <w:p w14:paraId="6EE2B9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582" w:type="pct"/>
                  <w:noWrap w:val="0"/>
                  <w:vAlign w:val="center"/>
                </w:tcPr>
                <w:p w14:paraId="121CC6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r>
            <w:tr w14:paraId="04CC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0FA34B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w:t>
                  </w:r>
                </w:p>
              </w:tc>
              <w:tc>
                <w:tcPr>
                  <w:tcW w:w="425" w:type="pct"/>
                  <w:vMerge w:val="continue"/>
                  <w:noWrap w:val="0"/>
                  <w:vAlign w:val="center"/>
                </w:tcPr>
                <w:p w14:paraId="599B96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7" w:type="pct"/>
                  <w:shd w:val="clear" w:color="auto" w:fill="auto"/>
                  <w:noWrap w:val="0"/>
                  <w:vAlign w:val="center"/>
                </w:tcPr>
                <w:p w14:paraId="2ACFEB4F">
                  <w:pPr>
                    <w:keepNext w:val="0"/>
                    <w:keepLines w:val="0"/>
                    <w:pageBreakBefore w:val="0"/>
                    <w:kinsoku/>
                    <w:wordWrap/>
                    <w:overflowPunct/>
                    <w:topLinePunct w:val="0"/>
                    <w:bidi w:val="0"/>
                    <w:spacing w:line="240" w:lineRule="auto"/>
                    <w:jc w:val="center"/>
                    <w:rPr>
                      <w:rFonts w:hint="default"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蜂蜜</w:t>
                  </w:r>
                </w:p>
              </w:tc>
              <w:tc>
                <w:tcPr>
                  <w:tcW w:w="491" w:type="pct"/>
                  <w:shd w:val="clear" w:color="auto" w:fill="auto"/>
                  <w:noWrap w:val="0"/>
                  <w:vAlign w:val="center"/>
                </w:tcPr>
                <w:p w14:paraId="3F052F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7593F5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3.1</w:t>
                  </w:r>
                </w:p>
              </w:tc>
              <w:tc>
                <w:tcPr>
                  <w:tcW w:w="439" w:type="pct"/>
                  <w:gridSpan w:val="2"/>
                  <w:noWrap w:val="0"/>
                  <w:vAlign w:val="center"/>
                </w:tcPr>
                <w:p w14:paraId="205A11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18" w:type="pct"/>
                  <w:noWrap w:val="0"/>
                  <w:vAlign w:val="center"/>
                </w:tcPr>
                <w:p w14:paraId="37FD11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87" w:type="pct"/>
                  <w:noWrap w:val="0"/>
                  <w:vAlign w:val="center"/>
                </w:tcPr>
                <w:p w14:paraId="7E7B1C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582" w:type="pct"/>
                  <w:noWrap w:val="0"/>
                  <w:vAlign w:val="center"/>
                </w:tcPr>
                <w:p w14:paraId="69DFD9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r>
            <w:tr w14:paraId="5DE7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99" w:type="pct"/>
                  <w:gridSpan w:val="3"/>
                  <w:tcBorders>
                    <w:top w:val="single" w:color="auto" w:sz="4" w:space="0"/>
                    <w:bottom w:val="single" w:color="auto" w:sz="4" w:space="0"/>
                  </w:tcBorders>
                  <w:noWrap w:val="0"/>
                  <w:vAlign w:val="center"/>
                </w:tcPr>
                <w:p w14:paraId="0D7675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合计</w:t>
                  </w:r>
                </w:p>
              </w:tc>
              <w:tc>
                <w:tcPr>
                  <w:tcW w:w="491" w:type="pct"/>
                  <w:noWrap w:val="0"/>
                  <w:vAlign w:val="center"/>
                </w:tcPr>
                <w:p w14:paraId="69B07B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noWrap w:val="0"/>
                  <w:vAlign w:val="center"/>
                </w:tcPr>
                <w:p w14:paraId="5890E746">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1327.8</w:t>
                  </w:r>
                </w:p>
              </w:tc>
              <w:tc>
                <w:tcPr>
                  <w:tcW w:w="1257" w:type="pct"/>
                  <w:gridSpan w:val="3"/>
                  <w:noWrap w:val="0"/>
                  <w:vAlign w:val="center"/>
                </w:tcPr>
                <w:p w14:paraId="446087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合计</w:t>
                  </w:r>
                </w:p>
              </w:tc>
              <w:tc>
                <w:tcPr>
                  <w:tcW w:w="487" w:type="pct"/>
                  <w:noWrap w:val="0"/>
                  <w:vAlign w:val="center"/>
                </w:tcPr>
                <w:p w14:paraId="091607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t/a</w:t>
                  </w:r>
                </w:p>
              </w:tc>
              <w:tc>
                <w:tcPr>
                  <w:tcW w:w="582" w:type="pct"/>
                  <w:noWrap w:val="0"/>
                  <w:vAlign w:val="center"/>
                </w:tcPr>
                <w:p w14:paraId="6F8973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1327.8</w:t>
                  </w:r>
                </w:p>
              </w:tc>
            </w:tr>
          </w:tbl>
          <w:p w14:paraId="05FB9CC4">
            <w:pPr>
              <w:pStyle w:val="16"/>
              <w:keepNext w:val="0"/>
              <w:keepLines w:val="0"/>
              <w:pageBreakBefore w:val="0"/>
              <w:widowControl w:val="0"/>
              <w:kinsoku/>
              <w:wordWrap/>
              <w:overflowPunct/>
              <w:topLinePunct w:val="0"/>
              <w:autoSpaceDE/>
              <w:autoSpaceDN/>
              <w:bidi w:val="0"/>
              <w:adjustRightInd/>
              <w:snapToGrid/>
              <w:spacing w:before="157" w:beforeLines="50" w:after="0" w:line="360" w:lineRule="auto"/>
              <w:textAlignment w:val="auto"/>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2、复方板蓝根颗粒</w:t>
            </w:r>
          </w:p>
          <w:p w14:paraId="74D6FCF5">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1</w:t>
            </w:r>
            <w:r>
              <w:rPr>
                <w:rFonts w:hint="eastAsia" w:cs="Times New Roman"/>
                <w:b w:val="0"/>
                <w:bCs w:val="0"/>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复方板蓝根颗粒产品批次</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物料平衡表</w:t>
            </w:r>
            <w:r>
              <w:rPr>
                <w:rFonts w:hint="eastAsia" w:cs="Times New Roman"/>
                <w:b w:val="0"/>
                <w:bCs w:val="0"/>
                <w:color w:val="000000" w:themeColor="text1"/>
                <w:sz w:val="24"/>
                <w:szCs w:val="24"/>
                <w:lang w:val="en-US" w:eastAsia="zh-CN"/>
                <w14:textFill>
                  <w14:solidFill>
                    <w14:schemeClr w14:val="tx1"/>
                  </w14:solidFill>
                </w14:textFill>
              </w:rPr>
              <w:t>（28万袋）</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671"/>
              <w:gridCol w:w="1305"/>
              <w:gridCol w:w="648"/>
              <w:gridCol w:w="1043"/>
              <w:gridCol w:w="709"/>
              <w:gridCol w:w="1275"/>
              <w:gridCol w:w="663"/>
              <w:gridCol w:w="1020"/>
            </w:tblGrid>
            <w:tr w14:paraId="743C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345" w:type="pct"/>
                  <w:vMerge w:val="restart"/>
                  <w:noWrap w:val="0"/>
                  <w:vAlign w:val="center"/>
                </w:tcPr>
                <w:p w14:paraId="46C8B5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序号</w:t>
                  </w:r>
                </w:p>
              </w:tc>
              <w:tc>
                <w:tcPr>
                  <w:tcW w:w="2327" w:type="pct"/>
                  <w:gridSpan w:val="4"/>
                  <w:noWrap w:val="0"/>
                  <w:vAlign w:val="center"/>
                </w:tcPr>
                <w:p w14:paraId="29035C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投入</w:t>
                  </w:r>
                </w:p>
              </w:tc>
              <w:tc>
                <w:tcPr>
                  <w:tcW w:w="2327" w:type="pct"/>
                  <w:gridSpan w:val="4"/>
                  <w:noWrap w:val="0"/>
                  <w:vAlign w:val="center"/>
                </w:tcPr>
                <w:p w14:paraId="5E35F8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产出</w:t>
                  </w:r>
                </w:p>
              </w:tc>
            </w:tr>
            <w:tr w14:paraId="7516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vMerge w:val="continue"/>
                  <w:tcBorders>
                    <w:bottom w:val="single" w:color="auto" w:sz="4" w:space="0"/>
                  </w:tcBorders>
                  <w:noWrap w:val="0"/>
                  <w:vAlign w:val="center"/>
                </w:tcPr>
                <w:p w14:paraId="30B577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1253" w:type="pct"/>
                  <w:gridSpan w:val="2"/>
                  <w:noWrap w:val="0"/>
                  <w:vAlign w:val="center"/>
                </w:tcPr>
                <w:p w14:paraId="5B78D6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11" w:type="pct"/>
                  <w:noWrap w:val="0"/>
                  <w:vAlign w:val="center"/>
                </w:tcPr>
                <w:p w14:paraId="05368D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661" w:type="pct"/>
                  <w:noWrap w:val="0"/>
                  <w:vAlign w:val="center"/>
                </w:tcPr>
                <w:p w14:paraId="6AEF32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c>
                <w:tcPr>
                  <w:tcW w:w="1259" w:type="pct"/>
                  <w:gridSpan w:val="2"/>
                  <w:shd w:val="clear" w:color="auto" w:fill="auto"/>
                  <w:noWrap w:val="0"/>
                  <w:vAlign w:val="center"/>
                </w:tcPr>
                <w:p w14:paraId="7D4A4C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20" w:type="pct"/>
                  <w:shd w:val="clear" w:color="auto" w:fill="auto"/>
                  <w:noWrap w:val="0"/>
                  <w:vAlign w:val="center"/>
                </w:tcPr>
                <w:p w14:paraId="285887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647" w:type="pct"/>
                  <w:shd w:val="clear" w:color="auto" w:fill="auto"/>
                  <w:noWrap w:val="0"/>
                  <w:vAlign w:val="center"/>
                </w:tcPr>
                <w:p w14:paraId="4AD041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r>
            <w:tr w14:paraId="7E3A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45" w:type="pct"/>
                  <w:tcBorders>
                    <w:top w:val="single" w:color="auto" w:sz="4" w:space="0"/>
                    <w:bottom w:val="single" w:color="auto" w:sz="4" w:space="0"/>
                  </w:tcBorders>
                  <w:noWrap w:val="0"/>
                  <w:vAlign w:val="center"/>
                </w:tcPr>
                <w:p w14:paraId="676C33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425" w:type="pct"/>
                  <w:vMerge w:val="restart"/>
                  <w:noWrap w:val="0"/>
                  <w:vAlign w:val="center"/>
                </w:tcPr>
                <w:p w14:paraId="2DF6AE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原料</w:t>
                  </w:r>
                </w:p>
              </w:tc>
              <w:tc>
                <w:tcPr>
                  <w:tcW w:w="828" w:type="pct"/>
                  <w:shd w:val="clear" w:color="auto" w:fill="auto"/>
                  <w:noWrap w:val="0"/>
                  <w:vAlign w:val="center"/>
                </w:tcPr>
                <w:p w14:paraId="18739E31">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板蓝根</w:t>
                  </w:r>
                </w:p>
              </w:tc>
              <w:tc>
                <w:tcPr>
                  <w:tcW w:w="411" w:type="pct"/>
                  <w:shd w:val="clear" w:color="auto" w:fill="auto"/>
                  <w:noWrap w:val="0"/>
                  <w:vAlign w:val="center"/>
                </w:tcPr>
                <w:p w14:paraId="396A60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61" w:type="pct"/>
                  <w:shd w:val="clear" w:color="auto" w:fill="auto"/>
                  <w:noWrap w:val="0"/>
                  <w:vAlign w:val="center"/>
                </w:tcPr>
                <w:p w14:paraId="21BC3A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1768</w:t>
                  </w:r>
                </w:p>
              </w:tc>
              <w:tc>
                <w:tcPr>
                  <w:tcW w:w="449" w:type="pct"/>
                  <w:noWrap w:val="0"/>
                  <w:vAlign w:val="center"/>
                </w:tcPr>
                <w:p w14:paraId="2A57CA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产品</w:t>
                  </w:r>
                </w:p>
              </w:tc>
              <w:tc>
                <w:tcPr>
                  <w:tcW w:w="809" w:type="pct"/>
                  <w:noWrap w:val="0"/>
                  <w:vAlign w:val="center"/>
                </w:tcPr>
                <w:p w14:paraId="2B2165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复方板蓝根颗粒</w:t>
                  </w:r>
                </w:p>
              </w:tc>
              <w:tc>
                <w:tcPr>
                  <w:tcW w:w="420" w:type="pct"/>
                  <w:shd w:val="clear" w:color="auto" w:fill="auto"/>
                  <w:noWrap w:val="0"/>
                  <w:vAlign w:val="center"/>
                </w:tcPr>
                <w:p w14:paraId="6522D0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7" w:type="pct"/>
                  <w:noWrap w:val="0"/>
                  <w:vAlign w:val="center"/>
                </w:tcPr>
                <w:p w14:paraId="75638D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4200</w:t>
                  </w:r>
                </w:p>
              </w:tc>
            </w:tr>
            <w:tr w14:paraId="54E7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03E2B3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425" w:type="pct"/>
                  <w:vMerge w:val="continue"/>
                  <w:noWrap w:val="0"/>
                  <w:vAlign w:val="center"/>
                </w:tcPr>
                <w:p w14:paraId="5EC0D7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8" w:type="pct"/>
                  <w:shd w:val="clear" w:color="auto" w:fill="auto"/>
                  <w:noWrap w:val="0"/>
                  <w:vAlign w:val="center"/>
                </w:tcPr>
                <w:p w14:paraId="79BD763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大青叶</w:t>
                  </w:r>
                </w:p>
              </w:tc>
              <w:tc>
                <w:tcPr>
                  <w:tcW w:w="411" w:type="pct"/>
                  <w:shd w:val="clear" w:color="auto" w:fill="auto"/>
                  <w:noWrap w:val="0"/>
                  <w:vAlign w:val="center"/>
                </w:tcPr>
                <w:p w14:paraId="4FD875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61" w:type="pct"/>
                  <w:shd w:val="clear" w:color="auto" w:fill="auto"/>
                  <w:noWrap w:val="0"/>
                  <w:vAlign w:val="center"/>
                </w:tcPr>
                <w:p w14:paraId="5D1283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2653</w:t>
                  </w:r>
                </w:p>
              </w:tc>
              <w:tc>
                <w:tcPr>
                  <w:tcW w:w="449" w:type="pct"/>
                  <w:vMerge w:val="restart"/>
                  <w:noWrap w:val="0"/>
                  <w:vAlign w:val="center"/>
                </w:tcPr>
                <w:p w14:paraId="4DB903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废气</w:t>
                  </w:r>
                </w:p>
              </w:tc>
              <w:tc>
                <w:tcPr>
                  <w:tcW w:w="809" w:type="pct"/>
                  <w:noWrap w:val="0"/>
                  <w:vAlign w:val="center"/>
                </w:tcPr>
                <w:p w14:paraId="0C1D09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粉尘</w:t>
                  </w:r>
                </w:p>
              </w:tc>
              <w:tc>
                <w:tcPr>
                  <w:tcW w:w="420" w:type="pct"/>
                  <w:shd w:val="clear" w:color="auto" w:fill="auto"/>
                  <w:noWrap w:val="0"/>
                  <w:vAlign w:val="center"/>
                </w:tcPr>
                <w:p w14:paraId="0C561F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7" w:type="pct"/>
                  <w:noWrap w:val="0"/>
                  <w:vAlign w:val="center"/>
                </w:tcPr>
                <w:p w14:paraId="6EF7D9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r>
                    <w:rPr>
                      <w:rFonts w:hint="eastAsia" w:cs="Times New Roman"/>
                      <w:color w:val="000000" w:themeColor="text1"/>
                      <w:szCs w:val="21"/>
                      <w:lang w:val="en-US" w:eastAsia="zh-CN"/>
                      <w14:textFill>
                        <w14:solidFill>
                          <w14:schemeClr w14:val="tx1"/>
                        </w14:solidFill>
                      </w14:textFill>
                    </w:rPr>
                    <w:t>2</w:t>
                  </w:r>
                  <w:r>
                    <w:rPr>
                      <w:rFonts w:hint="eastAsia" w:ascii="Times New Roman" w:hAnsi="Times New Roman" w:cs="Times New Roman"/>
                      <w:color w:val="000000" w:themeColor="text1"/>
                      <w:szCs w:val="21"/>
                      <w:lang w:val="en-US" w:eastAsia="zh-CN"/>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3</w:t>
                  </w:r>
                </w:p>
              </w:tc>
            </w:tr>
            <w:tr w14:paraId="0779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633151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425" w:type="pct"/>
                  <w:vMerge w:val="restart"/>
                  <w:noWrap w:val="0"/>
                  <w:vAlign w:val="center"/>
                </w:tcPr>
                <w:p w14:paraId="6E72F7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辅料</w:t>
                  </w:r>
                </w:p>
              </w:tc>
              <w:tc>
                <w:tcPr>
                  <w:tcW w:w="828" w:type="pct"/>
                  <w:shd w:val="clear" w:color="auto" w:fill="auto"/>
                  <w:noWrap w:val="0"/>
                  <w:vAlign w:val="center"/>
                </w:tcPr>
                <w:p w14:paraId="33A859B4">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玉米淀粉</w:t>
                  </w:r>
                </w:p>
              </w:tc>
              <w:tc>
                <w:tcPr>
                  <w:tcW w:w="411" w:type="pct"/>
                  <w:shd w:val="clear" w:color="auto" w:fill="auto"/>
                  <w:noWrap w:val="0"/>
                  <w:vAlign w:val="center"/>
                </w:tcPr>
                <w:p w14:paraId="4510B3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61" w:type="pct"/>
                  <w:shd w:val="clear" w:color="auto" w:fill="auto"/>
                  <w:noWrap w:val="0"/>
                  <w:vAlign w:val="center"/>
                </w:tcPr>
                <w:p w14:paraId="68816F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7.98</w:t>
                  </w:r>
                </w:p>
              </w:tc>
              <w:tc>
                <w:tcPr>
                  <w:tcW w:w="449" w:type="pct"/>
                  <w:vMerge w:val="continue"/>
                  <w:noWrap w:val="0"/>
                  <w:vAlign w:val="center"/>
                </w:tcPr>
                <w:p w14:paraId="74A8A8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Cs w:val="21"/>
                      <w:lang w:val="en-US" w:eastAsia="zh-CN"/>
                      <w14:textFill>
                        <w14:solidFill>
                          <w14:schemeClr w14:val="tx1"/>
                        </w14:solidFill>
                      </w14:textFill>
                    </w:rPr>
                  </w:pPr>
                </w:p>
              </w:tc>
              <w:tc>
                <w:tcPr>
                  <w:tcW w:w="809" w:type="pct"/>
                  <w:noWrap w:val="0"/>
                  <w:vAlign w:val="center"/>
                </w:tcPr>
                <w:p w14:paraId="060F8E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乙醇废气</w:t>
                  </w:r>
                </w:p>
              </w:tc>
              <w:tc>
                <w:tcPr>
                  <w:tcW w:w="420" w:type="pct"/>
                  <w:shd w:val="clear" w:color="auto" w:fill="auto"/>
                  <w:noWrap w:val="0"/>
                  <w:vAlign w:val="center"/>
                </w:tcPr>
                <w:p w14:paraId="0A6747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7" w:type="pct"/>
                  <w:noWrap w:val="0"/>
                  <w:vAlign w:val="center"/>
                </w:tcPr>
                <w:p w14:paraId="4F1F95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86.4</w:t>
                  </w:r>
                </w:p>
              </w:tc>
            </w:tr>
            <w:tr w14:paraId="3D3B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5424B8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425" w:type="pct"/>
                  <w:vMerge w:val="continue"/>
                  <w:noWrap w:val="0"/>
                  <w:vAlign w:val="center"/>
                </w:tcPr>
                <w:p w14:paraId="2786DD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8" w:type="pct"/>
                  <w:shd w:val="clear" w:color="auto" w:fill="auto"/>
                  <w:noWrap w:val="0"/>
                  <w:vAlign w:val="center"/>
                </w:tcPr>
                <w:p w14:paraId="1E34266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蔗糖</w:t>
                  </w:r>
                </w:p>
              </w:tc>
              <w:tc>
                <w:tcPr>
                  <w:tcW w:w="411" w:type="pct"/>
                  <w:shd w:val="clear" w:color="auto" w:fill="auto"/>
                  <w:noWrap w:val="0"/>
                  <w:vAlign w:val="center"/>
                </w:tcPr>
                <w:p w14:paraId="351E5F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61" w:type="pct"/>
                  <w:shd w:val="clear" w:color="auto" w:fill="auto"/>
                  <w:noWrap w:val="0"/>
                  <w:vAlign w:val="center"/>
                </w:tcPr>
                <w:p w14:paraId="2CC42A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3990</w:t>
                  </w:r>
                </w:p>
              </w:tc>
              <w:tc>
                <w:tcPr>
                  <w:tcW w:w="449" w:type="pct"/>
                  <w:vMerge w:val="restart"/>
                  <w:noWrap w:val="0"/>
                  <w:vAlign w:val="center"/>
                </w:tcPr>
                <w:p w14:paraId="434C89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固废</w:t>
                  </w:r>
                </w:p>
              </w:tc>
              <w:tc>
                <w:tcPr>
                  <w:tcW w:w="809" w:type="pct"/>
                  <w:noWrap w:val="0"/>
                  <w:vAlign w:val="center"/>
                </w:tcPr>
                <w:p w14:paraId="2549CD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拣选废弃物</w:t>
                  </w:r>
                </w:p>
              </w:tc>
              <w:tc>
                <w:tcPr>
                  <w:tcW w:w="420" w:type="pct"/>
                  <w:shd w:val="clear" w:color="auto" w:fill="auto"/>
                  <w:noWrap w:val="0"/>
                  <w:vAlign w:val="center"/>
                </w:tcPr>
                <w:p w14:paraId="4DE9D5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7" w:type="pct"/>
                  <w:noWrap w:val="0"/>
                  <w:vAlign w:val="center"/>
                </w:tcPr>
                <w:p w14:paraId="6A52AE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221.05</w:t>
                  </w:r>
                </w:p>
              </w:tc>
            </w:tr>
            <w:tr w14:paraId="1FB9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15BBBA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425" w:type="pct"/>
                  <w:noWrap w:val="0"/>
                  <w:vAlign w:val="center"/>
                </w:tcPr>
                <w:p w14:paraId="584145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溶剂</w:t>
                  </w:r>
                </w:p>
              </w:tc>
              <w:tc>
                <w:tcPr>
                  <w:tcW w:w="828" w:type="pct"/>
                  <w:noWrap w:val="0"/>
                  <w:vAlign w:val="center"/>
                </w:tcPr>
                <w:p w14:paraId="066E87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95%</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乙醇</w:t>
                  </w:r>
                </w:p>
              </w:tc>
              <w:tc>
                <w:tcPr>
                  <w:tcW w:w="411" w:type="pct"/>
                  <w:shd w:val="clear" w:color="auto" w:fill="auto"/>
                  <w:noWrap w:val="0"/>
                  <w:vAlign w:val="center"/>
                </w:tcPr>
                <w:p w14:paraId="41AAEC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61" w:type="pct"/>
                  <w:noWrap w:val="0"/>
                  <w:vAlign w:val="center"/>
                </w:tcPr>
                <w:p w14:paraId="6F2680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4320</w:t>
                  </w:r>
                </w:p>
              </w:tc>
              <w:tc>
                <w:tcPr>
                  <w:tcW w:w="449" w:type="pct"/>
                  <w:vMerge w:val="continue"/>
                  <w:shd w:val="clear" w:color="auto" w:fill="auto"/>
                  <w:noWrap w:val="0"/>
                  <w:vAlign w:val="center"/>
                </w:tcPr>
                <w:p w14:paraId="311739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09" w:type="pct"/>
                  <w:shd w:val="clear" w:color="auto" w:fill="auto"/>
                  <w:noWrap w:val="0"/>
                  <w:vAlign w:val="center"/>
                </w:tcPr>
                <w:p w14:paraId="547B4F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水提</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废药渣</w:t>
                  </w:r>
                </w:p>
                <w:p w14:paraId="7A97DA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(干重)</w:t>
                  </w:r>
                </w:p>
              </w:tc>
              <w:tc>
                <w:tcPr>
                  <w:tcW w:w="420" w:type="pct"/>
                  <w:shd w:val="clear" w:color="auto" w:fill="auto"/>
                  <w:noWrap w:val="0"/>
                  <w:vAlign w:val="center"/>
                </w:tcPr>
                <w:p w14:paraId="3FE084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7" w:type="pct"/>
                  <w:noWrap w:val="0"/>
                  <w:vAlign w:val="center"/>
                </w:tcPr>
                <w:p w14:paraId="4A4F37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300</w:t>
                  </w:r>
                  <w:r>
                    <w:rPr>
                      <w:rFonts w:hint="eastAsia" w:cs="Times New Roman"/>
                      <w:color w:val="000000" w:themeColor="text1"/>
                      <w:szCs w:val="21"/>
                      <w:lang w:val="en-US" w:eastAsia="zh-CN"/>
                      <w14:textFill>
                        <w14:solidFill>
                          <w14:schemeClr w14:val="tx1"/>
                        </w14:solidFill>
                      </w14:textFill>
                    </w:rPr>
                    <w:t>5</w:t>
                  </w:r>
                  <w:r>
                    <w:rPr>
                      <w:rFonts w:hint="eastAsia" w:ascii="Times New Roman" w:hAnsi="Times New Roman" w:cs="Times New Roman"/>
                      <w:color w:val="000000" w:themeColor="text1"/>
                      <w:szCs w:val="21"/>
                      <w:lang w:val="en-US" w:eastAsia="zh-CN"/>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6</w:t>
                  </w:r>
                  <w:r>
                    <w:rPr>
                      <w:rFonts w:hint="eastAsia" w:ascii="Times New Roman" w:hAnsi="Times New Roman" w:cs="Times New Roman"/>
                      <w:color w:val="000000" w:themeColor="text1"/>
                      <w:szCs w:val="21"/>
                      <w:lang w:val="en-US" w:eastAsia="zh-CN"/>
                      <w14:textFill>
                        <w14:solidFill>
                          <w14:schemeClr w14:val="tx1"/>
                        </w14:solidFill>
                      </w14:textFill>
                    </w:rPr>
                    <w:t>3</w:t>
                  </w:r>
                </w:p>
              </w:tc>
            </w:tr>
            <w:tr w14:paraId="2C72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210B74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w:t>
                  </w:r>
                </w:p>
              </w:tc>
              <w:tc>
                <w:tcPr>
                  <w:tcW w:w="425" w:type="pct"/>
                  <w:noWrap w:val="0"/>
                  <w:vAlign w:val="center"/>
                </w:tcPr>
                <w:p w14:paraId="102161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8" w:type="pct"/>
                  <w:noWrap w:val="0"/>
                  <w:vAlign w:val="center"/>
                </w:tcPr>
                <w:p w14:paraId="24C177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411" w:type="pct"/>
                  <w:noWrap w:val="0"/>
                  <w:vAlign w:val="center"/>
                </w:tcPr>
                <w:p w14:paraId="6F6E81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p>
              </w:tc>
              <w:tc>
                <w:tcPr>
                  <w:tcW w:w="661" w:type="pct"/>
                  <w:noWrap w:val="0"/>
                  <w:vAlign w:val="center"/>
                </w:tcPr>
                <w:p w14:paraId="5F6115F4">
                  <w:pPr>
                    <w:jc w:val="center"/>
                    <w:rPr>
                      <w:rFonts w:hint="default" w:ascii="Times New Roman" w:hAnsi="Times New Roman" w:cs="Times New Roman"/>
                      <w:color w:val="000000" w:themeColor="text1"/>
                      <w:szCs w:val="21"/>
                      <w:lang w:val="en-US" w:eastAsia="zh-CN"/>
                      <w14:textFill>
                        <w14:solidFill>
                          <w14:schemeClr w14:val="tx1"/>
                        </w14:solidFill>
                      </w14:textFill>
                    </w:rPr>
                  </w:pPr>
                </w:p>
              </w:tc>
              <w:tc>
                <w:tcPr>
                  <w:tcW w:w="449" w:type="pct"/>
                  <w:vMerge w:val="continue"/>
                  <w:shd w:val="clear" w:color="auto" w:fill="auto"/>
                  <w:noWrap w:val="0"/>
                  <w:vAlign w:val="center"/>
                </w:tcPr>
                <w:p w14:paraId="336744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09" w:type="pct"/>
                  <w:shd w:val="clear" w:color="auto" w:fill="auto"/>
                  <w:noWrap w:val="0"/>
                  <w:vAlign w:val="center"/>
                </w:tcPr>
                <w:p w14:paraId="154DB6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醇沉废滤渣</w:t>
                  </w:r>
                </w:p>
                <w:p w14:paraId="535361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(干重)</w:t>
                  </w:r>
                </w:p>
              </w:tc>
              <w:tc>
                <w:tcPr>
                  <w:tcW w:w="420" w:type="pct"/>
                  <w:shd w:val="clear" w:color="auto" w:fill="auto"/>
                  <w:noWrap w:val="0"/>
                  <w:vAlign w:val="center"/>
                </w:tcPr>
                <w:p w14:paraId="1B50CB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7" w:type="pct"/>
                  <w:noWrap w:val="0"/>
                  <w:vAlign w:val="center"/>
                </w:tcPr>
                <w:p w14:paraId="5B27BC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840</w:t>
                  </w:r>
                </w:p>
              </w:tc>
            </w:tr>
            <w:tr w14:paraId="1EB1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17D2D1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w:t>
                  </w:r>
                </w:p>
              </w:tc>
              <w:tc>
                <w:tcPr>
                  <w:tcW w:w="425" w:type="pct"/>
                  <w:noWrap w:val="0"/>
                  <w:vAlign w:val="center"/>
                </w:tcPr>
                <w:p w14:paraId="4AD8F8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28" w:type="pct"/>
                  <w:noWrap w:val="0"/>
                  <w:vAlign w:val="center"/>
                </w:tcPr>
                <w:p w14:paraId="719CD1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411" w:type="pct"/>
                  <w:noWrap w:val="0"/>
                  <w:vAlign w:val="center"/>
                </w:tcPr>
                <w:p w14:paraId="2F267A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p>
              </w:tc>
              <w:tc>
                <w:tcPr>
                  <w:tcW w:w="661" w:type="pct"/>
                  <w:noWrap w:val="0"/>
                  <w:vAlign w:val="center"/>
                </w:tcPr>
                <w:p w14:paraId="11F3DF46">
                  <w:pPr>
                    <w:jc w:val="center"/>
                    <w:rPr>
                      <w:rFonts w:hint="default" w:ascii="Times New Roman" w:hAnsi="Times New Roman" w:cs="Times New Roman"/>
                      <w:color w:val="000000" w:themeColor="text1"/>
                      <w:szCs w:val="21"/>
                      <w:lang w:val="en-US" w:eastAsia="zh-CN"/>
                      <w14:textFill>
                        <w14:solidFill>
                          <w14:schemeClr w14:val="tx1"/>
                        </w14:solidFill>
                      </w14:textFill>
                    </w:rPr>
                  </w:pPr>
                </w:p>
              </w:tc>
              <w:tc>
                <w:tcPr>
                  <w:tcW w:w="449" w:type="pct"/>
                  <w:shd w:val="clear" w:color="auto" w:fill="auto"/>
                  <w:noWrap w:val="0"/>
                  <w:vAlign w:val="center"/>
                </w:tcPr>
                <w:p w14:paraId="537EB2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c>
                <w:tcPr>
                  <w:tcW w:w="809" w:type="pct"/>
                  <w:shd w:val="clear" w:color="auto" w:fill="auto"/>
                  <w:noWrap w:val="0"/>
                  <w:vAlign w:val="center"/>
                </w:tcPr>
                <w:p w14:paraId="53DF9A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乙醇回收</w:t>
                  </w:r>
                </w:p>
              </w:tc>
              <w:tc>
                <w:tcPr>
                  <w:tcW w:w="420" w:type="pct"/>
                  <w:shd w:val="clear" w:color="auto" w:fill="auto"/>
                  <w:noWrap w:val="0"/>
                  <w:vAlign w:val="center"/>
                </w:tcPr>
                <w:p w14:paraId="3C5F21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7" w:type="pct"/>
                  <w:noWrap w:val="0"/>
                  <w:vAlign w:val="center"/>
                </w:tcPr>
                <w:p w14:paraId="52A0FE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4233.6</w:t>
                  </w:r>
                </w:p>
              </w:tc>
            </w:tr>
            <w:tr w14:paraId="2969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99" w:type="pct"/>
                  <w:gridSpan w:val="3"/>
                  <w:tcBorders>
                    <w:top w:val="single" w:color="auto" w:sz="4" w:space="0"/>
                    <w:bottom w:val="single" w:color="auto" w:sz="4" w:space="0"/>
                  </w:tcBorders>
                  <w:noWrap w:val="0"/>
                  <w:vAlign w:val="center"/>
                </w:tcPr>
                <w:p w14:paraId="3CEC26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合计</w:t>
                  </w:r>
                </w:p>
              </w:tc>
              <w:tc>
                <w:tcPr>
                  <w:tcW w:w="411" w:type="pct"/>
                  <w:noWrap w:val="0"/>
                  <w:vAlign w:val="center"/>
                </w:tcPr>
                <w:p w14:paraId="54E554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61" w:type="pct"/>
                  <w:noWrap w:val="0"/>
                  <w:vAlign w:val="center"/>
                </w:tcPr>
                <w:p w14:paraId="2C0546B7">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fldChar w:fldCharType="begin"/>
                  </w:r>
                  <w:r>
                    <w:rPr>
                      <w:rFonts w:hint="default" w:ascii="Times New Roman" w:hAnsi="Times New Roman" w:cs="Times New Roman"/>
                      <w:color w:val="000000" w:themeColor="text1"/>
                      <w:szCs w:val="21"/>
                      <w:lang w:val="en-US" w:eastAsia="zh-CN"/>
                      <w14:textFill>
                        <w14:solidFill>
                          <w14:schemeClr w14:val="tx1"/>
                        </w14:solidFill>
                      </w14:textFill>
                    </w:rPr>
                    <w:instrText xml:space="preserve"> = sum(E3:E7) \* MERGEFORMAT </w:instrText>
                  </w:r>
                  <w:r>
                    <w:rPr>
                      <w:rFonts w:hint="default" w:ascii="Times New Roman" w:hAnsi="Times New Roman" w:cs="Times New Roman"/>
                      <w:color w:val="000000" w:themeColor="text1"/>
                      <w:szCs w:val="21"/>
                      <w:lang w:val="en-US" w:eastAsia="zh-CN"/>
                      <w14:textFill>
                        <w14:solidFill>
                          <w14:schemeClr w14:val="tx1"/>
                        </w14:solidFill>
                      </w14:textFill>
                    </w:rPr>
                    <w:fldChar w:fldCharType="separate"/>
                  </w:r>
                  <w:r>
                    <w:rPr>
                      <w:rFonts w:hint="default" w:ascii="Times New Roman" w:hAnsi="Times New Roman" w:cs="Times New Roman"/>
                      <w:color w:val="000000" w:themeColor="text1"/>
                      <w:szCs w:val="21"/>
                      <w:lang w:val="en-US" w:eastAsia="zh-CN"/>
                      <w14:textFill>
                        <w14:solidFill>
                          <w14:schemeClr w14:val="tx1"/>
                        </w14:solidFill>
                      </w14:textFill>
                    </w:rPr>
                    <w:t>12738.98</w:t>
                  </w:r>
                  <w:r>
                    <w:rPr>
                      <w:rFonts w:hint="default" w:ascii="Times New Roman" w:hAnsi="Times New Roman" w:cs="Times New Roman"/>
                      <w:color w:val="000000" w:themeColor="text1"/>
                      <w:szCs w:val="21"/>
                      <w:lang w:val="en-US" w:eastAsia="zh-CN"/>
                      <w14:textFill>
                        <w14:solidFill>
                          <w14:schemeClr w14:val="tx1"/>
                        </w14:solidFill>
                      </w14:textFill>
                    </w:rPr>
                    <w:fldChar w:fldCharType="end"/>
                  </w:r>
                </w:p>
              </w:tc>
              <w:tc>
                <w:tcPr>
                  <w:tcW w:w="1259" w:type="pct"/>
                  <w:gridSpan w:val="2"/>
                  <w:shd w:val="clear" w:color="auto" w:fill="auto"/>
                  <w:noWrap w:val="0"/>
                  <w:vAlign w:val="center"/>
                </w:tcPr>
                <w:p w14:paraId="73DB8B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合计</w:t>
                  </w:r>
                </w:p>
              </w:tc>
              <w:tc>
                <w:tcPr>
                  <w:tcW w:w="420" w:type="pct"/>
                  <w:shd w:val="clear" w:color="auto" w:fill="auto"/>
                  <w:noWrap w:val="0"/>
                  <w:vAlign w:val="center"/>
                </w:tcPr>
                <w:p w14:paraId="2BB08F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7" w:type="pct"/>
                  <w:shd w:val="clear" w:color="auto" w:fill="auto"/>
                  <w:noWrap w:val="0"/>
                  <w:vAlign w:val="center"/>
                </w:tcPr>
                <w:p w14:paraId="08D28C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fldChar w:fldCharType="begin"/>
                  </w:r>
                  <w:r>
                    <w:rPr>
                      <w:rFonts w:hint="default" w:ascii="Times New Roman" w:hAnsi="Times New Roman" w:cs="Times New Roman"/>
                      <w:color w:val="000000" w:themeColor="text1"/>
                      <w:szCs w:val="21"/>
                      <w:lang w:val="en-US" w:eastAsia="zh-CN"/>
                      <w14:textFill>
                        <w14:solidFill>
                          <w14:schemeClr w14:val="tx1"/>
                        </w14:solidFill>
                      </w14:textFill>
                    </w:rPr>
                    <w:instrText xml:space="preserve"> = sum(E3:E7) \* MERGEFORMAT </w:instrText>
                  </w:r>
                  <w:r>
                    <w:rPr>
                      <w:rFonts w:hint="default" w:ascii="Times New Roman" w:hAnsi="Times New Roman" w:cs="Times New Roman"/>
                      <w:color w:val="000000" w:themeColor="text1"/>
                      <w:szCs w:val="21"/>
                      <w:lang w:val="en-US" w:eastAsia="zh-CN"/>
                      <w14:textFill>
                        <w14:solidFill>
                          <w14:schemeClr w14:val="tx1"/>
                        </w14:solidFill>
                      </w14:textFill>
                    </w:rPr>
                    <w:fldChar w:fldCharType="separate"/>
                  </w:r>
                  <w:r>
                    <w:rPr>
                      <w:rFonts w:hint="default" w:ascii="Times New Roman" w:hAnsi="Times New Roman" w:cs="Times New Roman"/>
                      <w:color w:val="000000" w:themeColor="text1"/>
                      <w:szCs w:val="21"/>
                      <w:lang w:val="en-US" w:eastAsia="zh-CN"/>
                      <w14:textFill>
                        <w14:solidFill>
                          <w14:schemeClr w14:val="tx1"/>
                        </w14:solidFill>
                      </w14:textFill>
                    </w:rPr>
                    <w:t>12738.98</w:t>
                  </w:r>
                  <w:r>
                    <w:rPr>
                      <w:rFonts w:hint="default" w:ascii="Times New Roman" w:hAnsi="Times New Roman" w:cs="Times New Roman"/>
                      <w:color w:val="000000" w:themeColor="text1"/>
                      <w:szCs w:val="21"/>
                      <w:lang w:val="en-US" w:eastAsia="zh-CN"/>
                      <w14:textFill>
                        <w14:solidFill>
                          <w14:schemeClr w14:val="tx1"/>
                        </w14:solidFill>
                      </w14:textFill>
                    </w:rPr>
                    <w:fldChar w:fldCharType="end"/>
                  </w:r>
                </w:p>
              </w:tc>
            </w:tr>
          </w:tbl>
          <w:p w14:paraId="484F8430">
            <w:pPr>
              <w:keepNext w:val="0"/>
              <w:keepLines w:val="0"/>
              <w:widowControl/>
              <w:suppressLineNumbers w:val="0"/>
              <w:jc w:val="center"/>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3171825" cy="1847850"/>
                  <wp:effectExtent l="0" t="0" r="9525" b="0"/>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6"/>
                          <a:stretch>
                            <a:fillRect/>
                          </a:stretch>
                        </pic:blipFill>
                        <pic:spPr>
                          <a:xfrm>
                            <a:off x="0" y="0"/>
                            <a:ext cx="3171825" cy="1847850"/>
                          </a:xfrm>
                          <a:prstGeom prst="rect">
                            <a:avLst/>
                          </a:prstGeom>
                          <a:noFill/>
                          <a:ln w="9525">
                            <a:noFill/>
                          </a:ln>
                        </pic:spPr>
                      </pic:pic>
                    </a:graphicData>
                  </a:graphic>
                </wp:inline>
              </w:drawing>
            </w:r>
          </w:p>
          <w:p w14:paraId="38F9C569">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图1 复方板蓝根颗粒生产过程乙醇溶剂平衡图（kg/批）</w:t>
            </w:r>
          </w:p>
          <w:p w14:paraId="6E6E89D4">
            <w:pPr>
              <w:pStyle w:val="16"/>
              <w:keepNext w:val="0"/>
              <w:keepLines w:val="0"/>
              <w:pageBreakBefore w:val="0"/>
              <w:widowControl w:val="0"/>
              <w:kinsoku/>
              <w:wordWrap/>
              <w:overflowPunct/>
              <w:topLinePunct w:val="0"/>
              <w:autoSpaceDE/>
              <w:autoSpaceDN/>
              <w:bidi w:val="0"/>
              <w:adjustRightInd/>
              <w:snapToGrid/>
              <w:spacing w:before="157" w:beforeLines="50" w:after="0" w:line="360" w:lineRule="auto"/>
              <w:textAlignment w:val="auto"/>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3、复方丹参片</w:t>
            </w:r>
          </w:p>
          <w:p w14:paraId="311C2DFD">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1</w:t>
            </w:r>
            <w:r>
              <w:rPr>
                <w:rFonts w:hint="eastAsia" w:cs="Times New Roman"/>
                <w:b w:val="0"/>
                <w:bCs w:val="0"/>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复方丹参片产品批次</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物料平衡表</w:t>
            </w:r>
            <w:r>
              <w:rPr>
                <w:rFonts w:hint="eastAsia" w:cs="Times New Roman"/>
                <w:b w:val="0"/>
                <w:bCs w:val="0"/>
                <w:color w:val="000000" w:themeColor="text1"/>
                <w:sz w:val="24"/>
                <w:szCs w:val="24"/>
                <w:lang w:val="en-US" w:eastAsia="zh-CN"/>
                <w14:textFill>
                  <w14:solidFill>
                    <w14:schemeClr w14:val="tx1"/>
                  </w14:solidFill>
                </w14:textFill>
              </w:rPr>
              <w:t>（600万片）</w:t>
            </w:r>
          </w:p>
          <w:tbl>
            <w:tblPr>
              <w:tblStyle w:val="26"/>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649"/>
              <w:gridCol w:w="1335"/>
              <w:gridCol w:w="767"/>
              <w:gridCol w:w="917"/>
              <w:gridCol w:w="1"/>
              <w:gridCol w:w="640"/>
              <w:gridCol w:w="1395"/>
              <w:gridCol w:w="715"/>
              <w:gridCol w:w="919"/>
            </w:tblGrid>
            <w:tr w14:paraId="3E1F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vMerge w:val="restart"/>
                  <w:noWrap w:val="0"/>
                  <w:vAlign w:val="center"/>
                </w:tcPr>
                <w:p w14:paraId="7A4E64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序号</w:t>
                  </w:r>
                </w:p>
              </w:tc>
              <w:tc>
                <w:tcPr>
                  <w:tcW w:w="2326" w:type="pct"/>
                  <w:gridSpan w:val="4"/>
                  <w:noWrap w:val="0"/>
                  <w:vAlign w:val="center"/>
                </w:tcPr>
                <w:p w14:paraId="4E4DD7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投入</w:t>
                  </w:r>
                </w:p>
              </w:tc>
              <w:tc>
                <w:tcPr>
                  <w:tcW w:w="2327" w:type="pct"/>
                  <w:gridSpan w:val="5"/>
                  <w:noWrap w:val="0"/>
                  <w:vAlign w:val="center"/>
                </w:tcPr>
                <w:p w14:paraId="79B207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产出</w:t>
                  </w:r>
                </w:p>
              </w:tc>
            </w:tr>
            <w:tr w14:paraId="7BDD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vMerge w:val="continue"/>
                  <w:tcBorders>
                    <w:bottom w:val="single" w:color="auto" w:sz="4" w:space="0"/>
                  </w:tcBorders>
                  <w:noWrap w:val="0"/>
                  <w:vAlign w:val="center"/>
                </w:tcPr>
                <w:p w14:paraId="3A12E1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1258" w:type="pct"/>
                  <w:gridSpan w:val="2"/>
                  <w:noWrap w:val="0"/>
                  <w:vAlign w:val="center"/>
                </w:tcPr>
                <w:p w14:paraId="11D7E4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86" w:type="pct"/>
                  <w:noWrap w:val="0"/>
                  <w:vAlign w:val="center"/>
                </w:tcPr>
                <w:p w14:paraId="1DEB2E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582" w:type="pct"/>
                  <w:gridSpan w:val="2"/>
                  <w:noWrap w:val="0"/>
                  <w:vAlign w:val="center"/>
                </w:tcPr>
                <w:p w14:paraId="00C6BD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c>
                <w:tcPr>
                  <w:tcW w:w="1290" w:type="pct"/>
                  <w:gridSpan w:val="2"/>
                  <w:shd w:val="clear" w:color="auto" w:fill="auto"/>
                  <w:noWrap w:val="0"/>
                  <w:vAlign w:val="center"/>
                </w:tcPr>
                <w:p w14:paraId="199788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53" w:type="pct"/>
                  <w:shd w:val="clear" w:color="auto" w:fill="auto"/>
                  <w:noWrap w:val="0"/>
                  <w:vAlign w:val="center"/>
                </w:tcPr>
                <w:p w14:paraId="326AB6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582" w:type="pct"/>
                  <w:shd w:val="clear" w:color="auto" w:fill="auto"/>
                  <w:noWrap w:val="0"/>
                  <w:vAlign w:val="center"/>
                </w:tcPr>
                <w:p w14:paraId="0EC244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r>
            <w:tr w14:paraId="61FF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146300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411" w:type="pct"/>
                  <w:vMerge w:val="restart"/>
                  <w:noWrap w:val="0"/>
                  <w:vAlign w:val="center"/>
                </w:tcPr>
                <w:p w14:paraId="59CA05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原料</w:t>
                  </w:r>
                </w:p>
              </w:tc>
              <w:tc>
                <w:tcPr>
                  <w:tcW w:w="846" w:type="pct"/>
                  <w:shd w:val="clear" w:color="auto" w:fill="auto"/>
                  <w:noWrap w:val="0"/>
                  <w:vAlign w:val="center"/>
                </w:tcPr>
                <w:p w14:paraId="476883E8">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丹参</w:t>
                  </w:r>
                </w:p>
              </w:tc>
              <w:tc>
                <w:tcPr>
                  <w:tcW w:w="486" w:type="pct"/>
                  <w:shd w:val="clear" w:color="auto" w:fill="auto"/>
                  <w:noWrap w:val="0"/>
                  <w:vAlign w:val="center"/>
                </w:tcPr>
                <w:p w14:paraId="3AFAB2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6D1A57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2842.1</w:t>
                  </w:r>
                </w:p>
              </w:tc>
              <w:tc>
                <w:tcPr>
                  <w:tcW w:w="406" w:type="pct"/>
                  <w:gridSpan w:val="2"/>
                  <w:noWrap w:val="0"/>
                  <w:vAlign w:val="center"/>
                </w:tcPr>
                <w:p w14:paraId="0F665A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产品</w:t>
                  </w:r>
                </w:p>
              </w:tc>
              <w:tc>
                <w:tcPr>
                  <w:tcW w:w="884" w:type="pct"/>
                  <w:noWrap w:val="0"/>
                  <w:vAlign w:val="center"/>
                </w:tcPr>
                <w:p w14:paraId="6092F3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复方丹参片</w:t>
                  </w:r>
                </w:p>
              </w:tc>
              <w:tc>
                <w:tcPr>
                  <w:tcW w:w="453" w:type="pct"/>
                  <w:noWrap w:val="0"/>
                  <w:vAlign w:val="center"/>
                </w:tcPr>
                <w:p w14:paraId="1C0ADA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514BFB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1920</w:t>
                  </w:r>
                </w:p>
              </w:tc>
            </w:tr>
            <w:tr w14:paraId="662C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043135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411" w:type="pct"/>
                  <w:vMerge w:val="continue"/>
                  <w:noWrap w:val="0"/>
                  <w:vAlign w:val="center"/>
                </w:tcPr>
                <w:p w14:paraId="26644C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46" w:type="pct"/>
                  <w:shd w:val="clear" w:color="auto" w:fill="auto"/>
                  <w:noWrap w:val="0"/>
                  <w:vAlign w:val="center"/>
                </w:tcPr>
                <w:p w14:paraId="6DE34BF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三七</w:t>
                  </w:r>
                </w:p>
              </w:tc>
              <w:tc>
                <w:tcPr>
                  <w:tcW w:w="486" w:type="pct"/>
                  <w:shd w:val="clear" w:color="auto" w:fill="auto"/>
                  <w:noWrap w:val="0"/>
                  <w:vAlign w:val="center"/>
                </w:tcPr>
                <w:p w14:paraId="23B74E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00603B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890.5</w:t>
                  </w:r>
                </w:p>
              </w:tc>
              <w:tc>
                <w:tcPr>
                  <w:tcW w:w="406" w:type="pct"/>
                  <w:gridSpan w:val="2"/>
                  <w:vMerge w:val="restart"/>
                  <w:noWrap w:val="0"/>
                  <w:vAlign w:val="center"/>
                </w:tcPr>
                <w:p w14:paraId="7E34B3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废气</w:t>
                  </w:r>
                </w:p>
              </w:tc>
              <w:tc>
                <w:tcPr>
                  <w:tcW w:w="884" w:type="pct"/>
                  <w:noWrap w:val="0"/>
                  <w:vAlign w:val="center"/>
                </w:tcPr>
                <w:p w14:paraId="377183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粉尘</w:t>
                  </w:r>
                </w:p>
              </w:tc>
              <w:tc>
                <w:tcPr>
                  <w:tcW w:w="453" w:type="pct"/>
                  <w:shd w:val="clear" w:color="auto" w:fill="auto"/>
                  <w:noWrap w:val="0"/>
                  <w:vAlign w:val="center"/>
                </w:tcPr>
                <w:p w14:paraId="5C03B9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033177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95.5</w:t>
                  </w:r>
                </w:p>
              </w:tc>
            </w:tr>
            <w:tr w14:paraId="1CF1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350364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411" w:type="pct"/>
                  <w:vMerge w:val="continue"/>
                  <w:noWrap w:val="0"/>
                  <w:vAlign w:val="center"/>
                </w:tcPr>
                <w:p w14:paraId="6C1E51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46" w:type="pct"/>
                  <w:shd w:val="clear" w:color="auto" w:fill="auto"/>
                  <w:noWrap w:val="0"/>
                  <w:vAlign w:val="center"/>
                </w:tcPr>
                <w:p w14:paraId="62C033EA">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冰片</w:t>
                  </w:r>
                </w:p>
              </w:tc>
              <w:tc>
                <w:tcPr>
                  <w:tcW w:w="486" w:type="pct"/>
                  <w:shd w:val="clear" w:color="auto" w:fill="auto"/>
                  <w:noWrap w:val="0"/>
                  <w:vAlign w:val="center"/>
                </w:tcPr>
                <w:p w14:paraId="33AA3F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4CFD94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48</w:t>
                  </w:r>
                </w:p>
              </w:tc>
              <w:tc>
                <w:tcPr>
                  <w:tcW w:w="406" w:type="pct"/>
                  <w:gridSpan w:val="2"/>
                  <w:vMerge w:val="continue"/>
                  <w:noWrap w:val="0"/>
                  <w:vAlign w:val="center"/>
                </w:tcPr>
                <w:p w14:paraId="00A1E6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84" w:type="pct"/>
                  <w:noWrap w:val="0"/>
                  <w:vAlign w:val="center"/>
                </w:tcPr>
                <w:p w14:paraId="4D26EF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乙醇废气</w:t>
                  </w:r>
                </w:p>
              </w:tc>
              <w:tc>
                <w:tcPr>
                  <w:tcW w:w="453" w:type="pct"/>
                  <w:shd w:val="clear" w:color="auto" w:fill="auto"/>
                  <w:noWrap w:val="0"/>
                  <w:vAlign w:val="center"/>
                </w:tcPr>
                <w:p w14:paraId="2983FE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4B11A1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302.4</w:t>
                  </w:r>
                </w:p>
              </w:tc>
            </w:tr>
            <w:tr w14:paraId="2728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225DC3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411" w:type="pct"/>
                  <w:vMerge w:val="restart"/>
                  <w:noWrap w:val="0"/>
                  <w:vAlign w:val="center"/>
                </w:tcPr>
                <w:p w14:paraId="44F2A8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辅料</w:t>
                  </w:r>
                </w:p>
              </w:tc>
              <w:tc>
                <w:tcPr>
                  <w:tcW w:w="846" w:type="pct"/>
                  <w:shd w:val="clear" w:color="auto" w:fill="auto"/>
                  <w:noWrap w:val="0"/>
                  <w:vAlign w:val="center"/>
                </w:tcPr>
                <w:p w14:paraId="42FEE733">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玉米淀粉</w:t>
                  </w:r>
                </w:p>
              </w:tc>
              <w:tc>
                <w:tcPr>
                  <w:tcW w:w="486" w:type="pct"/>
                  <w:shd w:val="clear" w:color="auto" w:fill="auto"/>
                  <w:noWrap w:val="0"/>
                  <w:vAlign w:val="center"/>
                </w:tcPr>
                <w:p w14:paraId="21926C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02190F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372</w:t>
                  </w:r>
                </w:p>
              </w:tc>
              <w:tc>
                <w:tcPr>
                  <w:tcW w:w="406" w:type="pct"/>
                  <w:gridSpan w:val="2"/>
                  <w:vMerge w:val="continue"/>
                  <w:noWrap w:val="0"/>
                  <w:vAlign w:val="center"/>
                </w:tcPr>
                <w:p w14:paraId="68D4A6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84" w:type="pct"/>
                  <w:noWrap w:val="0"/>
                  <w:vAlign w:val="center"/>
                </w:tcPr>
                <w:p w14:paraId="737539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水蒸气</w:t>
                  </w:r>
                </w:p>
                <w:p w14:paraId="31C0DD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（包衣）</w:t>
                  </w:r>
                </w:p>
              </w:tc>
              <w:tc>
                <w:tcPr>
                  <w:tcW w:w="453" w:type="pct"/>
                  <w:shd w:val="clear" w:color="auto" w:fill="auto"/>
                  <w:noWrap w:val="0"/>
                  <w:vAlign w:val="center"/>
                </w:tcPr>
                <w:p w14:paraId="312C6D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009362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1237.6</w:t>
                  </w:r>
                </w:p>
              </w:tc>
            </w:tr>
            <w:tr w14:paraId="4949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33F41F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411" w:type="pct"/>
                  <w:vMerge w:val="continue"/>
                  <w:noWrap w:val="0"/>
                  <w:vAlign w:val="center"/>
                </w:tcPr>
                <w:p w14:paraId="673782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46" w:type="pct"/>
                  <w:shd w:val="clear" w:color="auto" w:fill="auto"/>
                  <w:noWrap w:val="0"/>
                  <w:vAlign w:val="center"/>
                </w:tcPr>
                <w:p w14:paraId="5FBB002E">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硬脂酸镁</w:t>
                  </w:r>
                </w:p>
              </w:tc>
              <w:tc>
                <w:tcPr>
                  <w:tcW w:w="486" w:type="pct"/>
                  <w:shd w:val="clear" w:color="auto" w:fill="auto"/>
                  <w:noWrap w:val="0"/>
                  <w:vAlign w:val="center"/>
                </w:tcPr>
                <w:p w14:paraId="747A8D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30707A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18.6</w:t>
                  </w:r>
                </w:p>
              </w:tc>
              <w:tc>
                <w:tcPr>
                  <w:tcW w:w="406" w:type="pct"/>
                  <w:gridSpan w:val="2"/>
                  <w:vMerge w:val="restart"/>
                  <w:noWrap w:val="0"/>
                  <w:vAlign w:val="center"/>
                </w:tcPr>
                <w:p w14:paraId="78644C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固废</w:t>
                  </w:r>
                </w:p>
              </w:tc>
              <w:tc>
                <w:tcPr>
                  <w:tcW w:w="884" w:type="pct"/>
                  <w:shd w:val="clear" w:color="auto" w:fill="auto"/>
                  <w:noWrap w:val="0"/>
                  <w:vAlign w:val="center"/>
                </w:tcPr>
                <w:p w14:paraId="2B4928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拣选废弃物</w:t>
                  </w:r>
                </w:p>
              </w:tc>
              <w:tc>
                <w:tcPr>
                  <w:tcW w:w="453" w:type="pct"/>
                  <w:shd w:val="clear" w:color="auto" w:fill="auto"/>
                  <w:noWrap w:val="0"/>
                  <w:vAlign w:val="center"/>
                </w:tcPr>
                <w:p w14:paraId="51604F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215CC2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186.6</w:t>
                  </w:r>
                </w:p>
              </w:tc>
            </w:tr>
            <w:tr w14:paraId="56FA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414F7B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w:t>
                  </w:r>
                </w:p>
              </w:tc>
              <w:tc>
                <w:tcPr>
                  <w:tcW w:w="411" w:type="pct"/>
                  <w:vMerge w:val="continue"/>
                  <w:noWrap w:val="0"/>
                  <w:vAlign w:val="center"/>
                </w:tcPr>
                <w:p w14:paraId="187AFC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46" w:type="pct"/>
                  <w:shd w:val="clear" w:color="auto" w:fill="auto"/>
                  <w:noWrap w:val="0"/>
                  <w:vAlign w:val="center"/>
                </w:tcPr>
                <w:p w14:paraId="4E023144">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水性</w:t>
                  </w:r>
                  <w:r>
                    <w:rPr>
                      <w:rFonts w:hint="eastAsia" w:eastAsia="宋体" w:cs="Times New Roman"/>
                      <w:color w:val="000000" w:themeColor="text1"/>
                      <w:kern w:val="2"/>
                      <w:sz w:val="21"/>
                      <w:szCs w:val="21"/>
                      <w:u w:val="none"/>
                      <w:lang w:val="en-US" w:eastAsia="zh-CN" w:bidi="ar-SA"/>
                      <w14:textFill>
                        <w14:solidFill>
                          <w14:schemeClr w14:val="tx1"/>
                        </w14:solidFill>
                      </w14:textFill>
                    </w:rPr>
                    <w:t>包衣液</w:t>
                  </w:r>
                </w:p>
              </w:tc>
              <w:tc>
                <w:tcPr>
                  <w:tcW w:w="486" w:type="pct"/>
                  <w:shd w:val="clear" w:color="auto" w:fill="auto"/>
                  <w:noWrap w:val="0"/>
                  <w:vAlign w:val="center"/>
                </w:tcPr>
                <w:p w14:paraId="45AD82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235264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1768</w:t>
                  </w:r>
                </w:p>
              </w:tc>
              <w:tc>
                <w:tcPr>
                  <w:tcW w:w="406" w:type="pct"/>
                  <w:gridSpan w:val="2"/>
                  <w:vMerge w:val="continue"/>
                  <w:noWrap w:val="0"/>
                  <w:vAlign w:val="center"/>
                </w:tcPr>
                <w:p w14:paraId="40149D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84" w:type="pct"/>
                  <w:shd w:val="clear" w:color="auto" w:fill="auto"/>
                  <w:noWrap w:val="0"/>
                  <w:vAlign w:val="center"/>
                </w:tcPr>
                <w:p w14:paraId="170B52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水提</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废药渣</w:t>
                  </w:r>
                </w:p>
                <w:p w14:paraId="2D2289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(干重)</w:t>
                  </w:r>
                </w:p>
              </w:tc>
              <w:tc>
                <w:tcPr>
                  <w:tcW w:w="453" w:type="pct"/>
                  <w:shd w:val="clear" w:color="auto" w:fill="auto"/>
                  <w:noWrap w:val="0"/>
                  <w:vAlign w:val="center"/>
                </w:tcPr>
                <w:p w14:paraId="5B40A9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2642C5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w:t>
                  </w:r>
                  <w:r>
                    <w:rPr>
                      <w:rFonts w:hint="eastAsia" w:cs="Times New Roman"/>
                      <w:color w:val="000000" w:themeColor="text1"/>
                      <w:szCs w:val="21"/>
                      <w:lang w:val="en-US" w:eastAsia="zh-CN"/>
                      <w14:textFill>
                        <w14:solidFill>
                          <w14:schemeClr w14:val="tx1"/>
                        </w14:solidFill>
                      </w14:textFill>
                    </w:rPr>
                    <w:t>499.5</w:t>
                  </w:r>
                </w:p>
              </w:tc>
            </w:tr>
            <w:tr w14:paraId="201E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 w:type="pct"/>
                  <w:tcBorders>
                    <w:top w:val="single" w:color="auto" w:sz="4" w:space="0"/>
                    <w:bottom w:val="single" w:color="auto" w:sz="4" w:space="0"/>
                  </w:tcBorders>
                  <w:noWrap w:val="0"/>
                  <w:vAlign w:val="center"/>
                </w:tcPr>
                <w:p w14:paraId="3D8A57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w:t>
                  </w:r>
                </w:p>
              </w:tc>
              <w:tc>
                <w:tcPr>
                  <w:tcW w:w="411" w:type="pct"/>
                  <w:noWrap w:val="0"/>
                  <w:vAlign w:val="center"/>
                </w:tcPr>
                <w:p w14:paraId="336F03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溶剂</w:t>
                  </w:r>
                </w:p>
              </w:tc>
              <w:tc>
                <w:tcPr>
                  <w:tcW w:w="846" w:type="pct"/>
                  <w:shd w:val="clear" w:color="auto" w:fill="auto"/>
                  <w:noWrap w:val="0"/>
                  <w:vAlign w:val="center"/>
                </w:tcPr>
                <w:p w14:paraId="4D1E89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95%</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乙醇</w:t>
                  </w:r>
                </w:p>
              </w:tc>
              <w:tc>
                <w:tcPr>
                  <w:tcW w:w="486" w:type="pct"/>
                  <w:shd w:val="clear" w:color="auto" w:fill="auto"/>
                  <w:noWrap w:val="0"/>
                  <w:vAlign w:val="center"/>
                </w:tcPr>
                <w:p w14:paraId="2ED32B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shd w:val="clear" w:color="auto" w:fill="auto"/>
                  <w:noWrap w:val="0"/>
                  <w:vAlign w:val="center"/>
                </w:tcPr>
                <w:p w14:paraId="0365A8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15120</w:t>
                  </w:r>
                </w:p>
              </w:tc>
              <w:tc>
                <w:tcPr>
                  <w:tcW w:w="406" w:type="pct"/>
                  <w:gridSpan w:val="2"/>
                  <w:noWrap w:val="0"/>
                  <w:vAlign w:val="center"/>
                </w:tcPr>
                <w:p w14:paraId="5B67E9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c>
                <w:tcPr>
                  <w:tcW w:w="884" w:type="pct"/>
                  <w:shd w:val="clear" w:color="auto" w:fill="auto"/>
                  <w:noWrap w:val="0"/>
                  <w:vAlign w:val="center"/>
                </w:tcPr>
                <w:p w14:paraId="0F67DE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乙醇回收</w:t>
                  </w:r>
                </w:p>
              </w:tc>
              <w:tc>
                <w:tcPr>
                  <w:tcW w:w="453" w:type="pct"/>
                  <w:shd w:val="clear" w:color="auto" w:fill="auto"/>
                  <w:noWrap w:val="0"/>
                  <w:vAlign w:val="center"/>
                </w:tcPr>
                <w:p w14:paraId="2BBEA3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4DCFC5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14817.6</w:t>
                  </w:r>
                </w:p>
              </w:tc>
            </w:tr>
            <w:tr w14:paraId="221B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04" w:type="pct"/>
                  <w:gridSpan w:val="3"/>
                  <w:tcBorders>
                    <w:top w:val="single" w:color="auto" w:sz="4" w:space="0"/>
                    <w:bottom w:val="single" w:color="auto" w:sz="4" w:space="0"/>
                  </w:tcBorders>
                  <w:noWrap w:val="0"/>
                  <w:vAlign w:val="center"/>
                </w:tcPr>
                <w:p w14:paraId="71D239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合计</w:t>
                  </w:r>
                </w:p>
              </w:tc>
              <w:tc>
                <w:tcPr>
                  <w:tcW w:w="486" w:type="pct"/>
                  <w:noWrap w:val="0"/>
                  <w:vAlign w:val="center"/>
                </w:tcPr>
                <w:p w14:paraId="5C1973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1" w:type="pct"/>
                  <w:noWrap w:val="0"/>
                  <w:vAlign w:val="center"/>
                </w:tcPr>
                <w:p w14:paraId="4F4D1A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fldChar w:fldCharType="begin"/>
                  </w:r>
                  <w:r>
                    <w:rPr>
                      <w:rFonts w:hint="eastAsia" w:cs="Times New Roman"/>
                      <w:color w:val="000000" w:themeColor="text1"/>
                      <w:szCs w:val="21"/>
                      <w:lang w:val="en-US" w:eastAsia="zh-CN"/>
                      <w14:textFill>
                        <w14:solidFill>
                          <w14:schemeClr w14:val="tx1"/>
                        </w14:solidFill>
                      </w14:textFill>
                    </w:rPr>
                    <w:instrText xml:space="preserve"> = sum(E3:E9) \* MERGEFORMAT </w:instrText>
                  </w:r>
                  <w:r>
                    <w:rPr>
                      <w:rFonts w:hint="eastAsia" w:cs="Times New Roman"/>
                      <w:color w:val="000000" w:themeColor="text1"/>
                      <w:szCs w:val="21"/>
                      <w:lang w:val="en-US" w:eastAsia="zh-CN"/>
                      <w14:textFill>
                        <w14:solidFill>
                          <w14:schemeClr w14:val="tx1"/>
                        </w14:solidFill>
                      </w14:textFill>
                    </w:rPr>
                    <w:fldChar w:fldCharType="separate"/>
                  </w:r>
                  <w:r>
                    <w:rPr>
                      <w:rFonts w:hint="eastAsia" w:cs="Times New Roman"/>
                      <w:color w:val="000000" w:themeColor="text1"/>
                      <w:szCs w:val="21"/>
                      <w:lang w:val="en-US" w:eastAsia="zh-CN"/>
                      <w14:textFill>
                        <w14:solidFill>
                          <w14:schemeClr w14:val="tx1"/>
                        </w14:solidFill>
                      </w14:textFill>
                    </w:rPr>
                    <w:t>21059.2</w:t>
                  </w:r>
                  <w:r>
                    <w:rPr>
                      <w:rFonts w:hint="eastAsia" w:cs="Times New Roman"/>
                      <w:color w:val="000000" w:themeColor="text1"/>
                      <w:szCs w:val="21"/>
                      <w:lang w:val="en-US" w:eastAsia="zh-CN"/>
                      <w14:textFill>
                        <w14:solidFill>
                          <w14:schemeClr w14:val="tx1"/>
                        </w14:solidFill>
                      </w14:textFill>
                    </w:rPr>
                    <w:fldChar w:fldCharType="end"/>
                  </w:r>
                </w:p>
              </w:tc>
              <w:tc>
                <w:tcPr>
                  <w:tcW w:w="1291" w:type="pct"/>
                  <w:gridSpan w:val="3"/>
                  <w:noWrap w:val="0"/>
                  <w:vAlign w:val="center"/>
                </w:tcPr>
                <w:p w14:paraId="46785C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合计</w:t>
                  </w:r>
                </w:p>
              </w:tc>
              <w:tc>
                <w:tcPr>
                  <w:tcW w:w="453" w:type="pct"/>
                  <w:noWrap w:val="0"/>
                  <w:vAlign w:val="center"/>
                </w:tcPr>
                <w:p w14:paraId="4BC7A4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82" w:type="pct"/>
                  <w:noWrap w:val="0"/>
                  <w:vAlign w:val="center"/>
                </w:tcPr>
                <w:p w14:paraId="4C0C15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fldChar w:fldCharType="begin"/>
                  </w:r>
                  <w:r>
                    <w:rPr>
                      <w:rFonts w:hint="eastAsia" w:cs="Times New Roman"/>
                      <w:color w:val="000000" w:themeColor="text1"/>
                      <w:szCs w:val="21"/>
                      <w:lang w:val="en-US" w:eastAsia="zh-CN"/>
                      <w14:textFill>
                        <w14:solidFill>
                          <w14:schemeClr w14:val="tx1"/>
                        </w14:solidFill>
                      </w14:textFill>
                    </w:rPr>
                    <w:instrText xml:space="preserve"> = sum(I3:I9) \* MERGEFORMAT </w:instrText>
                  </w:r>
                  <w:r>
                    <w:rPr>
                      <w:rFonts w:hint="eastAsia" w:cs="Times New Roman"/>
                      <w:color w:val="000000" w:themeColor="text1"/>
                      <w:szCs w:val="21"/>
                      <w:lang w:val="en-US" w:eastAsia="zh-CN"/>
                      <w14:textFill>
                        <w14:solidFill>
                          <w14:schemeClr w14:val="tx1"/>
                        </w14:solidFill>
                      </w14:textFill>
                    </w:rPr>
                    <w:fldChar w:fldCharType="separate"/>
                  </w:r>
                  <w:r>
                    <w:rPr>
                      <w:rFonts w:hint="eastAsia" w:cs="Times New Roman"/>
                      <w:color w:val="000000" w:themeColor="text1"/>
                      <w:szCs w:val="21"/>
                      <w:lang w:val="en-US" w:eastAsia="zh-CN"/>
                      <w14:textFill>
                        <w14:solidFill>
                          <w14:schemeClr w14:val="tx1"/>
                        </w14:solidFill>
                      </w14:textFill>
                    </w:rPr>
                    <w:t>21059.2</w:t>
                  </w:r>
                  <w:r>
                    <w:rPr>
                      <w:rFonts w:hint="eastAsia" w:cs="Times New Roman"/>
                      <w:color w:val="000000" w:themeColor="text1"/>
                      <w:szCs w:val="21"/>
                      <w:lang w:val="en-US" w:eastAsia="zh-CN"/>
                      <w14:textFill>
                        <w14:solidFill>
                          <w14:schemeClr w14:val="tx1"/>
                        </w14:solidFill>
                      </w14:textFill>
                    </w:rPr>
                    <w:fldChar w:fldCharType="end"/>
                  </w:r>
                </w:p>
              </w:tc>
            </w:tr>
          </w:tbl>
          <w:p w14:paraId="1C23AF50">
            <w:pPr>
              <w:keepNext w:val="0"/>
              <w:keepLines w:val="0"/>
              <w:widowControl/>
              <w:suppressLineNumbers w:val="0"/>
              <w:jc w:val="center"/>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3171825" cy="1819275"/>
                  <wp:effectExtent l="0" t="0" r="9525" b="8890"/>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7"/>
                          <a:stretch>
                            <a:fillRect/>
                          </a:stretch>
                        </pic:blipFill>
                        <pic:spPr>
                          <a:xfrm>
                            <a:off x="0" y="0"/>
                            <a:ext cx="3171825" cy="1819275"/>
                          </a:xfrm>
                          <a:prstGeom prst="rect">
                            <a:avLst/>
                          </a:prstGeom>
                          <a:noFill/>
                          <a:ln w="9525">
                            <a:noFill/>
                          </a:ln>
                        </pic:spPr>
                      </pic:pic>
                    </a:graphicData>
                  </a:graphic>
                </wp:inline>
              </w:drawing>
            </w:r>
          </w:p>
          <w:p w14:paraId="61A9E3D3">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图2 复方丹参片生产过程乙醇溶剂平衡图（kg/批）</w:t>
            </w:r>
          </w:p>
          <w:p w14:paraId="5F2AC516">
            <w:pPr>
              <w:pStyle w:val="16"/>
              <w:keepNext w:val="0"/>
              <w:keepLines w:val="0"/>
              <w:pageBreakBefore w:val="0"/>
              <w:widowControl w:val="0"/>
              <w:kinsoku/>
              <w:wordWrap/>
              <w:overflowPunct/>
              <w:topLinePunct w:val="0"/>
              <w:autoSpaceDE/>
              <w:autoSpaceDN/>
              <w:bidi w:val="0"/>
              <w:adjustRightInd/>
              <w:snapToGrid/>
              <w:spacing w:before="157" w:beforeLines="50" w:after="0" w:line="360" w:lineRule="auto"/>
              <w:textAlignment w:val="auto"/>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4、六味地黄丸</w:t>
            </w:r>
          </w:p>
          <w:p w14:paraId="0F8ED56A">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1</w:t>
            </w:r>
            <w:r>
              <w:rPr>
                <w:rFonts w:hint="eastAsia" w:cs="Times New Roman"/>
                <w:b w:val="0"/>
                <w:bCs w:val="0"/>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六味地黄丸产品批次</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物料平衡表</w:t>
            </w:r>
            <w:r>
              <w:rPr>
                <w:rFonts w:hint="eastAsia" w:cs="Times New Roman"/>
                <w:b w:val="0"/>
                <w:bCs w:val="0"/>
                <w:color w:val="000000" w:themeColor="text1"/>
                <w:sz w:val="24"/>
                <w:szCs w:val="24"/>
                <w:lang w:val="en-US" w:eastAsia="zh-CN"/>
                <w14:textFill>
                  <w14:solidFill>
                    <w14:schemeClr w14:val="tx1"/>
                  </w14:solidFill>
                </w14:textFill>
              </w:rPr>
              <w:t>（1000万丸）</w:t>
            </w:r>
          </w:p>
          <w:tbl>
            <w:tblPr>
              <w:tblStyle w:val="26"/>
              <w:tblW w:w="7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661"/>
              <w:gridCol w:w="1335"/>
              <w:gridCol w:w="755"/>
              <w:gridCol w:w="917"/>
              <w:gridCol w:w="1"/>
              <w:gridCol w:w="652"/>
              <w:gridCol w:w="1395"/>
              <w:gridCol w:w="703"/>
              <w:gridCol w:w="919"/>
            </w:tblGrid>
            <w:tr w14:paraId="261A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vMerge w:val="restart"/>
                  <w:noWrap w:val="0"/>
                  <w:vAlign w:val="center"/>
                </w:tcPr>
                <w:p w14:paraId="38279A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序号</w:t>
                  </w:r>
                </w:p>
              </w:tc>
              <w:tc>
                <w:tcPr>
                  <w:tcW w:w="2326" w:type="pct"/>
                  <w:gridSpan w:val="4"/>
                  <w:noWrap w:val="0"/>
                  <w:vAlign w:val="center"/>
                </w:tcPr>
                <w:p w14:paraId="63FD92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投入</w:t>
                  </w:r>
                </w:p>
              </w:tc>
              <w:tc>
                <w:tcPr>
                  <w:tcW w:w="2327" w:type="pct"/>
                  <w:gridSpan w:val="5"/>
                  <w:noWrap w:val="0"/>
                  <w:vAlign w:val="center"/>
                </w:tcPr>
                <w:p w14:paraId="7EC42C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产出</w:t>
                  </w:r>
                </w:p>
              </w:tc>
            </w:tr>
            <w:tr w14:paraId="03A9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vMerge w:val="continue"/>
                  <w:tcBorders>
                    <w:bottom w:val="single" w:color="auto" w:sz="4" w:space="0"/>
                  </w:tcBorders>
                  <w:noWrap w:val="0"/>
                  <w:vAlign w:val="center"/>
                </w:tcPr>
                <w:p w14:paraId="03BFF4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1266" w:type="pct"/>
                  <w:gridSpan w:val="2"/>
                  <w:noWrap w:val="0"/>
                  <w:vAlign w:val="center"/>
                </w:tcPr>
                <w:p w14:paraId="334C0B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78" w:type="pct"/>
                  <w:noWrap w:val="0"/>
                  <w:vAlign w:val="center"/>
                </w:tcPr>
                <w:p w14:paraId="412113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582" w:type="pct"/>
                  <w:gridSpan w:val="2"/>
                  <w:noWrap w:val="0"/>
                  <w:vAlign w:val="center"/>
                </w:tcPr>
                <w:p w14:paraId="3FB11F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c>
                <w:tcPr>
                  <w:tcW w:w="1298" w:type="pct"/>
                  <w:gridSpan w:val="2"/>
                  <w:shd w:val="clear" w:color="auto" w:fill="auto"/>
                  <w:noWrap w:val="0"/>
                  <w:vAlign w:val="center"/>
                </w:tcPr>
                <w:p w14:paraId="23FF0B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45" w:type="pct"/>
                  <w:shd w:val="clear" w:color="auto" w:fill="auto"/>
                  <w:noWrap w:val="0"/>
                  <w:vAlign w:val="center"/>
                </w:tcPr>
                <w:p w14:paraId="02A24F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582" w:type="pct"/>
                  <w:shd w:val="clear" w:color="auto" w:fill="auto"/>
                  <w:noWrap w:val="0"/>
                  <w:vAlign w:val="center"/>
                </w:tcPr>
                <w:p w14:paraId="00A7EE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r>
            <w:tr w14:paraId="0D48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44F5E5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419" w:type="pct"/>
                  <w:vMerge w:val="restart"/>
                  <w:noWrap w:val="0"/>
                  <w:vAlign w:val="center"/>
                </w:tcPr>
                <w:p w14:paraId="2461BC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原料 </w:t>
                  </w:r>
                </w:p>
              </w:tc>
              <w:tc>
                <w:tcPr>
                  <w:tcW w:w="846" w:type="pct"/>
                  <w:shd w:val="clear" w:color="auto" w:fill="auto"/>
                  <w:noWrap w:val="0"/>
                  <w:vAlign w:val="center"/>
                </w:tcPr>
                <w:p w14:paraId="474190EC">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熟</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地黄</w:t>
                  </w:r>
                </w:p>
              </w:tc>
              <w:tc>
                <w:tcPr>
                  <w:tcW w:w="478" w:type="pct"/>
                  <w:shd w:val="clear" w:color="auto" w:fill="auto"/>
                  <w:noWrap w:val="0"/>
                  <w:vAlign w:val="center"/>
                </w:tcPr>
                <w:p w14:paraId="26C557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7" w:type="dxa"/>
                  <w:shd w:val="clear" w:color="auto" w:fill="auto"/>
                  <w:noWrap w:val="0"/>
                  <w:vAlign w:val="center"/>
                </w:tcPr>
                <w:p w14:paraId="7835D4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1263.2</w:t>
                  </w:r>
                </w:p>
              </w:tc>
              <w:tc>
                <w:tcPr>
                  <w:tcW w:w="414" w:type="pct"/>
                  <w:gridSpan w:val="2"/>
                  <w:noWrap w:val="0"/>
                  <w:vAlign w:val="center"/>
                </w:tcPr>
                <w:p w14:paraId="77E272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产品</w:t>
                  </w:r>
                </w:p>
              </w:tc>
              <w:tc>
                <w:tcPr>
                  <w:tcW w:w="884" w:type="pct"/>
                  <w:noWrap w:val="0"/>
                  <w:vAlign w:val="center"/>
                </w:tcPr>
                <w:p w14:paraId="09EFC3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六味地黄丸</w:t>
                  </w:r>
                </w:p>
              </w:tc>
              <w:tc>
                <w:tcPr>
                  <w:tcW w:w="445" w:type="pct"/>
                  <w:noWrap w:val="0"/>
                  <w:vAlign w:val="center"/>
                </w:tcPr>
                <w:p w14:paraId="4E336F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9" w:type="dxa"/>
                  <w:noWrap w:val="0"/>
                  <w:vAlign w:val="center"/>
                </w:tcPr>
                <w:p w14:paraId="356900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2000</w:t>
                  </w:r>
                </w:p>
              </w:tc>
            </w:tr>
            <w:tr w14:paraId="6159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6746B1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419" w:type="pct"/>
                  <w:vMerge w:val="continue"/>
                  <w:noWrap w:val="0"/>
                  <w:vAlign w:val="center"/>
                </w:tcPr>
                <w:p w14:paraId="55FA1C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46" w:type="pct"/>
                  <w:shd w:val="clear" w:color="auto" w:fill="auto"/>
                  <w:noWrap w:val="0"/>
                  <w:vAlign w:val="center"/>
                </w:tcPr>
                <w:p w14:paraId="2CA75D0A">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酒萸肉</w:t>
                  </w:r>
                </w:p>
              </w:tc>
              <w:tc>
                <w:tcPr>
                  <w:tcW w:w="478" w:type="pct"/>
                  <w:shd w:val="clear" w:color="auto" w:fill="auto"/>
                  <w:noWrap w:val="0"/>
                  <w:vAlign w:val="center"/>
                </w:tcPr>
                <w:p w14:paraId="4172EA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7" w:type="dxa"/>
                  <w:shd w:val="clear" w:color="auto" w:fill="auto"/>
                  <w:noWrap w:val="0"/>
                  <w:vAlign w:val="center"/>
                </w:tcPr>
                <w:p w14:paraId="5D4AA4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631.6</w:t>
                  </w:r>
                </w:p>
              </w:tc>
              <w:tc>
                <w:tcPr>
                  <w:tcW w:w="414" w:type="pct"/>
                  <w:gridSpan w:val="2"/>
                  <w:noWrap w:val="0"/>
                  <w:vAlign w:val="center"/>
                </w:tcPr>
                <w:p w14:paraId="386A65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废气</w:t>
                  </w:r>
                </w:p>
              </w:tc>
              <w:tc>
                <w:tcPr>
                  <w:tcW w:w="884" w:type="pct"/>
                  <w:noWrap w:val="0"/>
                  <w:vAlign w:val="center"/>
                </w:tcPr>
                <w:p w14:paraId="2D5370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粉尘</w:t>
                  </w:r>
                </w:p>
              </w:tc>
              <w:tc>
                <w:tcPr>
                  <w:tcW w:w="445" w:type="pct"/>
                  <w:noWrap w:val="0"/>
                  <w:vAlign w:val="center"/>
                </w:tcPr>
                <w:p w14:paraId="4D7AAB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9" w:type="dxa"/>
                  <w:noWrap w:val="0"/>
                  <w:vAlign w:val="center"/>
                </w:tcPr>
                <w:p w14:paraId="47A128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39.7</w:t>
                  </w:r>
                </w:p>
              </w:tc>
            </w:tr>
            <w:tr w14:paraId="3094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shd w:val="clear" w:color="auto" w:fill="auto"/>
                  <w:noWrap w:val="0"/>
                  <w:vAlign w:val="center"/>
                </w:tcPr>
                <w:p w14:paraId="4135AD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419" w:type="pct"/>
                  <w:vMerge w:val="continue"/>
                  <w:noWrap w:val="0"/>
                  <w:vAlign w:val="center"/>
                </w:tcPr>
                <w:p w14:paraId="3997CE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46" w:type="pct"/>
                  <w:shd w:val="clear" w:color="auto" w:fill="auto"/>
                  <w:noWrap w:val="0"/>
                  <w:vAlign w:val="center"/>
                </w:tcPr>
                <w:p w14:paraId="237E7526">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牡丹皮</w:t>
                  </w:r>
                </w:p>
              </w:tc>
              <w:tc>
                <w:tcPr>
                  <w:tcW w:w="478" w:type="pct"/>
                  <w:shd w:val="clear" w:color="auto" w:fill="auto"/>
                  <w:noWrap w:val="0"/>
                  <w:vAlign w:val="center"/>
                </w:tcPr>
                <w:p w14:paraId="3A03FA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7" w:type="dxa"/>
                  <w:shd w:val="clear" w:color="auto" w:fill="auto"/>
                  <w:noWrap w:val="0"/>
                  <w:vAlign w:val="center"/>
                </w:tcPr>
                <w:p w14:paraId="5AE262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473.7</w:t>
                  </w:r>
                </w:p>
              </w:tc>
              <w:tc>
                <w:tcPr>
                  <w:tcW w:w="414" w:type="pct"/>
                  <w:gridSpan w:val="2"/>
                  <w:vMerge w:val="restart"/>
                  <w:noWrap w:val="0"/>
                  <w:vAlign w:val="center"/>
                </w:tcPr>
                <w:p w14:paraId="09768E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固废</w:t>
                  </w:r>
                </w:p>
              </w:tc>
              <w:tc>
                <w:tcPr>
                  <w:tcW w:w="884" w:type="pct"/>
                  <w:shd w:val="clear" w:color="auto" w:fill="auto"/>
                  <w:noWrap w:val="0"/>
                  <w:vAlign w:val="center"/>
                </w:tcPr>
                <w:p w14:paraId="05D94E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拣选废弃物</w:t>
                  </w:r>
                </w:p>
              </w:tc>
              <w:tc>
                <w:tcPr>
                  <w:tcW w:w="445" w:type="pct"/>
                  <w:shd w:val="clear" w:color="auto" w:fill="auto"/>
                  <w:noWrap w:val="0"/>
                  <w:vAlign w:val="center"/>
                </w:tcPr>
                <w:p w14:paraId="2AB430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9" w:type="dxa"/>
                  <w:shd w:val="clear" w:color="auto" w:fill="auto"/>
                  <w:noWrap w:val="0"/>
                  <w:vAlign w:val="center"/>
                </w:tcPr>
                <w:p w14:paraId="777BCB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197.4</w:t>
                  </w:r>
                </w:p>
              </w:tc>
            </w:tr>
            <w:tr w14:paraId="48AB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shd w:val="clear" w:color="auto" w:fill="auto"/>
                  <w:noWrap w:val="0"/>
                  <w:vAlign w:val="center"/>
                </w:tcPr>
                <w:p w14:paraId="702BA2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419" w:type="pct"/>
                  <w:vMerge w:val="continue"/>
                  <w:noWrap w:val="0"/>
                  <w:vAlign w:val="center"/>
                </w:tcPr>
                <w:p w14:paraId="59BD50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46" w:type="pct"/>
                  <w:shd w:val="clear" w:color="auto" w:fill="auto"/>
                  <w:noWrap w:val="0"/>
                  <w:vAlign w:val="center"/>
                </w:tcPr>
                <w:p w14:paraId="470700E2">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山药</w:t>
                  </w:r>
                </w:p>
              </w:tc>
              <w:tc>
                <w:tcPr>
                  <w:tcW w:w="478" w:type="pct"/>
                  <w:shd w:val="clear" w:color="auto" w:fill="auto"/>
                  <w:noWrap w:val="0"/>
                  <w:vAlign w:val="center"/>
                </w:tcPr>
                <w:p w14:paraId="2DA2C1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7" w:type="dxa"/>
                  <w:shd w:val="clear" w:color="auto" w:fill="auto"/>
                  <w:noWrap w:val="0"/>
                  <w:vAlign w:val="center"/>
                </w:tcPr>
                <w:p w14:paraId="48DDD5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631.6</w:t>
                  </w:r>
                </w:p>
              </w:tc>
              <w:tc>
                <w:tcPr>
                  <w:tcW w:w="414" w:type="pct"/>
                  <w:gridSpan w:val="2"/>
                  <w:vMerge w:val="continue"/>
                  <w:noWrap w:val="0"/>
                  <w:vAlign w:val="center"/>
                </w:tcPr>
                <w:p w14:paraId="2D8C91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84" w:type="pct"/>
                  <w:shd w:val="clear" w:color="auto" w:fill="auto"/>
                  <w:noWrap w:val="0"/>
                  <w:vAlign w:val="center"/>
                </w:tcPr>
                <w:p w14:paraId="7DB885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水提</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废药渣</w:t>
                  </w:r>
                </w:p>
                <w:p w14:paraId="26887E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(干重)</w:t>
                  </w:r>
                </w:p>
              </w:tc>
              <w:tc>
                <w:tcPr>
                  <w:tcW w:w="445" w:type="pct"/>
                  <w:shd w:val="clear" w:color="auto" w:fill="auto"/>
                  <w:noWrap w:val="0"/>
                  <w:vAlign w:val="center"/>
                </w:tcPr>
                <w:p w14:paraId="0B20F1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9" w:type="dxa"/>
                  <w:shd w:val="clear" w:color="auto" w:fill="auto"/>
                  <w:noWrap w:val="0"/>
                  <w:vAlign w:val="center"/>
                </w:tcPr>
                <w:p w14:paraId="4941F5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1710.4</w:t>
                  </w:r>
                </w:p>
              </w:tc>
            </w:tr>
            <w:tr w14:paraId="0C35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shd w:val="clear" w:color="auto" w:fill="auto"/>
                  <w:noWrap w:val="0"/>
                  <w:vAlign w:val="center"/>
                </w:tcPr>
                <w:p w14:paraId="3AC8E7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419" w:type="pct"/>
                  <w:vMerge w:val="continue"/>
                  <w:noWrap w:val="0"/>
                  <w:vAlign w:val="center"/>
                </w:tcPr>
                <w:p w14:paraId="152BFA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46" w:type="pct"/>
                  <w:shd w:val="clear" w:color="auto" w:fill="auto"/>
                  <w:noWrap w:val="0"/>
                  <w:vAlign w:val="center"/>
                </w:tcPr>
                <w:p w14:paraId="3850B30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茯苓</w:t>
                  </w:r>
                </w:p>
              </w:tc>
              <w:tc>
                <w:tcPr>
                  <w:tcW w:w="478" w:type="pct"/>
                  <w:shd w:val="clear" w:color="auto" w:fill="auto"/>
                  <w:noWrap w:val="0"/>
                  <w:vAlign w:val="center"/>
                </w:tcPr>
                <w:p w14:paraId="06F3D4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7" w:type="dxa"/>
                  <w:shd w:val="clear" w:color="auto" w:fill="auto"/>
                  <w:noWrap w:val="0"/>
                  <w:vAlign w:val="center"/>
                </w:tcPr>
                <w:p w14:paraId="555C9C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473.7</w:t>
                  </w:r>
                </w:p>
              </w:tc>
              <w:tc>
                <w:tcPr>
                  <w:tcW w:w="414" w:type="pct"/>
                  <w:gridSpan w:val="2"/>
                  <w:noWrap w:val="0"/>
                  <w:vAlign w:val="center"/>
                </w:tcPr>
                <w:p w14:paraId="3BEB84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84" w:type="pct"/>
                  <w:shd w:val="clear" w:color="auto" w:fill="auto"/>
                  <w:noWrap w:val="0"/>
                  <w:vAlign w:val="center"/>
                </w:tcPr>
                <w:p w14:paraId="47BD99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445" w:type="pct"/>
                  <w:shd w:val="clear" w:color="auto" w:fill="auto"/>
                  <w:noWrap w:val="0"/>
                  <w:vAlign w:val="center"/>
                </w:tcPr>
                <w:p w14:paraId="70E967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919" w:type="dxa"/>
                  <w:noWrap w:val="0"/>
                  <w:vAlign w:val="center"/>
                </w:tcPr>
                <w:p w14:paraId="5B5D72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579D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shd w:val="clear" w:color="auto" w:fill="auto"/>
                  <w:noWrap w:val="0"/>
                  <w:vAlign w:val="center"/>
                </w:tcPr>
                <w:p w14:paraId="2958D8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w:t>
                  </w:r>
                </w:p>
              </w:tc>
              <w:tc>
                <w:tcPr>
                  <w:tcW w:w="419" w:type="pct"/>
                  <w:vMerge w:val="continue"/>
                  <w:noWrap w:val="0"/>
                  <w:vAlign w:val="center"/>
                </w:tcPr>
                <w:p w14:paraId="18DEFC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46" w:type="pct"/>
                  <w:shd w:val="clear" w:color="auto" w:fill="auto"/>
                  <w:noWrap w:val="0"/>
                  <w:vAlign w:val="center"/>
                </w:tcPr>
                <w:p w14:paraId="180B58A8">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泽泻</w:t>
                  </w:r>
                </w:p>
              </w:tc>
              <w:tc>
                <w:tcPr>
                  <w:tcW w:w="478" w:type="pct"/>
                  <w:shd w:val="clear" w:color="auto" w:fill="auto"/>
                  <w:noWrap w:val="0"/>
                  <w:vAlign w:val="center"/>
                </w:tcPr>
                <w:p w14:paraId="4F43B4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7" w:type="dxa"/>
                  <w:shd w:val="clear" w:color="auto" w:fill="auto"/>
                  <w:noWrap w:val="0"/>
                  <w:vAlign w:val="center"/>
                </w:tcPr>
                <w:p w14:paraId="7CE1A9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473.7</w:t>
                  </w:r>
                </w:p>
              </w:tc>
              <w:tc>
                <w:tcPr>
                  <w:tcW w:w="414" w:type="pct"/>
                  <w:gridSpan w:val="2"/>
                  <w:noWrap w:val="0"/>
                  <w:vAlign w:val="center"/>
                </w:tcPr>
                <w:p w14:paraId="349E89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84" w:type="pct"/>
                  <w:noWrap w:val="0"/>
                  <w:vAlign w:val="center"/>
                </w:tcPr>
                <w:p w14:paraId="366C42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45" w:type="pct"/>
                  <w:noWrap w:val="0"/>
                  <w:vAlign w:val="center"/>
                </w:tcPr>
                <w:p w14:paraId="762F00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919" w:type="dxa"/>
                  <w:noWrap w:val="0"/>
                  <w:vAlign w:val="center"/>
                </w:tcPr>
                <w:p w14:paraId="0C71BE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1510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1BF447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w:t>
                  </w:r>
                </w:p>
              </w:tc>
              <w:tc>
                <w:tcPr>
                  <w:tcW w:w="419" w:type="pct"/>
                  <w:vMerge w:val="restart"/>
                  <w:noWrap w:val="0"/>
                  <w:vAlign w:val="center"/>
                </w:tcPr>
                <w:p w14:paraId="168E65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辅料</w:t>
                  </w:r>
                </w:p>
              </w:tc>
              <w:tc>
                <w:tcPr>
                  <w:tcW w:w="846" w:type="pct"/>
                  <w:shd w:val="clear" w:color="auto" w:fill="auto"/>
                  <w:noWrap w:val="0"/>
                  <w:vAlign w:val="center"/>
                </w:tcPr>
                <w:p w14:paraId="333411C4">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明胶</w:t>
                  </w:r>
                </w:p>
              </w:tc>
              <w:tc>
                <w:tcPr>
                  <w:tcW w:w="478" w:type="pct"/>
                  <w:shd w:val="clear" w:color="auto" w:fill="auto"/>
                  <w:noWrap w:val="0"/>
                  <w:vAlign w:val="center"/>
                </w:tcPr>
                <w:p w14:paraId="73A70C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7" w:type="dxa"/>
                  <w:shd w:val="clear" w:color="auto" w:fill="auto"/>
                  <w:noWrap w:val="0"/>
                  <w:vAlign w:val="center"/>
                </w:tcPr>
                <w:p w14:paraId="499B1B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414" w:type="pct"/>
                  <w:gridSpan w:val="2"/>
                  <w:noWrap w:val="0"/>
                  <w:vAlign w:val="center"/>
                </w:tcPr>
                <w:p w14:paraId="78780B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84" w:type="pct"/>
                  <w:noWrap w:val="0"/>
                  <w:vAlign w:val="center"/>
                </w:tcPr>
                <w:p w14:paraId="0E7916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45" w:type="pct"/>
                  <w:noWrap w:val="0"/>
                  <w:vAlign w:val="center"/>
                </w:tcPr>
                <w:p w14:paraId="6E900B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919" w:type="dxa"/>
                  <w:noWrap w:val="0"/>
                  <w:vAlign w:val="center"/>
                </w:tcPr>
                <w:p w14:paraId="4CC308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3FDD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345" w:type="pct"/>
                  <w:tcBorders>
                    <w:top w:val="single" w:color="auto" w:sz="4" w:space="0"/>
                    <w:bottom w:val="single" w:color="auto" w:sz="4" w:space="0"/>
                  </w:tcBorders>
                  <w:noWrap w:val="0"/>
                  <w:vAlign w:val="center"/>
                </w:tcPr>
                <w:p w14:paraId="315CE4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w:t>
                  </w:r>
                </w:p>
              </w:tc>
              <w:tc>
                <w:tcPr>
                  <w:tcW w:w="419" w:type="pct"/>
                  <w:vMerge w:val="continue"/>
                  <w:noWrap w:val="0"/>
                  <w:vAlign w:val="center"/>
                </w:tcPr>
                <w:p w14:paraId="065B08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46" w:type="pct"/>
                  <w:shd w:val="clear" w:color="auto" w:fill="auto"/>
                  <w:noWrap w:val="0"/>
                  <w:vAlign w:val="center"/>
                </w:tcPr>
                <w:p w14:paraId="16881CB1">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虫白蜡</w:t>
                  </w:r>
                </w:p>
              </w:tc>
              <w:tc>
                <w:tcPr>
                  <w:tcW w:w="478" w:type="pct"/>
                  <w:shd w:val="clear" w:color="auto" w:fill="auto"/>
                  <w:noWrap w:val="0"/>
                  <w:vAlign w:val="center"/>
                </w:tcPr>
                <w:p w14:paraId="7C4E1E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7" w:type="dxa"/>
                  <w:shd w:val="clear" w:color="auto" w:fill="auto"/>
                  <w:noWrap w:val="0"/>
                  <w:vAlign w:val="center"/>
                </w:tcPr>
                <w:p w14:paraId="0354DE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2.5</w:t>
                  </w:r>
                </w:p>
              </w:tc>
              <w:tc>
                <w:tcPr>
                  <w:tcW w:w="414" w:type="pct"/>
                  <w:gridSpan w:val="2"/>
                  <w:noWrap w:val="0"/>
                  <w:vAlign w:val="center"/>
                </w:tcPr>
                <w:p w14:paraId="0223DF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84" w:type="pct"/>
                  <w:noWrap w:val="0"/>
                  <w:vAlign w:val="center"/>
                </w:tcPr>
                <w:p w14:paraId="3F834C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45" w:type="pct"/>
                  <w:noWrap w:val="0"/>
                  <w:vAlign w:val="center"/>
                </w:tcPr>
                <w:p w14:paraId="79D6D1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919" w:type="dxa"/>
                  <w:noWrap w:val="0"/>
                  <w:vAlign w:val="center"/>
                </w:tcPr>
                <w:p w14:paraId="7F8ACF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7DC6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11" w:type="pct"/>
                  <w:gridSpan w:val="3"/>
                  <w:tcBorders>
                    <w:top w:val="single" w:color="auto" w:sz="4" w:space="0"/>
                    <w:bottom w:val="single" w:color="auto" w:sz="4" w:space="0"/>
                  </w:tcBorders>
                  <w:noWrap w:val="0"/>
                  <w:vAlign w:val="center"/>
                </w:tcPr>
                <w:p w14:paraId="53799F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合计</w:t>
                  </w:r>
                </w:p>
              </w:tc>
              <w:tc>
                <w:tcPr>
                  <w:tcW w:w="478" w:type="pct"/>
                  <w:noWrap w:val="0"/>
                  <w:vAlign w:val="center"/>
                </w:tcPr>
                <w:p w14:paraId="731806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7" w:type="dxa"/>
                  <w:noWrap w:val="0"/>
                  <w:vAlign w:val="center"/>
                </w:tcPr>
                <w:p w14:paraId="6DB149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3947.5</w:t>
                  </w:r>
                </w:p>
              </w:tc>
              <w:tc>
                <w:tcPr>
                  <w:tcW w:w="1298" w:type="pct"/>
                  <w:gridSpan w:val="3"/>
                  <w:noWrap w:val="0"/>
                  <w:vAlign w:val="center"/>
                </w:tcPr>
                <w:p w14:paraId="1C07B6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合计</w:t>
                  </w:r>
                </w:p>
              </w:tc>
              <w:tc>
                <w:tcPr>
                  <w:tcW w:w="445" w:type="pct"/>
                  <w:noWrap w:val="0"/>
                  <w:vAlign w:val="center"/>
                </w:tcPr>
                <w:p w14:paraId="4627A5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919" w:type="dxa"/>
                  <w:noWrap w:val="0"/>
                  <w:vAlign w:val="center"/>
                </w:tcPr>
                <w:p w14:paraId="14F9D7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3947.5</w:t>
                  </w:r>
                </w:p>
              </w:tc>
            </w:tr>
          </w:tbl>
          <w:p w14:paraId="745EE185">
            <w:pPr>
              <w:pStyle w:val="16"/>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default"/>
                <w:color w:val="000000" w:themeColor="text1"/>
                <w:sz w:val="24"/>
                <w:szCs w:val="24"/>
                <w14:textFill>
                  <w14:solidFill>
                    <w14:schemeClr w14:val="tx1"/>
                  </w14:solidFill>
                </w14:textFill>
              </w:rPr>
            </w:pPr>
          </w:p>
          <w:p w14:paraId="47B1327D">
            <w:pPr>
              <w:pStyle w:val="16"/>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5、藿香正气水</w:t>
            </w:r>
          </w:p>
          <w:p w14:paraId="225B28F9">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1</w:t>
            </w:r>
            <w:r>
              <w:rPr>
                <w:rFonts w:hint="eastAsia" w:cs="Times New Roman"/>
                <w:b w:val="0"/>
                <w:bCs w:val="0"/>
                <w:color w:val="000000" w:themeColor="text1"/>
                <w:sz w:val="24"/>
                <w:szCs w:val="24"/>
                <w:lang w:val="en-US" w:eastAsia="zh-CN"/>
                <w14:textFill>
                  <w14:solidFill>
                    <w14:schemeClr w14:val="tx1"/>
                  </w14:solidFill>
                </w14:textFill>
              </w:rPr>
              <w:t>7</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藿香正气水产品批次</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物料平衡表</w:t>
            </w:r>
            <w:r>
              <w:rPr>
                <w:rFonts w:hint="eastAsia" w:cs="Times New Roman"/>
                <w:b w:val="0"/>
                <w:bCs w:val="0"/>
                <w:color w:val="000000" w:themeColor="text1"/>
                <w:sz w:val="24"/>
                <w:szCs w:val="24"/>
                <w:lang w:val="en-US" w:eastAsia="zh-CN"/>
                <w14:textFill>
                  <w14:solidFill>
                    <w14:schemeClr w14:val="tx1"/>
                  </w14:solidFill>
                </w14:textFill>
              </w:rPr>
              <w:t>（90.2万支）</w:t>
            </w:r>
          </w:p>
          <w:tbl>
            <w:tblPr>
              <w:tblStyle w:val="26"/>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664"/>
              <w:gridCol w:w="1199"/>
              <w:gridCol w:w="735"/>
              <w:gridCol w:w="1070"/>
              <w:gridCol w:w="656"/>
              <w:gridCol w:w="1274"/>
              <w:gridCol w:w="705"/>
              <w:gridCol w:w="1035"/>
            </w:tblGrid>
            <w:tr w14:paraId="1A7A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vMerge w:val="restart"/>
                  <w:noWrap w:val="0"/>
                  <w:vAlign w:val="center"/>
                </w:tcPr>
                <w:p w14:paraId="0EEB03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序号</w:t>
                  </w:r>
                </w:p>
              </w:tc>
              <w:tc>
                <w:tcPr>
                  <w:tcW w:w="2326" w:type="pct"/>
                  <w:gridSpan w:val="4"/>
                  <w:noWrap w:val="0"/>
                  <w:vAlign w:val="center"/>
                </w:tcPr>
                <w:p w14:paraId="3D312B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投入</w:t>
                  </w:r>
                </w:p>
              </w:tc>
              <w:tc>
                <w:tcPr>
                  <w:tcW w:w="2327" w:type="pct"/>
                  <w:gridSpan w:val="4"/>
                  <w:noWrap w:val="0"/>
                  <w:vAlign w:val="center"/>
                </w:tcPr>
                <w:p w14:paraId="2A6BFC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产出</w:t>
                  </w:r>
                </w:p>
              </w:tc>
            </w:tr>
            <w:tr w14:paraId="0D88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vMerge w:val="continue"/>
                  <w:tcBorders>
                    <w:bottom w:val="single" w:color="auto" w:sz="4" w:space="0"/>
                  </w:tcBorders>
                  <w:noWrap w:val="0"/>
                  <w:vAlign w:val="center"/>
                </w:tcPr>
                <w:p w14:paraId="066CCD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1181" w:type="pct"/>
                  <w:gridSpan w:val="2"/>
                  <w:noWrap w:val="0"/>
                  <w:vAlign w:val="center"/>
                </w:tcPr>
                <w:p w14:paraId="6C84D1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66" w:type="pct"/>
                  <w:noWrap w:val="0"/>
                  <w:vAlign w:val="center"/>
                </w:tcPr>
                <w:p w14:paraId="63E6C9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678" w:type="pct"/>
                  <w:noWrap w:val="0"/>
                  <w:vAlign w:val="center"/>
                </w:tcPr>
                <w:p w14:paraId="14C172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c>
                <w:tcPr>
                  <w:tcW w:w="1224" w:type="pct"/>
                  <w:gridSpan w:val="2"/>
                  <w:shd w:val="clear" w:color="auto" w:fill="auto"/>
                  <w:noWrap w:val="0"/>
                  <w:vAlign w:val="center"/>
                </w:tcPr>
                <w:p w14:paraId="002005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47" w:type="pct"/>
                  <w:shd w:val="clear" w:color="auto" w:fill="auto"/>
                  <w:noWrap w:val="0"/>
                  <w:vAlign w:val="center"/>
                </w:tcPr>
                <w:p w14:paraId="40625A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656" w:type="pct"/>
                  <w:shd w:val="clear" w:color="auto" w:fill="auto"/>
                  <w:noWrap w:val="0"/>
                  <w:vAlign w:val="center"/>
                </w:tcPr>
                <w:p w14:paraId="62450C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r>
            <w:tr w14:paraId="5670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288FE1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421" w:type="pct"/>
                  <w:vMerge w:val="restart"/>
                  <w:noWrap w:val="0"/>
                  <w:vAlign w:val="center"/>
                </w:tcPr>
                <w:p w14:paraId="46BB26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原料</w:t>
                  </w:r>
                </w:p>
              </w:tc>
              <w:tc>
                <w:tcPr>
                  <w:tcW w:w="760" w:type="pct"/>
                  <w:shd w:val="clear" w:color="auto" w:fill="auto"/>
                  <w:noWrap w:val="0"/>
                  <w:vAlign w:val="center"/>
                </w:tcPr>
                <w:p w14:paraId="4A12BD7C">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苍术</w:t>
                  </w:r>
                </w:p>
              </w:tc>
              <w:tc>
                <w:tcPr>
                  <w:tcW w:w="466" w:type="pct"/>
                  <w:shd w:val="clear" w:color="auto" w:fill="auto"/>
                  <w:noWrap w:val="0"/>
                  <w:vAlign w:val="center"/>
                </w:tcPr>
                <w:p w14:paraId="34B8C2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3FE000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741.1</w:t>
                  </w:r>
                </w:p>
              </w:tc>
              <w:tc>
                <w:tcPr>
                  <w:tcW w:w="416" w:type="pct"/>
                  <w:noWrap w:val="0"/>
                  <w:vAlign w:val="center"/>
                </w:tcPr>
                <w:p w14:paraId="7425D2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产品</w:t>
                  </w:r>
                </w:p>
              </w:tc>
              <w:tc>
                <w:tcPr>
                  <w:tcW w:w="808" w:type="pct"/>
                  <w:noWrap w:val="0"/>
                  <w:vAlign w:val="center"/>
                </w:tcPr>
                <w:p w14:paraId="6D5346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藿香正气水</w:t>
                  </w:r>
                </w:p>
              </w:tc>
              <w:tc>
                <w:tcPr>
                  <w:tcW w:w="447" w:type="pct"/>
                  <w:noWrap w:val="0"/>
                  <w:vAlign w:val="center"/>
                </w:tcPr>
                <w:p w14:paraId="4C1DB4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noWrap w:val="0"/>
                  <w:vAlign w:val="center"/>
                </w:tcPr>
                <w:p w14:paraId="32BC39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9020</w:t>
                  </w:r>
                </w:p>
              </w:tc>
            </w:tr>
            <w:tr w14:paraId="0C29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0CE331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421" w:type="pct"/>
                  <w:vMerge w:val="continue"/>
                  <w:noWrap w:val="0"/>
                  <w:vAlign w:val="center"/>
                </w:tcPr>
                <w:p w14:paraId="05D2DD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60" w:type="pct"/>
                  <w:shd w:val="clear" w:color="auto" w:fill="auto"/>
                  <w:noWrap w:val="0"/>
                  <w:vAlign w:val="center"/>
                </w:tcPr>
                <w:p w14:paraId="0015609B">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陈皮</w:t>
                  </w:r>
                </w:p>
              </w:tc>
              <w:tc>
                <w:tcPr>
                  <w:tcW w:w="466" w:type="pct"/>
                  <w:shd w:val="clear" w:color="auto" w:fill="auto"/>
                  <w:noWrap w:val="0"/>
                  <w:vAlign w:val="center"/>
                </w:tcPr>
                <w:p w14:paraId="570177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7C7616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741.1</w:t>
                  </w:r>
                </w:p>
              </w:tc>
              <w:tc>
                <w:tcPr>
                  <w:tcW w:w="416" w:type="pct"/>
                  <w:vMerge w:val="restart"/>
                  <w:noWrap w:val="0"/>
                  <w:vAlign w:val="center"/>
                </w:tcPr>
                <w:p w14:paraId="7655A8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废气</w:t>
                  </w:r>
                </w:p>
              </w:tc>
              <w:tc>
                <w:tcPr>
                  <w:tcW w:w="808" w:type="pct"/>
                  <w:noWrap w:val="0"/>
                  <w:vAlign w:val="center"/>
                </w:tcPr>
                <w:p w14:paraId="094013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粉尘</w:t>
                  </w:r>
                </w:p>
              </w:tc>
              <w:tc>
                <w:tcPr>
                  <w:tcW w:w="447" w:type="pct"/>
                  <w:noWrap w:val="0"/>
                  <w:vAlign w:val="center"/>
                </w:tcPr>
                <w:p w14:paraId="765C77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noWrap w:val="0"/>
                  <w:vAlign w:val="center"/>
                </w:tcPr>
                <w:p w14:paraId="29D720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32.2</w:t>
                  </w:r>
                </w:p>
              </w:tc>
            </w:tr>
            <w:tr w14:paraId="4917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3FFE47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421" w:type="pct"/>
                  <w:vMerge w:val="continue"/>
                  <w:noWrap w:val="0"/>
                  <w:vAlign w:val="center"/>
                </w:tcPr>
                <w:p w14:paraId="69562E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60" w:type="pct"/>
                  <w:shd w:val="clear" w:color="auto" w:fill="auto"/>
                  <w:noWrap w:val="0"/>
                  <w:vAlign w:val="center"/>
                </w:tcPr>
                <w:p w14:paraId="60B74EDE">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白芷</w:t>
                  </w:r>
                </w:p>
              </w:tc>
              <w:tc>
                <w:tcPr>
                  <w:tcW w:w="466" w:type="pct"/>
                  <w:shd w:val="clear" w:color="auto" w:fill="auto"/>
                  <w:noWrap w:val="0"/>
                  <w:vAlign w:val="center"/>
                </w:tcPr>
                <w:p w14:paraId="740145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07D300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1111.6</w:t>
                  </w:r>
                </w:p>
              </w:tc>
              <w:tc>
                <w:tcPr>
                  <w:tcW w:w="416" w:type="pct"/>
                  <w:vMerge w:val="continue"/>
                  <w:noWrap w:val="0"/>
                  <w:vAlign w:val="center"/>
                </w:tcPr>
                <w:p w14:paraId="32F12E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08" w:type="pct"/>
                  <w:noWrap w:val="0"/>
                  <w:vAlign w:val="center"/>
                </w:tcPr>
                <w:p w14:paraId="2665F3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乙醇废气</w:t>
                  </w:r>
                </w:p>
              </w:tc>
              <w:tc>
                <w:tcPr>
                  <w:tcW w:w="447" w:type="pct"/>
                  <w:noWrap w:val="0"/>
                  <w:vAlign w:val="center"/>
                </w:tcPr>
                <w:p w14:paraId="21742F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noWrap w:val="0"/>
                  <w:vAlign w:val="center"/>
                </w:tcPr>
                <w:p w14:paraId="12EB9C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193.06</w:t>
                  </w:r>
                </w:p>
              </w:tc>
            </w:tr>
            <w:tr w14:paraId="7D31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5B2043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421" w:type="pct"/>
                  <w:vMerge w:val="continue"/>
                  <w:noWrap w:val="0"/>
                  <w:vAlign w:val="center"/>
                </w:tcPr>
                <w:p w14:paraId="187F3C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60" w:type="pct"/>
                  <w:shd w:val="clear" w:color="auto" w:fill="auto"/>
                  <w:noWrap w:val="0"/>
                  <w:vAlign w:val="center"/>
                </w:tcPr>
                <w:p w14:paraId="5ECEA9CB">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厚朴</w:t>
                  </w:r>
                  <w:r>
                    <w:rPr>
                      <w:rFonts w:hint="eastAsia" w:cs="Times New Roman"/>
                      <w:color w:val="000000" w:themeColor="text1"/>
                      <w:kern w:val="2"/>
                      <w:sz w:val="21"/>
                      <w:szCs w:val="21"/>
                      <w:u w:val="none"/>
                      <w:lang w:val="en-US" w:eastAsia="zh-CN" w:bidi="ar-SA"/>
                      <w14:textFill>
                        <w14:solidFill>
                          <w14:schemeClr w14:val="tx1"/>
                        </w14:solidFill>
                      </w14:textFill>
                    </w:rPr>
                    <w:t>(姜)</w:t>
                  </w:r>
                </w:p>
              </w:tc>
              <w:tc>
                <w:tcPr>
                  <w:tcW w:w="466" w:type="pct"/>
                  <w:shd w:val="clear" w:color="auto" w:fill="auto"/>
                  <w:noWrap w:val="0"/>
                  <w:vAlign w:val="center"/>
                </w:tcPr>
                <w:p w14:paraId="112085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20B2A9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741.1</w:t>
                  </w:r>
                </w:p>
              </w:tc>
              <w:tc>
                <w:tcPr>
                  <w:tcW w:w="416" w:type="pct"/>
                  <w:vMerge w:val="continue"/>
                  <w:noWrap w:val="0"/>
                  <w:vAlign w:val="center"/>
                </w:tcPr>
                <w:p w14:paraId="7A2D87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08" w:type="pct"/>
                  <w:noWrap w:val="0"/>
                  <w:vAlign w:val="center"/>
                </w:tcPr>
                <w:p w14:paraId="1737ED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水蒸气</w:t>
                  </w:r>
                  <w:r>
                    <w:rPr>
                      <w:rFonts w:hint="eastAsia" w:cs="Times New Roman"/>
                      <w:color w:val="000000" w:themeColor="text1"/>
                      <w:szCs w:val="21"/>
                      <w:lang w:val="en-US" w:eastAsia="zh-CN"/>
                      <w14:textFill>
                        <w14:solidFill>
                          <w14:schemeClr w14:val="tx1"/>
                        </w14:solidFill>
                      </w14:textFill>
                    </w:rPr>
                    <w:t>（炒）</w:t>
                  </w:r>
                </w:p>
              </w:tc>
              <w:tc>
                <w:tcPr>
                  <w:tcW w:w="447" w:type="pct"/>
                  <w:noWrap w:val="0"/>
                  <w:vAlign w:val="center"/>
                </w:tcPr>
                <w:p w14:paraId="4F626F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noWrap w:val="0"/>
                  <w:vAlign w:val="center"/>
                </w:tcPr>
                <w:p w14:paraId="13D890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53.5</w:t>
                  </w:r>
                </w:p>
              </w:tc>
            </w:tr>
            <w:tr w14:paraId="53E8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12C514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421" w:type="pct"/>
                  <w:vMerge w:val="continue"/>
                  <w:noWrap w:val="0"/>
                  <w:vAlign w:val="center"/>
                </w:tcPr>
                <w:p w14:paraId="429AD7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60" w:type="pct"/>
                  <w:shd w:val="clear" w:color="auto" w:fill="auto"/>
                  <w:noWrap w:val="0"/>
                  <w:vAlign w:val="center"/>
                </w:tcPr>
                <w:p w14:paraId="1D4143B4">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生姜</w:t>
                  </w:r>
                </w:p>
              </w:tc>
              <w:tc>
                <w:tcPr>
                  <w:tcW w:w="466" w:type="pct"/>
                  <w:shd w:val="clear" w:color="auto" w:fill="auto"/>
                  <w:noWrap w:val="0"/>
                  <w:vAlign w:val="center"/>
                </w:tcPr>
                <w:p w14:paraId="31643F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3BDC37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74.1</w:t>
                  </w:r>
                </w:p>
              </w:tc>
              <w:tc>
                <w:tcPr>
                  <w:tcW w:w="416" w:type="pct"/>
                  <w:vMerge w:val="restart"/>
                  <w:noWrap w:val="0"/>
                  <w:vAlign w:val="center"/>
                </w:tcPr>
                <w:p w14:paraId="78E388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固废</w:t>
                  </w:r>
                </w:p>
              </w:tc>
              <w:tc>
                <w:tcPr>
                  <w:tcW w:w="808" w:type="pct"/>
                  <w:shd w:val="clear" w:color="auto" w:fill="auto"/>
                  <w:noWrap w:val="0"/>
                  <w:vAlign w:val="center"/>
                </w:tcPr>
                <w:p w14:paraId="274C1B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拣选废弃物</w:t>
                  </w:r>
                </w:p>
              </w:tc>
              <w:tc>
                <w:tcPr>
                  <w:tcW w:w="447" w:type="pct"/>
                  <w:shd w:val="clear" w:color="auto" w:fill="auto"/>
                  <w:noWrap w:val="0"/>
                  <w:vAlign w:val="center"/>
                </w:tcPr>
                <w:p w14:paraId="75362E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noWrap w:val="0"/>
                  <w:vAlign w:val="center"/>
                </w:tcPr>
                <w:p w14:paraId="357FBB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321.8</w:t>
                  </w:r>
                </w:p>
              </w:tc>
            </w:tr>
            <w:tr w14:paraId="7673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45DB58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w:t>
                  </w:r>
                </w:p>
              </w:tc>
              <w:tc>
                <w:tcPr>
                  <w:tcW w:w="421" w:type="pct"/>
                  <w:vMerge w:val="continue"/>
                  <w:noWrap w:val="0"/>
                  <w:vAlign w:val="center"/>
                </w:tcPr>
                <w:p w14:paraId="002946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60" w:type="pct"/>
                  <w:shd w:val="clear" w:color="auto" w:fill="auto"/>
                  <w:noWrap w:val="0"/>
                  <w:vAlign w:val="center"/>
                </w:tcPr>
                <w:p w14:paraId="3484C441">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大腹皮</w:t>
                  </w:r>
                </w:p>
              </w:tc>
              <w:tc>
                <w:tcPr>
                  <w:tcW w:w="466" w:type="pct"/>
                  <w:shd w:val="clear" w:color="auto" w:fill="auto"/>
                  <w:noWrap w:val="0"/>
                  <w:vAlign w:val="center"/>
                </w:tcPr>
                <w:p w14:paraId="03F11B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4DF742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1111.6</w:t>
                  </w:r>
                </w:p>
              </w:tc>
              <w:tc>
                <w:tcPr>
                  <w:tcW w:w="416" w:type="pct"/>
                  <w:vMerge w:val="continue"/>
                  <w:noWrap w:val="0"/>
                  <w:vAlign w:val="center"/>
                </w:tcPr>
                <w:p w14:paraId="4C38B7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08" w:type="pct"/>
                  <w:shd w:val="clear" w:color="auto" w:fill="auto"/>
                  <w:noWrap w:val="0"/>
                  <w:vAlign w:val="center"/>
                </w:tcPr>
                <w:p w14:paraId="7ED0BA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废姜渣</w:t>
                  </w:r>
                </w:p>
              </w:tc>
              <w:tc>
                <w:tcPr>
                  <w:tcW w:w="447" w:type="pct"/>
                  <w:shd w:val="clear" w:color="auto" w:fill="auto"/>
                  <w:noWrap w:val="0"/>
                  <w:vAlign w:val="center"/>
                </w:tcPr>
                <w:p w14:paraId="6DD072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shd w:val="clear" w:color="auto" w:fill="auto"/>
                  <w:noWrap w:val="0"/>
                  <w:vAlign w:val="center"/>
                </w:tcPr>
                <w:p w14:paraId="0C29CB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14.08</w:t>
                  </w:r>
                </w:p>
              </w:tc>
            </w:tr>
            <w:tr w14:paraId="24F4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26EEF5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w:t>
                  </w:r>
                </w:p>
              </w:tc>
              <w:tc>
                <w:tcPr>
                  <w:tcW w:w="421" w:type="pct"/>
                  <w:vMerge w:val="continue"/>
                  <w:noWrap w:val="0"/>
                  <w:vAlign w:val="center"/>
                </w:tcPr>
                <w:p w14:paraId="7282EC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60" w:type="pct"/>
                  <w:shd w:val="clear" w:color="auto" w:fill="auto"/>
                  <w:noWrap w:val="0"/>
                  <w:vAlign w:val="center"/>
                </w:tcPr>
                <w:p w14:paraId="76B45171">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生半夏</w:t>
                  </w:r>
                </w:p>
              </w:tc>
              <w:tc>
                <w:tcPr>
                  <w:tcW w:w="466" w:type="pct"/>
                  <w:shd w:val="clear" w:color="auto" w:fill="auto"/>
                  <w:noWrap w:val="0"/>
                  <w:vAlign w:val="center"/>
                </w:tcPr>
                <w:p w14:paraId="50AFC1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1B9CDB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741.1</w:t>
                  </w:r>
                </w:p>
              </w:tc>
              <w:tc>
                <w:tcPr>
                  <w:tcW w:w="416" w:type="pct"/>
                  <w:vMerge w:val="continue"/>
                  <w:noWrap w:val="0"/>
                  <w:vAlign w:val="center"/>
                </w:tcPr>
                <w:p w14:paraId="5D1A51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08" w:type="pct"/>
                  <w:shd w:val="clear" w:color="auto" w:fill="auto"/>
                  <w:noWrap w:val="0"/>
                  <w:vAlign w:val="center"/>
                </w:tcPr>
                <w:p w14:paraId="7B8934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水提</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废药渣</w:t>
                  </w:r>
                </w:p>
                <w:p w14:paraId="626288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(干重)</w:t>
                  </w:r>
                </w:p>
              </w:tc>
              <w:tc>
                <w:tcPr>
                  <w:tcW w:w="447" w:type="pct"/>
                  <w:shd w:val="clear" w:color="auto" w:fill="auto"/>
                  <w:noWrap w:val="0"/>
                  <w:vAlign w:val="center"/>
                </w:tcPr>
                <w:p w14:paraId="1E0A0D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shd w:val="clear" w:color="auto" w:fill="auto"/>
                  <w:noWrap w:val="0"/>
                  <w:vAlign w:val="center"/>
                </w:tcPr>
                <w:p w14:paraId="6F5094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2156.16</w:t>
                  </w:r>
                </w:p>
              </w:tc>
            </w:tr>
            <w:tr w14:paraId="2A1F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5652E4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w:t>
                  </w:r>
                </w:p>
              </w:tc>
              <w:tc>
                <w:tcPr>
                  <w:tcW w:w="421" w:type="pct"/>
                  <w:vMerge w:val="continue"/>
                  <w:noWrap w:val="0"/>
                  <w:vAlign w:val="center"/>
                </w:tcPr>
                <w:p w14:paraId="210F04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60" w:type="pct"/>
                  <w:shd w:val="clear" w:color="auto" w:fill="auto"/>
                  <w:noWrap w:val="0"/>
                  <w:vAlign w:val="center"/>
                </w:tcPr>
                <w:p w14:paraId="5FAA5644">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干姜</w:t>
                  </w:r>
                </w:p>
              </w:tc>
              <w:tc>
                <w:tcPr>
                  <w:tcW w:w="466" w:type="pct"/>
                  <w:shd w:val="clear" w:color="auto" w:fill="auto"/>
                  <w:noWrap w:val="0"/>
                  <w:vAlign w:val="center"/>
                </w:tcPr>
                <w:p w14:paraId="7DB621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73F15F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62.5</w:t>
                  </w:r>
                </w:p>
              </w:tc>
              <w:tc>
                <w:tcPr>
                  <w:tcW w:w="416" w:type="pct"/>
                  <w:vMerge w:val="continue"/>
                  <w:noWrap w:val="0"/>
                  <w:vAlign w:val="center"/>
                </w:tcPr>
                <w:p w14:paraId="13F28E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08" w:type="pct"/>
                  <w:shd w:val="clear" w:color="auto" w:fill="auto"/>
                  <w:noWrap w:val="0"/>
                  <w:vAlign w:val="center"/>
                </w:tcPr>
                <w:p w14:paraId="461827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渗漉废药渣(干重)</w:t>
                  </w:r>
                </w:p>
              </w:tc>
              <w:tc>
                <w:tcPr>
                  <w:tcW w:w="447" w:type="pct"/>
                  <w:shd w:val="clear" w:color="auto" w:fill="auto"/>
                  <w:noWrap w:val="0"/>
                  <w:vAlign w:val="center"/>
                </w:tcPr>
                <w:p w14:paraId="7B4D77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shd w:val="clear" w:color="auto" w:fill="auto"/>
                  <w:noWrap w:val="0"/>
                  <w:vAlign w:val="center"/>
                </w:tcPr>
                <w:p w14:paraId="2C58E4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2217.6</w:t>
                  </w:r>
                </w:p>
              </w:tc>
            </w:tr>
            <w:tr w14:paraId="4F25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6AC83D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w:t>
                  </w:r>
                </w:p>
              </w:tc>
              <w:tc>
                <w:tcPr>
                  <w:tcW w:w="421" w:type="pct"/>
                  <w:vMerge w:val="continue"/>
                  <w:noWrap w:val="0"/>
                  <w:vAlign w:val="center"/>
                </w:tcPr>
                <w:p w14:paraId="6F9FD1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60" w:type="pct"/>
                  <w:shd w:val="clear" w:color="auto" w:fill="auto"/>
                  <w:noWrap w:val="0"/>
                  <w:vAlign w:val="center"/>
                </w:tcPr>
                <w:p w14:paraId="227FF663">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茯苓</w:t>
                  </w:r>
                </w:p>
              </w:tc>
              <w:tc>
                <w:tcPr>
                  <w:tcW w:w="466" w:type="pct"/>
                  <w:shd w:val="clear" w:color="auto" w:fill="auto"/>
                  <w:noWrap w:val="0"/>
                  <w:vAlign w:val="center"/>
                </w:tcPr>
                <w:p w14:paraId="7BF7E6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31CB02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1111.6</w:t>
                  </w:r>
                </w:p>
              </w:tc>
              <w:tc>
                <w:tcPr>
                  <w:tcW w:w="416" w:type="pct"/>
                  <w:vMerge w:val="continue"/>
                  <w:noWrap w:val="0"/>
                  <w:vAlign w:val="center"/>
                </w:tcPr>
                <w:p w14:paraId="20CF42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08" w:type="pct"/>
                  <w:shd w:val="clear" w:color="auto" w:fill="auto"/>
                  <w:noWrap w:val="0"/>
                  <w:vAlign w:val="center"/>
                </w:tcPr>
                <w:p w14:paraId="5EF9A5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废滤渣</w:t>
                  </w:r>
                </w:p>
                <w:p w14:paraId="53B52F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（配液）</w:t>
                  </w:r>
                </w:p>
              </w:tc>
              <w:tc>
                <w:tcPr>
                  <w:tcW w:w="447" w:type="pct"/>
                  <w:shd w:val="clear" w:color="auto" w:fill="auto"/>
                  <w:noWrap w:val="0"/>
                  <w:vAlign w:val="center"/>
                </w:tcPr>
                <w:p w14:paraId="08BD07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shd w:val="clear" w:color="auto" w:fill="auto"/>
                  <w:noWrap w:val="0"/>
                  <w:vAlign w:val="center"/>
                </w:tcPr>
                <w:p w14:paraId="1B10CB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9.02</w:t>
                  </w:r>
                </w:p>
              </w:tc>
            </w:tr>
            <w:tr w14:paraId="7E6B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1B8F4F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w:t>
                  </w:r>
                </w:p>
              </w:tc>
              <w:tc>
                <w:tcPr>
                  <w:tcW w:w="421" w:type="pct"/>
                  <w:vMerge w:val="continue"/>
                  <w:noWrap w:val="0"/>
                  <w:vAlign w:val="center"/>
                </w:tcPr>
                <w:p w14:paraId="1DC69C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60" w:type="pct"/>
                  <w:shd w:val="clear" w:color="auto" w:fill="auto"/>
                  <w:noWrap w:val="0"/>
                  <w:vAlign w:val="center"/>
                </w:tcPr>
                <w:p w14:paraId="331B8FEB">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甘草浸膏</w:t>
                  </w:r>
                </w:p>
              </w:tc>
              <w:tc>
                <w:tcPr>
                  <w:tcW w:w="466" w:type="pct"/>
                  <w:shd w:val="clear" w:color="auto" w:fill="auto"/>
                  <w:noWrap w:val="0"/>
                  <w:vAlign w:val="center"/>
                </w:tcPr>
                <w:p w14:paraId="67DBE8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3FE5E4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88</w:t>
                  </w:r>
                </w:p>
              </w:tc>
              <w:tc>
                <w:tcPr>
                  <w:tcW w:w="416" w:type="pct"/>
                  <w:noWrap w:val="0"/>
                  <w:vAlign w:val="center"/>
                </w:tcPr>
                <w:p w14:paraId="4955E1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c>
                <w:tcPr>
                  <w:tcW w:w="808" w:type="pct"/>
                  <w:shd w:val="clear" w:color="auto" w:fill="auto"/>
                  <w:noWrap w:val="0"/>
                  <w:vAlign w:val="center"/>
                </w:tcPr>
                <w:p w14:paraId="63F4F3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乙醇回收</w:t>
                  </w:r>
                </w:p>
              </w:tc>
              <w:tc>
                <w:tcPr>
                  <w:tcW w:w="447" w:type="pct"/>
                  <w:shd w:val="clear" w:color="auto" w:fill="auto"/>
                  <w:noWrap w:val="0"/>
                  <w:vAlign w:val="center"/>
                </w:tcPr>
                <w:p w14:paraId="2F8269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noWrap w:val="0"/>
                  <w:vAlign w:val="center"/>
                </w:tcPr>
                <w:p w14:paraId="4E94AE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7451.14</w:t>
                  </w:r>
                </w:p>
              </w:tc>
            </w:tr>
            <w:tr w14:paraId="5024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3BD3F9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w:t>
                  </w:r>
                </w:p>
              </w:tc>
              <w:tc>
                <w:tcPr>
                  <w:tcW w:w="421" w:type="pct"/>
                  <w:vMerge w:val="restart"/>
                  <w:noWrap w:val="0"/>
                  <w:vAlign w:val="center"/>
                </w:tcPr>
                <w:p w14:paraId="2592DD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辅料</w:t>
                  </w:r>
                </w:p>
              </w:tc>
              <w:tc>
                <w:tcPr>
                  <w:tcW w:w="760" w:type="pct"/>
                  <w:shd w:val="clear" w:color="auto" w:fill="auto"/>
                  <w:noWrap w:val="0"/>
                  <w:vAlign w:val="center"/>
                </w:tcPr>
                <w:p w14:paraId="5F2184BB">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紫苏叶油</w:t>
                  </w:r>
                </w:p>
              </w:tc>
              <w:tc>
                <w:tcPr>
                  <w:tcW w:w="466" w:type="pct"/>
                  <w:shd w:val="clear" w:color="auto" w:fill="auto"/>
                  <w:noWrap w:val="0"/>
                  <w:vAlign w:val="center"/>
                </w:tcPr>
                <w:p w14:paraId="107D0B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5472EE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3.52</w:t>
                  </w:r>
                </w:p>
              </w:tc>
              <w:tc>
                <w:tcPr>
                  <w:tcW w:w="416" w:type="pct"/>
                  <w:noWrap w:val="0"/>
                  <w:vAlign w:val="center"/>
                </w:tcPr>
                <w:p w14:paraId="2D212D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08" w:type="pct"/>
                  <w:noWrap w:val="0"/>
                  <w:vAlign w:val="center"/>
                </w:tcPr>
                <w:p w14:paraId="53E9F6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47" w:type="pct"/>
                  <w:noWrap w:val="0"/>
                  <w:vAlign w:val="center"/>
                </w:tcPr>
                <w:p w14:paraId="357520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6" w:type="pct"/>
                  <w:noWrap w:val="0"/>
                  <w:vAlign w:val="center"/>
                </w:tcPr>
                <w:p w14:paraId="312C70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6858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46593E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w:t>
                  </w:r>
                </w:p>
              </w:tc>
              <w:tc>
                <w:tcPr>
                  <w:tcW w:w="421" w:type="pct"/>
                  <w:vMerge w:val="continue"/>
                  <w:noWrap w:val="0"/>
                  <w:vAlign w:val="center"/>
                </w:tcPr>
                <w:p w14:paraId="21CBB9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60" w:type="pct"/>
                  <w:shd w:val="clear" w:color="auto" w:fill="auto"/>
                  <w:noWrap w:val="0"/>
                  <w:vAlign w:val="center"/>
                </w:tcPr>
                <w:p w14:paraId="69C091D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广藿香油</w:t>
                  </w:r>
                </w:p>
              </w:tc>
              <w:tc>
                <w:tcPr>
                  <w:tcW w:w="466" w:type="pct"/>
                  <w:shd w:val="clear" w:color="auto" w:fill="auto"/>
                  <w:noWrap w:val="0"/>
                  <w:vAlign w:val="center"/>
                </w:tcPr>
                <w:p w14:paraId="43971D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018B5E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7.04</w:t>
                  </w:r>
                </w:p>
              </w:tc>
              <w:tc>
                <w:tcPr>
                  <w:tcW w:w="416" w:type="pct"/>
                  <w:noWrap w:val="0"/>
                  <w:vAlign w:val="center"/>
                </w:tcPr>
                <w:p w14:paraId="3AC82F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08" w:type="pct"/>
                  <w:noWrap w:val="0"/>
                  <w:vAlign w:val="center"/>
                </w:tcPr>
                <w:p w14:paraId="33CC17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47" w:type="pct"/>
                  <w:noWrap w:val="0"/>
                  <w:vAlign w:val="center"/>
                </w:tcPr>
                <w:p w14:paraId="1E3674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6" w:type="pct"/>
                  <w:noWrap w:val="0"/>
                  <w:vAlign w:val="center"/>
                </w:tcPr>
                <w:p w14:paraId="0EB7CB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0CF1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2CB523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13</w:t>
                  </w:r>
                </w:p>
              </w:tc>
              <w:tc>
                <w:tcPr>
                  <w:tcW w:w="421" w:type="pct"/>
                  <w:noWrap w:val="0"/>
                  <w:vAlign w:val="center"/>
                </w:tcPr>
                <w:p w14:paraId="773CDD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溶剂</w:t>
                  </w:r>
                </w:p>
              </w:tc>
              <w:tc>
                <w:tcPr>
                  <w:tcW w:w="760" w:type="pct"/>
                  <w:shd w:val="clear" w:color="auto" w:fill="auto"/>
                  <w:noWrap w:val="0"/>
                  <w:vAlign w:val="center"/>
                </w:tcPr>
                <w:p w14:paraId="5D0F94F3">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乙醇</w:t>
                  </w:r>
                </w:p>
              </w:tc>
              <w:tc>
                <w:tcPr>
                  <w:tcW w:w="466" w:type="pct"/>
                  <w:shd w:val="clear" w:color="auto" w:fill="auto"/>
                  <w:noWrap w:val="0"/>
                  <w:vAlign w:val="center"/>
                </w:tcPr>
                <w:p w14:paraId="1290D7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5069AD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11703.2</w:t>
                  </w:r>
                </w:p>
              </w:tc>
              <w:tc>
                <w:tcPr>
                  <w:tcW w:w="416" w:type="pct"/>
                  <w:noWrap w:val="0"/>
                  <w:vAlign w:val="center"/>
                </w:tcPr>
                <w:p w14:paraId="66CC84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08" w:type="pct"/>
                  <w:noWrap w:val="0"/>
                  <w:vAlign w:val="center"/>
                </w:tcPr>
                <w:p w14:paraId="554759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47" w:type="pct"/>
                  <w:noWrap w:val="0"/>
                  <w:vAlign w:val="center"/>
                </w:tcPr>
                <w:p w14:paraId="1BF20C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6" w:type="pct"/>
                  <w:noWrap w:val="0"/>
                  <w:vAlign w:val="center"/>
                </w:tcPr>
                <w:p w14:paraId="313BDE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5108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10CE64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14</w:t>
                  </w:r>
                </w:p>
              </w:tc>
              <w:tc>
                <w:tcPr>
                  <w:tcW w:w="421" w:type="pct"/>
                  <w:noWrap w:val="0"/>
                  <w:vAlign w:val="center"/>
                </w:tcPr>
                <w:p w14:paraId="215B81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w:t>
                  </w:r>
                </w:p>
              </w:tc>
              <w:tc>
                <w:tcPr>
                  <w:tcW w:w="760" w:type="pct"/>
                  <w:shd w:val="clear" w:color="auto" w:fill="auto"/>
                  <w:noWrap w:val="0"/>
                  <w:vAlign w:val="center"/>
                </w:tcPr>
                <w:p w14:paraId="5CA3A325">
                  <w:pPr>
                    <w:keepNext w:val="0"/>
                    <w:keepLines w:val="0"/>
                    <w:pageBreakBefore w:val="0"/>
                    <w:kinsoku/>
                    <w:wordWrap/>
                    <w:overflowPunct/>
                    <w:topLinePunct w:val="0"/>
                    <w:bidi w:val="0"/>
                    <w:spacing w:line="240" w:lineRule="auto"/>
                    <w:jc w:val="cente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纯化水</w:t>
                  </w:r>
                </w:p>
                <w:p w14:paraId="022BF5B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w:t>
                  </w:r>
                  <w:r>
                    <w:rPr>
                      <w:rFonts w:hint="eastAsia" w:cs="Times New Roman"/>
                      <w:color w:val="000000" w:themeColor="text1"/>
                      <w:kern w:val="2"/>
                      <w:sz w:val="21"/>
                      <w:szCs w:val="21"/>
                      <w:u w:val="none"/>
                      <w:lang w:val="en-US" w:eastAsia="zh-CN" w:bidi="ar-SA"/>
                      <w14:textFill>
                        <w14:solidFill>
                          <w14:schemeClr w14:val="tx1"/>
                        </w14:solidFill>
                      </w14:textFill>
                    </w:rPr>
                    <w:t>配液</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w:t>
                  </w:r>
                </w:p>
              </w:tc>
              <w:tc>
                <w:tcPr>
                  <w:tcW w:w="466" w:type="pct"/>
                  <w:shd w:val="clear" w:color="auto" w:fill="auto"/>
                  <w:noWrap w:val="0"/>
                  <w:vAlign w:val="center"/>
                </w:tcPr>
                <w:p w14:paraId="71D403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shd w:val="clear" w:color="auto" w:fill="auto"/>
                  <w:noWrap w:val="0"/>
                  <w:vAlign w:val="center"/>
                </w:tcPr>
                <w:p w14:paraId="5C7311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3231</w:t>
                  </w:r>
                </w:p>
              </w:tc>
              <w:tc>
                <w:tcPr>
                  <w:tcW w:w="416" w:type="pct"/>
                  <w:noWrap w:val="0"/>
                  <w:vAlign w:val="center"/>
                </w:tcPr>
                <w:p w14:paraId="2779D9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08" w:type="pct"/>
                  <w:noWrap w:val="0"/>
                  <w:vAlign w:val="center"/>
                </w:tcPr>
                <w:p w14:paraId="0429E0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47" w:type="pct"/>
                  <w:noWrap w:val="0"/>
                  <w:vAlign w:val="center"/>
                </w:tcPr>
                <w:p w14:paraId="08379B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6" w:type="pct"/>
                  <w:noWrap w:val="0"/>
                  <w:vAlign w:val="center"/>
                </w:tcPr>
                <w:p w14:paraId="1E536C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2FA5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27" w:type="pct"/>
                  <w:gridSpan w:val="3"/>
                  <w:tcBorders>
                    <w:top w:val="single" w:color="auto" w:sz="4" w:space="0"/>
                    <w:bottom w:val="single" w:color="auto" w:sz="4" w:space="0"/>
                  </w:tcBorders>
                  <w:noWrap w:val="0"/>
                  <w:vAlign w:val="center"/>
                </w:tcPr>
                <w:p w14:paraId="445DF6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合计</w:t>
                  </w:r>
                </w:p>
              </w:tc>
              <w:tc>
                <w:tcPr>
                  <w:tcW w:w="466" w:type="pct"/>
                  <w:noWrap w:val="0"/>
                  <w:vAlign w:val="center"/>
                </w:tcPr>
                <w:p w14:paraId="19CD4E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78" w:type="pct"/>
                  <w:noWrap w:val="0"/>
                  <w:vAlign w:val="center"/>
                </w:tcPr>
                <w:p w14:paraId="76D325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fldChar w:fldCharType="begin"/>
                  </w:r>
                  <w:r>
                    <w:rPr>
                      <w:rFonts w:hint="eastAsia" w:cs="Times New Roman"/>
                      <w:color w:val="000000" w:themeColor="text1"/>
                      <w:szCs w:val="21"/>
                      <w:lang w:val="en-US" w:eastAsia="zh-CN"/>
                      <w14:textFill>
                        <w14:solidFill>
                          <w14:schemeClr w14:val="tx1"/>
                        </w14:solidFill>
                      </w14:textFill>
                    </w:rPr>
                    <w:instrText xml:space="preserve"> = sum(E3:E16) \* MERGEFORMAT </w:instrText>
                  </w:r>
                  <w:r>
                    <w:rPr>
                      <w:rFonts w:hint="eastAsia" w:cs="Times New Roman"/>
                      <w:color w:val="000000" w:themeColor="text1"/>
                      <w:szCs w:val="21"/>
                      <w:lang w:val="en-US" w:eastAsia="zh-CN"/>
                      <w14:textFill>
                        <w14:solidFill>
                          <w14:schemeClr w14:val="tx1"/>
                        </w14:solidFill>
                      </w14:textFill>
                    </w:rPr>
                    <w:fldChar w:fldCharType="separate"/>
                  </w:r>
                  <w:r>
                    <w:rPr>
                      <w:rFonts w:hint="eastAsia" w:cs="Times New Roman"/>
                      <w:color w:val="000000" w:themeColor="text1"/>
                      <w:szCs w:val="21"/>
                      <w:lang w:val="en-US" w:eastAsia="zh-CN"/>
                      <w14:textFill>
                        <w14:solidFill>
                          <w14:schemeClr w14:val="tx1"/>
                        </w14:solidFill>
                      </w14:textFill>
                    </w:rPr>
                    <w:t>21468.56</w:t>
                  </w:r>
                  <w:r>
                    <w:rPr>
                      <w:rFonts w:hint="eastAsia" w:cs="Times New Roman"/>
                      <w:color w:val="000000" w:themeColor="text1"/>
                      <w:szCs w:val="21"/>
                      <w:lang w:val="en-US" w:eastAsia="zh-CN"/>
                      <w14:textFill>
                        <w14:solidFill>
                          <w14:schemeClr w14:val="tx1"/>
                        </w14:solidFill>
                      </w14:textFill>
                    </w:rPr>
                    <w:fldChar w:fldCharType="end"/>
                  </w:r>
                </w:p>
              </w:tc>
              <w:tc>
                <w:tcPr>
                  <w:tcW w:w="1224" w:type="pct"/>
                  <w:gridSpan w:val="2"/>
                  <w:noWrap w:val="0"/>
                  <w:vAlign w:val="center"/>
                </w:tcPr>
                <w:p w14:paraId="3B514B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合计</w:t>
                  </w:r>
                </w:p>
              </w:tc>
              <w:tc>
                <w:tcPr>
                  <w:tcW w:w="447" w:type="pct"/>
                  <w:noWrap w:val="0"/>
                  <w:vAlign w:val="center"/>
                </w:tcPr>
                <w:p w14:paraId="3C5CE7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6" w:type="pct"/>
                  <w:noWrap w:val="0"/>
                  <w:vAlign w:val="center"/>
                </w:tcPr>
                <w:p w14:paraId="346A60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fldChar w:fldCharType="begin"/>
                  </w:r>
                  <w:r>
                    <w:rPr>
                      <w:rFonts w:hint="eastAsia" w:cs="Times New Roman"/>
                      <w:color w:val="000000" w:themeColor="text1"/>
                      <w:szCs w:val="21"/>
                      <w:lang w:val="en-US" w:eastAsia="zh-CN"/>
                      <w14:textFill>
                        <w14:solidFill>
                          <w14:schemeClr w14:val="tx1"/>
                        </w14:solidFill>
                      </w14:textFill>
                    </w:rPr>
                    <w:instrText xml:space="preserve"> = sum(E3:E16) \* MERGEFORMAT </w:instrText>
                  </w:r>
                  <w:r>
                    <w:rPr>
                      <w:rFonts w:hint="eastAsia" w:cs="Times New Roman"/>
                      <w:color w:val="000000" w:themeColor="text1"/>
                      <w:szCs w:val="21"/>
                      <w:lang w:val="en-US" w:eastAsia="zh-CN"/>
                      <w14:textFill>
                        <w14:solidFill>
                          <w14:schemeClr w14:val="tx1"/>
                        </w14:solidFill>
                      </w14:textFill>
                    </w:rPr>
                    <w:fldChar w:fldCharType="separate"/>
                  </w:r>
                  <w:r>
                    <w:rPr>
                      <w:rFonts w:hint="eastAsia" w:cs="Times New Roman"/>
                      <w:color w:val="000000" w:themeColor="text1"/>
                      <w:szCs w:val="21"/>
                      <w:lang w:val="en-US" w:eastAsia="zh-CN"/>
                      <w14:textFill>
                        <w14:solidFill>
                          <w14:schemeClr w14:val="tx1"/>
                        </w14:solidFill>
                      </w14:textFill>
                    </w:rPr>
                    <w:t>21468.56</w:t>
                  </w:r>
                  <w:r>
                    <w:rPr>
                      <w:rFonts w:hint="eastAsia" w:cs="Times New Roman"/>
                      <w:color w:val="000000" w:themeColor="text1"/>
                      <w:szCs w:val="21"/>
                      <w:lang w:val="en-US" w:eastAsia="zh-CN"/>
                      <w14:textFill>
                        <w14:solidFill>
                          <w14:schemeClr w14:val="tx1"/>
                        </w14:solidFill>
                      </w14:textFill>
                    </w:rPr>
                    <w:fldChar w:fldCharType="end"/>
                  </w:r>
                </w:p>
              </w:tc>
            </w:tr>
          </w:tbl>
          <w:p w14:paraId="78DB7B8C">
            <w:pPr>
              <w:keepNext w:val="0"/>
              <w:keepLines w:val="0"/>
              <w:widowControl/>
              <w:suppressLineNumbers w:val="0"/>
              <w:jc w:val="left"/>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3867150" cy="2828925"/>
                  <wp:effectExtent l="0" t="0" r="0" b="8890"/>
                  <wp:docPr id="1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IMG_256"/>
                          <pic:cNvPicPr>
                            <a:picLocks noChangeAspect="1"/>
                          </pic:cNvPicPr>
                        </pic:nvPicPr>
                        <pic:blipFill>
                          <a:blip r:embed="rId8"/>
                          <a:stretch>
                            <a:fillRect/>
                          </a:stretch>
                        </pic:blipFill>
                        <pic:spPr>
                          <a:xfrm>
                            <a:off x="0" y="0"/>
                            <a:ext cx="3867150" cy="2828925"/>
                          </a:xfrm>
                          <a:prstGeom prst="rect">
                            <a:avLst/>
                          </a:prstGeom>
                          <a:noFill/>
                          <a:ln w="9525">
                            <a:noFill/>
                          </a:ln>
                        </pic:spPr>
                      </pic:pic>
                    </a:graphicData>
                  </a:graphic>
                </wp:inline>
              </w:drawing>
            </w:r>
          </w:p>
          <w:p w14:paraId="5958EE5E">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eastAsia="宋体"/>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图3 藿香正气水生产过程乙醇溶剂平衡图（kg/批）</w:t>
            </w:r>
          </w:p>
          <w:p w14:paraId="2A81C073">
            <w:pPr>
              <w:rPr>
                <w:rFonts w:hint="default"/>
                <w:color w:val="000000" w:themeColor="text1"/>
                <w:sz w:val="24"/>
                <w:szCs w:val="24"/>
                <w14:textFill>
                  <w14:solidFill>
                    <w14:schemeClr w14:val="tx1"/>
                  </w14:solidFill>
                </w14:textFill>
              </w:rPr>
            </w:pPr>
          </w:p>
          <w:p w14:paraId="3A893EE0">
            <w:pPr>
              <w:pStyle w:val="16"/>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6、川贝枇杷糖浆</w:t>
            </w:r>
          </w:p>
          <w:p w14:paraId="7326C67E">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1</w:t>
            </w:r>
            <w:r>
              <w:rPr>
                <w:rFonts w:hint="eastAsia" w:cs="Times New Roman"/>
                <w:b w:val="0"/>
                <w:bCs w:val="0"/>
                <w:color w:val="000000" w:themeColor="text1"/>
                <w:sz w:val="24"/>
                <w:szCs w:val="24"/>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川贝枇杷糖浆产品批次</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物料平衡表</w:t>
            </w:r>
            <w:r>
              <w:rPr>
                <w:rFonts w:hint="eastAsia" w:cs="Times New Roman"/>
                <w:b w:val="0"/>
                <w:bCs w:val="0"/>
                <w:color w:val="000000" w:themeColor="text1"/>
                <w:sz w:val="24"/>
                <w:szCs w:val="24"/>
                <w:lang w:val="en-US" w:eastAsia="zh-CN"/>
                <w14:textFill>
                  <w14:solidFill>
                    <w14:schemeClr w14:val="tx1"/>
                  </w14:solidFill>
                </w14:textFill>
              </w:rPr>
              <w:t>（4.6万瓶）</w:t>
            </w:r>
          </w:p>
          <w:tbl>
            <w:tblPr>
              <w:tblStyle w:val="26"/>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664"/>
              <w:gridCol w:w="1252"/>
              <w:gridCol w:w="705"/>
              <w:gridCol w:w="907"/>
              <w:gridCol w:w="705"/>
              <w:gridCol w:w="1500"/>
              <w:gridCol w:w="658"/>
              <w:gridCol w:w="947"/>
            </w:tblGrid>
            <w:tr w14:paraId="06FB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vMerge w:val="restart"/>
                  <w:noWrap w:val="0"/>
                  <w:vAlign w:val="center"/>
                </w:tcPr>
                <w:p w14:paraId="57B1B1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序号</w:t>
                  </w:r>
                </w:p>
              </w:tc>
              <w:tc>
                <w:tcPr>
                  <w:tcW w:w="2237" w:type="pct"/>
                  <w:gridSpan w:val="4"/>
                  <w:noWrap w:val="0"/>
                  <w:vAlign w:val="center"/>
                </w:tcPr>
                <w:p w14:paraId="2C0719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投入</w:t>
                  </w:r>
                </w:p>
              </w:tc>
              <w:tc>
                <w:tcPr>
                  <w:tcW w:w="2416" w:type="pct"/>
                  <w:gridSpan w:val="4"/>
                  <w:noWrap w:val="0"/>
                  <w:vAlign w:val="center"/>
                </w:tcPr>
                <w:p w14:paraId="4B0A40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产出</w:t>
                  </w:r>
                </w:p>
              </w:tc>
            </w:tr>
            <w:tr w14:paraId="35F3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vMerge w:val="continue"/>
                  <w:tcBorders>
                    <w:bottom w:val="single" w:color="auto" w:sz="4" w:space="0"/>
                  </w:tcBorders>
                  <w:noWrap w:val="0"/>
                  <w:vAlign w:val="center"/>
                </w:tcPr>
                <w:p w14:paraId="53EF23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1215" w:type="pct"/>
                  <w:gridSpan w:val="2"/>
                  <w:noWrap w:val="0"/>
                  <w:vAlign w:val="center"/>
                </w:tcPr>
                <w:p w14:paraId="6EEE40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47" w:type="pct"/>
                  <w:noWrap w:val="0"/>
                  <w:vAlign w:val="center"/>
                </w:tcPr>
                <w:p w14:paraId="7C4A60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575" w:type="pct"/>
                  <w:noWrap w:val="0"/>
                  <w:vAlign w:val="center"/>
                </w:tcPr>
                <w:p w14:paraId="189C35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c>
                <w:tcPr>
                  <w:tcW w:w="1398" w:type="pct"/>
                  <w:gridSpan w:val="2"/>
                  <w:shd w:val="clear" w:color="auto" w:fill="auto"/>
                  <w:noWrap w:val="0"/>
                  <w:vAlign w:val="center"/>
                </w:tcPr>
                <w:p w14:paraId="399EE4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17" w:type="pct"/>
                  <w:shd w:val="clear" w:color="auto" w:fill="auto"/>
                  <w:noWrap w:val="0"/>
                  <w:vAlign w:val="center"/>
                </w:tcPr>
                <w:p w14:paraId="00B5D8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600" w:type="pct"/>
                  <w:shd w:val="clear" w:color="auto" w:fill="auto"/>
                  <w:noWrap w:val="0"/>
                  <w:vAlign w:val="center"/>
                </w:tcPr>
                <w:p w14:paraId="320089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r>
            <w:tr w14:paraId="0233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45A176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421" w:type="pct"/>
                  <w:vMerge w:val="restart"/>
                  <w:noWrap w:val="0"/>
                  <w:vAlign w:val="center"/>
                </w:tcPr>
                <w:p w14:paraId="2C8F80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794" w:type="pct"/>
                  <w:shd w:val="clear" w:color="auto" w:fill="auto"/>
                  <w:noWrap w:val="0"/>
                  <w:vAlign w:val="center"/>
                </w:tcPr>
                <w:p w14:paraId="48F21F08">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川贝母</w:t>
                  </w:r>
                </w:p>
              </w:tc>
              <w:tc>
                <w:tcPr>
                  <w:tcW w:w="447" w:type="pct"/>
                  <w:shd w:val="clear" w:color="auto" w:fill="auto"/>
                  <w:noWrap w:val="0"/>
                  <w:vAlign w:val="center"/>
                </w:tcPr>
                <w:p w14:paraId="72ECB9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75" w:type="pct"/>
                  <w:shd w:val="clear" w:color="auto" w:fill="auto"/>
                  <w:noWrap w:val="0"/>
                  <w:vAlign w:val="center"/>
                </w:tcPr>
                <w:p w14:paraId="7DFA5C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217.9</w:t>
                  </w:r>
                </w:p>
              </w:tc>
              <w:tc>
                <w:tcPr>
                  <w:tcW w:w="447" w:type="pct"/>
                  <w:noWrap w:val="0"/>
                  <w:vAlign w:val="center"/>
                </w:tcPr>
                <w:p w14:paraId="3F59D0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产品</w:t>
                  </w:r>
                </w:p>
              </w:tc>
              <w:tc>
                <w:tcPr>
                  <w:tcW w:w="951" w:type="pct"/>
                  <w:noWrap w:val="0"/>
                  <w:vAlign w:val="center"/>
                </w:tcPr>
                <w:p w14:paraId="66EC70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川贝枇杷糖浆</w:t>
                  </w:r>
                </w:p>
              </w:tc>
              <w:tc>
                <w:tcPr>
                  <w:tcW w:w="417" w:type="pct"/>
                  <w:noWrap w:val="0"/>
                  <w:vAlign w:val="center"/>
                </w:tcPr>
                <w:p w14:paraId="50D83D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00" w:type="pct"/>
                  <w:noWrap w:val="0"/>
                  <w:vAlign w:val="center"/>
                </w:tcPr>
                <w:p w14:paraId="0F546B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5520</w:t>
                  </w:r>
                </w:p>
              </w:tc>
            </w:tr>
            <w:tr w14:paraId="135B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630586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421" w:type="pct"/>
                  <w:vMerge w:val="continue"/>
                  <w:noWrap w:val="0"/>
                  <w:vAlign w:val="center"/>
                </w:tcPr>
                <w:p w14:paraId="22792D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4" w:type="pct"/>
                  <w:shd w:val="clear" w:color="auto" w:fill="auto"/>
                  <w:noWrap w:val="0"/>
                  <w:vAlign w:val="center"/>
                </w:tcPr>
                <w:p w14:paraId="363F5B4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桔梗</w:t>
                  </w:r>
                </w:p>
              </w:tc>
              <w:tc>
                <w:tcPr>
                  <w:tcW w:w="447" w:type="pct"/>
                  <w:shd w:val="clear" w:color="auto" w:fill="auto"/>
                  <w:noWrap w:val="0"/>
                  <w:vAlign w:val="center"/>
                </w:tcPr>
                <w:p w14:paraId="1DB36A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75" w:type="pct"/>
                  <w:shd w:val="clear" w:color="auto" w:fill="auto"/>
                  <w:noWrap w:val="0"/>
                  <w:vAlign w:val="center"/>
                </w:tcPr>
                <w:p w14:paraId="3ED872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217.9</w:t>
                  </w:r>
                </w:p>
              </w:tc>
              <w:tc>
                <w:tcPr>
                  <w:tcW w:w="447" w:type="pct"/>
                  <w:vMerge w:val="restart"/>
                  <w:noWrap w:val="0"/>
                  <w:vAlign w:val="center"/>
                </w:tcPr>
                <w:p w14:paraId="1D02CD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废气</w:t>
                  </w:r>
                </w:p>
              </w:tc>
              <w:tc>
                <w:tcPr>
                  <w:tcW w:w="951" w:type="pct"/>
                  <w:noWrap w:val="0"/>
                  <w:vAlign w:val="center"/>
                </w:tcPr>
                <w:p w14:paraId="4AB6B4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粉尘</w:t>
                  </w:r>
                </w:p>
              </w:tc>
              <w:tc>
                <w:tcPr>
                  <w:tcW w:w="417" w:type="pct"/>
                  <w:shd w:val="clear" w:color="auto" w:fill="auto"/>
                  <w:noWrap w:val="0"/>
                  <w:vAlign w:val="center"/>
                </w:tcPr>
                <w:p w14:paraId="24BA8E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00" w:type="pct"/>
                  <w:noWrap w:val="0"/>
                  <w:vAlign w:val="center"/>
                </w:tcPr>
                <w:p w14:paraId="197AB9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9.44</w:t>
                  </w:r>
                </w:p>
              </w:tc>
            </w:tr>
            <w:tr w14:paraId="371C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370D94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421" w:type="pct"/>
                  <w:vMerge w:val="continue"/>
                  <w:noWrap w:val="0"/>
                  <w:vAlign w:val="center"/>
                </w:tcPr>
                <w:p w14:paraId="306DE0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4" w:type="pct"/>
                  <w:shd w:val="clear" w:color="auto" w:fill="auto"/>
                  <w:noWrap w:val="0"/>
                  <w:vAlign w:val="center"/>
                </w:tcPr>
                <w:p w14:paraId="6DE880B4">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枇杷叶</w:t>
                  </w:r>
                </w:p>
              </w:tc>
              <w:tc>
                <w:tcPr>
                  <w:tcW w:w="447" w:type="pct"/>
                  <w:shd w:val="clear" w:color="auto" w:fill="auto"/>
                  <w:noWrap w:val="0"/>
                  <w:vAlign w:val="center"/>
                </w:tcPr>
                <w:p w14:paraId="580083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75" w:type="pct"/>
                  <w:shd w:val="clear" w:color="auto" w:fill="auto"/>
                  <w:noWrap w:val="0"/>
                  <w:vAlign w:val="center"/>
                </w:tcPr>
                <w:p w14:paraId="76F27A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1452.6</w:t>
                  </w:r>
                </w:p>
              </w:tc>
              <w:tc>
                <w:tcPr>
                  <w:tcW w:w="447" w:type="pct"/>
                  <w:vMerge w:val="continue"/>
                  <w:noWrap w:val="0"/>
                  <w:vAlign w:val="center"/>
                </w:tcPr>
                <w:p w14:paraId="6DC678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951" w:type="pct"/>
                  <w:noWrap w:val="0"/>
                  <w:vAlign w:val="center"/>
                </w:tcPr>
                <w:p w14:paraId="50DB53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乙醇废气</w:t>
                  </w:r>
                </w:p>
              </w:tc>
              <w:tc>
                <w:tcPr>
                  <w:tcW w:w="417" w:type="pct"/>
                  <w:shd w:val="clear" w:color="auto" w:fill="auto"/>
                  <w:noWrap w:val="0"/>
                  <w:vAlign w:val="center"/>
                </w:tcPr>
                <w:p w14:paraId="0147EE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00" w:type="pct"/>
                  <w:noWrap w:val="0"/>
                  <w:vAlign w:val="center"/>
                </w:tcPr>
                <w:p w14:paraId="468B79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9.94</w:t>
                  </w:r>
                </w:p>
              </w:tc>
            </w:tr>
            <w:tr w14:paraId="7155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6BA836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421" w:type="pct"/>
                  <w:vMerge w:val="restart"/>
                  <w:noWrap w:val="0"/>
                  <w:vAlign w:val="center"/>
                </w:tcPr>
                <w:p w14:paraId="0531DE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辅料</w:t>
                  </w:r>
                </w:p>
              </w:tc>
              <w:tc>
                <w:tcPr>
                  <w:tcW w:w="794" w:type="pct"/>
                  <w:shd w:val="clear" w:color="auto" w:fill="auto"/>
                  <w:noWrap w:val="0"/>
                  <w:vAlign w:val="center"/>
                </w:tcPr>
                <w:p w14:paraId="273229BA">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薄荷脑</w:t>
                  </w:r>
                </w:p>
              </w:tc>
              <w:tc>
                <w:tcPr>
                  <w:tcW w:w="447" w:type="pct"/>
                  <w:shd w:val="clear" w:color="auto" w:fill="auto"/>
                  <w:noWrap w:val="0"/>
                  <w:vAlign w:val="center"/>
                </w:tcPr>
                <w:p w14:paraId="5F0E8E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75" w:type="pct"/>
                  <w:shd w:val="clear" w:color="auto" w:fill="auto"/>
                  <w:noWrap w:val="0"/>
                  <w:vAlign w:val="center"/>
                </w:tcPr>
                <w:p w14:paraId="5DD265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1.57</w:t>
                  </w:r>
                </w:p>
              </w:tc>
              <w:tc>
                <w:tcPr>
                  <w:tcW w:w="447" w:type="pct"/>
                  <w:vMerge w:val="restart"/>
                  <w:noWrap w:val="0"/>
                  <w:vAlign w:val="center"/>
                </w:tcPr>
                <w:p w14:paraId="072FB2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固废</w:t>
                  </w:r>
                </w:p>
              </w:tc>
              <w:tc>
                <w:tcPr>
                  <w:tcW w:w="951" w:type="pct"/>
                  <w:shd w:val="clear" w:color="auto" w:fill="auto"/>
                  <w:noWrap w:val="0"/>
                  <w:vAlign w:val="center"/>
                </w:tcPr>
                <w:p w14:paraId="7D4BBC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拣选废弃物</w:t>
                  </w:r>
                </w:p>
              </w:tc>
              <w:tc>
                <w:tcPr>
                  <w:tcW w:w="417" w:type="pct"/>
                  <w:shd w:val="clear" w:color="auto" w:fill="auto"/>
                  <w:noWrap w:val="0"/>
                  <w:vAlign w:val="center"/>
                </w:tcPr>
                <w:p w14:paraId="6F7ACA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00" w:type="pct"/>
                  <w:noWrap w:val="0"/>
                  <w:vAlign w:val="center"/>
                </w:tcPr>
                <w:p w14:paraId="2B3196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94.42</w:t>
                  </w:r>
                </w:p>
              </w:tc>
            </w:tr>
            <w:tr w14:paraId="37E7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351721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421" w:type="pct"/>
                  <w:vMerge w:val="continue"/>
                  <w:noWrap w:val="0"/>
                  <w:vAlign w:val="center"/>
                </w:tcPr>
                <w:p w14:paraId="1A1CCC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4" w:type="pct"/>
                  <w:shd w:val="clear" w:color="auto" w:fill="auto"/>
                  <w:noWrap w:val="0"/>
                  <w:vAlign w:val="center"/>
                </w:tcPr>
                <w:p w14:paraId="563F060C">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蔗糖</w:t>
                  </w:r>
                </w:p>
              </w:tc>
              <w:tc>
                <w:tcPr>
                  <w:tcW w:w="447" w:type="pct"/>
                  <w:shd w:val="clear" w:color="auto" w:fill="auto"/>
                  <w:noWrap w:val="0"/>
                  <w:vAlign w:val="center"/>
                </w:tcPr>
                <w:p w14:paraId="30C914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75" w:type="pct"/>
                  <w:shd w:val="clear" w:color="auto" w:fill="auto"/>
                  <w:noWrap w:val="0"/>
                  <w:vAlign w:val="center"/>
                </w:tcPr>
                <w:p w14:paraId="731A6F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1840</w:t>
                  </w:r>
                </w:p>
              </w:tc>
              <w:tc>
                <w:tcPr>
                  <w:tcW w:w="447" w:type="pct"/>
                  <w:vMerge w:val="continue"/>
                  <w:noWrap w:val="0"/>
                  <w:vAlign w:val="center"/>
                </w:tcPr>
                <w:p w14:paraId="25BBD9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951" w:type="pct"/>
                  <w:shd w:val="clear" w:color="auto" w:fill="auto"/>
                  <w:noWrap w:val="0"/>
                  <w:vAlign w:val="center"/>
                </w:tcPr>
                <w:p w14:paraId="7EEA20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水提</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废药渣</w:t>
                  </w:r>
                </w:p>
                <w:p w14:paraId="27ACD9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(干重)</w:t>
                  </w:r>
                </w:p>
              </w:tc>
              <w:tc>
                <w:tcPr>
                  <w:tcW w:w="417" w:type="pct"/>
                  <w:shd w:val="clear" w:color="auto" w:fill="auto"/>
                  <w:noWrap w:val="0"/>
                  <w:vAlign w:val="center"/>
                </w:tcPr>
                <w:p w14:paraId="2F2E0E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00" w:type="pct"/>
                  <w:noWrap w:val="0"/>
                  <w:vAlign w:val="center"/>
                </w:tcPr>
                <w:p w14:paraId="30912D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177.61</w:t>
                  </w:r>
                </w:p>
              </w:tc>
            </w:tr>
            <w:tr w14:paraId="63F3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647F4B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w:t>
                  </w:r>
                </w:p>
              </w:tc>
              <w:tc>
                <w:tcPr>
                  <w:tcW w:w="421" w:type="pct"/>
                  <w:vMerge w:val="continue"/>
                  <w:noWrap w:val="0"/>
                  <w:vAlign w:val="center"/>
                </w:tcPr>
                <w:p w14:paraId="76C902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4" w:type="pct"/>
                  <w:shd w:val="clear" w:color="auto" w:fill="auto"/>
                  <w:noWrap w:val="0"/>
                  <w:vAlign w:val="center"/>
                </w:tcPr>
                <w:p w14:paraId="1E44846C">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苯甲酸</w:t>
                  </w:r>
                  <w:r>
                    <w:rPr>
                      <w:rFonts w:hint="eastAsia" w:cs="Times New Roman"/>
                      <w:color w:val="000000" w:themeColor="text1"/>
                      <w:kern w:val="2"/>
                      <w:sz w:val="21"/>
                      <w:szCs w:val="21"/>
                      <w:u w:val="none"/>
                      <w:lang w:val="en-US" w:eastAsia="zh-CN" w:bidi="ar-SA"/>
                      <w14:textFill>
                        <w14:solidFill>
                          <w14:schemeClr w14:val="tx1"/>
                        </w14:solidFill>
                      </w14:textFill>
                    </w:rPr>
                    <w:t>钠</w:t>
                  </w:r>
                </w:p>
              </w:tc>
              <w:tc>
                <w:tcPr>
                  <w:tcW w:w="447" w:type="pct"/>
                  <w:shd w:val="clear" w:color="auto" w:fill="auto"/>
                  <w:noWrap w:val="0"/>
                  <w:vAlign w:val="center"/>
                </w:tcPr>
                <w:p w14:paraId="35D77F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75" w:type="pct"/>
                  <w:shd w:val="clear" w:color="auto" w:fill="auto"/>
                  <w:noWrap w:val="0"/>
                  <w:vAlign w:val="center"/>
                </w:tcPr>
                <w:p w14:paraId="5E93B1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13</w:t>
                  </w:r>
                </w:p>
              </w:tc>
              <w:tc>
                <w:tcPr>
                  <w:tcW w:w="447" w:type="pct"/>
                  <w:vMerge w:val="continue"/>
                  <w:noWrap w:val="0"/>
                  <w:vAlign w:val="center"/>
                </w:tcPr>
                <w:p w14:paraId="0BEB74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951" w:type="pct"/>
                  <w:shd w:val="clear" w:color="auto" w:fill="auto"/>
                  <w:noWrap w:val="0"/>
                  <w:vAlign w:val="center"/>
                </w:tcPr>
                <w:p w14:paraId="0FA4D4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渗漉废药渣(干重)</w:t>
                  </w:r>
                </w:p>
              </w:tc>
              <w:tc>
                <w:tcPr>
                  <w:tcW w:w="417" w:type="pct"/>
                  <w:shd w:val="clear" w:color="auto" w:fill="auto"/>
                  <w:noWrap w:val="0"/>
                  <w:vAlign w:val="center"/>
                </w:tcPr>
                <w:p w14:paraId="4F7116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00" w:type="pct"/>
                  <w:noWrap w:val="0"/>
                  <w:vAlign w:val="center"/>
                </w:tcPr>
                <w:p w14:paraId="7BF51A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144.9</w:t>
                  </w:r>
                </w:p>
              </w:tc>
            </w:tr>
            <w:tr w14:paraId="22B5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226EF8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w:t>
                  </w:r>
                </w:p>
              </w:tc>
              <w:tc>
                <w:tcPr>
                  <w:tcW w:w="421" w:type="pct"/>
                  <w:vMerge w:val="continue"/>
                  <w:noWrap w:val="0"/>
                  <w:vAlign w:val="center"/>
                </w:tcPr>
                <w:p w14:paraId="45B555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4" w:type="pct"/>
                  <w:shd w:val="clear" w:color="auto" w:fill="auto"/>
                  <w:noWrap w:val="0"/>
                  <w:vAlign w:val="center"/>
                </w:tcPr>
                <w:p w14:paraId="515B10DE">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杏仁香精</w:t>
                  </w:r>
                </w:p>
              </w:tc>
              <w:tc>
                <w:tcPr>
                  <w:tcW w:w="447" w:type="pct"/>
                  <w:shd w:val="clear" w:color="auto" w:fill="auto"/>
                  <w:noWrap w:val="0"/>
                  <w:vAlign w:val="center"/>
                </w:tcPr>
                <w:p w14:paraId="2C5F5D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75" w:type="pct"/>
                  <w:shd w:val="clear" w:color="auto" w:fill="auto"/>
                  <w:noWrap w:val="0"/>
                  <w:vAlign w:val="center"/>
                </w:tcPr>
                <w:p w14:paraId="5C2626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0.92</w:t>
                  </w:r>
                </w:p>
              </w:tc>
              <w:tc>
                <w:tcPr>
                  <w:tcW w:w="447" w:type="pct"/>
                  <w:vMerge w:val="continue"/>
                  <w:noWrap w:val="0"/>
                  <w:vAlign w:val="center"/>
                </w:tcPr>
                <w:p w14:paraId="0C5325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951" w:type="pct"/>
                  <w:shd w:val="clear" w:color="auto" w:fill="auto"/>
                  <w:noWrap w:val="0"/>
                  <w:vAlign w:val="center"/>
                </w:tcPr>
                <w:p w14:paraId="0703B1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废滤渣</w:t>
                  </w:r>
                  <w:r>
                    <w:rPr>
                      <w:rFonts w:hint="eastAsia" w:cs="Times New Roman"/>
                      <w:color w:val="000000" w:themeColor="text1"/>
                      <w:szCs w:val="21"/>
                      <w:lang w:val="en-US" w:eastAsia="zh-CN"/>
                      <w14:textFill>
                        <w14:solidFill>
                          <w14:schemeClr w14:val="tx1"/>
                        </w14:solidFill>
                      </w14:textFill>
                    </w:rPr>
                    <w:t>（配液）</w:t>
                  </w:r>
                </w:p>
              </w:tc>
              <w:tc>
                <w:tcPr>
                  <w:tcW w:w="417" w:type="pct"/>
                  <w:shd w:val="clear" w:color="auto" w:fill="auto"/>
                  <w:noWrap w:val="0"/>
                  <w:vAlign w:val="center"/>
                </w:tcPr>
                <w:p w14:paraId="0445DE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00" w:type="pct"/>
                  <w:noWrap w:val="0"/>
                  <w:vAlign w:val="center"/>
                </w:tcPr>
                <w:p w14:paraId="25325E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5.52</w:t>
                  </w:r>
                </w:p>
              </w:tc>
            </w:tr>
            <w:tr w14:paraId="14DB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70F0DE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w:t>
                  </w:r>
                </w:p>
              </w:tc>
              <w:tc>
                <w:tcPr>
                  <w:tcW w:w="421" w:type="pct"/>
                  <w:noWrap w:val="0"/>
                  <w:vAlign w:val="center"/>
                </w:tcPr>
                <w:p w14:paraId="5E6053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794" w:type="pct"/>
                  <w:shd w:val="clear" w:color="auto" w:fill="auto"/>
                  <w:noWrap w:val="0"/>
                  <w:vAlign w:val="center"/>
                </w:tcPr>
                <w:p w14:paraId="65A9E67B">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乙醇</w:t>
                  </w:r>
                </w:p>
              </w:tc>
              <w:tc>
                <w:tcPr>
                  <w:tcW w:w="447" w:type="pct"/>
                  <w:shd w:val="clear" w:color="auto" w:fill="auto"/>
                  <w:noWrap w:val="0"/>
                  <w:vAlign w:val="center"/>
                </w:tcPr>
                <w:p w14:paraId="7BFB0F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75" w:type="pct"/>
                  <w:shd w:val="clear" w:color="auto" w:fill="auto"/>
                  <w:noWrap w:val="0"/>
                  <w:vAlign w:val="center"/>
                </w:tcPr>
                <w:p w14:paraId="5983C0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496.8</w:t>
                  </w:r>
                </w:p>
              </w:tc>
              <w:tc>
                <w:tcPr>
                  <w:tcW w:w="447" w:type="pct"/>
                  <w:noWrap w:val="0"/>
                  <w:vAlign w:val="center"/>
                </w:tcPr>
                <w:p w14:paraId="3B8553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951" w:type="pct"/>
                  <w:shd w:val="clear" w:color="auto" w:fill="auto"/>
                  <w:noWrap w:val="0"/>
                  <w:vAlign w:val="center"/>
                </w:tcPr>
                <w:p w14:paraId="0F9367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乙醇回收</w:t>
                  </w:r>
                </w:p>
              </w:tc>
              <w:tc>
                <w:tcPr>
                  <w:tcW w:w="417" w:type="pct"/>
                  <w:shd w:val="clear" w:color="auto" w:fill="auto"/>
                  <w:noWrap w:val="0"/>
                  <w:vAlign w:val="center"/>
                </w:tcPr>
                <w:p w14:paraId="3DBC74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00" w:type="pct"/>
                  <w:noWrap w:val="0"/>
                  <w:vAlign w:val="center"/>
                </w:tcPr>
                <w:p w14:paraId="79CAF7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486.86</w:t>
                  </w:r>
                </w:p>
              </w:tc>
            </w:tr>
            <w:tr w14:paraId="625C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2F6A5D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w:t>
                  </w:r>
                </w:p>
              </w:tc>
              <w:tc>
                <w:tcPr>
                  <w:tcW w:w="421" w:type="pct"/>
                  <w:noWrap w:val="0"/>
                  <w:vAlign w:val="center"/>
                </w:tcPr>
                <w:p w14:paraId="446781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794" w:type="pct"/>
                  <w:noWrap w:val="0"/>
                  <w:vAlign w:val="center"/>
                </w:tcPr>
                <w:p w14:paraId="2D62A1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纯化水</w:t>
                  </w:r>
                </w:p>
                <w:p w14:paraId="581416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w:t>
                  </w:r>
                  <w:r>
                    <w:rPr>
                      <w:rFonts w:hint="eastAsia" w:cs="Times New Roman"/>
                      <w:color w:val="000000" w:themeColor="text1"/>
                      <w:kern w:val="2"/>
                      <w:sz w:val="21"/>
                      <w:szCs w:val="21"/>
                      <w:u w:val="none"/>
                      <w:lang w:val="en-US" w:eastAsia="zh-CN" w:bidi="ar-SA"/>
                      <w14:textFill>
                        <w14:solidFill>
                          <w14:schemeClr w14:val="tx1"/>
                        </w14:solidFill>
                      </w14:textFill>
                    </w:rPr>
                    <w:t>配液</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w:t>
                  </w:r>
                </w:p>
              </w:tc>
              <w:tc>
                <w:tcPr>
                  <w:tcW w:w="447" w:type="pct"/>
                  <w:noWrap w:val="0"/>
                  <w:vAlign w:val="center"/>
                </w:tcPr>
                <w:p w14:paraId="005551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75" w:type="pct"/>
                  <w:noWrap w:val="0"/>
                  <w:vAlign w:val="center"/>
                </w:tcPr>
                <w:p w14:paraId="036EC4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2208</w:t>
                  </w:r>
                </w:p>
              </w:tc>
              <w:tc>
                <w:tcPr>
                  <w:tcW w:w="447" w:type="pct"/>
                  <w:noWrap w:val="0"/>
                  <w:vAlign w:val="center"/>
                </w:tcPr>
                <w:p w14:paraId="708BE9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951" w:type="pct"/>
                  <w:shd w:val="clear" w:color="auto" w:fill="auto"/>
                  <w:noWrap w:val="0"/>
                  <w:vAlign w:val="center"/>
                </w:tcPr>
                <w:p w14:paraId="7E8BD0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417" w:type="pct"/>
                  <w:shd w:val="clear" w:color="auto" w:fill="auto"/>
                  <w:noWrap w:val="0"/>
                  <w:vAlign w:val="center"/>
                </w:tcPr>
                <w:p w14:paraId="35888B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600" w:type="pct"/>
                  <w:noWrap w:val="0"/>
                  <w:vAlign w:val="center"/>
                </w:tcPr>
                <w:p w14:paraId="389F7A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04CB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60" w:type="pct"/>
                  <w:gridSpan w:val="3"/>
                  <w:tcBorders>
                    <w:top w:val="single" w:color="auto" w:sz="4" w:space="0"/>
                    <w:bottom w:val="single" w:color="auto" w:sz="4" w:space="0"/>
                  </w:tcBorders>
                  <w:noWrap w:val="0"/>
                  <w:vAlign w:val="center"/>
                </w:tcPr>
                <w:p w14:paraId="593014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合计</w:t>
                  </w:r>
                </w:p>
              </w:tc>
              <w:tc>
                <w:tcPr>
                  <w:tcW w:w="447" w:type="pct"/>
                  <w:noWrap w:val="0"/>
                  <w:vAlign w:val="center"/>
                </w:tcPr>
                <w:p w14:paraId="6599E4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575" w:type="pct"/>
                  <w:noWrap w:val="0"/>
                  <w:vAlign w:val="center"/>
                </w:tcPr>
                <w:p w14:paraId="593286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fldChar w:fldCharType="begin"/>
                  </w:r>
                  <w:r>
                    <w:rPr>
                      <w:rFonts w:hint="eastAsia" w:cs="Times New Roman"/>
                      <w:color w:val="000000" w:themeColor="text1"/>
                      <w:szCs w:val="21"/>
                      <w:lang w:val="en-US" w:eastAsia="zh-CN"/>
                      <w14:textFill>
                        <w14:solidFill>
                          <w14:schemeClr w14:val="tx1"/>
                        </w14:solidFill>
                      </w14:textFill>
                    </w:rPr>
                    <w:instrText xml:space="preserve"> = sum(E3:E11) \* MERGEFORMAT </w:instrText>
                  </w:r>
                  <w:r>
                    <w:rPr>
                      <w:rFonts w:hint="eastAsia" w:cs="Times New Roman"/>
                      <w:color w:val="000000" w:themeColor="text1"/>
                      <w:szCs w:val="21"/>
                      <w:lang w:val="en-US" w:eastAsia="zh-CN"/>
                      <w14:textFill>
                        <w14:solidFill>
                          <w14:schemeClr w14:val="tx1"/>
                        </w14:solidFill>
                      </w14:textFill>
                    </w:rPr>
                    <w:fldChar w:fldCharType="separate"/>
                  </w:r>
                  <w:r>
                    <w:rPr>
                      <w:rFonts w:hint="eastAsia" w:cs="Times New Roman"/>
                      <w:color w:val="000000" w:themeColor="text1"/>
                      <w:szCs w:val="21"/>
                      <w:lang w:val="en-US" w:eastAsia="zh-CN"/>
                      <w14:textFill>
                        <w14:solidFill>
                          <w14:schemeClr w14:val="tx1"/>
                        </w14:solidFill>
                      </w14:textFill>
                    </w:rPr>
                    <w:t>6448.69</w:t>
                  </w:r>
                  <w:r>
                    <w:rPr>
                      <w:rFonts w:hint="eastAsia" w:cs="Times New Roman"/>
                      <w:color w:val="000000" w:themeColor="text1"/>
                      <w:szCs w:val="21"/>
                      <w:lang w:val="en-US" w:eastAsia="zh-CN"/>
                      <w14:textFill>
                        <w14:solidFill>
                          <w14:schemeClr w14:val="tx1"/>
                        </w14:solidFill>
                      </w14:textFill>
                    </w:rPr>
                    <w:fldChar w:fldCharType="end"/>
                  </w:r>
                </w:p>
              </w:tc>
              <w:tc>
                <w:tcPr>
                  <w:tcW w:w="1398" w:type="pct"/>
                  <w:gridSpan w:val="2"/>
                  <w:noWrap w:val="0"/>
                  <w:vAlign w:val="center"/>
                </w:tcPr>
                <w:p w14:paraId="14501D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合计</w:t>
                  </w:r>
                </w:p>
              </w:tc>
              <w:tc>
                <w:tcPr>
                  <w:tcW w:w="417" w:type="pct"/>
                  <w:noWrap w:val="0"/>
                  <w:vAlign w:val="center"/>
                </w:tcPr>
                <w:p w14:paraId="75F0DF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00" w:type="pct"/>
                  <w:noWrap w:val="0"/>
                  <w:vAlign w:val="center"/>
                </w:tcPr>
                <w:p w14:paraId="4D4F25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fldChar w:fldCharType="begin"/>
                  </w:r>
                  <w:r>
                    <w:rPr>
                      <w:rFonts w:hint="eastAsia" w:cs="Times New Roman"/>
                      <w:color w:val="000000" w:themeColor="text1"/>
                      <w:szCs w:val="21"/>
                      <w:lang w:val="en-US" w:eastAsia="zh-CN"/>
                      <w14:textFill>
                        <w14:solidFill>
                          <w14:schemeClr w14:val="tx1"/>
                        </w14:solidFill>
                      </w14:textFill>
                    </w:rPr>
                    <w:instrText xml:space="preserve"> = sum(E3:E11) \* MERGEFORMAT </w:instrText>
                  </w:r>
                  <w:r>
                    <w:rPr>
                      <w:rFonts w:hint="eastAsia" w:cs="Times New Roman"/>
                      <w:color w:val="000000" w:themeColor="text1"/>
                      <w:szCs w:val="21"/>
                      <w:lang w:val="en-US" w:eastAsia="zh-CN"/>
                      <w14:textFill>
                        <w14:solidFill>
                          <w14:schemeClr w14:val="tx1"/>
                        </w14:solidFill>
                      </w14:textFill>
                    </w:rPr>
                    <w:fldChar w:fldCharType="separate"/>
                  </w:r>
                  <w:r>
                    <w:rPr>
                      <w:rFonts w:hint="eastAsia" w:cs="Times New Roman"/>
                      <w:color w:val="000000" w:themeColor="text1"/>
                      <w:szCs w:val="21"/>
                      <w:lang w:val="en-US" w:eastAsia="zh-CN"/>
                      <w14:textFill>
                        <w14:solidFill>
                          <w14:schemeClr w14:val="tx1"/>
                        </w14:solidFill>
                      </w14:textFill>
                    </w:rPr>
                    <w:t>6448.69</w:t>
                  </w:r>
                  <w:r>
                    <w:rPr>
                      <w:rFonts w:hint="eastAsia" w:cs="Times New Roman"/>
                      <w:color w:val="000000" w:themeColor="text1"/>
                      <w:szCs w:val="21"/>
                      <w:lang w:val="en-US" w:eastAsia="zh-CN"/>
                      <w14:textFill>
                        <w14:solidFill>
                          <w14:schemeClr w14:val="tx1"/>
                        </w14:solidFill>
                      </w14:textFill>
                    </w:rPr>
                    <w:fldChar w:fldCharType="end"/>
                  </w:r>
                </w:p>
              </w:tc>
            </w:tr>
          </w:tbl>
          <w:p w14:paraId="10E15739">
            <w:pPr>
              <w:keepNext w:val="0"/>
              <w:keepLines w:val="0"/>
              <w:widowControl/>
              <w:suppressLineNumbers w:val="0"/>
              <w:jc w:val="center"/>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3228975" cy="1876425"/>
                  <wp:effectExtent l="0" t="0" r="9525" b="8890"/>
                  <wp:docPr id="1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IMG_256"/>
                          <pic:cNvPicPr>
                            <a:picLocks noChangeAspect="1"/>
                          </pic:cNvPicPr>
                        </pic:nvPicPr>
                        <pic:blipFill>
                          <a:blip r:embed="rId9"/>
                          <a:stretch>
                            <a:fillRect/>
                          </a:stretch>
                        </pic:blipFill>
                        <pic:spPr>
                          <a:xfrm>
                            <a:off x="0" y="0"/>
                            <a:ext cx="3228975" cy="1876425"/>
                          </a:xfrm>
                          <a:prstGeom prst="rect">
                            <a:avLst/>
                          </a:prstGeom>
                          <a:noFill/>
                          <a:ln w="9525">
                            <a:noFill/>
                          </a:ln>
                        </pic:spPr>
                      </pic:pic>
                    </a:graphicData>
                  </a:graphic>
                </wp:inline>
              </w:drawing>
            </w:r>
          </w:p>
          <w:p w14:paraId="278227BF">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图4 川贝枇杷糖浆生产过程乙醇溶剂平衡图（kg/批）</w:t>
            </w:r>
          </w:p>
          <w:p w14:paraId="0D4AEF2A">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sz w:val="24"/>
                <w:szCs w:val="24"/>
                <w:lang w:val="en-US" w:eastAsia="zh-CN"/>
                <w14:textFill>
                  <w14:solidFill>
                    <w14:schemeClr w14:val="tx1"/>
                  </w14:solidFill>
                </w14:textFill>
              </w:rPr>
            </w:pPr>
          </w:p>
          <w:p w14:paraId="27263EAE">
            <w:pPr>
              <w:pStyle w:val="16"/>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7、金果饮口服液</w:t>
            </w:r>
          </w:p>
          <w:p w14:paraId="5AF16961">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1</w:t>
            </w:r>
            <w:r>
              <w:rPr>
                <w:rFonts w:hint="eastAsia" w:cs="Times New Roman"/>
                <w:b w:val="0"/>
                <w:bCs w:val="0"/>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金果饮口服液产品批次</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物料平衡表</w:t>
            </w:r>
            <w:r>
              <w:rPr>
                <w:rFonts w:hint="eastAsia" w:cs="Times New Roman"/>
                <w:b w:val="0"/>
                <w:bCs w:val="0"/>
                <w:color w:val="000000" w:themeColor="text1"/>
                <w:sz w:val="24"/>
                <w:szCs w:val="24"/>
                <w:lang w:val="en-US" w:eastAsia="zh-CN"/>
                <w14:textFill>
                  <w14:solidFill>
                    <w14:schemeClr w14:val="tx1"/>
                  </w14:solidFill>
                </w14:textFill>
              </w:rPr>
              <w:t>（33.3万支）</w:t>
            </w:r>
          </w:p>
          <w:tbl>
            <w:tblPr>
              <w:tblStyle w:val="26"/>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664"/>
              <w:gridCol w:w="1254"/>
              <w:gridCol w:w="660"/>
              <w:gridCol w:w="1023"/>
              <w:gridCol w:w="690"/>
              <w:gridCol w:w="1347"/>
              <w:gridCol w:w="660"/>
              <w:gridCol w:w="1040"/>
            </w:tblGrid>
            <w:tr w14:paraId="31FF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vMerge w:val="restart"/>
                  <w:noWrap w:val="0"/>
                  <w:vAlign w:val="center"/>
                </w:tcPr>
                <w:p w14:paraId="0676E7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序号</w:t>
                  </w:r>
                </w:p>
              </w:tc>
              <w:tc>
                <w:tcPr>
                  <w:tcW w:w="2284" w:type="pct"/>
                  <w:gridSpan w:val="4"/>
                  <w:noWrap w:val="0"/>
                  <w:vAlign w:val="center"/>
                </w:tcPr>
                <w:p w14:paraId="3A65E9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投入</w:t>
                  </w:r>
                </w:p>
              </w:tc>
              <w:tc>
                <w:tcPr>
                  <w:tcW w:w="2370" w:type="pct"/>
                  <w:gridSpan w:val="4"/>
                  <w:noWrap w:val="0"/>
                  <w:vAlign w:val="center"/>
                </w:tcPr>
                <w:p w14:paraId="12F8B9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产出</w:t>
                  </w:r>
                </w:p>
              </w:tc>
            </w:tr>
            <w:tr w14:paraId="6095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vMerge w:val="continue"/>
                  <w:tcBorders>
                    <w:bottom w:val="single" w:color="auto" w:sz="4" w:space="0"/>
                  </w:tcBorders>
                  <w:noWrap w:val="0"/>
                  <w:vAlign w:val="center"/>
                </w:tcPr>
                <w:p w14:paraId="732919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1216" w:type="pct"/>
                  <w:gridSpan w:val="2"/>
                  <w:noWrap w:val="0"/>
                  <w:vAlign w:val="center"/>
                </w:tcPr>
                <w:p w14:paraId="0CF437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18" w:type="pct"/>
                  <w:noWrap w:val="0"/>
                  <w:vAlign w:val="center"/>
                </w:tcPr>
                <w:p w14:paraId="45AE5F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648" w:type="pct"/>
                  <w:noWrap w:val="0"/>
                  <w:vAlign w:val="center"/>
                </w:tcPr>
                <w:p w14:paraId="3EB575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c>
                <w:tcPr>
                  <w:tcW w:w="1292" w:type="pct"/>
                  <w:gridSpan w:val="2"/>
                  <w:shd w:val="clear" w:color="auto" w:fill="auto"/>
                  <w:noWrap w:val="0"/>
                  <w:vAlign w:val="center"/>
                </w:tcPr>
                <w:p w14:paraId="08DF74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物料名称</w:t>
                  </w:r>
                </w:p>
              </w:tc>
              <w:tc>
                <w:tcPr>
                  <w:tcW w:w="418" w:type="pct"/>
                  <w:shd w:val="clear" w:color="auto" w:fill="auto"/>
                  <w:noWrap w:val="0"/>
                  <w:vAlign w:val="center"/>
                </w:tcPr>
                <w:p w14:paraId="2E46E6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单位</w:t>
                  </w:r>
                </w:p>
              </w:tc>
              <w:tc>
                <w:tcPr>
                  <w:tcW w:w="659" w:type="pct"/>
                  <w:shd w:val="clear" w:color="auto" w:fill="auto"/>
                  <w:noWrap w:val="0"/>
                  <w:vAlign w:val="center"/>
                </w:tcPr>
                <w:p w14:paraId="2235E9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r>
            <w:tr w14:paraId="6BDB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331124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421" w:type="pct"/>
                  <w:vMerge w:val="restart"/>
                  <w:noWrap w:val="0"/>
                  <w:vAlign w:val="center"/>
                </w:tcPr>
                <w:p w14:paraId="7DD3E8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原料</w:t>
                  </w:r>
                </w:p>
              </w:tc>
              <w:tc>
                <w:tcPr>
                  <w:tcW w:w="795" w:type="pct"/>
                  <w:shd w:val="clear" w:color="auto" w:fill="auto"/>
                  <w:noWrap w:val="0"/>
                  <w:vAlign w:val="center"/>
                </w:tcPr>
                <w:p w14:paraId="1D4E8B6A">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地黄</w:t>
                  </w:r>
                </w:p>
              </w:tc>
              <w:tc>
                <w:tcPr>
                  <w:tcW w:w="418" w:type="pct"/>
                  <w:shd w:val="clear" w:color="auto" w:fill="auto"/>
                  <w:noWrap w:val="0"/>
                  <w:vAlign w:val="center"/>
                </w:tcPr>
                <w:p w14:paraId="199CB8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58441A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384.2</w:t>
                  </w:r>
                </w:p>
              </w:tc>
              <w:tc>
                <w:tcPr>
                  <w:tcW w:w="437" w:type="pct"/>
                  <w:noWrap w:val="0"/>
                  <w:vAlign w:val="center"/>
                </w:tcPr>
                <w:p w14:paraId="566B14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产品</w:t>
                  </w:r>
                </w:p>
              </w:tc>
              <w:tc>
                <w:tcPr>
                  <w:tcW w:w="854" w:type="pct"/>
                  <w:noWrap w:val="0"/>
                  <w:vAlign w:val="center"/>
                </w:tcPr>
                <w:p w14:paraId="40B458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金果饮口服液</w:t>
                  </w:r>
                </w:p>
              </w:tc>
              <w:tc>
                <w:tcPr>
                  <w:tcW w:w="418" w:type="pct"/>
                  <w:noWrap w:val="0"/>
                  <w:vAlign w:val="center"/>
                </w:tcPr>
                <w:p w14:paraId="61DDCB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9" w:type="pct"/>
                  <w:noWrap w:val="0"/>
                  <w:vAlign w:val="center"/>
                </w:tcPr>
                <w:p w14:paraId="3CFC5D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5000</w:t>
                  </w:r>
                </w:p>
              </w:tc>
            </w:tr>
            <w:tr w14:paraId="665A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5A2796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421" w:type="pct"/>
                  <w:vMerge w:val="continue"/>
                  <w:noWrap w:val="0"/>
                  <w:vAlign w:val="center"/>
                </w:tcPr>
                <w:p w14:paraId="284072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326CC899">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玄参</w:t>
                  </w:r>
                </w:p>
              </w:tc>
              <w:tc>
                <w:tcPr>
                  <w:tcW w:w="418" w:type="pct"/>
                  <w:shd w:val="clear" w:color="auto" w:fill="auto"/>
                  <w:noWrap w:val="0"/>
                  <w:vAlign w:val="center"/>
                </w:tcPr>
                <w:p w14:paraId="0B119E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1FE1DE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289.5</w:t>
                  </w:r>
                </w:p>
              </w:tc>
              <w:tc>
                <w:tcPr>
                  <w:tcW w:w="437" w:type="pct"/>
                  <w:vMerge w:val="restart"/>
                  <w:noWrap w:val="0"/>
                  <w:vAlign w:val="center"/>
                </w:tcPr>
                <w:p w14:paraId="7EE46A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废气</w:t>
                  </w:r>
                </w:p>
              </w:tc>
              <w:tc>
                <w:tcPr>
                  <w:tcW w:w="854" w:type="pct"/>
                  <w:noWrap w:val="0"/>
                  <w:vAlign w:val="center"/>
                </w:tcPr>
                <w:p w14:paraId="5C0831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粉尘</w:t>
                  </w:r>
                </w:p>
              </w:tc>
              <w:tc>
                <w:tcPr>
                  <w:tcW w:w="418" w:type="pct"/>
                  <w:noWrap w:val="0"/>
                  <w:vAlign w:val="center"/>
                </w:tcPr>
                <w:p w14:paraId="3B24C6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9" w:type="pct"/>
                  <w:noWrap w:val="0"/>
                  <w:vAlign w:val="center"/>
                </w:tcPr>
                <w:p w14:paraId="48D74E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10.32</w:t>
                  </w:r>
                </w:p>
              </w:tc>
            </w:tr>
            <w:tr w14:paraId="5E53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391713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421" w:type="pct"/>
                  <w:vMerge w:val="continue"/>
                  <w:noWrap w:val="0"/>
                  <w:vAlign w:val="center"/>
                </w:tcPr>
                <w:p w14:paraId="5EBF02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14068E40">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西青果</w:t>
                  </w:r>
                </w:p>
              </w:tc>
              <w:tc>
                <w:tcPr>
                  <w:tcW w:w="418" w:type="pct"/>
                  <w:shd w:val="clear" w:color="auto" w:fill="auto"/>
                  <w:noWrap w:val="0"/>
                  <w:vAlign w:val="center"/>
                </w:tcPr>
                <w:p w14:paraId="65B027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68A9D9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94.7</w:t>
                  </w:r>
                </w:p>
              </w:tc>
              <w:tc>
                <w:tcPr>
                  <w:tcW w:w="437" w:type="pct"/>
                  <w:vMerge w:val="continue"/>
                  <w:noWrap w:val="0"/>
                  <w:vAlign w:val="center"/>
                </w:tcPr>
                <w:p w14:paraId="655F52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shd w:val="clear" w:color="auto" w:fill="auto"/>
                  <w:noWrap w:val="0"/>
                  <w:vAlign w:val="center"/>
                </w:tcPr>
                <w:p w14:paraId="2751D8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乙醇废气</w:t>
                  </w:r>
                </w:p>
              </w:tc>
              <w:tc>
                <w:tcPr>
                  <w:tcW w:w="418" w:type="pct"/>
                  <w:shd w:val="clear" w:color="auto" w:fill="auto"/>
                  <w:noWrap w:val="0"/>
                  <w:vAlign w:val="center"/>
                </w:tcPr>
                <w:p w14:paraId="4B648F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9" w:type="pct"/>
                  <w:noWrap w:val="0"/>
                  <w:vAlign w:val="center"/>
                </w:tcPr>
                <w:p w14:paraId="310D84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15.2</w:t>
                  </w:r>
                </w:p>
              </w:tc>
            </w:tr>
            <w:tr w14:paraId="17B7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0802AD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421" w:type="pct"/>
                  <w:vMerge w:val="continue"/>
                  <w:noWrap w:val="0"/>
                  <w:vAlign w:val="center"/>
                </w:tcPr>
                <w:p w14:paraId="362F8E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45ED8B58">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蝉蜕</w:t>
                  </w:r>
                </w:p>
              </w:tc>
              <w:tc>
                <w:tcPr>
                  <w:tcW w:w="418" w:type="pct"/>
                  <w:shd w:val="clear" w:color="auto" w:fill="auto"/>
                  <w:noWrap w:val="0"/>
                  <w:vAlign w:val="center"/>
                </w:tcPr>
                <w:p w14:paraId="30E486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099C90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142.1</w:t>
                  </w:r>
                </w:p>
              </w:tc>
              <w:tc>
                <w:tcPr>
                  <w:tcW w:w="437" w:type="pct"/>
                  <w:vMerge w:val="restart"/>
                  <w:noWrap w:val="0"/>
                  <w:vAlign w:val="center"/>
                </w:tcPr>
                <w:p w14:paraId="7A8F07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固废</w:t>
                  </w:r>
                </w:p>
              </w:tc>
              <w:tc>
                <w:tcPr>
                  <w:tcW w:w="854" w:type="pct"/>
                  <w:shd w:val="clear" w:color="auto" w:fill="auto"/>
                  <w:noWrap w:val="0"/>
                  <w:vAlign w:val="center"/>
                </w:tcPr>
                <w:p w14:paraId="6E80D2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拣选废弃物</w:t>
                  </w:r>
                </w:p>
              </w:tc>
              <w:tc>
                <w:tcPr>
                  <w:tcW w:w="418" w:type="pct"/>
                  <w:shd w:val="clear" w:color="auto" w:fill="auto"/>
                  <w:noWrap w:val="0"/>
                  <w:vAlign w:val="center"/>
                </w:tcPr>
                <w:p w14:paraId="345425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9" w:type="pct"/>
                  <w:noWrap w:val="0"/>
                  <w:vAlign w:val="center"/>
                </w:tcPr>
                <w:p w14:paraId="256153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103.16</w:t>
                  </w:r>
                </w:p>
              </w:tc>
            </w:tr>
            <w:tr w14:paraId="4961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2F5D53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421" w:type="pct"/>
                  <w:vMerge w:val="continue"/>
                  <w:noWrap w:val="0"/>
                  <w:vAlign w:val="center"/>
                </w:tcPr>
                <w:p w14:paraId="608A55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18AA97D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麦冬</w:t>
                  </w:r>
                </w:p>
              </w:tc>
              <w:tc>
                <w:tcPr>
                  <w:tcW w:w="418" w:type="pct"/>
                  <w:shd w:val="clear" w:color="auto" w:fill="auto"/>
                  <w:noWrap w:val="0"/>
                  <w:vAlign w:val="center"/>
                </w:tcPr>
                <w:p w14:paraId="6E861D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7E44B8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289.5</w:t>
                  </w:r>
                </w:p>
              </w:tc>
              <w:tc>
                <w:tcPr>
                  <w:tcW w:w="437" w:type="pct"/>
                  <w:vMerge w:val="continue"/>
                  <w:noWrap w:val="0"/>
                  <w:vAlign w:val="center"/>
                </w:tcPr>
                <w:p w14:paraId="47C20E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shd w:val="clear" w:color="auto" w:fill="auto"/>
                  <w:noWrap w:val="0"/>
                  <w:vAlign w:val="center"/>
                </w:tcPr>
                <w:p w14:paraId="65920F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水提</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废药渣</w:t>
                  </w:r>
                </w:p>
                <w:p w14:paraId="3484E5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(干重)</w:t>
                  </w:r>
                </w:p>
              </w:tc>
              <w:tc>
                <w:tcPr>
                  <w:tcW w:w="418" w:type="pct"/>
                  <w:shd w:val="clear" w:color="auto" w:fill="auto"/>
                  <w:noWrap w:val="0"/>
                  <w:vAlign w:val="center"/>
                </w:tcPr>
                <w:p w14:paraId="3C64D4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9" w:type="pct"/>
                  <w:noWrap w:val="0"/>
                  <w:vAlign w:val="center"/>
                </w:tcPr>
                <w:p w14:paraId="3648CE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882</w:t>
                  </w:r>
                </w:p>
              </w:tc>
            </w:tr>
            <w:tr w14:paraId="13C2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2A8547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w:t>
                  </w:r>
                </w:p>
              </w:tc>
              <w:tc>
                <w:tcPr>
                  <w:tcW w:w="421" w:type="pct"/>
                  <w:vMerge w:val="continue"/>
                  <w:noWrap w:val="0"/>
                  <w:vAlign w:val="center"/>
                </w:tcPr>
                <w:p w14:paraId="60E244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341A7C86">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胖大海</w:t>
                  </w:r>
                </w:p>
              </w:tc>
              <w:tc>
                <w:tcPr>
                  <w:tcW w:w="418" w:type="pct"/>
                  <w:shd w:val="clear" w:color="auto" w:fill="auto"/>
                  <w:noWrap w:val="0"/>
                  <w:vAlign w:val="center"/>
                </w:tcPr>
                <w:p w14:paraId="6DDE1A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009160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94.7</w:t>
                  </w:r>
                </w:p>
              </w:tc>
              <w:tc>
                <w:tcPr>
                  <w:tcW w:w="437" w:type="pct"/>
                  <w:vMerge w:val="continue"/>
                  <w:noWrap w:val="0"/>
                  <w:vAlign w:val="center"/>
                </w:tcPr>
                <w:p w14:paraId="73FDD2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shd w:val="clear" w:color="auto" w:fill="auto"/>
                  <w:noWrap w:val="0"/>
                  <w:vAlign w:val="center"/>
                </w:tcPr>
                <w:p w14:paraId="12F159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醇沉废滤渣(干重)</w:t>
                  </w:r>
                </w:p>
              </w:tc>
              <w:tc>
                <w:tcPr>
                  <w:tcW w:w="418" w:type="pct"/>
                  <w:shd w:val="clear" w:color="auto" w:fill="auto"/>
                  <w:noWrap w:val="0"/>
                  <w:vAlign w:val="center"/>
                </w:tcPr>
                <w:p w14:paraId="17D542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9" w:type="pct"/>
                  <w:noWrap w:val="0"/>
                  <w:vAlign w:val="center"/>
                </w:tcPr>
                <w:p w14:paraId="502650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80.22</w:t>
                  </w:r>
                </w:p>
              </w:tc>
            </w:tr>
            <w:tr w14:paraId="1D6F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334BE5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w:t>
                  </w:r>
                </w:p>
              </w:tc>
              <w:tc>
                <w:tcPr>
                  <w:tcW w:w="421" w:type="pct"/>
                  <w:vMerge w:val="continue"/>
                  <w:noWrap w:val="0"/>
                  <w:vAlign w:val="center"/>
                </w:tcPr>
                <w:p w14:paraId="7256FB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3C07D32A">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南沙参</w:t>
                  </w:r>
                </w:p>
              </w:tc>
              <w:tc>
                <w:tcPr>
                  <w:tcW w:w="418" w:type="pct"/>
                  <w:shd w:val="clear" w:color="auto" w:fill="auto"/>
                  <w:noWrap w:val="0"/>
                  <w:vAlign w:val="center"/>
                </w:tcPr>
                <w:p w14:paraId="385834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21676A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289.5</w:t>
                  </w:r>
                </w:p>
              </w:tc>
              <w:tc>
                <w:tcPr>
                  <w:tcW w:w="437" w:type="pct"/>
                  <w:vMerge w:val="continue"/>
                  <w:noWrap w:val="0"/>
                  <w:vAlign w:val="center"/>
                </w:tcPr>
                <w:p w14:paraId="06FC96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shd w:val="clear" w:color="auto" w:fill="auto"/>
                  <w:noWrap w:val="0"/>
                  <w:vAlign w:val="center"/>
                </w:tcPr>
                <w:p w14:paraId="58FCEB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废滤渣</w:t>
                  </w:r>
                </w:p>
                <w:p w14:paraId="6BFB0C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（配液）</w:t>
                  </w:r>
                </w:p>
              </w:tc>
              <w:tc>
                <w:tcPr>
                  <w:tcW w:w="418" w:type="pct"/>
                  <w:shd w:val="clear" w:color="auto" w:fill="auto"/>
                  <w:noWrap w:val="0"/>
                  <w:vAlign w:val="center"/>
                </w:tcPr>
                <w:p w14:paraId="7437F4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9" w:type="pct"/>
                  <w:noWrap w:val="0"/>
                  <w:vAlign w:val="center"/>
                </w:tcPr>
                <w:p w14:paraId="30DEC3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r>
            <w:tr w14:paraId="6290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35488E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w:t>
                  </w:r>
                </w:p>
              </w:tc>
              <w:tc>
                <w:tcPr>
                  <w:tcW w:w="421" w:type="pct"/>
                  <w:vMerge w:val="continue"/>
                  <w:noWrap w:val="0"/>
                  <w:vAlign w:val="center"/>
                </w:tcPr>
                <w:p w14:paraId="33A7BE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48DCF86F">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太子参</w:t>
                  </w:r>
                </w:p>
              </w:tc>
              <w:tc>
                <w:tcPr>
                  <w:tcW w:w="418" w:type="pct"/>
                  <w:shd w:val="clear" w:color="auto" w:fill="auto"/>
                  <w:noWrap w:val="0"/>
                  <w:vAlign w:val="center"/>
                </w:tcPr>
                <w:p w14:paraId="05B14B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63E5F4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289.5</w:t>
                  </w:r>
                </w:p>
              </w:tc>
              <w:tc>
                <w:tcPr>
                  <w:tcW w:w="437" w:type="pct"/>
                  <w:noWrap w:val="0"/>
                  <w:vAlign w:val="center"/>
                </w:tcPr>
                <w:p w14:paraId="72F953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854" w:type="pct"/>
                  <w:shd w:val="clear" w:color="auto" w:fill="auto"/>
                  <w:noWrap w:val="0"/>
                  <w:vAlign w:val="center"/>
                </w:tcPr>
                <w:p w14:paraId="337ED3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乙醇回收</w:t>
                  </w:r>
                </w:p>
              </w:tc>
              <w:tc>
                <w:tcPr>
                  <w:tcW w:w="418" w:type="pct"/>
                  <w:shd w:val="clear" w:color="auto" w:fill="auto"/>
                  <w:noWrap w:val="0"/>
                  <w:vAlign w:val="center"/>
                </w:tcPr>
                <w:p w14:paraId="3FEBE8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9" w:type="pct"/>
                  <w:noWrap w:val="0"/>
                  <w:vAlign w:val="center"/>
                </w:tcPr>
                <w:p w14:paraId="6F9C69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744.8</w:t>
                  </w:r>
                </w:p>
              </w:tc>
            </w:tr>
            <w:tr w14:paraId="20AE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68414D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w:t>
                  </w:r>
                </w:p>
              </w:tc>
              <w:tc>
                <w:tcPr>
                  <w:tcW w:w="421" w:type="pct"/>
                  <w:vMerge w:val="continue"/>
                  <w:noWrap w:val="0"/>
                  <w:vAlign w:val="center"/>
                </w:tcPr>
                <w:p w14:paraId="039012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6D9A6323">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陈皮</w:t>
                  </w:r>
                </w:p>
              </w:tc>
              <w:tc>
                <w:tcPr>
                  <w:tcW w:w="418" w:type="pct"/>
                  <w:shd w:val="clear" w:color="auto" w:fill="auto"/>
                  <w:noWrap w:val="0"/>
                  <w:vAlign w:val="center"/>
                </w:tcPr>
                <w:p w14:paraId="325AD3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3881FB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189.5</w:t>
                  </w:r>
                </w:p>
              </w:tc>
              <w:tc>
                <w:tcPr>
                  <w:tcW w:w="437" w:type="pct"/>
                  <w:noWrap w:val="0"/>
                  <w:vAlign w:val="center"/>
                </w:tcPr>
                <w:p w14:paraId="1C5752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noWrap w:val="0"/>
                  <w:vAlign w:val="center"/>
                </w:tcPr>
                <w:p w14:paraId="279E0B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18" w:type="pct"/>
                  <w:noWrap w:val="0"/>
                  <w:vAlign w:val="center"/>
                </w:tcPr>
                <w:p w14:paraId="44ADF6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9" w:type="pct"/>
                  <w:noWrap w:val="0"/>
                  <w:vAlign w:val="center"/>
                </w:tcPr>
                <w:p w14:paraId="40DE6B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31B7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345" w:type="pct"/>
                  <w:tcBorders>
                    <w:top w:val="single" w:color="auto" w:sz="4" w:space="0"/>
                    <w:bottom w:val="single" w:color="auto" w:sz="4" w:space="0"/>
                  </w:tcBorders>
                  <w:noWrap w:val="0"/>
                  <w:vAlign w:val="center"/>
                </w:tcPr>
                <w:p w14:paraId="4E011E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w:t>
                  </w:r>
                </w:p>
              </w:tc>
              <w:tc>
                <w:tcPr>
                  <w:tcW w:w="421" w:type="pct"/>
                  <w:vMerge w:val="restart"/>
                  <w:noWrap w:val="0"/>
                  <w:vAlign w:val="center"/>
                </w:tcPr>
                <w:p w14:paraId="5CDC10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辅料</w:t>
                  </w:r>
                </w:p>
              </w:tc>
              <w:tc>
                <w:tcPr>
                  <w:tcW w:w="795" w:type="pct"/>
                  <w:shd w:val="clear" w:color="auto" w:fill="auto"/>
                  <w:noWrap w:val="0"/>
                  <w:vAlign w:val="center"/>
                </w:tcPr>
                <w:p w14:paraId="3DC34F4F">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蔗糖</w:t>
                  </w:r>
                </w:p>
              </w:tc>
              <w:tc>
                <w:tcPr>
                  <w:tcW w:w="418" w:type="pct"/>
                  <w:shd w:val="clear" w:color="auto" w:fill="auto"/>
                  <w:noWrap w:val="0"/>
                  <w:vAlign w:val="center"/>
                </w:tcPr>
                <w:p w14:paraId="381BE5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533677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1000</w:t>
                  </w:r>
                </w:p>
              </w:tc>
              <w:tc>
                <w:tcPr>
                  <w:tcW w:w="437" w:type="pct"/>
                  <w:noWrap w:val="0"/>
                  <w:vAlign w:val="center"/>
                </w:tcPr>
                <w:p w14:paraId="7520E5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noWrap w:val="0"/>
                  <w:vAlign w:val="center"/>
                </w:tcPr>
                <w:p w14:paraId="4E3D7E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18" w:type="pct"/>
                  <w:noWrap w:val="0"/>
                  <w:vAlign w:val="center"/>
                </w:tcPr>
                <w:p w14:paraId="49C9D1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9" w:type="pct"/>
                  <w:noWrap w:val="0"/>
                  <w:vAlign w:val="center"/>
                </w:tcPr>
                <w:p w14:paraId="766689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40E5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750950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w:t>
                  </w:r>
                </w:p>
              </w:tc>
              <w:tc>
                <w:tcPr>
                  <w:tcW w:w="421" w:type="pct"/>
                  <w:vMerge w:val="continue"/>
                  <w:noWrap w:val="0"/>
                  <w:vAlign w:val="center"/>
                </w:tcPr>
                <w:p w14:paraId="299BB2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1DC71201">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薄荷素油</w:t>
                  </w:r>
                </w:p>
              </w:tc>
              <w:tc>
                <w:tcPr>
                  <w:tcW w:w="418" w:type="pct"/>
                  <w:shd w:val="clear" w:color="auto" w:fill="auto"/>
                  <w:noWrap w:val="0"/>
                  <w:vAlign w:val="center"/>
                </w:tcPr>
                <w:p w14:paraId="2E8531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7FAB1D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2.5</w:t>
                  </w:r>
                </w:p>
              </w:tc>
              <w:tc>
                <w:tcPr>
                  <w:tcW w:w="437" w:type="pct"/>
                  <w:noWrap w:val="0"/>
                  <w:vAlign w:val="center"/>
                </w:tcPr>
                <w:p w14:paraId="7DA078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noWrap w:val="0"/>
                  <w:vAlign w:val="center"/>
                </w:tcPr>
                <w:p w14:paraId="6AE1C4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18" w:type="pct"/>
                  <w:noWrap w:val="0"/>
                  <w:vAlign w:val="center"/>
                </w:tcPr>
                <w:p w14:paraId="1F1F28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9" w:type="pct"/>
                  <w:noWrap w:val="0"/>
                  <w:vAlign w:val="center"/>
                </w:tcPr>
                <w:p w14:paraId="10D0C6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106A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3597E8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w:t>
                  </w:r>
                </w:p>
              </w:tc>
              <w:tc>
                <w:tcPr>
                  <w:tcW w:w="421" w:type="pct"/>
                  <w:vMerge w:val="continue"/>
                  <w:noWrap w:val="0"/>
                  <w:vAlign w:val="center"/>
                </w:tcPr>
                <w:p w14:paraId="405629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3B0C0325">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枸橼酸</w:t>
                  </w:r>
                </w:p>
              </w:tc>
              <w:tc>
                <w:tcPr>
                  <w:tcW w:w="418" w:type="pct"/>
                  <w:shd w:val="clear" w:color="auto" w:fill="auto"/>
                  <w:noWrap w:val="0"/>
                  <w:vAlign w:val="center"/>
                </w:tcPr>
                <w:p w14:paraId="3377DC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227C52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437" w:type="pct"/>
                  <w:noWrap w:val="0"/>
                  <w:vAlign w:val="center"/>
                </w:tcPr>
                <w:p w14:paraId="714AC1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noWrap w:val="0"/>
                  <w:vAlign w:val="center"/>
                </w:tcPr>
                <w:p w14:paraId="6404A7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18" w:type="pct"/>
                  <w:noWrap w:val="0"/>
                  <w:vAlign w:val="center"/>
                </w:tcPr>
                <w:p w14:paraId="2CBF41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9" w:type="pct"/>
                  <w:noWrap w:val="0"/>
                  <w:vAlign w:val="center"/>
                </w:tcPr>
                <w:p w14:paraId="01EA95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07CB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5C9E86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13</w:t>
                  </w:r>
                </w:p>
              </w:tc>
              <w:tc>
                <w:tcPr>
                  <w:tcW w:w="421" w:type="pct"/>
                  <w:vMerge w:val="continue"/>
                  <w:noWrap w:val="0"/>
                  <w:vAlign w:val="center"/>
                </w:tcPr>
                <w:p w14:paraId="46E088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95" w:type="pct"/>
                  <w:shd w:val="clear" w:color="auto" w:fill="auto"/>
                  <w:noWrap w:val="0"/>
                  <w:vAlign w:val="center"/>
                </w:tcPr>
                <w:p w14:paraId="3C51615F">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苯甲酸钠</w:t>
                  </w:r>
                </w:p>
              </w:tc>
              <w:tc>
                <w:tcPr>
                  <w:tcW w:w="418" w:type="pct"/>
                  <w:shd w:val="clear" w:color="auto" w:fill="auto"/>
                  <w:noWrap w:val="0"/>
                  <w:vAlign w:val="center"/>
                </w:tcPr>
                <w:p w14:paraId="5404B6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shd w:val="clear" w:color="auto" w:fill="auto"/>
                  <w:noWrap w:val="0"/>
                  <w:vAlign w:val="center"/>
                </w:tcPr>
                <w:p w14:paraId="4EE49C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w:t>
                  </w:r>
                </w:p>
              </w:tc>
              <w:tc>
                <w:tcPr>
                  <w:tcW w:w="437" w:type="pct"/>
                  <w:noWrap w:val="0"/>
                  <w:vAlign w:val="center"/>
                </w:tcPr>
                <w:p w14:paraId="3724C1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noWrap w:val="0"/>
                  <w:vAlign w:val="center"/>
                </w:tcPr>
                <w:p w14:paraId="0C930A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18" w:type="pct"/>
                  <w:noWrap w:val="0"/>
                  <w:vAlign w:val="center"/>
                </w:tcPr>
                <w:p w14:paraId="0D64C1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9" w:type="pct"/>
                  <w:noWrap w:val="0"/>
                  <w:vAlign w:val="center"/>
                </w:tcPr>
                <w:p w14:paraId="0C91D0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0BB6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5033EF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14</w:t>
                  </w:r>
                </w:p>
              </w:tc>
              <w:tc>
                <w:tcPr>
                  <w:tcW w:w="421" w:type="pct"/>
                  <w:noWrap w:val="0"/>
                  <w:vAlign w:val="center"/>
                </w:tcPr>
                <w:p w14:paraId="1D290A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795" w:type="pct"/>
                  <w:noWrap w:val="0"/>
                  <w:vAlign w:val="center"/>
                </w:tcPr>
                <w:p w14:paraId="0272E4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乙醇</w:t>
                  </w:r>
                </w:p>
              </w:tc>
              <w:tc>
                <w:tcPr>
                  <w:tcW w:w="418" w:type="pct"/>
                  <w:noWrap w:val="0"/>
                  <w:vAlign w:val="center"/>
                </w:tcPr>
                <w:p w14:paraId="1D10F9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noWrap w:val="0"/>
                  <w:vAlign w:val="center"/>
                </w:tcPr>
                <w:p w14:paraId="1D924B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760</w:t>
                  </w:r>
                </w:p>
              </w:tc>
              <w:tc>
                <w:tcPr>
                  <w:tcW w:w="437" w:type="pct"/>
                  <w:noWrap w:val="0"/>
                  <w:vAlign w:val="center"/>
                </w:tcPr>
                <w:p w14:paraId="692E4A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noWrap w:val="0"/>
                  <w:vAlign w:val="center"/>
                </w:tcPr>
                <w:p w14:paraId="0EC065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18" w:type="pct"/>
                  <w:noWrap w:val="0"/>
                  <w:vAlign w:val="center"/>
                </w:tcPr>
                <w:p w14:paraId="6436E1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9" w:type="pct"/>
                  <w:noWrap w:val="0"/>
                  <w:vAlign w:val="center"/>
                </w:tcPr>
                <w:p w14:paraId="31C49F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2303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 w:type="pct"/>
                  <w:tcBorders>
                    <w:top w:val="single" w:color="auto" w:sz="4" w:space="0"/>
                    <w:bottom w:val="single" w:color="auto" w:sz="4" w:space="0"/>
                  </w:tcBorders>
                  <w:noWrap w:val="0"/>
                  <w:vAlign w:val="center"/>
                </w:tcPr>
                <w:p w14:paraId="25AC1D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w:t>
                  </w:r>
                </w:p>
              </w:tc>
              <w:tc>
                <w:tcPr>
                  <w:tcW w:w="421" w:type="pct"/>
                  <w:noWrap w:val="0"/>
                  <w:vAlign w:val="center"/>
                </w:tcPr>
                <w:p w14:paraId="629E67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795" w:type="pct"/>
                  <w:noWrap w:val="0"/>
                  <w:vAlign w:val="center"/>
                </w:tcPr>
                <w:p w14:paraId="16FDA1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纯化水</w:t>
                  </w:r>
                </w:p>
                <w:p w14:paraId="52CCC0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w:t>
                  </w:r>
                  <w:r>
                    <w:rPr>
                      <w:rFonts w:hint="eastAsia" w:cs="Times New Roman"/>
                      <w:color w:val="000000" w:themeColor="text1"/>
                      <w:kern w:val="2"/>
                      <w:sz w:val="21"/>
                      <w:szCs w:val="21"/>
                      <w:u w:val="none"/>
                      <w:lang w:val="en-US" w:eastAsia="zh-CN" w:bidi="ar-SA"/>
                      <w14:textFill>
                        <w14:solidFill>
                          <w14:schemeClr w14:val="tx1"/>
                        </w14:solidFill>
                      </w14:textFill>
                    </w:rPr>
                    <w:t>配液</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w:t>
                  </w:r>
                </w:p>
              </w:tc>
              <w:tc>
                <w:tcPr>
                  <w:tcW w:w="418" w:type="pct"/>
                  <w:noWrap w:val="0"/>
                  <w:vAlign w:val="center"/>
                </w:tcPr>
                <w:p w14:paraId="02E599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noWrap w:val="0"/>
                  <w:vAlign w:val="center"/>
                </w:tcPr>
                <w:p w14:paraId="19E7B9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3000</w:t>
                  </w:r>
                </w:p>
              </w:tc>
              <w:tc>
                <w:tcPr>
                  <w:tcW w:w="437" w:type="pct"/>
                  <w:noWrap w:val="0"/>
                  <w:vAlign w:val="center"/>
                </w:tcPr>
                <w:p w14:paraId="5342E8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854" w:type="pct"/>
                  <w:noWrap w:val="0"/>
                  <w:vAlign w:val="center"/>
                </w:tcPr>
                <w:p w14:paraId="72831C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418" w:type="pct"/>
                  <w:noWrap w:val="0"/>
                  <w:vAlign w:val="center"/>
                </w:tcPr>
                <w:p w14:paraId="67978C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p>
              </w:tc>
              <w:tc>
                <w:tcPr>
                  <w:tcW w:w="659" w:type="pct"/>
                  <w:noWrap w:val="0"/>
                  <w:vAlign w:val="center"/>
                </w:tcPr>
                <w:p w14:paraId="652A00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p>
              </w:tc>
            </w:tr>
            <w:tr w14:paraId="692C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62" w:type="pct"/>
                  <w:gridSpan w:val="3"/>
                  <w:tcBorders>
                    <w:top w:val="single" w:color="auto" w:sz="4" w:space="0"/>
                    <w:bottom w:val="single" w:color="auto" w:sz="4" w:space="0"/>
                  </w:tcBorders>
                  <w:noWrap w:val="0"/>
                  <w:vAlign w:val="center"/>
                </w:tcPr>
                <w:p w14:paraId="76F554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合计</w:t>
                  </w:r>
                </w:p>
              </w:tc>
              <w:tc>
                <w:tcPr>
                  <w:tcW w:w="418" w:type="pct"/>
                  <w:noWrap w:val="0"/>
                  <w:vAlign w:val="center"/>
                </w:tcPr>
                <w:p w14:paraId="7691EA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48" w:type="pct"/>
                  <w:noWrap w:val="0"/>
                  <w:vAlign w:val="center"/>
                </w:tcPr>
                <w:p w14:paraId="637E06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fldChar w:fldCharType="begin"/>
                  </w:r>
                  <w:r>
                    <w:rPr>
                      <w:rFonts w:hint="eastAsia" w:cs="Times New Roman"/>
                      <w:color w:val="000000" w:themeColor="text1"/>
                      <w:szCs w:val="21"/>
                      <w:lang w:val="en-US" w:eastAsia="zh-CN"/>
                      <w14:textFill>
                        <w14:solidFill>
                          <w14:schemeClr w14:val="tx1"/>
                        </w14:solidFill>
                      </w14:textFill>
                    </w:rPr>
                    <w:instrText xml:space="preserve"> = sum(E3:E17) \* MERGEFORMAT </w:instrText>
                  </w:r>
                  <w:r>
                    <w:rPr>
                      <w:rFonts w:hint="eastAsia" w:cs="Times New Roman"/>
                      <w:color w:val="000000" w:themeColor="text1"/>
                      <w:szCs w:val="21"/>
                      <w:lang w:val="en-US" w:eastAsia="zh-CN"/>
                      <w14:textFill>
                        <w14:solidFill>
                          <w14:schemeClr w14:val="tx1"/>
                        </w14:solidFill>
                      </w14:textFill>
                    </w:rPr>
                    <w:fldChar w:fldCharType="separate"/>
                  </w:r>
                  <w:r>
                    <w:rPr>
                      <w:rFonts w:hint="eastAsia" w:cs="Times New Roman"/>
                      <w:color w:val="000000" w:themeColor="text1"/>
                      <w:szCs w:val="21"/>
                      <w:lang w:val="en-US" w:eastAsia="zh-CN"/>
                      <w14:textFill>
                        <w14:solidFill>
                          <w14:schemeClr w14:val="tx1"/>
                        </w14:solidFill>
                      </w14:textFill>
                    </w:rPr>
                    <w:t>6840.7</w:t>
                  </w:r>
                  <w:r>
                    <w:rPr>
                      <w:rFonts w:hint="eastAsia" w:cs="Times New Roman"/>
                      <w:color w:val="000000" w:themeColor="text1"/>
                      <w:szCs w:val="21"/>
                      <w:lang w:val="en-US" w:eastAsia="zh-CN"/>
                      <w14:textFill>
                        <w14:solidFill>
                          <w14:schemeClr w14:val="tx1"/>
                        </w14:solidFill>
                      </w14:textFill>
                    </w:rPr>
                    <w:fldChar w:fldCharType="end"/>
                  </w:r>
                </w:p>
              </w:tc>
              <w:tc>
                <w:tcPr>
                  <w:tcW w:w="1292" w:type="pct"/>
                  <w:gridSpan w:val="2"/>
                  <w:noWrap w:val="0"/>
                  <w:vAlign w:val="center"/>
                </w:tcPr>
                <w:p w14:paraId="665EBA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合计</w:t>
                  </w:r>
                </w:p>
              </w:tc>
              <w:tc>
                <w:tcPr>
                  <w:tcW w:w="418" w:type="pct"/>
                  <w:noWrap w:val="0"/>
                  <w:vAlign w:val="center"/>
                </w:tcPr>
                <w:p w14:paraId="605A16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kg</w:t>
                  </w:r>
                </w:p>
              </w:tc>
              <w:tc>
                <w:tcPr>
                  <w:tcW w:w="659" w:type="pct"/>
                  <w:noWrap w:val="0"/>
                  <w:vAlign w:val="center"/>
                </w:tcPr>
                <w:p w14:paraId="5D8B46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fldChar w:fldCharType="begin"/>
                  </w:r>
                  <w:r>
                    <w:rPr>
                      <w:rFonts w:hint="eastAsia" w:cs="Times New Roman"/>
                      <w:color w:val="000000" w:themeColor="text1"/>
                      <w:szCs w:val="21"/>
                      <w:lang w:val="en-US" w:eastAsia="zh-CN"/>
                      <w14:textFill>
                        <w14:solidFill>
                          <w14:schemeClr w14:val="tx1"/>
                        </w14:solidFill>
                      </w14:textFill>
                    </w:rPr>
                    <w:instrText xml:space="preserve"> = sum(E3:E17) \* MERGEFORMAT </w:instrText>
                  </w:r>
                  <w:r>
                    <w:rPr>
                      <w:rFonts w:hint="eastAsia" w:cs="Times New Roman"/>
                      <w:color w:val="000000" w:themeColor="text1"/>
                      <w:szCs w:val="21"/>
                      <w:lang w:val="en-US" w:eastAsia="zh-CN"/>
                      <w14:textFill>
                        <w14:solidFill>
                          <w14:schemeClr w14:val="tx1"/>
                        </w14:solidFill>
                      </w14:textFill>
                    </w:rPr>
                    <w:fldChar w:fldCharType="separate"/>
                  </w:r>
                  <w:r>
                    <w:rPr>
                      <w:rFonts w:hint="eastAsia" w:cs="Times New Roman"/>
                      <w:color w:val="000000" w:themeColor="text1"/>
                      <w:szCs w:val="21"/>
                      <w:lang w:val="en-US" w:eastAsia="zh-CN"/>
                      <w14:textFill>
                        <w14:solidFill>
                          <w14:schemeClr w14:val="tx1"/>
                        </w14:solidFill>
                      </w14:textFill>
                    </w:rPr>
                    <w:t>6840.7</w:t>
                  </w:r>
                  <w:r>
                    <w:rPr>
                      <w:rFonts w:hint="eastAsia" w:cs="Times New Roman"/>
                      <w:color w:val="000000" w:themeColor="text1"/>
                      <w:szCs w:val="21"/>
                      <w:lang w:val="en-US" w:eastAsia="zh-CN"/>
                      <w14:textFill>
                        <w14:solidFill>
                          <w14:schemeClr w14:val="tx1"/>
                        </w14:solidFill>
                      </w14:textFill>
                    </w:rPr>
                    <w:fldChar w:fldCharType="end"/>
                  </w:r>
                </w:p>
              </w:tc>
            </w:tr>
          </w:tbl>
          <w:p w14:paraId="4B3A58A8">
            <w:pPr>
              <w:keepNext w:val="0"/>
              <w:keepLines w:val="0"/>
              <w:widowControl/>
              <w:suppressLineNumbers w:val="0"/>
              <w:jc w:val="center"/>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3171825" cy="1800225"/>
                  <wp:effectExtent l="0" t="0" r="9525" b="8890"/>
                  <wp:docPr id="1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descr="IMG_256"/>
                          <pic:cNvPicPr>
                            <a:picLocks noChangeAspect="1"/>
                          </pic:cNvPicPr>
                        </pic:nvPicPr>
                        <pic:blipFill>
                          <a:blip r:embed="rId10"/>
                          <a:stretch>
                            <a:fillRect/>
                          </a:stretch>
                        </pic:blipFill>
                        <pic:spPr>
                          <a:xfrm>
                            <a:off x="0" y="0"/>
                            <a:ext cx="3171825" cy="1800225"/>
                          </a:xfrm>
                          <a:prstGeom prst="rect">
                            <a:avLst/>
                          </a:prstGeom>
                          <a:noFill/>
                          <a:ln w="9525">
                            <a:noFill/>
                          </a:ln>
                        </pic:spPr>
                      </pic:pic>
                    </a:graphicData>
                  </a:graphic>
                </wp:inline>
              </w:drawing>
            </w:r>
          </w:p>
          <w:p w14:paraId="092A8173">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图5 金果饮口服液生产过程乙醇溶剂平衡图（kg/批）</w:t>
            </w:r>
          </w:p>
          <w:p w14:paraId="4D103029">
            <w:pPr>
              <w:rPr>
                <w:rFonts w:hint="default"/>
                <w:color w:val="000000" w:themeColor="text1"/>
                <w:sz w:val="24"/>
                <w:szCs w:val="24"/>
                <w14:textFill>
                  <w14:solidFill>
                    <w14:schemeClr w14:val="tx1"/>
                  </w14:solidFill>
                </w14:textFill>
              </w:rPr>
            </w:pPr>
          </w:p>
          <w:p w14:paraId="59683161">
            <w:pPr>
              <w:pStyle w:val="16"/>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本项目</w:t>
            </w:r>
            <w:r>
              <w:rPr>
                <w:rFonts w:hint="eastAsia"/>
                <w:color w:val="000000" w:themeColor="text1"/>
                <w:sz w:val="24"/>
                <w:szCs w:val="24"/>
                <w:lang w:val="en-US" w:eastAsia="zh-CN"/>
                <w14:textFill>
                  <w14:solidFill>
                    <w14:schemeClr w14:val="tx1"/>
                  </w14:solidFill>
                </w14:textFill>
              </w:rPr>
              <w:t>扩建前后</w:t>
            </w:r>
            <w:r>
              <w:rPr>
                <w:rFonts w:hint="default"/>
                <w:color w:val="000000" w:themeColor="text1"/>
                <w:sz w:val="24"/>
                <w:szCs w:val="24"/>
                <w14:textFill>
                  <w14:solidFill>
                    <w14:schemeClr w14:val="tx1"/>
                  </w14:solidFill>
                </w14:textFill>
              </w:rPr>
              <w:t>主要</w:t>
            </w:r>
            <w:r>
              <w:rPr>
                <w:rFonts w:hint="eastAsia"/>
                <w:color w:val="000000" w:themeColor="text1"/>
                <w:sz w:val="24"/>
                <w:szCs w:val="24"/>
                <w:lang w:val="en-US" w:eastAsia="zh-CN"/>
                <w14:textFill>
                  <w14:solidFill>
                    <w14:schemeClr w14:val="tx1"/>
                  </w14:solidFill>
                </w14:textFill>
              </w:rPr>
              <w:t>资源、能源</w:t>
            </w:r>
            <w:r>
              <w:rPr>
                <w:rFonts w:hint="default"/>
                <w:color w:val="000000" w:themeColor="text1"/>
                <w:sz w:val="24"/>
                <w:szCs w:val="24"/>
                <w14:textFill>
                  <w14:solidFill>
                    <w14:schemeClr w14:val="tx1"/>
                  </w14:solidFill>
                </w14:textFill>
              </w:rPr>
              <w:t>消耗</w:t>
            </w:r>
            <w:r>
              <w:rPr>
                <w:rFonts w:hint="eastAsia"/>
                <w:color w:val="000000" w:themeColor="text1"/>
                <w:sz w:val="24"/>
                <w:szCs w:val="24"/>
                <w:lang w:val="en-US" w:eastAsia="zh-CN"/>
                <w14:textFill>
                  <w14:solidFill>
                    <w14:schemeClr w14:val="tx1"/>
                  </w14:solidFill>
                </w14:textFill>
              </w:rPr>
              <w:t>情况</w:t>
            </w:r>
            <w:r>
              <w:rPr>
                <w:rFonts w:hint="default"/>
                <w:color w:val="000000" w:themeColor="text1"/>
                <w:sz w:val="24"/>
                <w:szCs w:val="24"/>
                <w14:textFill>
                  <w14:solidFill>
                    <w14:schemeClr w14:val="tx1"/>
                  </w14:solidFill>
                </w14:textFill>
              </w:rPr>
              <w:t>见</w:t>
            </w:r>
            <w:r>
              <w:rPr>
                <w:rFonts w:hint="default"/>
                <w:color w:val="000000" w:themeColor="text1"/>
                <w:sz w:val="24"/>
                <w:szCs w:val="24"/>
                <w:lang w:val="en-US" w:eastAsia="zh-CN"/>
                <w14:textFill>
                  <w14:solidFill>
                    <w14:schemeClr w14:val="tx1"/>
                  </w14:solidFill>
                </w14:textFill>
              </w:rPr>
              <w:t>下表</w:t>
            </w:r>
            <w:r>
              <w:rPr>
                <w:rFonts w:hint="default"/>
                <w:color w:val="000000" w:themeColor="text1"/>
                <w:sz w:val="24"/>
                <w:szCs w:val="24"/>
                <w14:textFill>
                  <w14:solidFill>
                    <w14:schemeClr w14:val="tx1"/>
                  </w14:solidFill>
                </w14:textFill>
              </w:rPr>
              <w:t>。</w:t>
            </w:r>
          </w:p>
          <w:p w14:paraId="7E6340A4">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cs="Times New Roman"/>
                <w:b w:val="0"/>
                <w:bCs w:val="0"/>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cs="Times New Roman"/>
                <w:b w:val="0"/>
                <w:bCs w:val="0"/>
                <w:color w:val="000000" w:themeColor="text1"/>
                <w:sz w:val="24"/>
                <w:szCs w:val="24"/>
                <w:lang w:val="en-US" w:eastAsia="zh-CN"/>
                <w14:textFill>
                  <w14:solidFill>
                    <w14:schemeClr w14:val="tx1"/>
                  </w14:solidFill>
                </w14:textFill>
              </w:rPr>
              <w:t>本</w:t>
            </w:r>
            <w:r>
              <w:rPr>
                <w:rFonts w:hint="default" w:ascii="Times New Roman" w:hAnsi="Times New Roman" w:eastAsia="宋体" w:cs="Times New Roman"/>
                <w:b w:val="0"/>
                <w:bCs w:val="0"/>
                <w:color w:val="000000" w:themeColor="text1"/>
                <w:sz w:val="24"/>
                <w:szCs w:val="24"/>
                <w14:textFill>
                  <w14:solidFill>
                    <w14:schemeClr w14:val="tx1"/>
                  </w14:solidFill>
                </w14:textFill>
              </w:rPr>
              <w:t>项目</w:t>
            </w:r>
            <w:r>
              <w:rPr>
                <w:rFonts w:hint="eastAsia" w:cs="Times New Roman"/>
                <w:b w:val="0"/>
                <w:bCs w:val="0"/>
                <w:color w:val="000000" w:themeColor="text1"/>
                <w:sz w:val="24"/>
                <w:szCs w:val="24"/>
                <w:lang w:val="en-US" w:eastAsia="zh-CN"/>
                <w14:textFill>
                  <w14:solidFill>
                    <w14:schemeClr w14:val="tx1"/>
                  </w14:solidFill>
                </w14:textFill>
              </w:rPr>
              <w:t>扩建前后</w:t>
            </w:r>
            <w:r>
              <w:rPr>
                <w:rFonts w:hint="default" w:ascii="Times New Roman" w:hAnsi="Times New Roman" w:eastAsia="宋体" w:cs="Times New Roman"/>
                <w:b w:val="0"/>
                <w:bCs w:val="0"/>
                <w:color w:val="000000" w:themeColor="text1"/>
                <w:sz w:val="24"/>
                <w:szCs w:val="24"/>
                <w14:textFill>
                  <w14:solidFill>
                    <w14:schemeClr w14:val="tx1"/>
                  </w14:solidFill>
                </w14:textFill>
              </w:rPr>
              <w:t>主要资源、能源消耗量</w:t>
            </w:r>
          </w:p>
          <w:tbl>
            <w:tblPr>
              <w:tblStyle w:val="2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991"/>
              <w:gridCol w:w="1078"/>
              <w:gridCol w:w="940"/>
              <w:gridCol w:w="940"/>
              <w:gridCol w:w="940"/>
              <w:gridCol w:w="2332"/>
            </w:tblGrid>
            <w:tr w14:paraId="5F8C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12" w:type="pct"/>
                  <w:vMerge w:val="restart"/>
                  <w:noWrap w:val="0"/>
                  <w:vAlign w:val="center"/>
                </w:tcPr>
                <w:p w14:paraId="349F0F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序号</w:t>
                  </w:r>
                </w:p>
              </w:tc>
              <w:tc>
                <w:tcPr>
                  <w:tcW w:w="629" w:type="pct"/>
                  <w:vMerge w:val="restart"/>
                  <w:noWrap w:val="0"/>
                  <w:vAlign w:val="center"/>
                </w:tcPr>
                <w:p w14:paraId="3F315B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名称</w:t>
                  </w:r>
                </w:p>
              </w:tc>
              <w:tc>
                <w:tcPr>
                  <w:tcW w:w="684" w:type="pct"/>
                  <w:vMerge w:val="restart"/>
                  <w:noWrap w:val="0"/>
                  <w:vAlign w:val="center"/>
                </w:tcPr>
                <w:p w14:paraId="67F522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单位</w:t>
                  </w:r>
                </w:p>
              </w:tc>
              <w:tc>
                <w:tcPr>
                  <w:tcW w:w="1791" w:type="pct"/>
                  <w:gridSpan w:val="3"/>
                  <w:noWrap w:val="0"/>
                  <w:vAlign w:val="center"/>
                </w:tcPr>
                <w:p w14:paraId="1A9960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数量</w:t>
                  </w:r>
                </w:p>
              </w:tc>
              <w:tc>
                <w:tcPr>
                  <w:tcW w:w="1481" w:type="pct"/>
                  <w:vMerge w:val="restart"/>
                  <w:noWrap w:val="0"/>
                  <w:vAlign w:val="center"/>
                </w:tcPr>
                <w:p w14:paraId="3E5FB9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备注</w:t>
                  </w:r>
                </w:p>
              </w:tc>
            </w:tr>
            <w:tr w14:paraId="05EB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12" w:type="pct"/>
                  <w:vMerge w:val="continue"/>
                  <w:noWrap w:val="0"/>
                  <w:vAlign w:val="center"/>
                </w:tcPr>
                <w:p w14:paraId="079305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Cs w:val="21"/>
                      <w:lang w:val="en-US" w:eastAsia="zh-CN"/>
                      <w14:textFill>
                        <w14:solidFill>
                          <w14:schemeClr w14:val="tx1"/>
                        </w14:solidFill>
                      </w14:textFill>
                    </w:rPr>
                  </w:pPr>
                </w:p>
              </w:tc>
              <w:tc>
                <w:tcPr>
                  <w:tcW w:w="629" w:type="pct"/>
                  <w:vMerge w:val="continue"/>
                  <w:noWrap w:val="0"/>
                  <w:vAlign w:val="center"/>
                </w:tcPr>
                <w:p w14:paraId="35C428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Cs w:val="21"/>
                      <w:lang w:val="en-US" w:eastAsia="zh-CN"/>
                      <w14:textFill>
                        <w14:solidFill>
                          <w14:schemeClr w14:val="tx1"/>
                        </w14:solidFill>
                      </w14:textFill>
                    </w:rPr>
                  </w:pPr>
                </w:p>
              </w:tc>
              <w:tc>
                <w:tcPr>
                  <w:tcW w:w="684" w:type="pct"/>
                  <w:vMerge w:val="continue"/>
                  <w:noWrap w:val="0"/>
                  <w:vAlign w:val="center"/>
                </w:tcPr>
                <w:p w14:paraId="742AFB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Cs w:val="21"/>
                      <w:lang w:val="en-US" w:eastAsia="zh-CN"/>
                      <w14:textFill>
                        <w14:solidFill>
                          <w14:schemeClr w14:val="tx1"/>
                        </w14:solidFill>
                      </w14:textFill>
                    </w:rPr>
                  </w:pPr>
                </w:p>
              </w:tc>
              <w:tc>
                <w:tcPr>
                  <w:tcW w:w="597" w:type="pct"/>
                  <w:noWrap w:val="0"/>
                  <w:vAlign w:val="center"/>
                </w:tcPr>
                <w:p w14:paraId="7E0416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原有</w:t>
                  </w:r>
                </w:p>
              </w:tc>
              <w:tc>
                <w:tcPr>
                  <w:tcW w:w="597" w:type="pct"/>
                  <w:noWrap w:val="0"/>
                  <w:vAlign w:val="center"/>
                </w:tcPr>
                <w:p w14:paraId="1DA2B0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扩建后全厂</w:t>
                  </w:r>
                </w:p>
              </w:tc>
              <w:tc>
                <w:tcPr>
                  <w:tcW w:w="597" w:type="pct"/>
                  <w:noWrap w:val="0"/>
                  <w:vAlign w:val="center"/>
                </w:tcPr>
                <w:p w14:paraId="4C90EB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增减量</w:t>
                  </w:r>
                </w:p>
              </w:tc>
              <w:tc>
                <w:tcPr>
                  <w:tcW w:w="1481" w:type="pct"/>
                  <w:vMerge w:val="continue"/>
                  <w:noWrap w:val="0"/>
                  <w:vAlign w:val="center"/>
                </w:tcPr>
                <w:p w14:paraId="48AAE2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p>
              </w:tc>
            </w:tr>
            <w:tr w14:paraId="4284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2" w:type="pct"/>
                  <w:tcBorders>
                    <w:top w:val="single" w:color="auto" w:sz="4" w:space="0"/>
                    <w:bottom w:val="single" w:color="auto" w:sz="4" w:space="0"/>
                  </w:tcBorders>
                  <w:noWrap w:val="0"/>
                  <w:vAlign w:val="center"/>
                </w:tcPr>
                <w:p w14:paraId="44706A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629" w:type="pct"/>
                  <w:noWrap w:val="0"/>
                  <w:vAlign w:val="center"/>
                </w:tcPr>
                <w:p w14:paraId="253905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水</w:t>
                  </w:r>
                </w:p>
              </w:tc>
              <w:tc>
                <w:tcPr>
                  <w:tcW w:w="684" w:type="pct"/>
                  <w:noWrap w:val="0"/>
                  <w:vAlign w:val="center"/>
                </w:tcPr>
                <w:p w14:paraId="3CA6CF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万m</w:t>
                  </w:r>
                  <w:r>
                    <w:rPr>
                      <w:rFonts w:hint="eastAsia" w:cs="Times New Roman"/>
                      <w:color w:val="000000" w:themeColor="text1"/>
                      <w:szCs w:val="21"/>
                      <w:vertAlign w:val="superscript"/>
                      <w:lang w:val="en-US" w:eastAsia="zh-CN"/>
                      <w14:textFill>
                        <w14:solidFill>
                          <w14:schemeClr w14:val="tx1"/>
                        </w14:solidFill>
                      </w14:textFill>
                    </w:rPr>
                    <w:t>3</w:t>
                  </w:r>
                  <w:r>
                    <w:rPr>
                      <w:rFonts w:hint="eastAsia" w:cs="Times New Roman"/>
                      <w:color w:val="000000" w:themeColor="text1"/>
                      <w:szCs w:val="21"/>
                      <w:lang w:val="en-US" w:eastAsia="zh-CN"/>
                      <w14:textFill>
                        <w14:solidFill>
                          <w14:schemeClr w14:val="tx1"/>
                        </w14:solidFill>
                      </w14:textFill>
                    </w:rPr>
                    <w:t>/a</w:t>
                  </w:r>
                </w:p>
              </w:tc>
              <w:tc>
                <w:tcPr>
                  <w:tcW w:w="597" w:type="pct"/>
                  <w:noWrap w:val="0"/>
                  <w:vAlign w:val="center"/>
                </w:tcPr>
                <w:p w14:paraId="039D2455">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5.4</w:t>
                  </w:r>
                </w:p>
              </w:tc>
              <w:tc>
                <w:tcPr>
                  <w:tcW w:w="597" w:type="pct"/>
                  <w:noWrap w:val="0"/>
                  <w:vAlign w:val="center"/>
                </w:tcPr>
                <w:p w14:paraId="4F96C52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21.7</w:t>
                  </w:r>
                </w:p>
              </w:tc>
              <w:tc>
                <w:tcPr>
                  <w:tcW w:w="597" w:type="pct"/>
                  <w:noWrap w:val="0"/>
                  <w:vAlign w:val="center"/>
                </w:tcPr>
                <w:p w14:paraId="6B3FC671">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+16.3</w:t>
                  </w:r>
                </w:p>
              </w:tc>
              <w:tc>
                <w:tcPr>
                  <w:tcW w:w="1481" w:type="pct"/>
                  <w:noWrap w:val="0"/>
                  <w:vAlign w:val="center"/>
                </w:tcPr>
                <w:p w14:paraId="2EB0EE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来自当地自来水公司</w:t>
                  </w:r>
                </w:p>
              </w:tc>
            </w:tr>
            <w:tr w14:paraId="5F9A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2" w:type="pct"/>
                  <w:tcBorders>
                    <w:top w:val="single" w:color="auto" w:sz="4" w:space="0"/>
                    <w:bottom w:val="single" w:color="auto" w:sz="4" w:space="0"/>
                  </w:tcBorders>
                  <w:noWrap w:val="0"/>
                  <w:vAlign w:val="center"/>
                </w:tcPr>
                <w:p w14:paraId="7011DC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629" w:type="pct"/>
                  <w:noWrap w:val="0"/>
                  <w:vAlign w:val="center"/>
                </w:tcPr>
                <w:p w14:paraId="46EE96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电</w:t>
                  </w:r>
                </w:p>
              </w:tc>
              <w:tc>
                <w:tcPr>
                  <w:tcW w:w="684" w:type="pct"/>
                  <w:noWrap w:val="0"/>
                  <w:vAlign w:val="center"/>
                </w:tcPr>
                <w:p w14:paraId="48349F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万kwh/a</w:t>
                  </w:r>
                </w:p>
              </w:tc>
              <w:tc>
                <w:tcPr>
                  <w:tcW w:w="597" w:type="pct"/>
                  <w:noWrap w:val="0"/>
                  <w:vAlign w:val="center"/>
                </w:tcPr>
                <w:p w14:paraId="27DF05FF">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869.4</w:t>
                  </w:r>
                </w:p>
              </w:tc>
              <w:tc>
                <w:tcPr>
                  <w:tcW w:w="597" w:type="pct"/>
                  <w:noWrap w:val="0"/>
                  <w:vAlign w:val="center"/>
                </w:tcPr>
                <w:p w14:paraId="422A76B7">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2669.4</w:t>
                  </w:r>
                </w:p>
              </w:tc>
              <w:tc>
                <w:tcPr>
                  <w:tcW w:w="597" w:type="pct"/>
                  <w:noWrap w:val="0"/>
                  <w:vAlign w:val="center"/>
                </w:tcPr>
                <w:p w14:paraId="25055D73">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+1800</w:t>
                  </w:r>
                </w:p>
              </w:tc>
              <w:tc>
                <w:tcPr>
                  <w:tcW w:w="1481" w:type="pct"/>
                  <w:noWrap w:val="0"/>
                  <w:vAlign w:val="center"/>
                </w:tcPr>
                <w:p w14:paraId="704C3B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来自当地国家电网</w:t>
                  </w:r>
                </w:p>
              </w:tc>
            </w:tr>
            <w:tr w14:paraId="16AB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2" w:type="pct"/>
                  <w:tcBorders>
                    <w:top w:val="single" w:color="auto" w:sz="4" w:space="0"/>
                  </w:tcBorders>
                  <w:noWrap w:val="0"/>
                  <w:vAlign w:val="center"/>
                </w:tcPr>
                <w:p w14:paraId="7188D7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629" w:type="pct"/>
                  <w:noWrap w:val="0"/>
                  <w:vAlign w:val="center"/>
                </w:tcPr>
                <w:p w14:paraId="59538C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蒸汽</w:t>
                  </w:r>
                </w:p>
              </w:tc>
              <w:tc>
                <w:tcPr>
                  <w:tcW w:w="684" w:type="pct"/>
                  <w:noWrap w:val="0"/>
                  <w:vAlign w:val="center"/>
                </w:tcPr>
                <w:p w14:paraId="359607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万t/a</w:t>
                  </w:r>
                </w:p>
              </w:tc>
              <w:tc>
                <w:tcPr>
                  <w:tcW w:w="597" w:type="pct"/>
                  <w:noWrap w:val="0"/>
                  <w:vAlign w:val="center"/>
                </w:tcPr>
                <w:p w14:paraId="62AC4860">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2.58</w:t>
                  </w:r>
                </w:p>
              </w:tc>
              <w:tc>
                <w:tcPr>
                  <w:tcW w:w="597" w:type="pct"/>
                  <w:noWrap w:val="0"/>
                  <w:vAlign w:val="center"/>
                </w:tcPr>
                <w:p w14:paraId="342A0B03">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12.58</w:t>
                  </w:r>
                </w:p>
              </w:tc>
              <w:tc>
                <w:tcPr>
                  <w:tcW w:w="597" w:type="pct"/>
                  <w:noWrap w:val="0"/>
                  <w:vAlign w:val="center"/>
                </w:tcPr>
                <w:p w14:paraId="05140EF8">
                  <w:pPr>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w:t>
                  </w:r>
                </w:p>
              </w:tc>
              <w:tc>
                <w:tcPr>
                  <w:tcW w:w="1481" w:type="pct"/>
                  <w:noWrap w:val="0"/>
                  <w:vAlign w:val="center"/>
                </w:tcPr>
                <w:p w14:paraId="4C2BDD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来自当地热力公司管道输送</w:t>
                  </w:r>
                </w:p>
              </w:tc>
            </w:tr>
          </w:tbl>
          <w:p w14:paraId="3A319C2F">
            <w:pPr>
              <w:rPr>
                <w:rFonts w:hint="default"/>
                <w:color w:val="000000" w:themeColor="text1"/>
                <w14:textFill>
                  <w14:solidFill>
                    <w14:schemeClr w14:val="tx1"/>
                  </w14:solidFill>
                </w14:textFill>
              </w:rPr>
            </w:pPr>
          </w:p>
          <w:p w14:paraId="4074DA42">
            <w:pPr>
              <w:pStyle w:val="16"/>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扩建项目水平衡如下图。</w:t>
            </w:r>
          </w:p>
          <w:p w14:paraId="62458C79">
            <w:pPr>
              <w:pStyle w:val="16"/>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color w:val="000000" w:themeColor="text1"/>
                <w:sz w:val="24"/>
                <w:szCs w:val="24"/>
                <w:lang w:val="en-US" w:eastAsia="zh-CN"/>
                <w14:textFill>
                  <w14:solidFill>
                    <w14:schemeClr w14:val="tx1"/>
                  </w14:solidFill>
                </w14:textFill>
              </w:rPr>
            </w:pPr>
          </w:p>
          <w:p w14:paraId="75878185">
            <w:pPr>
              <w:rPr>
                <w:rFonts w:hint="default"/>
                <w:color w:val="000000" w:themeColor="text1"/>
                <w:sz w:val="24"/>
                <w:szCs w:val="24"/>
                <w:lang w:val="en-US" w:eastAsia="zh-CN"/>
                <w14:textFill>
                  <w14:solidFill>
                    <w14:schemeClr w14:val="tx1"/>
                  </w14:solidFill>
                </w14:textFill>
              </w:rPr>
            </w:pPr>
          </w:p>
          <w:p w14:paraId="6F623712">
            <w:pPr>
              <w:keepNext w:val="0"/>
              <w:keepLines w:val="0"/>
              <w:widowControl/>
              <w:suppressLineNumbers w:val="0"/>
              <w:jc w:val="center"/>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4737735" cy="6706870"/>
                  <wp:effectExtent l="0" t="0" r="5715" b="1778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11"/>
                          <a:stretch>
                            <a:fillRect/>
                          </a:stretch>
                        </pic:blipFill>
                        <pic:spPr>
                          <a:xfrm>
                            <a:off x="0" y="0"/>
                            <a:ext cx="4737735" cy="6706870"/>
                          </a:xfrm>
                          <a:prstGeom prst="rect">
                            <a:avLst/>
                          </a:prstGeom>
                          <a:noFill/>
                          <a:ln w="9525">
                            <a:noFill/>
                          </a:ln>
                        </pic:spPr>
                      </pic:pic>
                    </a:graphicData>
                  </a:graphic>
                </wp:inline>
              </w:drawing>
            </w:r>
          </w:p>
          <w:p w14:paraId="7A15852A">
            <w:pPr>
              <w:pStyle w:val="16"/>
              <w:keepNext w:val="0"/>
              <w:keepLines w:val="0"/>
              <w:pageBreakBefore w:val="0"/>
              <w:widowControl w:val="0"/>
              <w:kinsoku/>
              <w:wordWrap/>
              <w:overflowPunct/>
              <w:topLinePunct w:val="0"/>
              <w:autoSpaceDE/>
              <w:autoSpaceDN/>
              <w:bidi w:val="0"/>
              <w:adjustRightInd/>
              <w:snapToGrid/>
              <w:spacing w:before="157" w:beforeLines="50" w:after="0" w:line="360" w:lineRule="auto"/>
              <w:ind w:left="0" w:leftChars="0" w:firstLine="0" w:firstLineChars="0"/>
              <w:jc w:val="center"/>
              <w:textAlignment w:val="auto"/>
              <w:rPr>
                <w:rFonts w:hint="default"/>
                <w:color w:val="000000" w:themeColor="text1"/>
                <w:sz w:val="24"/>
                <w:szCs w:val="24"/>
                <w:highlight w:val="yellow"/>
                <w:lang w:val="en-US" w:eastAsia="zh-CN"/>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扩建项目水平衡图（单位：m</w:t>
            </w:r>
            <w:r>
              <w:rPr>
                <w:rFonts w:hint="eastAsia"/>
                <w:b/>
                <w:bCs/>
                <w:color w:val="000000" w:themeColor="text1"/>
                <w:sz w:val="24"/>
                <w:szCs w:val="24"/>
                <w:highlight w:val="none"/>
                <w:vertAlign w:val="superscript"/>
                <w:lang w:val="en-US" w:eastAsia="zh-CN"/>
                <w14:textFill>
                  <w14:solidFill>
                    <w14:schemeClr w14:val="tx1"/>
                  </w14:solidFill>
                </w14:textFill>
              </w:rPr>
              <w:t>3</w:t>
            </w:r>
            <w:r>
              <w:rPr>
                <w:rFonts w:hint="eastAsia"/>
                <w:b/>
                <w:bCs/>
                <w:color w:val="000000" w:themeColor="text1"/>
                <w:sz w:val="24"/>
                <w:szCs w:val="24"/>
                <w:highlight w:val="none"/>
                <w:lang w:val="en-US" w:eastAsia="zh-CN"/>
                <w14:textFill>
                  <w14:solidFill>
                    <w14:schemeClr w14:val="tx1"/>
                  </w14:solidFill>
                </w14:textFill>
              </w:rPr>
              <w:t>/d）</w:t>
            </w:r>
          </w:p>
          <w:p w14:paraId="5193C8DC">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0" w:firstLineChars="0"/>
              <w:textAlignment w:val="auto"/>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五、劳动定员及工作制度</w:t>
            </w:r>
          </w:p>
          <w:p w14:paraId="2C9ED5C2">
            <w:pPr>
              <w:keepNext w:val="0"/>
              <w:overflowPunct/>
              <w:adjustRightInd w:val="0"/>
              <w:snapToGrid w:val="0"/>
              <w:spacing w:line="360" w:lineRule="auto"/>
              <w:ind w:firstLine="470" w:firstLineChars="196"/>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公司原有劳动定员240人，扩建项目拟新增180人。</w:t>
            </w:r>
          </w:p>
          <w:p w14:paraId="5D0292C9">
            <w:pPr>
              <w:keepNext w:val="0"/>
              <w:overflowPunct/>
              <w:adjustRightInd w:val="0"/>
              <w:snapToGrid w:val="0"/>
              <w:spacing w:line="360" w:lineRule="auto"/>
              <w:ind w:firstLine="470" w:firstLineChars="196"/>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项目扩建后工作制度不变，仍为年平均工作日为300天，每天三班制，每班工作8小时，年工作7200小时。</w:t>
            </w:r>
          </w:p>
          <w:p w14:paraId="3CFB5F0C">
            <w:pPr>
              <w:keepNext w:val="0"/>
              <w:keepLines w:val="0"/>
              <w:suppressLineNumbers w:val="0"/>
              <w:spacing w:before="0" w:beforeAutospacing="0" w:after="0" w:afterAutospacing="0" w:line="360" w:lineRule="auto"/>
              <w:ind w:right="0"/>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六、</w:t>
            </w:r>
            <w:r>
              <w:rPr>
                <w:rFonts w:hint="eastAsia"/>
                <w:color w:val="000000" w:themeColor="text1"/>
                <w:sz w:val="24"/>
                <w:szCs w:val="24"/>
                <w:highlight w:val="none"/>
                <w:lang w:val="en-US" w:eastAsia="zh-CN"/>
                <w14:textFill>
                  <w14:solidFill>
                    <w14:schemeClr w14:val="tx1"/>
                  </w14:solidFill>
                </w14:textFill>
              </w:rPr>
              <w:t>厂区平面布置</w:t>
            </w:r>
            <w:r>
              <w:rPr>
                <w:rFonts w:hint="default"/>
                <w:color w:val="000000" w:themeColor="text1"/>
                <w:sz w:val="24"/>
                <w:szCs w:val="24"/>
                <w14:textFill>
                  <w14:solidFill>
                    <w14:schemeClr w14:val="tx1"/>
                  </w14:solidFill>
                </w14:textFill>
              </w:rPr>
              <w:t>情况及合理性分析</w:t>
            </w:r>
          </w:p>
          <w:p w14:paraId="541ECFBF">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left"/>
              <w:textAlignment w:val="auto"/>
              <w:rPr>
                <w:rFonts w:hint="eastAsia"/>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本项目</w:t>
            </w:r>
            <w:r>
              <w:rPr>
                <w:rFonts w:hint="eastAsia"/>
                <w:color w:val="000000" w:themeColor="text1"/>
                <w:sz w:val="24"/>
                <w:szCs w:val="24"/>
                <w:highlight w:val="none"/>
                <w:lang w:val="en-US" w:eastAsia="zh-CN"/>
                <w14:textFill>
                  <w14:solidFill>
                    <w14:schemeClr w14:val="tx1"/>
                  </w14:solidFill>
                </w14:textFill>
              </w:rPr>
              <w:t>扩建</w:t>
            </w:r>
            <w:r>
              <w:rPr>
                <w:rFonts w:hint="default"/>
                <w:color w:val="000000" w:themeColor="text1"/>
                <w:sz w:val="24"/>
                <w:szCs w:val="24"/>
                <w:highlight w:val="none"/>
                <w14:textFill>
                  <w14:solidFill>
                    <w14:schemeClr w14:val="tx1"/>
                  </w14:solidFill>
                </w14:textFill>
              </w:rPr>
              <w:t>占地面积</w:t>
            </w:r>
            <w:r>
              <w:rPr>
                <w:rFonts w:hint="eastAsia"/>
                <w:b w:val="0"/>
                <w:bCs w:val="0"/>
                <w:color w:val="000000" w:themeColor="text1"/>
                <w:kern w:val="2"/>
                <w:sz w:val="24"/>
                <w:szCs w:val="24"/>
                <w:lang w:val="en-US" w:eastAsia="zh-CN" w:bidi="ar-SA"/>
                <w14:textFill>
                  <w14:solidFill>
                    <w14:schemeClr w14:val="tx1"/>
                  </w14:solidFill>
                </w14:textFill>
              </w:rPr>
              <w:t>27433.86平方米</w:t>
            </w:r>
            <w:r>
              <w:rPr>
                <w:rFonts w:hint="default"/>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建筑面积22344.37平方米</w:t>
            </w:r>
            <w:r>
              <w:rPr>
                <w:rFonts w:hint="default"/>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包括提取车间</w:t>
            </w:r>
            <w:r>
              <w:rPr>
                <w:rFonts w:hint="default"/>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中药制剂车间、中药材及成品</w:t>
            </w:r>
            <w:r>
              <w:rPr>
                <w:rFonts w:hint="default"/>
                <w:color w:val="000000" w:themeColor="text1"/>
                <w:sz w:val="24"/>
                <w:szCs w:val="24"/>
                <w:highlight w:val="none"/>
                <w14:textFill>
                  <w14:solidFill>
                    <w14:schemeClr w14:val="tx1"/>
                  </w14:solidFill>
                </w14:textFill>
              </w:rPr>
              <w:t>仓库、</w:t>
            </w:r>
            <w:r>
              <w:rPr>
                <w:rFonts w:hint="eastAsia"/>
                <w:color w:val="000000" w:themeColor="text1"/>
                <w:sz w:val="24"/>
                <w:szCs w:val="24"/>
                <w:highlight w:val="none"/>
                <w:lang w:val="en-US" w:eastAsia="zh-CN"/>
                <w14:textFill>
                  <w14:solidFill>
                    <w14:schemeClr w14:val="tx1"/>
                  </w14:solidFill>
                </w14:textFill>
              </w:rPr>
              <w:t>乙醇罐区、污水处理站</w:t>
            </w:r>
            <w:r>
              <w:rPr>
                <w:rFonts w:hint="default"/>
                <w:color w:val="000000" w:themeColor="text1"/>
                <w:sz w:val="24"/>
                <w:szCs w:val="24"/>
                <w:highlight w:val="none"/>
                <w14:textFill>
                  <w14:solidFill>
                    <w14:schemeClr w14:val="tx1"/>
                  </w14:solidFill>
                </w14:textFill>
              </w:rPr>
              <w:t>等，</w:t>
            </w:r>
            <w:r>
              <w:rPr>
                <w:rFonts w:hint="eastAsia"/>
                <w:color w:val="000000" w:themeColor="text1"/>
                <w:sz w:val="24"/>
                <w:szCs w:val="24"/>
                <w:highlight w:val="none"/>
                <w:lang w:val="en-US" w:eastAsia="zh-CN"/>
                <w14:textFill>
                  <w14:solidFill>
                    <w14:schemeClr w14:val="tx1"/>
                  </w14:solidFill>
                </w14:textFill>
              </w:rPr>
              <w:t>严格按照我国现行中成药建筑规范要求进行设计、建设、管理，达到人流、物流走向合理，相对分类，各生产工序及主要厂区布局合理顺畅。本项目平面</w:t>
            </w:r>
            <w:r>
              <w:rPr>
                <w:rFonts w:hint="default"/>
                <w:color w:val="000000" w:themeColor="text1"/>
                <w:sz w:val="24"/>
                <w:szCs w:val="24"/>
                <w:highlight w:val="none"/>
                <w14:textFill>
                  <w14:solidFill>
                    <w14:schemeClr w14:val="tx1"/>
                  </w14:solidFill>
                </w14:textFill>
              </w:rPr>
              <w:t>布置图</w:t>
            </w:r>
            <w:r>
              <w:rPr>
                <w:rFonts w:hint="eastAsia"/>
                <w:color w:val="000000" w:themeColor="text1"/>
                <w:sz w:val="24"/>
                <w:szCs w:val="24"/>
                <w:highlight w:val="none"/>
                <w:lang w:val="en-US" w:eastAsia="zh-CN"/>
                <w14:textFill>
                  <w14:solidFill>
                    <w14:schemeClr w14:val="tx1"/>
                  </w14:solidFill>
                </w14:textFill>
              </w:rPr>
              <w:t>见附图三。</w:t>
            </w:r>
          </w:p>
          <w:p w14:paraId="12BB9E9A">
            <w:pPr>
              <w:keepNext w:val="0"/>
              <w:keepLines w:val="0"/>
              <w:pageBreakBefore w:val="0"/>
              <w:widowControl w:val="0"/>
              <w:kinsoku/>
              <w:wordWrap/>
              <w:overflowPunct/>
              <w:topLinePunct w:val="0"/>
              <w:autoSpaceDE/>
              <w:autoSpaceDN/>
              <w:bidi w:val="0"/>
              <w:adjustRightInd w:val="0"/>
              <w:snapToGrid w:val="0"/>
              <w:spacing w:line="240" w:lineRule="auto"/>
              <w:ind w:firstLine="411" w:firstLineChars="196"/>
              <w:jc w:val="left"/>
              <w:textAlignment w:val="auto"/>
              <w:rPr>
                <w:rFonts w:hint="default"/>
                <w:color w:val="000000" w:themeColor="text1"/>
                <w:szCs w:val="21"/>
                <w:lang w:val="en-US" w:eastAsia="zh-CN"/>
                <w14:textFill>
                  <w14:solidFill>
                    <w14:schemeClr w14:val="tx1"/>
                  </w14:solidFill>
                </w14:textFill>
              </w:rPr>
            </w:pPr>
          </w:p>
        </w:tc>
      </w:tr>
      <w:tr w14:paraId="092747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3" w:hRule="atLeast"/>
          <w:jc w:val="center"/>
        </w:trPr>
        <w:tc>
          <w:tcPr>
            <w:tcW w:w="418" w:type="pct"/>
            <w:noWrap w:val="0"/>
            <w:vAlign w:val="center"/>
          </w:tcPr>
          <w:p w14:paraId="0DB21C9C">
            <w:pPr>
              <w:pStyle w:val="22"/>
              <w:adjustRightInd w:val="0"/>
              <w:snapToGrid w:val="0"/>
              <w:spacing w:before="0" w:beforeAutospacing="0" w:after="0" w:afterAutospacing="0"/>
              <w:jc w:val="center"/>
              <w:rPr>
                <w:rFonts w:hint="default" w:ascii="Times New Roman" w:hAnsi="Times New Roman" w:cs="Times New Roman"/>
                <w:bCs/>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工艺流程和产排污环节</w:t>
            </w:r>
          </w:p>
        </w:tc>
        <w:tc>
          <w:tcPr>
            <w:tcW w:w="4581" w:type="pct"/>
            <w:noWrap w:val="0"/>
            <w:vAlign w:val="top"/>
          </w:tcPr>
          <w:p w14:paraId="07C9F570">
            <w:pPr>
              <w:keepNext w:val="0"/>
              <w:keepLines w:val="0"/>
              <w:pageBreakBefore w:val="0"/>
              <w:widowControl w:val="0"/>
              <w:tabs>
                <w:tab w:val="left" w:pos="2440"/>
              </w:tabs>
              <w:kinsoku/>
              <w:wordWrap/>
              <w:overflowPunct/>
              <w:topLinePunct w:val="0"/>
              <w:autoSpaceDE/>
              <w:autoSpaceDN/>
              <w:bidi w:val="0"/>
              <w:adjustRightInd w:val="0"/>
              <w:snapToGrid w:val="0"/>
              <w:spacing w:before="313" w:beforeLines="100" w:line="360" w:lineRule="auto"/>
              <w:ind w:firstLine="0" w:firstLineChars="0"/>
              <w:jc w:val="left"/>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一、施工期生产工艺流程及产污环节</w:t>
            </w:r>
          </w:p>
          <w:p w14:paraId="764B7F25">
            <w:pPr>
              <w:keepNext w:val="0"/>
              <w:keepLines w:val="0"/>
              <w:pageBreakBefore w:val="0"/>
              <w:widowControl w:val="0"/>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highlight w:val="yellow"/>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本项目为扩建项目，施工内容主要为现有厂址南侧新建厂房及辅助用房等，施工期计划为24个月，施工期工艺流程及产污环节如下：</w:t>
            </w:r>
          </w:p>
          <w:p w14:paraId="5B150FEB">
            <w:pPr>
              <w:keepNext w:val="0"/>
              <w:keepLines w:val="0"/>
              <w:pageBreakBefore w:val="0"/>
              <w:widowControl w:val="0"/>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p>
          <w:p w14:paraId="16DA31D7">
            <w:pPr>
              <w:keepNext w:val="0"/>
              <w:keepLines w:val="0"/>
              <w:pageBreakBefore w:val="0"/>
              <w:tabs>
                <w:tab w:val="left" w:pos="2440"/>
              </w:tabs>
              <w:kinsoku/>
              <w:wordWrap/>
              <w:overflowPunct/>
              <w:topLinePunct w:val="0"/>
              <w:autoSpaceDE/>
              <w:autoSpaceDN/>
              <w:bidi w:val="0"/>
              <w:adjustRightInd w:val="0"/>
              <w:snapToGrid w:val="0"/>
              <w:spacing w:line="360" w:lineRule="auto"/>
              <w:ind w:firstLine="0" w:firstLineChars="0"/>
              <w:jc w:val="left"/>
              <w:textAlignment w:val="auto"/>
              <w:rPr>
                <w:rFonts w:hint="eastAsia"/>
                <w:color w:val="000000" w:themeColor="text1"/>
                <w:sz w:val="24"/>
                <w:szCs w:val="24"/>
                <w:lang w:val="en-US" w:eastAsia="zh-CN"/>
                <w14:textFill>
                  <w14:solidFill>
                    <w14:schemeClr w14:val="tx1"/>
                  </w14:solidFill>
                </w14:textFill>
              </w:rPr>
            </w:pPr>
            <w:r>
              <w:rPr>
                <w:color w:val="000000" w:themeColor="text1"/>
                <w:sz w:val="24"/>
                <w14:textFill>
                  <w14:solidFill>
                    <w14:schemeClr w14:val="tx1"/>
                  </w14:solidFill>
                </w14:textFill>
              </w:rPr>
              <mc:AlternateContent>
                <mc:Choice Requires="wpc">
                  <w:drawing>
                    <wp:inline distT="0" distB="0" distL="114300" distR="114300">
                      <wp:extent cx="5043805" cy="1090930"/>
                      <wp:effectExtent l="0" t="0" r="0" b="0"/>
                      <wp:docPr id="236" name="画布 236"/>
                      <wp:cNvGraphicFramePr/>
                      <a:graphic xmlns:a="http://schemas.openxmlformats.org/drawingml/2006/main">
                        <a:graphicData uri="http://schemas.microsoft.com/office/word/2010/wordprocessingCanvas">
                          <wpc:wpc>
                            <wpc:bg/>
                            <wpc:whole/>
                            <wps:wsp>
                              <wps:cNvPr id="18" name="文本框 237"/>
                              <wps:cNvSpPr txBox="1"/>
                              <wps:spPr>
                                <a:xfrm>
                                  <a:off x="93980" y="694055"/>
                                  <a:ext cx="865505" cy="2692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E810C48">
                                    <w:pPr>
                                      <w:jc w:val="center"/>
                                      <w:rPr>
                                        <w:rFonts w:hint="default" w:eastAsia="宋体"/>
                                        <w:lang w:val="en-US" w:eastAsia="zh-CN"/>
                                      </w:rPr>
                                    </w:pPr>
                                    <w:r>
                                      <w:rPr>
                                        <w:rFonts w:hint="eastAsia"/>
                                        <w:lang w:val="en-US" w:eastAsia="zh-CN"/>
                                      </w:rPr>
                                      <w:t>地基开挖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文本框 238"/>
                              <wps:cNvSpPr txBox="1"/>
                              <wps:spPr>
                                <a:xfrm>
                                  <a:off x="1389380" y="694055"/>
                                  <a:ext cx="865505" cy="2692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046E0FB">
                                    <w:pPr>
                                      <w:jc w:val="center"/>
                                      <w:rPr>
                                        <w:rFonts w:hint="default" w:eastAsia="宋体"/>
                                        <w:lang w:val="en-US" w:eastAsia="zh-CN"/>
                                      </w:rPr>
                                    </w:pPr>
                                    <w:r>
                                      <w:rPr>
                                        <w:rFonts w:hint="eastAsia"/>
                                        <w:lang w:val="en-US" w:eastAsia="zh-CN"/>
                                      </w:rPr>
                                      <w:t>工程施工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 name="文本框 239"/>
                              <wps:cNvSpPr txBox="1"/>
                              <wps:spPr>
                                <a:xfrm>
                                  <a:off x="2732405" y="694055"/>
                                  <a:ext cx="865505" cy="2692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720E12">
                                    <w:pPr>
                                      <w:jc w:val="center"/>
                                      <w:rPr>
                                        <w:rFonts w:hint="default" w:eastAsia="宋体"/>
                                        <w:lang w:val="en-US" w:eastAsia="zh-CN"/>
                                      </w:rPr>
                                    </w:pPr>
                                    <w:r>
                                      <w:rPr>
                                        <w:rFonts w:hint="eastAsia"/>
                                        <w:lang w:val="en-US" w:eastAsia="zh-CN"/>
                                      </w:rPr>
                                      <w:t>道路铺设</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文本框 240"/>
                              <wps:cNvSpPr txBox="1"/>
                              <wps:spPr>
                                <a:xfrm>
                                  <a:off x="4064000" y="694055"/>
                                  <a:ext cx="865505" cy="2692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F22D72">
                                    <w:pPr>
                                      <w:jc w:val="center"/>
                                      <w:rPr>
                                        <w:rFonts w:hint="default" w:eastAsia="宋体"/>
                                        <w:lang w:val="en-US" w:eastAsia="zh-CN"/>
                                      </w:rPr>
                                    </w:pPr>
                                    <w:r>
                                      <w:rPr>
                                        <w:rFonts w:hint="eastAsia"/>
                                        <w:lang w:val="en-US" w:eastAsia="zh-CN"/>
                                      </w:rPr>
                                      <w:t>竣工验收</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 name="文本框 241"/>
                              <wps:cNvSpPr txBox="1"/>
                              <wps:spPr>
                                <a:xfrm>
                                  <a:off x="103505" y="9525"/>
                                  <a:ext cx="3488055" cy="306070"/>
                                </a:xfrm>
                                <a:prstGeom prst="rect">
                                  <a:avLst/>
                                </a:prstGeom>
                                <a:solidFill>
                                  <a:schemeClr val="lt1"/>
                                </a:solidFill>
                                <a:ln w="6350">
                                  <a:solidFill>
                                    <a:schemeClr val="tx1"/>
                                  </a:solidFill>
                                  <a:prstDash val="lgDash"/>
                                </a:ln>
                              </wps:spPr>
                              <wps:style>
                                <a:lnRef idx="0">
                                  <a:schemeClr val="accent1"/>
                                </a:lnRef>
                                <a:fillRef idx="0">
                                  <a:schemeClr val="accent1"/>
                                </a:fillRef>
                                <a:effectRef idx="0">
                                  <a:schemeClr val="accent1"/>
                                </a:effectRef>
                                <a:fontRef idx="minor">
                                  <a:schemeClr val="dk1"/>
                                </a:fontRef>
                              </wps:style>
                              <wps:txbx>
                                <w:txbxContent>
                                  <w:p w14:paraId="0BF4CD8A">
                                    <w:pPr>
                                      <w:keepLines w:val="0"/>
                                      <w:pageBreakBefore w:val="0"/>
                                      <w:widowControl w:val="0"/>
                                      <w:kinsoku/>
                                      <w:wordWrap/>
                                      <w:topLinePunct w:val="0"/>
                                      <w:autoSpaceDE/>
                                      <w:autoSpaceDN/>
                                      <w:bidi w:val="0"/>
                                      <w:adjustRightInd/>
                                      <w:snapToGrid w:val="0"/>
                                      <w:spacing w:line="240" w:lineRule="auto"/>
                                      <w:jc w:val="center"/>
                                      <w:textAlignment w:val="auto"/>
                                      <w:rPr>
                                        <w:rFonts w:hint="default"/>
                                        <w:sz w:val="21"/>
                                        <w:szCs w:val="21"/>
                                        <w:lang w:val="en-US" w:eastAsia="zh-CN"/>
                                      </w:rPr>
                                    </w:pPr>
                                    <w:r>
                                      <w:rPr>
                                        <w:rFonts w:hint="eastAsia"/>
                                        <w:sz w:val="21"/>
                                        <w:szCs w:val="21"/>
                                        <w:lang w:val="en-US" w:eastAsia="zh-CN"/>
                                      </w:rPr>
                                      <w:t>施工扬尘、噪声、建筑垃圾等</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直接箭头连接符 242"/>
                              <wps:cNvCnPr>
                                <a:stCxn id="237" idx="3"/>
                                <a:endCxn id="238" idx="1"/>
                              </wps:cNvCnPr>
                              <wps:spPr>
                                <a:xfrm>
                                  <a:off x="959485" y="828675"/>
                                  <a:ext cx="42989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直接箭头连接符 243"/>
                              <wps:cNvCnPr>
                                <a:stCxn id="238" idx="3"/>
                                <a:endCxn id="239" idx="1"/>
                              </wps:cNvCnPr>
                              <wps:spPr>
                                <a:xfrm>
                                  <a:off x="2254885" y="828675"/>
                                  <a:ext cx="4775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直接箭头连接符 244"/>
                              <wps:cNvCnPr>
                                <a:stCxn id="239" idx="3"/>
                                <a:endCxn id="240" idx="1"/>
                              </wps:cNvCnPr>
                              <wps:spPr>
                                <a:xfrm>
                                  <a:off x="3597910" y="828675"/>
                                  <a:ext cx="46609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直接箭头连接符 245"/>
                              <wps:cNvCnPr>
                                <a:stCxn id="237" idx="0"/>
                              </wps:cNvCnPr>
                              <wps:spPr>
                                <a:xfrm flipH="1" flipV="1">
                                  <a:off x="521970" y="327660"/>
                                  <a:ext cx="5080" cy="366395"/>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37" name="直接箭头连接符 246"/>
                              <wps:cNvCnPr/>
                              <wps:spPr>
                                <a:xfrm flipH="1" flipV="1">
                                  <a:off x="1818005" y="322580"/>
                                  <a:ext cx="5080" cy="366395"/>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40" name="直接箭头连接符 247"/>
                              <wps:cNvCnPr/>
                              <wps:spPr>
                                <a:xfrm flipH="1" flipV="1">
                                  <a:off x="3151505" y="322580"/>
                                  <a:ext cx="5080" cy="366395"/>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85.9pt;width:397.15pt;" coordsize="5043805,1090930" editas="canvas" o:gfxdata="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">
                      <o:lock v:ext="edit" aspectratio="f"/>
                      <v:shape id="_x0000_s1026" o:spid="_x0000_s1026" style="position:absolute;left:0;top:0;height:1090930;width:5043805;" filled="f" stroked="f" coordsize="21600,21600" o:gfxdata="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">
                        <v:fill on="f" focussize="0,0"/>
                        <v:stroke on="f"/>
                        <v:imagedata o:title=""/>
                        <o:lock v:ext="edit" aspectratio="f"/>
                      </v:shape>
                      <v:shape id="文本框 237" o:spid="_x0000_s1026" o:spt="202" type="#_x0000_t202" style="position:absolute;left:93980;top:694055;height:269240;width:865505;" fillcolor="#FFFFFF [3201]" filled="t" stroked="t" coordsize="21600,21600" o:gfxdata="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eqTn6tQAAAAFAQAADwAAAAAAAAABACAAAAAiAAAAZHJzL2Rvd25yZXYueG1sUEsBAhQAFAAA&#10;AAgAh07iQPkD7kJlAgAAwgQAAA4AAAAAAAAAAQAgAAAAIwEAAGRycy9lMm9Eb2MueG1sUEsFBgAA&#10;AAAGAAYAWQEAAPoFAAAAAA==&#10;">
                        <v:fill on="t" focussize="0,0"/>
                        <v:stroke weight="0.5pt" color="#000000 [3204]" joinstyle="round"/>
                        <v:imagedata o:title=""/>
                        <o:lock v:ext="edit" aspectratio="f"/>
                        <v:textbox>
                          <w:txbxContent>
                            <w:p w14:paraId="0E810C48">
                              <w:pPr>
                                <w:jc w:val="center"/>
                                <w:rPr>
                                  <w:rFonts w:hint="default" w:eastAsia="宋体"/>
                                  <w:lang w:val="en-US" w:eastAsia="zh-CN"/>
                                </w:rPr>
                              </w:pPr>
                              <w:r>
                                <w:rPr>
                                  <w:rFonts w:hint="eastAsia"/>
                                  <w:lang w:val="en-US" w:eastAsia="zh-CN"/>
                                </w:rPr>
                                <w:t>地基开挖</w:t>
                              </w:r>
                            </w:p>
                          </w:txbxContent>
                        </v:textbox>
                      </v:shape>
                      <v:shape id="文本框 238" o:spid="_x0000_s1026" o:spt="202" type="#_x0000_t202" style="position:absolute;left:1389380;top:694055;height:269240;width:865505;" fillcolor="#FFFFFF [3201]" filled="t" stroked="t" coordsize="21600,21600" o:gfxdata="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qTn6tQAAAAFAQAADwAAAAAAAAABACAAAAAiAAAAZHJzL2Rvd25yZXYueG1sUEsBAhQA&#10;FAAAAAgAh07iQGCSd/loAgAAxAQAAA4AAAAAAAAAAQAgAAAAIwEAAGRycy9lMm9Eb2MueG1sUEsF&#10;BgAAAAAGAAYAWQEAAP0FAAAAAA==&#10;">
                        <v:fill on="t" focussize="0,0"/>
                        <v:stroke weight="0.5pt" color="#000000 [3204]" joinstyle="round"/>
                        <v:imagedata o:title=""/>
                        <o:lock v:ext="edit" aspectratio="f"/>
                        <v:textbox>
                          <w:txbxContent>
                            <w:p w14:paraId="6046E0FB">
                              <w:pPr>
                                <w:jc w:val="center"/>
                                <w:rPr>
                                  <w:rFonts w:hint="default" w:eastAsia="宋体"/>
                                  <w:lang w:val="en-US" w:eastAsia="zh-CN"/>
                                </w:rPr>
                              </w:pPr>
                              <w:r>
                                <w:rPr>
                                  <w:rFonts w:hint="eastAsia"/>
                                  <w:lang w:val="en-US" w:eastAsia="zh-CN"/>
                                </w:rPr>
                                <w:t>工程施工</w:t>
                              </w:r>
                            </w:p>
                          </w:txbxContent>
                        </v:textbox>
                      </v:shape>
                      <v:shape id="文本框 239" o:spid="_x0000_s1026" o:spt="202" type="#_x0000_t202" style="position:absolute;left:2732405;top:694055;height:269240;width:865505;" fillcolor="#FFFFFF [3201]" filled="t" stroked="t" coordsize="21600,21600" o:gfxdata="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6&#10;pOfq1AAAAAUBAAAPAAAAAAAAAAEAIAAAACIAAABkcnMvZG93bnJldi54bWxQSwECFAAUAAAACACH&#10;TuJA2AnuumECAADEBAAADgAAAAAAAAABACAAAAAjAQAAZHJzL2Uyb0RvYy54bWxQSwUGAAAAAAYA&#10;BgBZAQAA9gUAAAAA&#10;">
                        <v:fill on="t" focussize="0,0"/>
                        <v:stroke weight="0.5pt" color="#000000 [3204]" joinstyle="round"/>
                        <v:imagedata o:title=""/>
                        <o:lock v:ext="edit" aspectratio="f"/>
                        <v:textbox>
                          <w:txbxContent>
                            <w:p w14:paraId="05720E12">
                              <w:pPr>
                                <w:jc w:val="center"/>
                                <w:rPr>
                                  <w:rFonts w:hint="default" w:eastAsia="宋体"/>
                                  <w:lang w:val="en-US" w:eastAsia="zh-CN"/>
                                </w:rPr>
                              </w:pPr>
                              <w:r>
                                <w:rPr>
                                  <w:rFonts w:hint="eastAsia"/>
                                  <w:lang w:val="en-US" w:eastAsia="zh-CN"/>
                                </w:rPr>
                                <w:t>道路铺设</w:t>
                              </w:r>
                            </w:p>
                          </w:txbxContent>
                        </v:textbox>
                      </v:shape>
                      <v:shape id="文本框 240" o:spid="_x0000_s1026" o:spt="202" type="#_x0000_t202" style="position:absolute;left:4064000;top:694055;height:269240;width:865505;" fillcolor="#FFFFFF [3201]" filled="t" stroked="t" coordsize="21600,21600" o:gfxdata="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eqTn6tQAAAAFAQAADwAAAAAAAAABACAAAAAiAAAAZHJzL2Rvd25yZXYueG1sUEsBAhQAFAAA&#10;AAgAh07iQOupKKBlAgAAxAQAAA4AAAAAAAAAAQAgAAAAIwEAAGRycy9lMm9Eb2MueG1sUEsFBgAA&#10;AAAGAAYAWQEAAPoFAAAAAA==&#10;">
                        <v:fill on="t" focussize="0,0"/>
                        <v:stroke weight="0.5pt" color="#000000 [3204]" joinstyle="round"/>
                        <v:imagedata o:title=""/>
                        <o:lock v:ext="edit" aspectratio="f"/>
                        <v:textbox>
                          <w:txbxContent>
                            <w:p w14:paraId="3AF22D72">
                              <w:pPr>
                                <w:jc w:val="center"/>
                                <w:rPr>
                                  <w:rFonts w:hint="default" w:eastAsia="宋体"/>
                                  <w:lang w:val="en-US" w:eastAsia="zh-CN"/>
                                </w:rPr>
                              </w:pPr>
                              <w:r>
                                <w:rPr>
                                  <w:rFonts w:hint="eastAsia"/>
                                  <w:lang w:val="en-US" w:eastAsia="zh-CN"/>
                                </w:rPr>
                                <w:t>竣工验收</w:t>
                              </w:r>
                            </w:p>
                          </w:txbxContent>
                        </v:textbox>
                      </v:shape>
                      <v:shape id="文本框 241" o:spid="_x0000_s1026" o:spt="202" type="#_x0000_t202" style="position:absolute;left:103505;top:9525;height:306070;width:3488055;" fillcolor="#FFFFFF [3201]" filled="t" stroked="t" coordsize="21600,21600" o:gfxdata="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C10OV/TAAAABQEAAA8AAAAAAAAAAQAgAAAAIgAAAGRycy9kb3ducmV2LnhtbFBL&#10;AQIUABQAAAAIAIdO4kCW1gYQbQIAAN0EAAAOAAAAAAAAAAEAIAAAACIBAABkcnMvZTJvRG9jLnht&#10;bFBLBQYAAAAABgAGAFkBAAABBgAAAAA=&#10;">
                        <v:fill on="t" focussize="0,0"/>
                        <v:stroke weight="0.5pt" color="#000000 [3213]" joinstyle="round" dashstyle="longDash"/>
                        <v:imagedata o:title=""/>
                        <o:lock v:ext="edit" aspectratio="f"/>
                        <v:textbox>
                          <w:txbxContent>
                            <w:p w14:paraId="0BF4CD8A">
                              <w:pPr>
                                <w:keepLines w:val="0"/>
                                <w:pageBreakBefore w:val="0"/>
                                <w:widowControl w:val="0"/>
                                <w:kinsoku/>
                                <w:wordWrap/>
                                <w:topLinePunct w:val="0"/>
                                <w:autoSpaceDE/>
                                <w:autoSpaceDN/>
                                <w:bidi w:val="0"/>
                                <w:adjustRightInd/>
                                <w:snapToGrid w:val="0"/>
                                <w:spacing w:line="240" w:lineRule="auto"/>
                                <w:jc w:val="center"/>
                                <w:textAlignment w:val="auto"/>
                                <w:rPr>
                                  <w:rFonts w:hint="default"/>
                                  <w:sz w:val="21"/>
                                  <w:szCs w:val="21"/>
                                  <w:lang w:val="en-US" w:eastAsia="zh-CN"/>
                                </w:rPr>
                              </w:pPr>
                              <w:r>
                                <w:rPr>
                                  <w:rFonts w:hint="eastAsia"/>
                                  <w:sz w:val="21"/>
                                  <w:szCs w:val="21"/>
                                  <w:lang w:val="en-US" w:eastAsia="zh-CN"/>
                                </w:rPr>
                                <w:t>施工扬尘、噪声、建筑垃圾等</w:t>
                              </w:r>
                            </w:p>
                          </w:txbxContent>
                        </v:textbox>
                      </v:shape>
                      <v:shape id="直接箭头连接符 242" o:spid="_x0000_s1026" o:spt="32" type="#_x0000_t32" style="position:absolute;left:959485;top:828675;height:0;width:429895;" filled="f" stroked="t" coordsize="21600,21600" o:gfxdata="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5ACwX&#10;1wAAAAUBAAAPAAAAAAAAAAEAIAAAACIAAABkcnMvZG93bnJldi54bWxQSwECFAAUAAAACACHTuJA&#10;dW5VVCICAAAaBAAADgAAAAAAAAABACAAAAAmAQAAZHJzL2Uyb0RvYy54bWxQSwUGAAAAAAYABgBZ&#10;AQAAugUAAAAA&#10;">
                        <v:fill on="f" focussize="0,0"/>
                        <v:stroke color="#000000 [3213]" joinstyle="round" endarrow="block"/>
                        <v:imagedata o:title=""/>
                        <o:lock v:ext="edit" aspectratio="f"/>
                      </v:shape>
                      <v:shape id="直接箭头连接符 243" o:spid="_x0000_s1026" o:spt="32" type="#_x0000_t32" style="position:absolute;left:2254885;top:828675;height:0;width:477520;" filled="f" stroked="t" coordsize="21600,21600" o:gfxdata="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5&#10;ACwX1wAAAAUBAAAPAAAAAAAAAAEAIAAAACIAAABkcnMvZG93bnJldi54bWxQSwECFAAUAAAACACH&#10;TuJADmAlMyUCAAAbBAAADgAAAAAAAAABACAAAAAmAQAAZHJzL2Uyb0RvYy54bWxQSwUGAAAAAAYA&#10;BgBZAQAAvQUAAAAA&#10;">
                        <v:fill on="f" focussize="0,0"/>
                        <v:stroke color="#000000 [3213]" joinstyle="round" endarrow="block"/>
                        <v:imagedata o:title=""/>
                        <o:lock v:ext="edit" aspectratio="f"/>
                      </v:shape>
                      <v:shape id="直接箭头连接符 244" o:spid="_x0000_s1026" o:spt="32" type="#_x0000_t32" style="position:absolute;left:3597910;top:828675;height:0;width:466090;" filled="f" stroked="t" coordsize="21600,21600" o:gfxdata="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5&#10;ACwX1wAAAAUBAAAPAAAAAAAAAAEAIAAAACIAAABkcnMvZG93bnJldi54bWxQSwECFAAUAAAACACH&#10;TuJAK4KLTCUCAAAbBAAADgAAAAAAAAABACAAAAAmAQAAZHJzL2Uyb0RvYy54bWxQSwUGAAAAAAYA&#10;BgBZAQAAvQUAAAAA&#10;">
                        <v:fill on="f" focussize="0,0"/>
                        <v:stroke color="#000000 [3213]" joinstyle="round" endarrow="block"/>
                        <v:imagedata o:title=""/>
                        <o:lock v:ext="edit" aspectratio="f"/>
                      </v:shape>
                      <v:shape id="直接箭头连接符 245" o:spid="_x0000_s1026" o:spt="32" type="#_x0000_t32" style="position:absolute;left:521970;top:327660;flip:x y;height:366395;width:5080;" filled="f" stroked="t" coordsize="21600,21600" o:gfxdata="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BJdn&#10;YtMAAAAFAQAADwAAAAAAAAABACAAAAAiAAAAZHJzL2Rvd25yZXYueG1sUEsBAhQAFAAAAAgAh07i&#10;QHB7Ol8nAgAAFgQAAA4AAAAAAAAAAQAgAAAAIgEAAGRycy9lMm9Eb2MueG1sUEsFBgAAAAAGAAYA&#10;WQEAALsFAAAAAA==&#10;">
                        <v:fill on="f" focussize="0,0"/>
                        <v:stroke color="#000000 [3213]" joinstyle="round" dashstyle="longDash" endarrow="block"/>
                        <v:imagedata o:title=""/>
                        <o:lock v:ext="edit" aspectratio="f"/>
                      </v:shape>
                      <v:shape id="直接箭头连接符 246" o:spid="_x0000_s1026" o:spt="32" type="#_x0000_t32" style="position:absolute;left:1818005;top:322580;flip:x y;height:366395;width:5080;" filled="f" stroked="t" coordsize="21600,21600" o:gfxdata="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SXZ2LTAAAABQEAAA8AAAAAAAAA&#10;AQAgAAAAIgAAAGRycy9kb3ducmV2LnhtbFBLAQIUABQAAAAIAIdO4kBoQ4h3FgIAAO8DAAAOAAAA&#10;AAAAAAEAIAAAACIBAABkcnMvZTJvRG9jLnhtbFBLBQYAAAAABgAGAFkBAACqBQAAAAA=&#10;">
                        <v:fill on="f" focussize="0,0"/>
                        <v:stroke color="#000000 [3213]" joinstyle="round" dashstyle="longDash" endarrow="block"/>
                        <v:imagedata o:title=""/>
                        <o:lock v:ext="edit" aspectratio="f"/>
                      </v:shape>
                      <v:shape id="直接箭头连接符 247" o:spid="_x0000_s1026" o:spt="32" type="#_x0000_t32" style="position:absolute;left:3151505;top:322580;flip:x y;height:366395;width:5080;" filled="f" stroked="t" coordsize="21600,21600" o:gfxdata="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SXZ2LTAAAABQEAAA8AAAAAAAAA&#10;AQAgAAAAIgAAAGRycy9kb3ducmV2LnhtbFBLAQIUABQAAAAIAIdO4kDJ8rrDFgIAAO8DAAAOAAAA&#10;AAAAAAEAIAAAACIBAABkcnMvZTJvRG9jLnhtbFBLBQYAAAAABgAGAFkBAACqBQAAAAA=&#10;">
                        <v:fill on="f" focussize="0,0"/>
                        <v:stroke color="#000000 [3213]" joinstyle="round" dashstyle="longDash" endarrow="block"/>
                        <v:imagedata o:title=""/>
                        <o:lock v:ext="edit" aspectratio="f"/>
                      </v:shape>
                      <w10:wrap type="none"/>
                      <w10:anchorlock/>
                    </v:group>
                  </w:pict>
                </mc:Fallback>
              </mc:AlternateContent>
            </w:r>
          </w:p>
          <w:p w14:paraId="7F8F7678">
            <w:pPr>
              <w:keepNext w:val="0"/>
              <w:keepLines w:val="0"/>
              <w:pageBreakBefore w:val="0"/>
              <w:tabs>
                <w:tab w:val="left" w:pos="2440"/>
              </w:tabs>
              <w:kinsoku/>
              <w:wordWrap/>
              <w:overflowPunct/>
              <w:topLinePunct w:val="0"/>
              <w:autoSpaceDE/>
              <w:autoSpaceDN/>
              <w:bidi w:val="0"/>
              <w:adjustRightInd w:val="0"/>
              <w:snapToGrid w:val="0"/>
              <w:spacing w:line="360" w:lineRule="auto"/>
              <w:ind w:firstLine="0" w:firstLineChars="0"/>
              <w:jc w:val="center"/>
              <w:textAlignment w:val="auto"/>
              <w:rPr>
                <w:rFonts w:hint="eastAsia"/>
                <w:b/>
                <w:bCs/>
                <w:color w:val="000000" w:themeColor="text1"/>
                <w:szCs w:val="21"/>
                <w:u w:val="none"/>
                <w:lang w:eastAsia="zh-CN"/>
                <w14:textFill>
                  <w14:solidFill>
                    <w14:schemeClr w14:val="tx1"/>
                  </w14:solidFill>
                </w14:textFill>
              </w:rPr>
            </w:pPr>
            <w:r>
              <w:rPr>
                <w:rFonts w:hint="eastAsia"/>
                <w:b/>
                <w:bCs/>
                <w:color w:val="000000" w:themeColor="text1"/>
                <w:szCs w:val="21"/>
                <w:u w:val="none"/>
                <w:lang w:val="en-US" w:eastAsia="zh-CN"/>
                <w14:textFill>
                  <w14:solidFill>
                    <w14:schemeClr w14:val="tx1"/>
                  </w14:solidFill>
                </w14:textFill>
              </w:rPr>
              <w:t>施工期</w:t>
            </w:r>
            <w:r>
              <w:rPr>
                <w:rFonts w:hint="eastAsia"/>
                <w:b/>
                <w:bCs/>
                <w:color w:val="000000" w:themeColor="text1"/>
                <w:szCs w:val="21"/>
                <w:u w:val="none"/>
                <w14:textFill>
                  <w14:solidFill>
                    <w14:schemeClr w14:val="tx1"/>
                  </w14:solidFill>
                </w14:textFill>
              </w:rPr>
              <w:t>生产</w:t>
            </w:r>
            <w:r>
              <w:rPr>
                <w:rFonts w:hint="eastAsia"/>
                <w:b/>
                <w:bCs/>
                <w:color w:val="000000" w:themeColor="text1"/>
                <w:szCs w:val="21"/>
                <w:u w:val="none"/>
                <w:lang w:val="en-US" w:eastAsia="zh-CN"/>
                <w14:textFill>
                  <w14:solidFill>
                    <w14:schemeClr w14:val="tx1"/>
                  </w14:solidFill>
                </w14:textFill>
              </w:rPr>
              <w:t>工艺</w:t>
            </w:r>
            <w:r>
              <w:rPr>
                <w:rFonts w:hint="default"/>
                <w:b/>
                <w:bCs/>
                <w:color w:val="000000" w:themeColor="text1"/>
                <w:szCs w:val="21"/>
                <w:u w:val="none"/>
                <w14:textFill>
                  <w14:solidFill>
                    <w14:schemeClr w14:val="tx1"/>
                  </w14:solidFill>
                </w14:textFill>
              </w:rPr>
              <w:t>流程及产污环节</w:t>
            </w:r>
            <w:r>
              <w:rPr>
                <w:rFonts w:hint="eastAsia"/>
                <w:b/>
                <w:bCs/>
                <w:color w:val="000000" w:themeColor="text1"/>
                <w:szCs w:val="21"/>
                <w:u w:val="none"/>
                <w:lang w:eastAsia="zh-CN"/>
                <w14:textFill>
                  <w14:solidFill>
                    <w14:schemeClr w14:val="tx1"/>
                  </w14:solidFill>
                </w14:textFill>
              </w:rPr>
              <w:t>图</w:t>
            </w:r>
          </w:p>
          <w:p w14:paraId="1E18E6BF">
            <w:pPr>
              <w:keepNext w:val="0"/>
              <w:keepLines w:val="0"/>
              <w:pageBreakBefore w:val="0"/>
              <w:tabs>
                <w:tab w:val="left" w:pos="2440"/>
              </w:tabs>
              <w:kinsoku/>
              <w:wordWrap/>
              <w:overflowPunct/>
              <w:topLinePunct w:val="0"/>
              <w:autoSpaceDE/>
              <w:autoSpaceDN/>
              <w:bidi w:val="0"/>
              <w:adjustRightInd w:val="0"/>
              <w:snapToGrid w:val="0"/>
              <w:spacing w:line="360" w:lineRule="auto"/>
              <w:ind w:firstLine="0" w:firstLineChars="0"/>
              <w:jc w:val="center"/>
              <w:textAlignment w:val="auto"/>
              <w:rPr>
                <w:rFonts w:hint="eastAsia"/>
                <w:b/>
                <w:bCs/>
                <w:color w:val="000000" w:themeColor="text1"/>
                <w:szCs w:val="21"/>
                <w:u w:val="none"/>
                <w:lang w:eastAsia="zh-CN"/>
                <w14:textFill>
                  <w14:solidFill>
                    <w14:schemeClr w14:val="tx1"/>
                  </w14:solidFill>
                </w14:textFill>
              </w:rPr>
            </w:pPr>
          </w:p>
          <w:p w14:paraId="6AB17065">
            <w:pPr>
              <w:keepNext w:val="0"/>
              <w:keepLines w:val="0"/>
              <w:pageBreakBefore w:val="0"/>
              <w:tabs>
                <w:tab w:val="left" w:pos="2440"/>
              </w:tabs>
              <w:kinsoku/>
              <w:wordWrap/>
              <w:overflowPunct/>
              <w:topLinePunct w:val="0"/>
              <w:autoSpaceDE/>
              <w:autoSpaceDN/>
              <w:bidi w:val="0"/>
              <w:adjustRightInd w:val="0"/>
              <w:snapToGrid w:val="0"/>
              <w:spacing w:line="360" w:lineRule="auto"/>
              <w:ind w:firstLine="0" w:firstLineChars="0"/>
              <w:jc w:val="center"/>
              <w:textAlignment w:val="auto"/>
              <w:rPr>
                <w:rFonts w:hint="eastAsia"/>
                <w:b/>
                <w:bCs/>
                <w:color w:val="000000" w:themeColor="text1"/>
                <w:szCs w:val="21"/>
                <w:u w:val="none"/>
                <w:lang w:eastAsia="zh-CN"/>
                <w14:textFill>
                  <w14:solidFill>
                    <w14:schemeClr w14:val="tx1"/>
                  </w14:solidFill>
                </w14:textFill>
              </w:rPr>
            </w:pPr>
          </w:p>
          <w:p w14:paraId="61C08FAB">
            <w:pPr>
              <w:keepNext w:val="0"/>
              <w:keepLines w:val="0"/>
              <w:pageBreakBefore w:val="0"/>
              <w:tabs>
                <w:tab w:val="left" w:pos="2440"/>
              </w:tabs>
              <w:kinsoku/>
              <w:wordWrap/>
              <w:overflowPunct/>
              <w:topLinePunct w:val="0"/>
              <w:autoSpaceDE/>
              <w:autoSpaceDN/>
              <w:bidi w:val="0"/>
              <w:adjustRightInd w:val="0"/>
              <w:snapToGrid w:val="0"/>
              <w:spacing w:line="360" w:lineRule="auto"/>
              <w:ind w:firstLine="0" w:firstLineChars="0"/>
              <w:jc w:val="center"/>
              <w:textAlignment w:val="auto"/>
              <w:rPr>
                <w:rFonts w:hint="eastAsia"/>
                <w:b/>
                <w:bCs/>
                <w:color w:val="000000" w:themeColor="text1"/>
                <w:szCs w:val="21"/>
                <w:u w:val="none"/>
                <w:lang w:eastAsia="zh-CN"/>
                <w14:textFill>
                  <w14:solidFill>
                    <w14:schemeClr w14:val="tx1"/>
                  </w14:solidFill>
                </w14:textFill>
              </w:rPr>
            </w:pPr>
          </w:p>
          <w:p w14:paraId="2FD2F597">
            <w:pPr>
              <w:keepNext w:val="0"/>
              <w:keepLines w:val="0"/>
              <w:pageBreakBefore w:val="0"/>
              <w:tabs>
                <w:tab w:val="left" w:pos="2440"/>
              </w:tabs>
              <w:kinsoku/>
              <w:wordWrap/>
              <w:overflowPunct/>
              <w:topLinePunct w:val="0"/>
              <w:autoSpaceDE/>
              <w:autoSpaceDN/>
              <w:bidi w:val="0"/>
              <w:adjustRightInd w:val="0"/>
              <w:snapToGrid w:val="0"/>
              <w:spacing w:line="360" w:lineRule="auto"/>
              <w:ind w:firstLine="0" w:firstLineChars="0"/>
              <w:jc w:val="center"/>
              <w:textAlignment w:val="auto"/>
              <w:rPr>
                <w:rFonts w:hint="eastAsia"/>
                <w:b/>
                <w:bCs/>
                <w:color w:val="000000" w:themeColor="text1"/>
                <w:szCs w:val="21"/>
                <w:u w:val="none"/>
                <w:lang w:eastAsia="zh-CN"/>
                <w14:textFill>
                  <w14:solidFill>
                    <w14:schemeClr w14:val="tx1"/>
                  </w14:solidFill>
                </w14:textFill>
              </w:rPr>
            </w:pPr>
          </w:p>
          <w:p w14:paraId="182FD4EB">
            <w:pPr>
              <w:keepNext w:val="0"/>
              <w:keepLines w:val="0"/>
              <w:pageBreakBefore w:val="0"/>
              <w:tabs>
                <w:tab w:val="left" w:pos="2440"/>
              </w:tabs>
              <w:kinsoku/>
              <w:wordWrap/>
              <w:overflowPunct/>
              <w:topLinePunct w:val="0"/>
              <w:autoSpaceDE/>
              <w:autoSpaceDN/>
              <w:bidi w:val="0"/>
              <w:adjustRightInd w:val="0"/>
              <w:snapToGrid w:val="0"/>
              <w:spacing w:line="360" w:lineRule="auto"/>
              <w:ind w:firstLine="0" w:firstLineChars="0"/>
              <w:jc w:val="center"/>
              <w:textAlignment w:val="auto"/>
              <w:rPr>
                <w:rFonts w:hint="eastAsia"/>
                <w:b/>
                <w:bCs/>
                <w:color w:val="000000" w:themeColor="text1"/>
                <w:szCs w:val="21"/>
                <w:u w:val="none"/>
                <w:lang w:eastAsia="zh-CN"/>
                <w14:textFill>
                  <w14:solidFill>
                    <w14:schemeClr w14:val="tx1"/>
                  </w14:solidFill>
                </w14:textFill>
              </w:rPr>
            </w:pPr>
          </w:p>
          <w:p w14:paraId="51EB8472">
            <w:pPr>
              <w:keepNext w:val="0"/>
              <w:keepLines w:val="0"/>
              <w:pageBreakBefore w:val="0"/>
              <w:tabs>
                <w:tab w:val="left" w:pos="2440"/>
              </w:tabs>
              <w:kinsoku/>
              <w:wordWrap/>
              <w:overflowPunct/>
              <w:topLinePunct w:val="0"/>
              <w:autoSpaceDE/>
              <w:autoSpaceDN/>
              <w:bidi w:val="0"/>
              <w:adjustRightInd w:val="0"/>
              <w:snapToGrid w:val="0"/>
              <w:spacing w:line="360" w:lineRule="auto"/>
              <w:ind w:firstLine="0" w:firstLineChars="0"/>
              <w:jc w:val="center"/>
              <w:textAlignment w:val="auto"/>
              <w:rPr>
                <w:rFonts w:hint="eastAsia"/>
                <w:b/>
                <w:bCs/>
                <w:color w:val="000000" w:themeColor="text1"/>
                <w:szCs w:val="21"/>
                <w:u w:val="none"/>
                <w:lang w:eastAsia="zh-CN"/>
                <w14:textFill>
                  <w14:solidFill>
                    <w14:schemeClr w14:val="tx1"/>
                  </w14:solidFill>
                </w14:textFill>
              </w:rPr>
            </w:pPr>
          </w:p>
          <w:p w14:paraId="6118BC59">
            <w:pPr>
              <w:keepNext w:val="0"/>
              <w:keepLines w:val="0"/>
              <w:pageBreakBefore w:val="0"/>
              <w:tabs>
                <w:tab w:val="left" w:pos="2440"/>
              </w:tabs>
              <w:kinsoku/>
              <w:wordWrap/>
              <w:overflowPunct/>
              <w:topLinePunct w:val="0"/>
              <w:autoSpaceDE/>
              <w:autoSpaceDN/>
              <w:bidi w:val="0"/>
              <w:adjustRightInd w:val="0"/>
              <w:snapToGrid w:val="0"/>
              <w:spacing w:line="360" w:lineRule="auto"/>
              <w:ind w:firstLine="0" w:firstLineChars="0"/>
              <w:jc w:val="center"/>
              <w:textAlignment w:val="auto"/>
              <w:rPr>
                <w:rFonts w:hint="eastAsia"/>
                <w:b/>
                <w:bCs/>
                <w:color w:val="000000" w:themeColor="text1"/>
                <w:szCs w:val="21"/>
                <w:u w:val="none"/>
                <w:lang w:eastAsia="zh-CN"/>
                <w14:textFill>
                  <w14:solidFill>
                    <w14:schemeClr w14:val="tx1"/>
                  </w14:solidFill>
                </w14:textFill>
              </w:rPr>
            </w:pPr>
          </w:p>
          <w:p w14:paraId="017FCA74">
            <w:pPr>
              <w:keepNext w:val="0"/>
              <w:keepLines w:val="0"/>
              <w:pageBreakBefore w:val="0"/>
              <w:tabs>
                <w:tab w:val="left" w:pos="2440"/>
              </w:tabs>
              <w:kinsoku/>
              <w:wordWrap/>
              <w:overflowPunct/>
              <w:topLinePunct w:val="0"/>
              <w:autoSpaceDE/>
              <w:autoSpaceDN/>
              <w:bidi w:val="0"/>
              <w:adjustRightInd w:val="0"/>
              <w:snapToGrid w:val="0"/>
              <w:spacing w:line="360" w:lineRule="auto"/>
              <w:ind w:firstLine="0" w:firstLineChars="0"/>
              <w:jc w:val="center"/>
              <w:textAlignment w:val="auto"/>
              <w:rPr>
                <w:rFonts w:hint="eastAsia"/>
                <w:b/>
                <w:bCs/>
                <w:color w:val="000000" w:themeColor="text1"/>
                <w:szCs w:val="21"/>
                <w:u w:val="none"/>
                <w:lang w:eastAsia="zh-CN"/>
                <w14:textFill>
                  <w14:solidFill>
                    <w14:schemeClr w14:val="tx1"/>
                  </w14:solidFill>
                </w14:textFill>
              </w:rPr>
            </w:pPr>
          </w:p>
          <w:p w14:paraId="0AC16E82">
            <w:pPr>
              <w:pStyle w:val="2"/>
              <w:rPr>
                <w:rFonts w:hint="eastAsia"/>
                <w:color w:val="000000" w:themeColor="text1"/>
                <w:lang w:eastAsia="zh-CN"/>
                <w14:textFill>
                  <w14:solidFill>
                    <w14:schemeClr w14:val="tx1"/>
                  </w14:solidFill>
                </w14:textFill>
              </w:rPr>
            </w:pPr>
          </w:p>
          <w:p w14:paraId="091AC7E5">
            <w:pPr>
              <w:keepNext w:val="0"/>
              <w:keepLines w:val="0"/>
              <w:pageBreakBefore w:val="0"/>
              <w:widowControl w:val="0"/>
              <w:numPr>
                <w:ilvl w:val="0"/>
                <w:numId w:val="1"/>
              </w:numPr>
              <w:tabs>
                <w:tab w:val="left" w:pos="2440"/>
              </w:tabs>
              <w:kinsoku/>
              <w:wordWrap/>
              <w:overflowPunct/>
              <w:topLinePunct w:val="0"/>
              <w:autoSpaceDE/>
              <w:autoSpaceDN/>
              <w:bidi w:val="0"/>
              <w:adjustRightInd w:val="0"/>
              <w:snapToGrid w:val="0"/>
              <w:spacing w:before="157" w:beforeLines="50" w:line="360" w:lineRule="auto"/>
              <w:ind w:firstLine="0" w:firstLineChars="0"/>
              <w:jc w:val="left"/>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运营期生产工艺流程及产污环节</w:t>
            </w:r>
          </w:p>
          <w:p w14:paraId="588EFADA">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为扩建项目，新增参苓白术散、复方板蓝根颗粒、复方丹参片、六味地黄丸、藿香正气水、川贝枇杷糖浆、金果饮口服液等七种产品，生产工艺划分为中药材前处理、中药提取、中药制剂三个生产单元，具体如下：</w:t>
            </w:r>
          </w:p>
          <w:p w14:paraId="2ADB6383">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1、中药材前处理</w:t>
            </w:r>
          </w:p>
          <w:p w14:paraId="429197E7">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中药前处理包括拣选、清洗、切制、干燥、炮炙等五个步骤，根据中药材的性质采取不同的预处理步骤，前处理单元生产工艺流程如下图：</w:t>
            </w:r>
          </w:p>
          <w:p w14:paraId="352A6587">
            <w:pPr>
              <w:keepNext w:val="0"/>
              <w:keepLines w:val="0"/>
              <w:widowControl/>
              <w:suppressLineNumbers w:val="0"/>
              <w:jc w:val="center"/>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2717800" cy="3171825"/>
                  <wp:effectExtent l="0" t="0" r="0" b="9525"/>
                  <wp:docPr id="1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IMG_256"/>
                          <pic:cNvPicPr>
                            <a:picLocks noChangeAspect="1"/>
                          </pic:cNvPicPr>
                        </pic:nvPicPr>
                        <pic:blipFill>
                          <a:blip r:embed="rId12"/>
                          <a:stretch>
                            <a:fillRect/>
                          </a:stretch>
                        </pic:blipFill>
                        <pic:spPr>
                          <a:xfrm>
                            <a:off x="0" y="0"/>
                            <a:ext cx="2717800" cy="3171825"/>
                          </a:xfrm>
                          <a:prstGeom prst="rect">
                            <a:avLst/>
                          </a:prstGeom>
                          <a:noFill/>
                          <a:ln w="9525">
                            <a:noFill/>
                          </a:ln>
                        </pic:spPr>
                      </pic:pic>
                    </a:graphicData>
                  </a:graphic>
                </wp:inline>
              </w:drawing>
            </w:r>
          </w:p>
          <w:p w14:paraId="2F51941D">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before="157" w:beforeLines="50" w:line="360" w:lineRule="auto"/>
              <w:jc w:val="center"/>
              <w:textAlignment w:val="auto"/>
              <w:rPr>
                <w:rFonts w:hint="eastAsia"/>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中药材前处理工艺流程及产物环节示意图</w:t>
            </w:r>
          </w:p>
          <w:p w14:paraId="34435680">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拣选</w:t>
            </w:r>
            <w:r>
              <w:rPr>
                <w:rFonts w:hint="eastAsia"/>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根据产品配方领取各</w:t>
            </w:r>
            <w:r>
              <w:rPr>
                <w:rFonts w:hint="default" w:ascii="Times New Roman" w:hAnsi="Times New Roman" w:eastAsia="宋体" w:cs="Times New Roman"/>
                <w:color w:val="000000" w:themeColor="text1"/>
                <w:sz w:val="24"/>
                <w:lang w:eastAsia="zh-CN"/>
                <w14:textFill>
                  <w14:solidFill>
                    <w14:schemeClr w14:val="tx1"/>
                  </w14:solidFill>
                </w14:textFill>
              </w:rPr>
              <w:t>中药材</w:t>
            </w:r>
            <w:r>
              <w:rPr>
                <w:rFonts w:hint="default" w:ascii="Times New Roman" w:hAnsi="Times New Roman" w:eastAsia="宋体" w:cs="Times New Roman"/>
                <w:color w:val="000000" w:themeColor="text1"/>
                <w:sz w:val="24"/>
                <w:lang w:val="en-US" w:eastAsia="zh-CN"/>
                <w14:textFill>
                  <w14:solidFill>
                    <w14:schemeClr w14:val="tx1"/>
                  </w14:solidFill>
                </w14:textFill>
              </w:rPr>
              <w:t>进行</w:t>
            </w:r>
            <w:r>
              <w:rPr>
                <w:rFonts w:hint="default" w:ascii="Times New Roman" w:hAnsi="Times New Roman" w:eastAsia="宋体" w:cs="Times New Roman"/>
                <w:color w:val="000000" w:themeColor="text1"/>
                <w:sz w:val="24"/>
                <w:lang w:eastAsia="zh-CN"/>
                <w14:textFill>
                  <w14:solidFill>
                    <w14:schemeClr w14:val="tx1"/>
                  </w14:solidFill>
                </w14:textFill>
              </w:rPr>
              <w:t>称量后，将</w:t>
            </w:r>
            <w:r>
              <w:rPr>
                <w:rFonts w:hint="default" w:ascii="Times New Roman" w:hAnsi="Times New Roman" w:eastAsia="宋体" w:cs="Times New Roman"/>
                <w:color w:val="000000" w:themeColor="text1"/>
                <w:sz w:val="24"/>
                <w:lang w:val="en-US" w:eastAsia="zh-CN"/>
                <w14:textFill>
                  <w14:solidFill>
                    <w14:schemeClr w14:val="tx1"/>
                  </w14:solidFill>
                </w14:textFill>
              </w:rPr>
              <w:t>中</w:t>
            </w:r>
            <w:r>
              <w:rPr>
                <w:rFonts w:hint="default" w:ascii="Times New Roman" w:hAnsi="Times New Roman" w:eastAsia="宋体" w:cs="Times New Roman"/>
                <w:color w:val="000000" w:themeColor="text1"/>
                <w:sz w:val="24"/>
                <w:lang w:eastAsia="zh-CN"/>
                <w14:textFill>
                  <w14:solidFill>
                    <w14:schemeClr w14:val="tx1"/>
                  </w14:solidFill>
                </w14:textFill>
              </w:rPr>
              <w:t>药材放置在拣选台</w:t>
            </w:r>
            <w:r>
              <w:rPr>
                <w:rFonts w:hint="default" w:ascii="Times New Roman" w:hAnsi="Times New Roman" w:eastAsia="宋体" w:cs="Times New Roman"/>
                <w:color w:val="000000" w:themeColor="text1"/>
                <w:sz w:val="24"/>
                <w:lang w:val="en-US" w:eastAsia="zh-CN"/>
                <w14:textFill>
                  <w14:solidFill>
                    <w14:schemeClr w14:val="tx1"/>
                  </w14:solidFill>
                </w14:textFill>
              </w:rPr>
              <w:t>人工拣选</w:t>
            </w:r>
            <w:r>
              <w:rPr>
                <w:rFonts w:hint="default"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eastAsia="zh-CN"/>
                <w14:textFill>
                  <w14:solidFill>
                    <w14:schemeClr w14:val="tx1"/>
                  </w14:solidFill>
                </w14:textFill>
              </w:rPr>
              <w:t>选出虫蛀、霉变、异物、杂质</w:t>
            </w:r>
            <w:r>
              <w:rPr>
                <w:rFonts w:hint="default" w:ascii="Times New Roman" w:hAnsi="Times New Roman" w:eastAsia="宋体" w:cs="Times New Roman"/>
                <w:color w:val="000000" w:themeColor="text1"/>
                <w:sz w:val="24"/>
                <w:lang w:val="en-US" w:eastAsia="zh-CN"/>
                <w14:textFill>
                  <w14:solidFill>
                    <w14:schemeClr w14:val="tx1"/>
                  </w14:solidFill>
                </w14:textFill>
              </w:rPr>
              <w:t>及非药用部位</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再</w:t>
            </w:r>
            <w:r>
              <w:rPr>
                <w:rFonts w:hint="default" w:ascii="Times New Roman" w:hAnsi="Times New Roman" w:eastAsia="宋体" w:cs="Times New Roman"/>
                <w:color w:val="000000" w:themeColor="text1"/>
                <w:sz w:val="24"/>
                <w:lang w:val="en-US" w:eastAsia="zh-CN"/>
                <w14:textFill>
                  <w14:solidFill>
                    <w14:schemeClr w14:val="tx1"/>
                  </w14:solidFill>
                </w14:textFill>
              </w:rPr>
              <w:t>用自动拣选机</w:t>
            </w:r>
            <w:r>
              <w:rPr>
                <w:rFonts w:hint="default" w:ascii="Times New Roman" w:hAnsi="Times New Roman" w:eastAsia="宋体" w:cs="Times New Roman"/>
                <w:color w:val="000000" w:themeColor="text1"/>
                <w:sz w:val="24"/>
                <w:lang w:eastAsia="zh-CN"/>
                <w14:textFill>
                  <w14:solidFill>
                    <w14:schemeClr w14:val="tx1"/>
                  </w14:solidFill>
                </w14:textFill>
              </w:rPr>
              <w:t>进行</w:t>
            </w:r>
            <w:r>
              <w:rPr>
                <w:rFonts w:hint="default" w:ascii="Times New Roman" w:hAnsi="Times New Roman" w:eastAsia="宋体" w:cs="Times New Roman"/>
                <w:color w:val="000000" w:themeColor="text1"/>
                <w:sz w:val="24"/>
                <w:lang w:val="en-US" w:eastAsia="zh-CN"/>
                <w14:textFill>
                  <w14:solidFill>
                    <w14:schemeClr w14:val="tx1"/>
                  </w14:solidFill>
                </w14:textFill>
              </w:rPr>
              <w:t>拣选</w:t>
            </w:r>
            <w:r>
              <w:rPr>
                <w:rFonts w:hint="default" w:ascii="Times New Roman" w:hAnsi="Times New Roman" w:eastAsia="宋体" w:cs="Times New Roman"/>
                <w:color w:val="000000" w:themeColor="text1"/>
                <w:sz w:val="24"/>
                <w:lang w:eastAsia="zh-CN"/>
                <w14:textFill>
                  <w14:solidFill>
                    <w14:schemeClr w14:val="tx1"/>
                  </w14:solidFill>
                </w14:textFill>
              </w:rPr>
              <w:t>，用</w:t>
            </w:r>
            <w:r>
              <w:rPr>
                <w:rFonts w:hint="default" w:ascii="Times New Roman" w:hAnsi="Times New Roman" w:eastAsia="宋体" w:cs="Times New Roman"/>
                <w:color w:val="000000" w:themeColor="text1"/>
                <w:sz w:val="24"/>
                <w:lang w:val="en-US" w:eastAsia="zh-CN"/>
                <w14:textFill>
                  <w14:solidFill>
                    <w14:schemeClr w14:val="tx1"/>
                  </w14:solidFill>
                </w14:textFill>
              </w:rPr>
              <w:t>铲子</w:t>
            </w:r>
            <w:r>
              <w:rPr>
                <w:rFonts w:hint="default" w:ascii="Times New Roman" w:hAnsi="Times New Roman" w:eastAsia="宋体" w:cs="Times New Roman"/>
                <w:color w:val="000000" w:themeColor="text1"/>
                <w:sz w:val="24"/>
                <w:lang w:eastAsia="zh-CN"/>
                <w14:textFill>
                  <w14:solidFill>
                    <w14:schemeClr w14:val="tx1"/>
                  </w14:solidFill>
                </w14:textFill>
              </w:rPr>
              <w:t>或耙将</w:t>
            </w:r>
            <w:r>
              <w:rPr>
                <w:rFonts w:hint="default" w:ascii="Times New Roman" w:hAnsi="Times New Roman" w:eastAsia="宋体" w:cs="Times New Roman"/>
                <w:color w:val="000000" w:themeColor="text1"/>
                <w:sz w:val="24"/>
                <w:lang w:val="en-US" w:eastAsia="zh-CN"/>
                <w14:textFill>
                  <w14:solidFill>
                    <w14:schemeClr w14:val="tx1"/>
                  </w14:solidFill>
                </w14:textFill>
              </w:rPr>
              <w:t>中</w:t>
            </w:r>
            <w:r>
              <w:rPr>
                <w:rFonts w:hint="default" w:ascii="Times New Roman" w:hAnsi="Times New Roman" w:eastAsia="宋体" w:cs="Times New Roman"/>
                <w:color w:val="000000" w:themeColor="text1"/>
                <w:sz w:val="24"/>
                <w:lang w:eastAsia="zh-CN"/>
                <w14:textFill>
                  <w14:solidFill>
                    <w14:schemeClr w14:val="tx1"/>
                  </w14:solidFill>
                </w14:textFill>
              </w:rPr>
              <w:t>药材刨进传送带上，传送进拣选机内</w:t>
            </w:r>
            <w:r>
              <w:rPr>
                <w:rFonts w:hint="default" w:ascii="Times New Roman" w:hAnsi="Times New Roman" w:cs="Times New Roman"/>
                <w:color w:val="000000" w:themeColor="text1"/>
                <w:sz w:val="24"/>
                <w:lang w:val="en-US" w:eastAsia="zh-CN"/>
                <w14:textFill>
                  <w14:solidFill>
                    <w14:schemeClr w14:val="tx1"/>
                  </w14:solidFill>
                </w14:textFill>
              </w:rPr>
              <w:t>通过风力</w:t>
            </w:r>
            <w:r>
              <w:rPr>
                <w:rFonts w:hint="default" w:ascii="Times New Roman" w:hAnsi="Times New Roman" w:eastAsia="宋体" w:cs="Times New Roman"/>
                <w:color w:val="000000" w:themeColor="text1"/>
                <w:sz w:val="24"/>
                <w:lang w:val="en-US" w:eastAsia="zh-CN"/>
                <w14:textFill>
                  <w14:solidFill>
                    <w14:schemeClr w14:val="tx1"/>
                  </w14:solidFill>
                </w14:textFill>
              </w:rPr>
              <w:t>筛出泥沙</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lang w:eastAsia="zh-CN"/>
                <w14:textFill>
                  <w14:solidFill>
                    <w14:schemeClr w14:val="tx1"/>
                  </w14:solidFill>
                </w14:textFill>
              </w:rPr>
              <w:t>将选好的</w:t>
            </w:r>
            <w:r>
              <w:rPr>
                <w:rFonts w:hint="default" w:ascii="Times New Roman" w:hAnsi="Times New Roman" w:eastAsia="宋体" w:cs="Times New Roman"/>
                <w:color w:val="000000" w:themeColor="text1"/>
                <w:sz w:val="24"/>
                <w:lang w:val="en-US" w:eastAsia="zh-CN"/>
                <w14:textFill>
                  <w14:solidFill>
                    <w14:schemeClr w14:val="tx1"/>
                  </w14:solidFill>
                </w14:textFill>
              </w:rPr>
              <w:t>中</w:t>
            </w:r>
            <w:r>
              <w:rPr>
                <w:rFonts w:hint="default" w:ascii="Times New Roman" w:hAnsi="Times New Roman" w:eastAsia="宋体" w:cs="Times New Roman"/>
                <w:color w:val="000000" w:themeColor="text1"/>
                <w:sz w:val="24"/>
                <w:lang w:eastAsia="zh-CN"/>
                <w14:textFill>
                  <w14:solidFill>
                    <w14:schemeClr w14:val="tx1"/>
                  </w14:solidFill>
                </w14:textFill>
              </w:rPr>
              <w:t>药材做好标识转入下</w:t>
            </w:r>
            <w:r>
              <w:rPr>
                <w:rFonts w:hint="eastAsia" w:ascii="Times New Roman" w:hAnsi="Times New Roman" w:cs="Times New Roman"/>
                <w:color w:val="000000" w:themeColor="text1"/>
                <w:sz w:val="24"/>
                <w:lang w:val="en-US" w:eastAsia="zh-CN"/>
                <w14:textFill>
                  <w14:solidFill>
                    <w14:schemeClr w14:val="tx1"/>
                  </w14:solidFill>
                </w14:textFill>
              </w:rPr>
              <w:t>一</w:t>
            </w:r>
            <w:r>
              <w:rPr>
                <w:rFonts w:hint="default" w:ascii="Times New Roman" w:hAnsi="Times New Roman" w:eastAsia="宋体" w:cs="Times New Roman"/>
                <w:color w:val="000000" w:themeColor="text1"/>
                <w:sz w:val="24"/>
                <w:lang w:eastAsia="zh-CN"/>
                <w14:textFill>
                  <w14:solidFill>
                    <w14:schemeClr w14:val="tx1"/>
                  </w14:solidFill>
                </w14:textFill>
              </w:rPr>
              <w:t>工序，废弃物</w:t>
            </w:r>
            <w:r>
              <w:rPr>
                <w:rFonts w:hint="default" w:ascii="Times New Roman" w:hAnsi="Times New Roman" w:cs="Times New Roman"/>
                <w:color w:val="000000" w:themeColor="text1"/>
                <w:sz w:val="24"/>
                <w:lang w:val="en-US" w:eastAsia="zh-CN"/>
                <w14:textFill>
                  <w14:solidFill>
                    <w14:schemeClr w14:val="tx1"/>
                  </w14:solidFill>
                </w14:textFill>
              </w:rPr>
              <w:t>S1</w:t>
            </w:r>
            <w:r>
              <w:rPr>
                <w:rFonts w:hint="default" w:ascii="Times New Roman" w:hAnsi="Times New Roman" w:eastAsia="宋体" w:cs="Times New Roman"/>
                <w:color w:val="000000" w:themeColor="text1"/>
                <w:sz w:val="24"/>
                <w:lang w:eastAsia="zh-CN"/>
                <w14:textFill>
                  <w14:solidFill>
                    <w14:schemeClr w14:val="tx1"/>
                  </w14:solidFill>
                </w14:textFill>
              </w:rPr>
              <w:t>转入垃圾</w:t>
            </w:r>
            <w:r>
              <w:rPr>
                <w:rFonts w:hint="default" w:ascii="Times New Roman" w:hAnsi="Times New Roman" w:eastAsia="宋体" w:cs="Times New Roman"/>
                <w:color w:val="000000" w:themeColor="text1"/>
                <w:sz w:val="24"/>
                <w:lang w:val="en-US" w:eastAsia="zh-CN"/>
                <w14:textFill>
                  <w14:solidFill>
                    <w14:schemeClr w14:val="tx1"/>
                  </w14:solidFill>
                </w14:textFill>
              </w:rPr>
              <w:t>箱</w:t>
            </w:r>
            <w:r>
              <w:rPr>
                <w:rFonts w:hint="default" w:ascii="Times New Roman" w:hAnsi="Times New Roman" w:cs="Times New Roman"/>
                <w:color w:val="000000" w:themeColor="text1"/>
                <w:sz w:val="24"/>
                <w:lang w:val="en-US" w:eastAsia="zh-CN"/>
                <w14:textFill>
                  <w14:solidFill>
                    <w14:schemeClr w14:val="tx1"/>
                  </w14:solidFill>
                </w14:textFill>
              </w:rPr>
              <w:t>。该工序会有拣选粉尘G1。</w:t>
            </w:r>
          </w:p>
          <w:p w14:paraId="33D0DA1F">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清洗</w:t>
            </w:r>
            <w:r>
              <w:rPr>
                <w:rFonts w:hint="eastAsia"/>
                <w:color w:val="000000" w:themeColor="text1"/>
                <w:sz w:val="24"/>
                <w:szCs w:val="24"/>
                <w:lang w:val="en-US" w:eastAsia="zh-CN"/>
                <w14:textFill>
                  <w14:solidFill>
                    <w14:schemeClr w14:val="tx1"/>
                  </w14:solidFill>
                </w14:textFill>
              </w:rPr>
              <w:t>：将拣选后的中药材采用纯化水浸泡+洗药机喷淋清洗，清洗用水不循环使用，药材清洗干净后滤去水分。该工序会产生清洗废水W1。</w:t>
            </w:r>
          </w:p>
          <w:p w14:paraId="36B6C554">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切制</w:t>
            </w:r>
            <w:r>
              <w:rPr>
                <w:rFonts w:hint="eastAsia"/>
                <w:color w:val="000000" w:themeColor="text1"/>
                <w:sz w:val="24"/>
                <w:szCs w:val="24"/>
                <w:lang w:val="en-US" w:eastAsia="zh-CN"/>
                <w14:textFill>
                  <w14:solidFill>
                    <w14:schemeClr w14:val="tx1"/>
                  </w14:solidFill>
                </w14:textFill>
              </w:rPr>
              <w:t>：根据中药材的质地不同，利用切药机或破碎机分别切制成5cm以下的段或片或块，切制结束后转入下一工序。该工序中药材含水率较高，不会产生粉尘。</w:t>
            </w:r>
          </w:p>
          <w:p w14:paraId="6653131A">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干燥</w:t>
            </w:r>
            <w:r>
              <w:rPr>
                <w:rFonts w:hint="eastAsia"/>
                <w:color w:val="000000" w:themeColor="text1"/>
                <w:sz w:val="24"/>
                <w:szCs w:val="24"/>
                <w:lang w:val="en-US" w:eastAsia="zh-CN"/>
                <w14:textFill>
                  <w14:solidFill>
                    <w14:schemeClr w14:val="tx1"/>
                  </w14:solidFill>
                </w14:textFill>
              </w:rPr>
              <w:t>：将切制后的中药材进行装盘，将烘盘放入热风循环式烘箱进行干燥，热源使用蒸汽，干燥温度控制在70～80℃，干燥时间为2～3小时，中药材干燥后即为饮片，水分≤11.0%。将干燥后的饮片定量装入洁净容器，附上中间产品标识，合格后转下一工序。该工序会产生干燥废气</w:t>
            </w:r>
            <w:r>
              <w:rPr>
                <w:rFonts w:hint="eastAsia"/>
                <w:color w:val="000000" w:themeColor="text1"/>
                <w:sz w:val="24"/>
                <w:szCs w:val="24"/>
                <w:highlight w:val="none"/>
                <w:lang w:val="en-US" w:eastAsia="zh-CN"/>
                <w14:textFill>
                  <w14:solidFill>
                    <w14:schemeClr w14:val="tx1"/>
                  </w14:solidFill>
                </w14:textFill>
              </w:rPr>
              <w:t>G1-1。</w:t>
            </w:r>
          </w:p>
          <w:p w14:paraId="252924C4">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eastAsia="宋体"/>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炮制</w:t>
            </w:r>
            <w:r>
              <w:rPr>
                <w:rFonts w:hint="eastAsia"/>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分为干法炮制和湿法炮制。干法炮制如白术、白扁豆、薏苡仁等需要加入麦麸</w:t>
            </w:r>
            <w:r>
              <w:rPr>
                <w:rFonts w:hint="eastAsia" w:cs="Times New Roman"/>
                <w:color w:val="000000" w:themeColor="text1"/>
                <w:sz w:val="24"/>
                <w:szCs w:val="24"/>
                <w:lang w:val="en-US" w:eastAsia="zh-CN"/>
                <w14:textFill>
                  <w14:solidFill>
                    <w14:schemeClr w14:val="tx1"/>
                  </w14:solidFill>
                </w14:textFill>
              </w:rPr>
              <w:t>（或蜂蜜）</w:t>
            </w:r>
            <w:r>
              <w:rPr>
                <w:rFonts w:hint="default" w:ascii="Times New Roman" w:hAnsi="Times New Roman" w:cs="Times New Roman"/>
                <w:color w:val="000000" w:themeColor="text1"/>
                <w:sz w:val="24"/>
                <w:szCs w:val="24"/>
                <w:lang w:val="en-US" w:eastAsia="zh-CN"/>
                <w14:textFill>
                  <w14:solidFill>
                    <w14:schemeClr w14:val="tx1"/>
                  </w14:solidFill>
                </w14:textFill>
              </w:rPr>
              <w:t>加热至温度达到100～120℃，不断翻炒使药材受热均匀，直至药材表面呈现金黄色或微焦黄色，取出后晾凉；湿法炮制如厚朴需要加入生姜汁</w:t>
            </w:r>
            <w:r>
              <w:rPr>
                <w:rFonts w:hint="default" w:ascii="Times New Roman" w:hAnsi="Times New Roman" w:eastAsia="宋体" w:cs="Times New Roman"/>
                <w:b w:val="0"/>
                <w:bCs/>
                <w:color w:val="000000" w:themeColor="text1"/>
                <w:sz w:val="24"/>
                <w:lang w:val="en-US" w:eastAsia="zh-CN"/>
                <w14:textFill>
                  <w14:solidFill>
                    <w14:schemeClr w14:val="tx1"/>
                  </w14:solidFill>
                </w14:textFill>
              </w:rPr>
              <w:t>拌均后装入浸润槽中稍闷30～60</w:t>
            </w:r>
            <w:r>
              <w:rPr>
                <w:rFonts w:hint="eastAsia" w:ascii="Times New Roman" w:hAnsi="Times New Roman" w:cs="Times New Roman"/>
                <w:b w:val="0"/>
                <w:bCs/>
                <w:color w:val="000000" w:themeColor="text1"/>
                <w:sz w:val="24"/>
                <w:lang w:val="en-US" w:eastAsia="zh-CN"/>
                <w14:textFill>
                  <w14:solidFill>
                    <w14:schemeClr w14:val="tx1"/>
                  </w14:solidFill>
                </w14:textFill>
              </w:rPr>
              <w:t>min</w:t>
            </w:r>
            <w:r>
              <w:rPr>
                <w:rFonts w:hint="default" w:ascii="Times New Roman" w:hAnsi="Times New Roman" w:eastAsia="宋体" w:cs="Times New Roman"/>
                <w:b w:val="0"/>
                <w:bCs/>
                <w:color w:val="000000" w:themeColor="text1"/>
                <w:sz w:val="24"/>
                <w14:textFill>
                  <w14:solidFill>
                    <w14:schemeClr w14:val="tx1"/>
                  </w14:solidFill>
                </w14:textFill>
              </w:rPr>
              <w:t>，然后用</w:t>
            </w:r>
            <w:r>
              <w:rPr>
                <w:rFonts w:hint="default" w:ascii="Times New Roman" w:hAnsi="Times New Roman" w:cs="Times New Roman"/>
                <w:b w:val="0"/>
                <w:bCs/>
                <w:color w:val="000000" w:themeColor="text1"/>
                <w:sz w:val="24"/>
                <w:lang w:val="en-US" w:eastAsia="zh-CN"/>
                <w14:textFill>
                  <w14:solidFill>
                    <w14:schemeClr w14:val="tx1"/>
                  </w14:solidFill>
                </w14:textFill>
              </w:rPr>
              <w:t>电</w:t>
            </w:r>
            <w:r>
              <w:rPr>
                <w:rFonts w:hint="default" w:ascii="Times New Roman" w:hAnsi="Times New Roman" w:eastAsia="宋体" w:cs="Times New Roman"/>
                <w:b w:val="0"/>
                <w:bCs/>
                <w:color w:val="000000" w:themeColor="text1"/>
                <w:sz w:val="24"/>
                <w14:textFill>
                  <w14:solidFill>
                    <w14:schemeClr w14:val="tx1"/>
                  </w14:solidFill>
                </w14:textFill>
              </w:rPr>
              <w:t>炒药机进行炒制，炒制温度130～140℃，炒至姜汁被吸尽时，水分≤8.0％，取出</w:t>
            </w:r>
            <w:r>
              <w:rPr>
                <w:rFonts w:hint="eastAsia" w:cs="Times New Roman"/>
                <w:b w:val="0"/>
                <w:bCs/>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该工序会产生中药</w:t>
            </w:r>
            <w:r>
              <w:rPr>
                <w:rFonts w:hint="eastAsia" w:cs="Times New Roman"/>
                <w:color w:val="000000" w:themeColor="text1"/>
                <w:sz w:val="24"/>
                <w:szCs w:val="24"/>
                <w:lang w:val="en-US" w:eastAsia="zh-CN"/>
                <w14:textFill>
                  <w14:solidFill>
                    <w14:schemeClr w14:val="tx1"/>
                  </w14:solidFill>
                </w14:textFill>
              </w:rPr>
              <w:t>炮制粉尘</w:t>
            </w:r>
            <w:r>
              <w:rPr>
                <w:rFonts w:hint="default" w:ascii="Times New Roman" w:hAnsi="Times New Roman" w:cs="Times New Roman"/>
                <w:color w:val="000000" w:themeColor="text1"/>
                <w:sz w:val="24"/>
                <w:szCs w:val="24"/>
                <w:lang w:val="en-US" w:eastAsia="zh-CN"/>
                <w14:textFill>
                  <w14:solidFill>
                    <w14:schemeClr w14:val="tx1"/>
                  </w14:solidFill>
                </w14:textFill>
              </w:rPr>
              <w:t>G3。</w:t>
            </w:r>
          </w:p>
          <w:p w14:paraId="02831998">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2、中药提取</w:t>
            </w:r>
          </w:p>
          <w:p w14:paraId="164D2268">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中药提取采取醇提或水提工艺，经沉淀、过滤后通过真空浓缩成中药浸膏，具体工艺如下图：</w:t>
            </w:r>
          </w:p>
          <w:p w14:paraId="4F951183">
            <w:pPr>
              <w:keepNext w:val="0"/>
              <w:keepLines w:val="0"/>
              <w:widowControl/>
              <w:suppressLineNumbers w:val="0"/>
              <w:jc w:val="left"/>
              <w:rPr>
                <w:color w:val="000000" w:themeColor="text1"/>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3308350" cy="2804160"/>
                  <wp:effectExtent l="0" t="0" r="6350" b="0"/>
                  <wp:docPr id="77"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9" descr="IMG_256"/>
                          <pic:cNvPicPr>
                            <a:picLocks noChangeAspect="1"/>
                          </pic:cNvPicPr>
                        </pic:nvPicPr>
                        <pic:blipFill>
                          <a:blip r:embed="rId13"/>
                          <a:stretch>
                            <a:fillRect/>
                          </a:stretch>
                        </pic:blipFill>
                        <pic:spPr>
                          <a:xfrm>
                            <a:off x="0" y="0"/>
                            <a:ext cx="3308350" cy="2804160"/>
                          </a:xfrm>
                          <a:prstGeom prst="rect">
                            <a:avLst/>
                          </a:prstGeom>
                          <a:noFill/>
                          <a:ln w="9525">
                            <a:noFill/>
                          </a:ln>
                        </pic:spPr>
                      </pic:pic>
                    </a:graphicData>
                  </a:graphic>
                </wp:inline>
              </w:drawing>
            </w:r>
          </w:p>
          <w:p w14:paraId="07DA1518">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before="157" w:beforeLines="50" w:line="360" w:lineRule="auto"/>
              <w:jc w:val="center"/>
              <w:textAlignment w:val="auto"/>
              <w:rPr>
                <w:rFonts w:hint="eastAsia"/>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中药材提取工艺流程及产物环节示意图</w:t>
            </w:r>
          </w:p>
          <w:p w14:paraId="50AA5B65">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配料</w:t>
            </w:r>
            <w:r>
              <w:rPr>
                <w:rFonts w:hint="eastAsia"/>
                <w:color w:val="000000" w:themeColor="text1"/>
                <w:sz w:val="24"/>
                <w:szCs w:val="24"/>
                <w:lang w:val="en-US" w:eastAsia="zh-CN"/>
                <w14:textFill>
                  <w14:solidFill>
                    <w14:schemeClr w14:val="tx1"/>
                  </w14:solidFill>
                </w14:textFill>
              </w:rPr>
              <w:t>：根据产品配方进行人工配料。</w:t>
            </w:r>
          </w:p>
          <w:p w14:paraId="18D0B60B">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醇提</w:t>
            </w:r>
            <w:r>
              <w:rPr>
                <w:rFonts w:hint="eastAsia"/>
                <w:color w:val="000000" w:themeColor="text1"/>
                <w:sz w:val="24"/>
                <w:szCs w:val="24"/>
                <w:lang w:val="en-US" w:eastAsia="zh-CN"/>
                <w14:textFill>
                  <w14:solidFill>
                    <w14:schemeClr w14:val="tx1"/>
                  </w14:solidFill>
                </w14:textFill>
              </w:rPr>
              <w:t>：分为回流提取和渗漉提取，根据药材不同性质采取不同提取方式。回流提取是将药材投入提取罐，加入药材量的3～4倍的95%乙醇进行两次回流提取（第二次加入回收的乙醇浓度为50~60%），提取温度70～75℃，单次回流提取1.5小时，提取后的药液经减压蒸发浓缩回收乙醇后进入药液贮罐；渗漉提取是将药材投入渗漉罐，加入配制好的60%的乙醇拌匀，保持药材没入乙醇溶液10~20cm，浸渍24h，然后打开罐底阀门并不断加入60%乙醇进行渗漉操作，速度控制在3～5mL/kg·min，直至药液完全呈无色。提取后的药液经减压蒸发浓缩回收乙醇后进入药液贮罐。该工艺会产生含有乙醇等有机废气的不凝尾气G4。</w:t>
            </w:r>
          </w:p>
          <w:p w14:paraId="7C85B1B5">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水提</w:t>
            </w:r>
            <w:r>
              <w:rPr>
                <w:rFonts w:hint="eastAsia"/>
                <w:color w:val="000000" w:themeColor="text1"/>
                <w:sz w:val="24"/>
                <w:szCs w:val="24"/>
                <w:lang w:val="en-US" w:eastAsia="zh-CN"/>
                <w14:textFill>
                  <w14:solidFill>
                    <w14:schemeClr w14:val="tx1"/>
                  </w14:solidFill>
                </w14:textFill>
              </w:rPr>
              <w:t>：采取水煎煮法，将药材投入提取罐，每罐煎煮两次，第一次加入药材量3.5～4.5倍纯化水，利用蒸汽煎煮1h；第二次加入药材量2.5～3.5倍纯水再煎煮1h。排出的水蒸气经冷凝器冷凝后回流至罐内。将两次煎液分别过120目筛去除药渣得到滤液，先后进入药液贮罐。该工序会产生冷凝废水W2、废中药渣S2。</w:t>
            </w:r>
          </w:p>
          <w:p w14:paraId="0A5DEC96">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沉淀、过滤</w:t>
            </w:r>
            <w:r>
              <w:rPr>
                <w:rFonts w:hint="eastAsia"/>
                <w:color w:val="000000" w:themeColor="text1"/>
                <w:sz w:val="24"/>
                <w:szCs w:val="24"/>
                <w:lang w:val="en-US" w:eastAsia="zh-CN"/>
                <w14:textFill>
                  <w14:solidFill>
                    <w14:schemeClr w14:val="tx1"/>
                  </w14:solidFill>
                </w14:textFill>
              </w:rPr>
              <w:t>：向水提液中加入乙醇，搅拌10分钟使混合均匀，使溶液中乙醇浓度达到50%~90%，静置24小时，促使杂质充分析出沉淀，而有效成分留在乙醇溶液中，通过过滤去除杂质后转入下一工序。该工序会产生乙醇等有机废气G5、废滤渣S3。</w:t>
            </w:r>
          </w:p>
          <w:p w14:paraId="294C7BB8">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both"/>
              <w:textAlignment w:val="auto"/>
              <w:rPr>
                <w:rFonts w:hint="eastAsia"/>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浓缩</w:t>
            </w:r>
            <w:r>
              <w:rPr>
                <w:rFonts w:hint="eastAsia"/>
                <w:color w:val="000000" w:themeColor="text1"/>
                <w:sz w:val="24"/>
                <w:szCs w:val="24"/>
                <w:lang w:val="en-US" w:eastAsia="zh-CN"/>
                <w14:textFill>
                  <w14:solidFill>
                    <w14:schemeClr w14:val="tx1"/>
                  </w14:solidFill>
                </w14:textFill>
              </w:rPr>
              <w:t>：通过减压蒸发浓缩回收乙醇得到纯化后的粘稠药液，即中药浸膏。该工序产生的含有乙醇等有机废气的不凝尾气与醇提不凝尾气G4一并排放。</w:t>
            </w:r>
          </w:p>
          <w:p w14:paraId="71CA28E0">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both"/>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乙醇回收</w:t>
            </w:r>
            <w:r>
              <w:rPr>
                <w:rFonts w:hint="eastAsia"/>
                <w:color w:val="000000" w:themeColor="text1"/>
                <w:sz w:val="24"/>
                <w:szCs w:val="24"/>
                <w:lang w:val="en-US" w:eastAsia="zh-CN"/>
                <w14:textFill>
                  <w14:solidFill>
                    <w14:schemeClr w14:val="tx1"/>
                  </w14:solidFill>
                </w14:textFill>
              </w:rPr>
              <w:t>：采取常压连续精馏，热源使用蒸汽加热，回收乙醇浓度高达95%以上。</w:t>
            </w:r>
          </w:p>
          <w:p w14:paraId="2CB8A4BA">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3、中药制剂</w:t>
            </w:r>
          </w:p>
          <w:p w14:paraId="223E3CC9">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中药制剂主要划分为固体制剂、液体制剂，固体制剂包括复方板蓝根颗粒、复方丹参片、参苓白术散、六味地黄丸，液体制剂包括藿香正气水、川贝枇杷糖浆、金果饮口服液。</w:t>
            </w:r>
          </w:p>
          <w:p w14:paraId="5F864CA2">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（1）固体制剂生产工艺</w:t>
            </w:r>
          </w:p>
          <w:p w14:paraId="56CEE632">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参苓白术散</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制剂</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工艺：</w:t>
            </w:r>
            <w:r>
              <w:rPr>
                <w:rFonts w:hint="default" w:ascii="Times New Roman" w:hAnsi="Times New Roman" w:cs="Times New Roman"/>
                <w:color w:val="000000" w:themeColor="text1"/>
                <w:sz w:val="24"/>
                <w:szCs w:val="24"/>
                <w:lang w:val="en-US" w:eastAsia="zh-CN"/>
                <w14:textFill>
                  <w14:solidFill>
                    <w14:schemeClr w14:val="tx1"/>
                  </w14:solidFill>
                </w14:textFill>
              </w:rPr>
              <w:t>包括粉碎、混合、装袋、外包装等四个步骤，具体工艺描述为：将预处理后的人参、茯苓、白术(炒)、山药、白扁豆(炒)、莲子、意苡仁(炒)、砂仁、桔梗、甘草</w:t>
            </w:r>
            <w:r>
              <w:rPr>
                <w:rFonts w:hint="eastAsia" w:ascii="Times New Roman" w:hAnsi="Times New Roman" w:cs="Times New Roman"/>
                <w:color w:val="000000" w:themeColor="text1"/>
                <w:sz w:val="24"/>
                <w:szCs w:val="24"/>
                <w:lang w:val="en-US" w:eastAsia="zh-CN"/>
                <w14:textFill>
                  <w14:solidFill>
                    <w14:schemeClr w14:val="tx1"/>
                  </w14:solidFill>
                </w14:textFill>
              </w:rPr>
              <w:t>等十味</w:t>
            </w:r>
            <w:r>
              <w:rPr>
                <w:rFonts w:hint="default" w:ascii="Times New Roman" w:hAnsi="Times New Roman" w:cs="Times New Roman"/>
                <w:color w:val="000000" w:themeColor="text1"/>
                <w:sz w:val="24"/>
                <w:szCs w:val="24"/>
                <w:lang w:val="en-US" w:eastAsia="zh-CN"/>
                <w14:textFill>
                  <w14:solidFill>
                    <w14:schemeClr w14:val="tx1"/>
                  </w14:solidFill>
                </w14:textFill>
              </w:rPr>
              <w:t>分别放入粉碎机进行粉碎处理，过120目筛后即为合格药粉，不合格的继续粉碎至合格。将粉碎后的合格药粉按处方放入混合机进行混合处理，混合完成后的散剂按规格装入铝塑复合袋中，使用自动包装机确保剂量准确；经检验合格后装盒、打码后，装箱入库。</w:t>
            </w:r>
          </w:p>
          <w:p w14:paraId="20F6B518">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复方板蓝根颗粒</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制剂</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工艺</w:t>
            </w:r>
            <w:r>
              <w:rPr>
                <w:rFonts w:hint="eastAsia"/>
                <w:color w:val="000000" w:themeColor="text1"/>
                <w:sz w:val="24"/>
                <w:szCs w:val="24"/>
                <w:lang w:val="en-US" w:eastAsia="zh-CN"/>
                <w14:textFill>
                  <w14:solidFill>
                    <w14:schemeClr w14:val="tx1"/>
                  </w14:solidFill>
                </w14:textFill>
              </w:rPr>
              <w:t>包括制粒、干燥、筛粒、总混、装袋、外包装等六个步骤，具体工艺描述为：将蔗糖粉与淀粉按比例投入槽形混合机内混合均匀，再与板蓝根、大青叶浸膏及纯化水搅拌制成适宜的软材。将软材投入旋转式制粒机，通过1.8mm不锈钢筛网制粒，制成均匀的颗粒。接着将颗粒转入沸腾干燥机，干燥温度为60～80℃，干燥后颗粒的水分控制在≤5.5%。然后用振荡筛装上80目筛网，除去颗粒中的细粉；再装上10目筛网选取通过10目的颗粒作为合格颗粒。大于10目的颗粒与细粉返回重新制粒。将过筛后的合格颗粒加入二维运动混合机中混合均匀，最后采用自动颗粒包装机进行装袋</w:t>
            </w:r>
            <w:r>
              <w:rPr>
                <w:rFonts w:hint="default" w:ascii="Times New Roman" w:hAnsi="Times New Roman" w:cs="Times New Roman"/>
                <w:color w:val="000000" w:themeColor="text1"/>
                <w:sz w:val="24"/>
                <w:szCs w:val="24"/>
                <w:lang w:val="en-US" w:eastAsia="zh-CN"/>
                <w14:textFill>
                  <w14:solidFill>
                    <w14:schemeClr w14:val="tx1"/>
                  </w14:solidFill>
                </w14:textFill>
              </w:rPr>
              <w:t>；经检验合格后装盒、打码后，装箱入库</w:t>
            </w:r>
            <w:r>
              <w:rPr>
                <w:rFonts w:hint="eastAsia"/>
                <w:color w:val="000000" w:themeColor="text1"/>
                <w:sz w:val="24"/>
                <w:szCs w:val="24"/>
                <w:lang w:val="en-US" w:eastAsia="zh-CN"/>
                <w14:textFill>
                  <w14:solidFill>
                    <w14:schemeClr w14:val="tx1"/>
                  </w14:solidFill>
                </w14:textFill>
              </w:rPr>
              <w:t>。</w:t>
            </w:r>
          </w:p>
          <w:p w14:paraId="6C52A4C7">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复方丹参片</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制剂</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工艺</w:t>
            </w:r>
            <w:r>
              <w:rPr>
                <w:rFonts w:hint="eastAsia"/>
                <w:color w:val="000000" w:themeColor="text1"/>
                <w:sz w:val="24"/>
                <w:szCs w:val="24"/>
                <w:lang w:val="en-US" w:eastAsia="zh-CN"/>
                <w14:textFill>
                  <w14:solidFill>
                    <w14:schemeClr w14:val="tx1"/>
                  </w14:solidFill>
                </w14:textFill>
              </w:rPr>
              <w:t>包括制粒、干燥、筛粒、总混、压片、包衣、内外包装等七个步骤，具体工艺描述为：将三七粉、淀粉按比例投入槽形混合机内混合均匀，再与丹参浸膏及纯化水搅拌制成适宜的软材。将软材投入旋转式颗粒机，通过18目不锈钢筛网制粒，制成均匀的颗粒。接着将颗粒转入沸腾干燥机，干燥温度为60～80℃，干燥后颗粒的水分控制在≤5.0%。然后用旋荡筛选取通过24目的颗粒作为合格颗粒，大于24目的颗粒返回重新制粒。用粉碎机粉碎成的冰片粉，再与过筛后的合格颗粒按比例加入二维运动混合机中，同时加入硬脂酸镁混合均匀。将总混后的物料送压片机进行压片，将压制好的片剂转运至包衣机或夹层锅，加入水溶性包衣液进行包衣，包衣为糖衣。内包装采用高密度聚乙烯瓶，外包装为纸盒，再经打码、装箱后入库。</w:t>
            </w:r>
          </w:p>
          <w:p w14:paraId="67FECF7E">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六味地黄丸</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制剂</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工艺</w:t>
            </w:r>
            <w:r>
              <w:rPr>
                <w:rFonts w:hint="eastAsia"/>
                <w:color w:val="000000" w:themeColor="text1"/>
                <w:sz w:val="24"/>
                <w:szCs w:val="24"/>
                <w:lang w:val="en-US" w:eastAsia="zh-CN"/>
                <w14:textFill>
                  <w14:solidFill>
                    <w14:schemeClr w14:val="tx1"/>
                  </w14:solidFill>
                </w14:textFill>
              </w:rPr>
              <w:t>包括合坨、制丸、筛丸、干燥、总混、打光、内外包装等七个步骤，具体工艺描述为：将熟地黄、山茱萸(酒制)、牡丹皮、山药、茯苓、泽泻等浸膏、纯化水投入炼药机进行搅拌混合至药坨色泽一致。接着将炼制好的药坨投入制丸机内进行制成小丸，用滚筒筛进行选丸过筛，选取通过7mm的丸粒为合格丸粒，不合格丸粒返回重新制丸。然后将合格的湿丸装盘，将烘盘放入热风循环式烘箱进行干燥，热源使用蒸汽，干燥温度控制在60～70℃，干燥后丸粒水分≤8.0%。再将干燥的丸粒分批次放入混合机进行混合均匀，混合后的丸粒放入夹层锅内，并加入明胶水、虫白蜡快速翻动进行打光，使丸粒光亮、圆润。内包装采用高密度聚乙烯瓶，外包装为纸盒，再经打码、装箱后入库。</w:t>
            </w:r>
          </w:p>
          <w:p w14:paraId="322A0E27">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固体制剂具体工艺流程如下图：</w:t>
            </w:r>
          </w:p>
          <w:p w14:paraId="432B683E">
            <w:pPr>
              <w:keepNext w:val="0"/>
              <w:keepLines w:val="0"/>
              <w:widowControl/>
              <w:suppressLineNumbers w:val="0"/>
              <w:jc w:val="left"/>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5083175" cy="378714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4"/>
                          <a:stretch>
                            <a:fillRect/>
                          </a:stretch>
                        </pic:blipFill>
                        <pic:spPr>
                          <a:xfrm>
                            <a:off x="0" y="0"/>
                            <a:ext cx="5083175" cy="3787140"/>
                          </a:xfrm>
                          <a:prstGeom prst="rect">
                            <a:avLst/>
                          </a:prstGeom>
                          <a:noFill/>
                          <a:ln w="9525">
                            <a:noFill/>
                          </a:ln>
                        </pic:spPr>
                      </pic:pic>
                    </a:graphicData>
                  </a:graphic>
                </wp:inline>
              </w:drawing>
            </w:r>
          </w:p>
          <w:p w14:paraId="660A323C">
            <w:pPr>
              <w:keepNext w:val="0"/>
              <w:keepLines w:val="0"/>
              <w:widowControl/>
              <w:suppressLineNumbers w:val="0"/>
              <w:jc w:val="left"/>
              <w:rPr>
                <w:color w:val="000000" w:themeColor="text1"/>
                <w14:textFill>
                  <w14:solidFill>
                    <w14:schemeClr w14:val="tx1"/>
                  </w14:solidFill>
                </w14:textFill>
              </w:rPr>
            </w:pPr>
          </w:p>
          <w:p w14:paraId="5687AAC1">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240" w:lineRule="auto"/>
              <w:jc w:val="center"/>
              <w:textAlignment w:val="auto"/>
              <w:rPr>
                <w:rFonts w:hint="eastAsia"/>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固体制剂工艺流程及产物环节示意图</w:t>
            </w:r>
          </w:p>
          <w:p w14:paraId="5E7693B2">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before="157" w:beforeLines="50"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固体制剂生产产污环节分析如下</w:t>
            </w:r>
            <w:r>
              <w:rPr>
                <w:rFonts w:hint="eastAsia"/>
                <w:color w:val="000000" w:themeColor="text1"/>
                <w:sz w:val="24"/>
                <w:szCs w:val="24"/>
                <w:lang w:val="en-US" w:eastAsia="zh-CN"/>
                <w14:textFill>
                  <w14:solidFill>
                    <w14:schemeClr w14:val="tx1"/>
                  </w14:solidFill>
                </w14:textFill>
              </w:rPr>
              <w:t>：</w:t>
            </w:r>
          </w:p>
          <w:p w14:paraId="516913B3">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废气：粉碎、混合粉尘G5；装袋粉尘G6、G9；制粒、干燥粉尘G7；筛粒、总混粉尘G8；压片粉尘G10；包衣废气G11（颗粒物及水蒸气）；合坨、制丸粉尘G12；筛丸、干燥粉尘G13；总混、打光粉尘G14。</w:t>
            </w:r>
          </w:p>
          <w:p w14:paraId="3C90D56D">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废水：设备清洗废水、地面清洁废水、生活污水。</w:t>
            </w:r>
          </w:p>
          <w:p w14:paraId="30E36E13">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固废：生活垃圾等。</w:t>
            </w:r>
          </w:p>
          <w:p w14:paraId="4BC95942">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噪声：设备噪声（等效连续A声级）。</w:t>
            </w:r>
          </w:p>
          <w:p w14:paraId="2EA32EE5">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（2）液体制剂生产工艺</w:t>
            </w:r>
          </w:p>
          <w:p w14:paraId="7FE05FE3">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藿香正气水</w:t>
            </w:r>
            <w:r>
              <w:rPr>
                <w:rFonts w:hint="eastAsia"/>
                <w:color w:val="000000" w:themeColor="text1"/>
                <w:sz w:val="24"/>
                <w:szCs w:val="24"/>
                <w:lang w:val="en-US" w:eastAsia="zh-CN"/>
                <w14:textFill>
                  <w14:solidFill>
                    <w14:schemeClr w14:val="tx1"/>
                  </w14:solidFill>
                </w14:textFill>
              </w:rPr>
              <w:t>制剂工艺包括配液、过滤、洗瓶、灌装、包装等五个步骤，具体工艺描述为：首先在配液罐内按比例加入广藿香油、紫苏叶油，然后加入乙醇进行溶解，再按比例投入提取的苍术、陈皮、白芷、厚朴(姜制)、大腹皮、生半夏、干姜、茯苓等浸膏以及外购的甘草浸膏、纯化水进行配液，调整乙醇含量至40～50%结束。然后将配好的药液经微孔过滤器过滤后泵入贮罐，检验合格后即可灌装。采用超声波洗瓶机先对棕色玻璃瓶进行清洗、烘干后送自动灌装机进行灌装操作，并加盖密封。该药品含有乙醇，有抑菌作用，无需再次灭菌操作。最后经检验合格后产品经贴标、装盒后，装箱入库。</w:t>
            </w:r>
          </w:p>
          <w:p w14:paraId="643220D0">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eastAsia"/>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川贝枇杷糖浆</w:t>
            </w:r>
            <w:r>
              <w:rPr>
                <w:rFonts w:hint="eastAsia"/>
                <w:color w:val="000000" w:themeColor="text1"/>
                <w:sz w:val="24"/>
                <w:szCs w:val="24"/>
                <w:lang w:val="en-US" w:eastAsia="zh-CN"/>
                <w14:textFill>
                  <w14:solidFill>
                    <w14:schemeClr w14:val="tx1"/>
                  </w14:solidFill>
                </w14:textFill>
              </w:rPr>
              <w:t>制剂工艺包括配液、过滤、灌装、包装等四个步骤，具体工艺描述为：首先按比例投入提取的桔梗、枇杷叶等浸膏、川贝母渗漉液、纯化水进行配液，再加入蔗糖搅拌均匀，煮沸灭菌30min；然后加入杏仁香精、薄荷脑等调整风味，最后加入苯甲酸钠等防腐剂防止微生物污染。接着</w:t>
            </w:r>
            <w:r>
              <w:rPr>
                <w:rFonts w:hint="eastAsia"/>
                <w:b w:val="0"/>
                <w:bCs w:val="0"/>
                <w:color w:val="000000" w:themeColor="text1"/>
                <w:sz w:val="24"/>
                <w:szCs w:val="24"/>
                <w:lang w:val="en-US" w:eastAsia="zh-CN"/>
                <w14:textFill>
                  <w14:solidFill>
                    <w14:schemeClr w14:val="tx1"/>
                  </w14:solidFill>
                </w14:textFill>
              </w:rPr>
              <w:t>将配好的药液经</w:t>
            </w:r>
            <w:r>
              <w:rPr>
                <w:rFonts w:hint="eastAsia" w:ascii="宋体" w:hAnsi="宋体" w:eastAsia="宋体" w:cs="宋体"/>
                <w:color w:val="000000" w:themeColor="text1"/>
                <w:sz w:val="24"/>
                <w:lang w:val="en-US" w:eastAsia="zh-CN"/>
                <w14:textFill>
                  <w14:solidFill>
                    <w14:schemeClr w14:val="tx1"/>
                  </w14:solidFill>
                </w14:textFill>
              </w:rPr>
              <w:t>微孔过滤器过滤后泵入贮罐，检验合格后即可灌装</w:t>
            </w:r>
            <w:r>
              <w:rPr>
                <w:rFonts w:hint="eastAsia" w:ascii="宋体" w:hAnsi="宋体" w:cs="宋体"/>
                <w:color w:val="000000" w:themeColor="text1"/>
                <w:sz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将免洗的聚酯瓶送自动灌装机进行灌装，并加盖密封。该药品已加入苯甲酸钠，有抑菌作用，且配液时已高温灭菌，无需再次灭菌操作。最后经检验合格后产品经贴标、装盒后，装箱入库。</w:t>
            </w:r>
          </w:p>
          <w:p w14:paraId="7E2CC456">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eastAsia"/>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金果饮口服液</w:t>
            </w:r>
            <w:r>
              <w:rPr>
                <w:rFonts w:hint="eastAsia"/>
                <w:color w:val="000000" w:themeColor="text1"/>
                <w:sz w:val="24"/>
                <w:szCs w:val="24"/>
                <w:lang w:val="en-US" w:eastAsia="zh-CN"/>
                <w14:textFill>
                  <w14:solidFill>
                    <w14:schemeClr w14:val="tx1"/>
                  </w14:solidFill>
                </w14:textFill>
              </w:rPr>
              <w:t>制剂工艺包括配液、过滤、灌装、包装等四个步骤，具体工艺描述为：首先按比例投入提取的地黄、玄参、西青果、蝉蜕、麦冬、胖大海、南沙参、太子参、陈皮等浸膏、纯化水进行配液，再加入蔗糖搅拌均匀，煮沸灭菌30min；然后加入薄荷素油、枸橼酸等调整风味及pH值，最后加入苯甲酸钠等防腐剂防止微生物污染。接着</w:t>
            </w:r>
            <w:r>
              <w:rPr>
                <w:rFonts w:hint="eastAsia"/>
                <w:b w:val="0"/>
                <w:bCs w:val="0"/>
                <w:color w:val="000000" w:themeColor="text1"/>
                <w:sz w:val="24"/>
                <w:szCs w:val="24"/>
                <w:lang w:val="en-US" w:eastAsia="zh-CN"/>
                <w14:textFill>
                  <w14:solidFill>
                    <w14:schemeClr w14:val="tx1"/>
                  </w14:solidFill>
                </w14:textFill>
              </w:rPr>
              <w:t>将配好的药液经</w:t>
            </w:r>
            <w:r>
              <w:rPr>
                <w:rFonts w:hint="eastAsia" w:ascii="宋体" w:hAnsi="宋体" w:eastAsia="宋体" w:cs="宋体"/>
                <w:color w:val="000000" w:themeColor="text1"/>
                <w:sz w:val="24"/>
                <w:lang w:val="en-US" w:eastAsia="zh-CN"/>
                <w14:textFill>
                  <w14:solidFill>
                    <w14:schemeClr w14:val="tx1"/>
                  </w14:solidFill>
                </w14:textFill>
              </w:rPr>
              <w:t>微孔过滤器过滤后泵入贮罐，检验合格后即可灌装</w:t>
            </w:r>
            <w:r>
              <w:rPr>
                <w:rFonts w:hint="eastAsia" w:ascii="宋体" w:hAnsi="宋体" w:cs="宋体"/>
                <w:color w:val="000000" w:themeColor="text1"/>
                <w:sz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将免洗的聚酯瓶送自动灌装机进行灌装，并加盖密封。该药品已加入苯甲酸钠，有抑菌作用，且配液时已高温灭菌，无需再次灭菌操作。最后经检验合格后产品经贴标、装盒后，装箱入库。</w:t>
            </w:r>
          </w:p>
          <w:p w14:paraId="7F20E87E">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液体制剂具体工艺流程如下图：</w:t>
            </w:r>
          </w:p>
          <w:p w14:paraId="75647521">
            <w:pPr>
              <w:keepNext w:val="0"/>
              <w:keepLines w:val="0"/>
              <w:widowControl/>
              <w:suppressLineNumbers w:val="0"/>
              <w:jc w:val="left"/>
              <w:rPr>
                <w:color w:val="000000" w:themeColor="text1"/>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3909695" cy="2300605"/>
                  <wp:effectExtent l="0" t="0" r="0" b="4445"/>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15"/>
                          <a:stretch>
                            <a:fillRect/>
                          </a:stretch>
                        </pic:blipFill>
                        <pic:spPr>
                          <a:xfrm>
                            <a:off x="0" y="0"/>
                            <a:ext cx="3909695" cy="2300605"/>
                          </a:xfrm>
                          <a:prstGeom prst="rect">
                            <a:avLst/>
                          </a:prstGeom>
                          <a:noFill/>
                          <a:ln w="9525">
                            <a:noFill/>
                          </a:ln>
                        </pic:spPr>
                      </pic:pic>
                    </a:graphicData>
                  </a:graphic>
                </wp:inline>
              </w:drawing>
            </w:r>
          </w:p>
          <w:p w14:paraId="640A974C">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before="157" w:beforeLines="50" w:line="360" w:lineRule="auto"/>
              <w:jc w:val="center"/>
              <w:textAlignment w:val="auto"/>
              <w:rPr>
                <w:rFonts w:hint="eastAsia"/>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液体制剂工艺流程及产物环节示意图</w:t>
            </w:r>
          </w:p>
          <w:p w14:paraId="1CF77067">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液体制剂生产产污环节分析如下</w:t>
            </w:r>
            <w:r>
              <w:rPr>
                <w:rFonts w:hint="eastAsia"/>
                <w:color w:val="000000" w:themeColor="text1"/>
                <w:sz w:val="24"/>
                <w:szCs w:val="24"/>
                <w:lang w:val="en-US" w:eastAsia="zh-CN"/>
                <w14:textFill>
                  <w14:solidFill>
                    <w14:schemeClr w14:val="tx1"/>
                  </w14:solidFill>
                </w14:textFill>
              </w:rPr>
              <w:t>：</w:t>
            </w:r>
          </w:p>
          <w:p w14:paraId="241B71DD">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废气：配液废气G15（乙醇等有机废气）、灌装废气G16（乙醇等有机废气）。</w:t>
            </w:r>
          </w:p>
          <w:p w14:paraId="71B5BDC8">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废水：洗瓶废水W3、设备清洗废水、地面清洁废水、生活污水。</w:t>
            </w:r>
          </w:p>
          <w:p w14:paraId="3C1C5CC4">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固废：废滤渣S4、生活垃圾等。</w:t>
            </w:r>
          </w:p>
          <w:p w14:paraId="4C91AA28">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噪声：设备噪声（等效连续A声级）。</w:t>
            </w:r>
          </w:p>
          <w:p w14:paraId="60CDCF42">
            <w:pPr>
              <w:keepNext w:val="0"/>
              <w:keepLines w:val="0"/>
              <w:pageBreakBefore w:val="0"/>
              <w:widowControl w:val="0"/>
              <w:numPr>
                <w:ilvl w:val="0"/>
                <w:numId w:val="2"/>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纯化水工艺</w:t>
            </w:r>
          </w:p>
          <w:p w14:paraId="60BAD4C9">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对纯化水水质要求较高，采用医药行业传统纯化水工艺，即：原水经机械过滤器、活性炭过滤器、保安过滤器预处理后，进入两级反渗透处理装置处理后泵入纯水储罐进行紫外线杀菌后输送给用水点使用。该过程会产生反冲洗废水、反渗透浓水，以及废滤芯、废活性炭等一般固废。</w:t>
            </w:r>
          </w:p>
          <w:p w14:paraId="75EB0165">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eastAsia" w:cs="Times New Roman"/>
                <w:color w:val="000000" w:themeColor="text1"/>
                <w:sz w:val="24"/>
                <w:szCs w:val="24"/>
                <w:lang w:val="en-US" w:eastAsia="zh-CN"/>
                <w14:textFill>
                  <w14:solidFill>
                    <w14:schemeClr w14:val="tx1"/>
                  </w14:solidFill>
                </w14:textFill>
              </w:rPr>
            </w:pPr>
          </w:p>
          <w:p w14:paraId="68B0423A">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ind w:firstLine="480" w:firstLineChars="200"/>
              <w:jc w:val="left"/>
              <w:textAlignment w:val="auto"/>
              <w:rPr>
                <w:rFonts w:hint="eastAsia" w:cs="Times New Roman"/>
                <w:color w:val="000000" w:themeColor="text1"/>
                <w:sz w:val="24"/>
                <w:szCs w:val="24"/>
                <w:lang w:val="en-US" w:eastAsia="zh-CN"/>
                <w14:textFill>
                  <w14:solidFill>
                    <w14:schemeClr w14:val="tx1"/>
                  </w14:solidFill>
                </w14:textFill>
              </w:rPr>
            </w:pPr>
          </w:p>
          <w:p w14:paraId="6A2EEAA7">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before="157" w:beforeLines="50" w:line="360" w:lineRule="auto"/>
              <w:jc w:val="center"/>
              <w:textAlignment w:val="auto"/>
              <w:rPr>
                <w:rFonts w:hint="eastAsia" w:cs="Times New Roman"/>
                <w:color w:val="000000" w:themeColor="text1"/>
                <w:sz w:val="24"/>
                <w:szCs w:val="24"/>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4043045" cy="1994535"/>
                  <wp:effectExtent l="0" t="0" r="14605" b="5715"/>
                  <wp:docPr id="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
                          <pic:cNvPicPr>
                            <a:picLocks noChangeAspect="1"/>
                          </pic:cNvPicPr>
                        </pic:nvPicPr>
                        <pic:blipFill>
                          <a:blip r:embed="rId16"/>
                          <a:stretch>
                            <a:fillRect/>
                          </a:stretch>
                        </pic:blipFill>
                        <pic:spPr>
                          <a:xfrm>
                            <a:off x="0" y="0"/>
                            <a:ext cx="4043045" cy="1994535"/>
                          </a:xfrm>
                          <a:prstGeom prst="rect">
                            <a:avLst/>
                          </a:prstGeom>
                          <a:noFill/>
                          <a:ln>
                            <a:noFill/>
                          </a:ln>
                        </pic:spPr>
                      </pic:pic>
                    </a:graphicData>
                  </a:graphic>
                </wp:inline>
              </w:drawing>
            </w:r>
          </w:p>
          <w:p w14:paraId="74C3DDF4">
            <w:pPr>
              <w:keepNext w:val="0"/>
              <w:keepLines w:val="0"/>
              <w:pageBreakBefore w:val="0"/>
              <w:widowControl w:val="0"/>
              <w:numPr>
                <w:ilvl w:val="0"/>
                <w:numId w:val="0"/>
              </w:numPr>
              <w:tabs>
                <w:tab w:val="left" w:pos="2440"/>
              </w:tabs>
              <w:kinsoku/>
              <w:wordWrap/>
              <w:overflowPunct/>
              <w:topLinePunct w:val="0"/>
              <w:autoSpaceDE/>
              <w:autoSpaceDN/>
              <w:bidi w:val="0"/>
              <w:adjustRightInd w:val="0"/>
              <w:snapToGrid w:val="0"/>
              <w:spacing w:line="360" w:lineRule="auto"/>
              <w:jc w:val="center"/>
              <w:textAlignment w:val="auto"/>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纯化水生产工艺</w:t>
            </w:r>
            <w:r>
              <w:rPr>
                <w:rFonts w:hint="default"/>
                <w:b/>
                <w:bCs/>
                <w:color w:val="000000" w:themeColor="text1"/>
                <w:sz w:val="24"/>
                <w:szCs w:val="24"/>
                <w:lang w:val="en-US" w:eastAsia="zh-CN"/>
                <w14:textFill>
                  <w14:solidFill>
                    <w14:schemeClr w14:val="tx1"/>
                  </w14:solidFill>
                </w14:textFill>
              </w:rPr>
              <w:t>流程及产污环节</w:t>
            </w:r>
            <w:r>
              <w:rPr>
                <w:rFonts w:hint="eastAsia"/>
                <w:b/>
                <w:bCs/>
                <w:color w:val="000000" w:themeColor="text1"/>
                <w:sz w:val="24"/>
                <w:szCs w:val="24"/>
                <w:lang w:val="en-US" w:eastAsia="zh-CN"/>
                <w14:textFill>
                  <w14:solidFill>
                    <w14:schemeClr w14:val="tx1"/>
                  </w14:solidFill>
                </w14:textFill>
              </w:rPr>
              <w:t>图</w:t>
            </w:r>
          </w:p>
          <w:p w14:paraId="7B7B62A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三</w:t>
            </w:r>
            <w:r>
              <w:rPr>
                <w:rFonts w:hint="default"/>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运营期</w:t>
            </w:r>
            <w:r>
              <w:rPr>
                <w:rFonts w:hint="default"/>
                <w:color w:val="000000" w:themeColor="text1"/>
                <w:sz w:val="24"/>
                <w:szCs w:val="24"/>
                <w14:textFill>
                  <w14:solidFill>
                    <w14:schemeClr w14:val="tx1"/>
                  </w14:solidFill>
                </w14:textFill>
              </w:rPr>
              <w:t>产</w:t>
            </w:r>
            <w:r>
              <w:rPr>
                <w:rFonts w:hint="eastAsia"/>
                <w:color w:val="000000" w:themeColor="text1"/>
                <w:sz w:val="24"/>
                <w:szCs w:val="24"/>
                <w:lang w:val="en-US" w:eastAsia="zh-CN"/>
                <w14:textFill>
                  <w14:solidFill>
                    <w14:schemeClr w14:val="tx1"/>
                  </w14:solidFill>
                </w14:textFill>
              </w:rPr>
              <w:t>排</w:t>
            </w:r>
            <w:r>
              <w:rPr>
                <w:rFonts w:hint="default"/>
                <w:color w:val="000000" w:themeColor="text1"/>
                <w:sz w:val="24"/>
                <w:szCs w:val="24"/>
                <w14:textFill>
                  <w14:solidFill>
                    <w14:schemeClr w14:val="tx1"/>
                  </w14:solidFill>
                </w14:textFill>
              </w:rPr>
              <w:t>污环节分析</w:t>
            </w:r>
            <w:r>
              <w:rPr>
                <w:rFonts w:hint="eastAsia"/>
                <w:color w:val="000000" w:themeColor="text1"/>
                <w:sz w:val="24"/>
                <w:szCs w:val="24"/>
                <w:lang w:val="en-US" w:eastAsia="zh-CN"/>
                <w14:textFill>
                  <w14:solidFill>
                    <w14:schemeClr w14:val="tx1"/>
                  </w14:solidFill>
                </w14:textFill>
              </w:rPr>
              <w:t>汇总</w:t>
            </w:r>
          </w:p>
          <w:p w14:paraId="237DBB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根据生产工艺分析，</w:t>
            </w:r>
            <w:r>
              <w:rPr>
                <w:rFonts w:hint="eastAsia"/>
                <w:color w:val="000000" w:themeColor="text1"/>
                <w:sz w:val="24"/>
                <w:szCs w:val="24"/>
                <w:lang w:val="en-US" w:eastAsia="zh-CN"/>
                <w14:textFill>
                  <w14:solidFill>
                    <w14:schemeClr w14:val="tx1"/>
                  </w14:solidFill>
                </w14:textFill>
              </w:rPr>
              <w:t>本</w:t>
            </w:r>
            <w:r>
              <w:rPr>
                <w:rFonts w:hint="default"/>
                <w:color w:val="000000" w:themeColor="text1"/>
                <w:sz w:val="24"/>
                <w:szCs w:val="24"/>
                <w14:textFill>
                  <w14:solidFill>
                    <w14:schemeClr w14:val="tx1"/>
                  </w14:solidFill>
                </w14:textFill>
              </w:rPr>
              <w:t>项目生产运营期主要产污环节详见下表。</w:t>
            </w:r>
          </w:p>
          <w:p w14:paraId="63D75701">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表</w:t>
            </w:r>
            <w:r>
              <w:rPr>
                <w:rFonts w:hint="eastAsia" w:cs="Times New Roman"/>
                <w:b w:val="0"/>
                <w:bCs w:val="0"/>
                <w:color w:val="000000" w:themeColor="text1"/>
                <w:sz w:val="24"/>
                <w:szCs w:val="24"/>
                <w:lang w:val="en-US" w:eastAsia="zh-CN"/>
                <w14:textFill>
                  <w14:solidFill>
                    <w14:schemeClr w14:val="tx1"/>
                  </w14:solidFill>
                </w14:textFill>
              </w:rPr>
              <w:t>21</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本项目产污环节一览表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57"/>
              <w:gridCol w:w="668"/>
              <w:gridCol w:w="1408"/>
              <w:gridCol w:w="2072"/>
              <w:gridCol w:w="3071"/>
            </w:tblGrid>
            <w:tr w14:paraId="004B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noWrap w:val="0"/>
                  <w:vAlign w:val="center"/>
                </w:tcPr>
                <w:p w14:paraId="26B85556">
                  <w:pPr>
                    <w:widowControl/>
                    <w:adjustRightInd w:val="0"/>
                    <w:snapToGrid w:val="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类别</w:t>
                  </w:r>
                </w:p>
              </w:tc>
              <w:tc>
                <w:tcPr>
                  <w:tcW w:w="1317" w:type="pct"/>
                  <w:gridSpan w:val="2"/>
                  <w:noWrap w:val="0"/>
                  <w:vAlign w:val="center"/>
                </w:tcPr>
                <w:p w14:paraId="58E018E4">
                  <w:pPr>
                    <w:widowControl/>
                    <w:adjustRightInd w:val="0"/>
                    <w:snapToGrid w:val="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产污环节</w:t>
                  </w:r>
                </w:p>
              </w:tc>
              <w:tc>
                <w:tcPr>
                  <w:tcW w:w="1315" w:type="pct"/>
                  <w:noWrap w:val="0"/>
                  <w:vAlign w:val="center"/>
                </w:tcPr>
                <w:p w14:paraId="17A3CBF3">
                  <w:pPr>
                    <w:widowControl/>
                    <w:adjustRightInd w:val="0"/>
                    <w:snapToGrid w:val="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污染因子</w:t>
                  </w:r>
                </w:p>
              </w:tc>
              <w:tc>
                <w:tcPr>
                  <w:tcW w:w="1949" w:type="pct"/>
                  <w:noWrap w:val="0"/>
                  <w:vAlign w:val="center"/>
                </w:tcPr>
                <w:p w14:paraId="15080BFE">
                  <w:pPr>
                    <w:widowControl/>
                    <w:adjustRightInd w:val="0"/>
                    <w:snapToGrid w:val="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治理措施</w:t>
                  </w:r>
                </w:p>
              </w:tc>
            </w:tr>
            <w:tr w14:paraId="5E1A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restart"/>
                  <w:noWrap w:val="0"/>
                  <w:vAlign w:val="center"/>
                </w:tcPr>
                <w:p w14:paraId="7A16CF9D">
                  <w:pPr>
                    <w:widowControl/>
                    <w:adjustRightInd w:val="0"/>
                    <w:snapToGrid w:val="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废气</w:t>
                  </w:r>
                </w:p>
              </w:tc>
              <w:tc>
                <w:tcPr>
                  <w:tcW w:w="1317" w:type="pct"/>
                  <w:gridSpan w:val="2"/>
                  <w:noWrap w:val="0"/>
                  <w:vAlign w:val="center"/>
                </w:tcPr>
                <w:p w14:paraId="6B5EDB25">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拣选粉尘G1</w:t>
                  </w:r>
                </w:p>
              </w:tc>
              <w:tc>
                <w:tcPr>
                  <w:tcW w:w="1315" w:type="pct"/>
                  <w:noWrap w:val="0"/>
                  <w:vAlign w:val="center"/>
                </w:tcPr>
                <w:p w14:paraId="78ABF435">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vMerge w:val="restart"/>
                  <w:noWrap w:val="0"/>
                  <w:vAlign w:val="center"/>
                </w:tcPr>
                <w:p w14:paraId="609C72A1">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经集气罩收集后由袋式除尘器处理后外排</w:t>
                  </w:r>
                </w:p>
              </w:tc>
            </w:tr>
            <w:tr w14:paraId="095E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224B788E">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580E3140">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干燥粉尘G2</w:t>
                  </w:r>
                </w:p>
              </w:tc>
              <w:tc>
                <w:tcPr>
                  <w:tcW w:w="1315" w:type="pct"/>
                  <w:noWrap w:val="0"/>
                  <w:vAlign w:val="center"/>
                </w:tcPr>
                <w:p w14:paraId="47E63597">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vMerge w:val="continue"/>
                  <w:noWrap w:val="0"/>
                  <w:vAlign w:val="center"/>
                </w:tcPr>
                <w:p w14:paraId="3C4267FE">
                  <w:pPr>
                    <w:adjustRightInd w:val="0"/>
                    <w:snapToGrid w:val="0"/>
                    <w:jc w:val="center"/>
                    <w:rPr>
                      <w:rFonts w:hint="default"/>
                      <w:color w:val="000000" w:themeColor="text1"/>
                      <w:szCs w:val="21"/>
                      <w:lang w:val="en-US" w:eastAsia="zh-CN"/>
                      <w14:textFill>
                        <w14:solidFill>
                          <w14:schemeClr w14:val="tx1"/>
                        </w14:solidFill>
                      </w14:textFill>
                    </w:rPr>
                  </w:pPr>
                </w:p>
              </w:tc>
            </w:tr>
            <w:tr w14:paraId="585C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11FDB6B4">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3A388D0B">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炮制粉尘G3</w:t>
                  </w:r>
                </w:p>
              </w:tc>
              <w:tc>
                <w:tcPr>
                  <w:tcW w:w="1315" w:type="pct"/>
                  <w:noWrap w:val="0"/>
                  <w:vAlign w:val="center"/>
                </w:tcPr>
                <w:p w14:paraId="0855E6F4">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颗粒物、臭气浓度</w:t>
                  </w:r>
                </w:p>
              </w:tc>
              <w:tc>
                <w:tcPr>
                  <w:tcW w:w="1949" w:type="pct"/>
                  <w:vMerge w:val="continue"/>
                  <w:noWrap w:val="0"/>
                  <w:vAlign w:val="center"/>
                </w:tcPr>
                <w:p w14:paraId="116D3041">
                  <w:pPr>
                    <w:adjustRightInd w:val="0"/>
                    <w:snapToGrid w:val="0"/>
                    <w:jc w:val="center"/>
                    <w:rPr>
                      <w:rFonts w:hint="default"/>
                      <w:color w:val="000000" w:themeColor="text1"/>
                      <w:szCs w:val="21"/>
                      <w:lang w:val="en-US" w:eastAsia="zh-CN"/>
                      <w14:textFill>
                        <w14:solidFill>
                          <w14:schemeClr w14:val="tx1"/>
                        </w14:solidFill>
                      </w14:textFill>
                    </w:rPr>
                  </w:pPr>
                </w:p>
              </w:tc>
            </w:tr>
            <w:tr w14:paraId="1A23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73060E7E">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4CAC0855">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醇提浓缩废气G4</w:t>
                  </w:r>
                </w:p>
              </w:tc>
              <w:tc>
                <w:tcPr>
                  <w:tcW w:w="1315" w:type="pct"/>
                  <w:noWrap w:val="0"/>
                  <w:vAlign w:val="center"/>
                </w:tcPr>
                <w:p w14:paraId="49D964C1">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VOCs（乙醇）</w:t>
                  </w:r>
                </w:p>
              </w:tc>
              <w:tc>
                <w:tcPr>
                  <w:tcW w:w="1949" w:type="pct"/>
                  <w:vMerge w:val="restart"/>
                  <w:noWrap w:val="0"/>
                  <w:vAlign w:val="center"/>
                </w:tcPr>
                <w:p w14:paraId="78CF0C1A">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经管道收集后由低温冷凝+RCO催化燃烧装置处理后外排</w:t>
                  </w:r>
                </w:p>
              </w:tc>
            </w:tr>
            <w:tr w14:paraId="5FFE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45A4BAB0">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6968A97D">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醇沉废气G5</w:t>
                  </w:r>
                </w:p>
              </w:tc>
              <w:tc>
                <w:tcPr>
                  <w:tcW w:w="1315" w:type="pct"/>
                  <w:noWrap w:val="0"/>
                  <w:vAlign w:val="center"/>
                </w:tcPr>
                <w:p w14:paraId="0D70437B">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VOCs（乙醇）</w:t>
                  </w:r>
                </w:p>
              </w:tc>
              <w:tc>
                <w:tcPr>
                  <w:tcW w:w="1949" w:type="pct"/>
                  <w:vMerge w:val="continue"/>
                  <w:noWrap w:val="0"/>
                  <w:vAlign w:val="center"/>
                </w:tcPr>
                <w:p w14:paraId="3FB9A519">
                  <w:pPr>
                    <w:adjustRightInd w:val="0"/>
                    <w:snapToGrid w:val="0"/>
                    <w:jc w:val="center"/>
                    <w:rPr>
                      <w:rFonts w:hint="default"/>
                      <w:color w:val="000000" w:themeColor="text1"/>
                      <w:szCs w:val="21"/>
                      <w:lang w:val="en-US" w:eastAsia="zh-CN"/>
                      <w14:textFill>
                        <w14:solidFill>
                          <w14:schemeClr w14:val="tx1"/>
                        </w14:solidFill>
                      </w14:textFill>
                    </w:rPr>
                  </w:pPr>
                </w:p>
              </w:tc>
            </w:tr>
            <w:tr w14:paraId="60BF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01B2AA76">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11C76B61">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粉碎混合粉尘G6</w:t>
                  </w:r>
                </w:p>
              </w:tc>
              <w:tc>
                <w:tcPr>
                  <w:tcW w:w="1315" w:type="pct"/>
                  <w:noWrap w:val="0"/>
                  <w:vAlign w:val="center"/>
                </w:tcPr>
                <w:p w14:paraId="513669B4">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noWrap w:val="0"/>
                  <w:vAlign w:val="center"/>
                </w:tcPr>
                <w:p w14:paraId="547EB1D8">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收集后由袋式除尘器处理后外排</w:t>
                  </w:r>
                </w:p>
              </w:tc>
            </w:tr>
            <w:tr w14:paraId="2168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4E593634">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218C9FD0">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散剂装袋粉尘G7</w:t>
                  </w:r>
                </w:p>
              </w:tc>
              <w:tc>
                <w:tcPr>
                  <w:tcW w:w="1315" w:type="pct"/>
                  <w:noWrap w:val="0"/>
                  <w:vAlign w:val="center"/>
                </w:tcPr>
                <w:p w14:paraId="3F029FE1">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vMerge w:val="restart"/>
                  <w:noWrap w:val="0"/>
                  <w:vAlign w:val="center"/>
                </w:tcPr>
                <w:p w14:paraId="3D1AF1E5">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收集后由袋式除尘器处理后外排</w:t>
                  </w:r>
                </w:p>
              </w:tc>
            </w:tr>
            <w:tr w14:paraId="7D9A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0CFC0310">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shd w:val="clear" w:color="auto" w:fill="auto"/>
                  <w:noWrap w:val="0"/>
                  <w:vAlign w:val="center"/>
                </w:tcPr>
                <w:p w14:paraId="6DE9E399">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颗粒剂装袋粉尘G10</w:t>
                  </w:r>
                </w:p>
              </w:tc>
              <w:tc>
                <w:tcPr>
                  <w:tcW w:w="1315" w:type="pct"/>
                  <w:shd w:val="clear" w:color="auto" w:fill="auto"/>
                  <w:noWrap w:val="0"/>
                  <w:vAlign w:val="center"/>
                </w:tcPr>
                <w:p w14:paraId="2011ABC4">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vMerge w:val="continue"/>
                  <w:shd w:val="clear" w:color="auto" w:fill="auto"/>
                  <w:noWrap w:val="0"/>
                  <w:vAlign w:val="center"/>
                </w:tcPr>
                <w:p w14:paraId="5024CEE8">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r>
            <w:tr w14:paraId="0208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487BF1D7">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125D7A18">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制粒干燥粉尘G8</w:t>
                  </w:r>
                </w:p>
              </w:tc>
              <w:tc>
                <w:tcPr>
                  <w:tcW w:w="1315" w:type="pct"/>
                  <w:noWrap w:val="0"/>
                  <w:vAlign w:val="center"/>
                </w:tcPr>
                <w:p w14:paraId="03AFDA99">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vMerge w:val="restart"/>
                  <w:noWrap w:val="0"/>
                  <w:vAlign w:val="center"/>
                </w:tcPr>
                <w:p w14:paraId="5C43CB60">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收集后由袋式除尘器处理后外排</w:t>
                  </w:r>
                </w:p>
              </w:tc>
            </w:tr>
            <w:tr w14:paraId="3918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3BA56D0A">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62C28D92">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筛粒总混粉尘G9</w:t>
                  </w:r>
                </w:p>
              </w:tc>
              <w:tc>
                <w:tcPr>
                  <w:tcW w:w="1315" w:type="pct"/>
                  <w:noWrap w:val="0"/>
                  <w:vAlign w:val="center"/>
                </w:tcPr>
                <w:p w14:paraId="6BAF89E2">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vMerge w:val="continue"/>
                  <w:noWrap w:val="0"/>
                  <w:vAlign w:val="center"/>
                </w:tcPr>
                <w:p w14:paraId="5BE15AB4">
                  <w:pPr>
                    <w:adjustRightInd w:val="0"/>
                    <w:snapToGrid w:val="0"/>
                    <w:jc w:val="center"/>
                    <w:rPr>
                      <w:rFonts w:hint="default"/>
                      <w:color w:val="000000" w:themeColor="text1"/>
                      <w:szCs w:val="21"/>
                      <w:lang w:val="en-US" w:eastAsia="zh-CN"/>
                      <w14:textFill>
                        <w14:solidFill>
                          <w14:schemeClr w14:val="tx1"/>
                        </w14:solidFill>
                      </w14:textFill>
                    </w:rPr>
                  </w:pPr>
                </w:p>
              </w:tc>
            </w:tr>
            <w:tr w14:paraId="7650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71743D82">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6CD8E78A">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压片粉尘G11</w:t>
                  </w:r>
                </w:p>
              </w:tc>
              <w:tc>
                <w:tcPr>
                  <w:tcW w:w="1315" w:type="pct"/>
                  <w:noWrap w:val="0"/>
                  <w:vAlign w:val="center"/>
                </w:tcPr>
                <w:p w14:paraId="7FB6C020">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vMerge w:val="restart"/>
                  <w:noWrap w:val="0"/>
                  <w:vAlign w:val="center"/>
                </w:tcPr>
                <w:p w14:paraId="1BF5CEDF">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收集后由袋式除尘器处理后外排</w:t>
                  </w:r>
                </w:p>
              </w:tc>
            </w:tr>
            <w:tr w14:paraId="0311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118D0F3B">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550732BD">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包衣粉尘G12</w:t>
                  </w:r>
                </w:p>
              </w:tc>
              <w:tc>
                <w:tcPr>
                  <w:tcW w:w="1315" w:type="pct"/>
                  <w:noWrap w:val="0"/>
                  <w:vAlign w:val="center"/>
                </w:tcPr>
                <w:p w14:paraId="5FF14BA9">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 xml:space="preserve">颗粒物                                                           </w:t>
                  </w:r>
                </w:p>
              </w:tc>
              <w:tc>
                <w:tcPr>
                  <w:tcW w:w="1949" w:type="pct"/>
                  <w:vMerge w:val="continue"/>
                  <w:noWrap w:val="0"/>
                  <w:vAlign w:val="center"/>
                </w:tcPr>
                <w:p w14:paraId="0E3ED682">
                  <w:pPr>
                    <w:adjustRightInd w:val="0"/>
                    <w:snapToGrid w:val="0"/>
                    <w:jc w:val="center"/>
                    <w:rPr>
                      <w:rFonts w:hint="default"/>
                      <w:color w:val="000000" w:themeColor="text1"/>
                      <w:szCs w:val="21"/>
                      <w:lang w:val="en-US" w:eastAsia="zh-CN"/>
                      <w14:textFill>
                        <w14:solidFill>
                          <w14:schemeClr w14:val="tx1"/>
                        </w14:solidFill>
                      </w14:textFill>
                    </w:rPr>
                  </w:pPr>
                </w:p>
              </w:tc>
            </w:tr>
            <w:tr w14:paraId="5E52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57816F4D">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05EB36C5">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合坨制丸粉尘G13</w:t>
                  </w:r>
                </w:p>
              </w:tc>
              <w:tc>
                <w:tcPr>
                  <w:tcW w:w="1315" w:type="pct"/>
                  <w:noWrap w:val="0"/>
                  <w:vAlign w:val="center"/>
                </w:tcPr>
                <w:p w14:paraId="1E8B1778">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vMerge w:val="restart"/>
                  <w:noWrap w:val="0"/>
                  <w:vAlign w:val="center"/>
                </w:tcPr>
                <w:p w14:paraId="427A89E9">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收集后由袋式除尘器处理后外排</w:t>
                  </w:r>
                </w:p>
              </w:tc>
            </w:tr>
            <w:tr w14:paraId="270EF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0C11DF83">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4C9735AB">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筛丸干燥粉尘G14</w:t>
                  </w:r>
                </w:p>
              </w:tc>
              <w:tc>
                <w:tcPr>
                  <w:tcW w:w="1315" w:type="pct"/>
                  <w:shd w:val="clear" w:color="auto" w:fill="auto"/>
                  <w:noWrap w:val="0"/>
                  <w:vAlign w:val="center"/>
                </w:tcPr>
                <w:p w14:paraId="4CAAE92D">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vMerge w:val="continue"/>
                  <w:shd w:val="clear" w:color="auto" w:fill="auto"/>
                  <w:noWrap w:val="0"/>
                  <w:vAlign w:val="center"/>
                </w:tcPr>
                <w:p w14:paraId="4E60CF63">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r>
            <w:tr w14:paraId="339E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41AE5F86">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41546695">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总混打光粉尘G15</w:t>
                  </w:r>
                </w:p>
              </w:tc>
              <w:tc>
                <w:tcPr>
                  <w:tcW w:w="1315" w:type="pct"/>
                  <w:shd w:val="clear" w:color="auto" w:fill="auto"/>
                  <w:noWrap w:val="0"/>
                  <w:vAlign w:val="center"/>
                </w:tcPr>
                <w:p w14:paraId="632C2C4A">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949" w:type="pct"/>
                  <w:vMerge w:val="continue"/>
                  <w:shd w:val="clear" w:color="auto" w:fill="auto"/>
                  <w:noWrap w:val="0"/>
                  <w:vAlign w:val="center"/>
                </w:tcPr>
                <w:p w14:paraId="75BB05A8">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r>
            <w:tr w14:paraId="178C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490CD1A0">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585D402A">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配液废气G16</w:t>
                  </w:r>
                </w:p>
              </w:tc>
              <w:tc>
                <w:tcPr>
                  <w:tcW w:w="1315" w:type="pct"/>
                  <w:noWrap w:val="0"/>
                  <w:vAlign w:val="center"/>
                </w:tcPr>
                <w:p w14:paraId="7920A2C4">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VOCs（乙醇）</w:t>
                  </w:r>
                </w:p>
              </w:tc>
              <w:tc>
                <w:tcPr>
                  <w:tcW w:w="1949" w:type="pct"/>
                  <w:vMerge w:val="restart"/>
                  <w:noWrap w:val="0"/>
                  <w:vAlign w:val="center"/>
                </w:tcPr>
                <w:p w14:paraId="57FB8089">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经管道收集后由低温冷凝+RCO催化燃烧装置处理后外排</w:t>
                  </w:r>
                </w:p>
              </w:tc>
            </w:tr>
            <w:tr w14:paraId="34AB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61268424">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26652AA7">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灌装废气G17</w:t>
                  </w:r>
                </w:p>
              </w:tc>
              <w:tc>
                <w:tcPr>
                  <w:tcW w:w="1315" w:type="pct"/>
                  <w:noWrap w:val="0"/>
                  <w:vAlign w:val="center"/>
                </w:tcPr>
                <w:p w14:paraId="489639E1">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VOCs（乙醇）</w:t>
                  </w:r>
                </w:p>
              </w:tc>
              <w:tc>
                <w:tcPr>
                  <w:tcW w:w="1949" w:type="pct"/>
                  <w:vMerge w:val="continue"/>
                  <w:noWrap w:val="0"/>
                  <w:vAlign w:val="center"/>
                </w:tcPr>
                <w:p w14:paraId="2F726A6F">
                  <w:pPr>
                    <w:adjustRightInd w:val="0"/>
                    <w:snapToGrid w:val="0"/>
                    <w:jc w:val="center"/>
                    <w:rPr>
                      <w:rFonts w:hint="default"/>
                      <w:color w:val="000000" w:themeColor="text1"/>
                      <w:szCs w:val="21"/>
                      <w:lang w:val="en-US" w:eastAsia="zh-CN"/>
                      <w14:textFill>
                        <w14:solidFill>
                          <w14:schemeClr w14:val="tx1"/>
                        </w14:solidFill>
                      </w14:textFill>
                    </w:rPr>
                  </w:pPr>
                </w:p>
              </w:tc>
            </w:tr>
            <w:tr w14:paraId="0EA9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33B8929C">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1FBA3988">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危废间废气</w:t>
                  </w:r>
                </w:p>
              </w:tc>
              <w:tc>
                <w:tcPr>
                  <w:tcW w:w="1315" w:type="pct"/>
                  <w:noWrap w:val="0"/>
                  <w:vAlign w:val="center"/>
                </w:tcPr>
                <w:p w14:paraId="737869A0">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VOCs（乙醇）</w:t>
                  </w:r>
                </w:p>
              </w:tc>
              <w:tc>
                <w:tcPr>
                  <w:tcW w:w="1949" w:type="pct"/>
                  <w:vMerge w:val="continue"/>
                  <w:noWrap w:val="0"/>
                  <w:vAlign w:val="center"/>
                </w:tcPr>
                <w:p w14:paraId="263B7F23">
                  <w:pPr>
                    <w:adjustRightInd w:val="0"/>
                    <w:snapToGrid w:val="0"/>
                    <w:jc w:val="center"/>
                    <w:rPr>
                      <w:rFonts w:hint="default"/>
                      <w:color w:val="000000" w:themeColor="text1"/>
                      <w:szCs w:val="21"/>
                      <w:lang w:val="en-US" w:eastAsia="zh-CN"/>
                      <w14:textFill>
                        <w14:solidFill>
                          <w14:schemeClr w14:val="tx1"/>
                        </w14:solidFill>
                      </w14:textFill>
                    </w:rPr>
                  </w:pPr>
                </w:p>
              </w:tc>
            </w:tr>
            <w:tr w14:paraId="6EC7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7F5D7DED">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059DBD97">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污水站废气</w:t>
                  </w:r>
                </w:p>
              </w:tc>
              <w:tc>
                <w:tcPr>
                  <w:tcW w:w="1315" w:type="pct"/>
                  <w:noWrap w:val="0"/>
                  <w:vAlign w:val="center"/>
                </w:tcPr>
                <w:p w14:paraId="57B215BD">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VOCs、硫化氢、氨、臭气浓度</w:t>
                  </w:r>
                </w:p>
              </w:tc>
              <w:tc>
                <w:tcPr>
                  <w:tcW w:w="1949" w:type="pct"/>
                  <w:vMerge w:val="continue"/>
                  <w:noWrap w:val="0"/>
                  <w:vAlign w:val="center"/>
                </w:tcPr>
                <w:p w14:paraId="1BA618FE">
                  <w:pPr>
                    <w:adjustRightInd w:val="0"/>
                    <w:snapToGrid w:val="0"/>
                    <w:jc w:val="center"/>
                    <w:rPr>
                      <w:rFonts w:hint="default"/>
                      <w:color w:val="000000" w:themeColor="text1"/>
                      <w:szCs w:val="21"/>
                      <w:lang w:val="en-US" w:eastAsia="zh-CN"/>
                      <w14:textFill>
                        <w14:solidFill>
                          <w14:schemeClr w14:val="tx1"/>
                        </w14:solidFill>
                      </w14:textFill>
                    </w:rPr>
                  </w:pPr>
                </w:p>
              </w:tc>
            </w:tr>
            <w:tr w14:paraId="6B29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1024199C">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0A31DE7E">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无组织废气</w:t>
                  </w:r>
                </w:p>
              </w:tc>
              <w:tc>
                <w:tcPr>
                  <w:tcW w:w="1315" w:type="pct"/>
                  <w:noWrap w:val="0"/>
                  <w:vAlign w:val="center"/>
                </w:tcPr>
                <w:p w14:paraId="472AC886">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颗粒物、VOCs（乙醇）、臭气浓度</w:t>
                  </w:r>
                </w:p>
              </w:tc>
              <w:tc>
                <w:tcPr>
                  <w:tcW w:w="1949" w:type="pct"/>
                  <w:noWrap w:val="0"/>
                  <w:vAlign w:val="center"/>
                </w:tcPr>
                <w:p w14:paraId="6DA74967">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车间封闭等措施</w:t>
                  </w:r>
                </w:p>
              </w:tc>
            </w:tr>
            <w:tr w14:paraId="314E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restart"/>
                  <w:noWrap w:val="0"/>
                  <w:vAlign w:val="center"/>
                </w:tcPr>
                <w:p w14:paraId="572D4557">
                  <w:pPr>
                    <w:widowControl/>
                    <w:adjustRightInd w:val="0"/>
                    <w:snapToGrid w:val="0"/>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废水</w:t>
                  </w:r>
                </w:p>
              </w:tc>
              <w:tc>
                <w:tcPr>
                  <w:tcW w:w="1317" w:type="pct"/>
                  <w:gridSpan w:val="2"/>
                  <w:noWrap w:val="0"/>
                  <w:vAlign w:val="center"/>
                </w:tcPr>
                <w:p w14:paraId="5BB5CBD8">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中药清洗废水W1</w:t>
                  </w:r>
                </w:p>
              </w:tc>
              <w:tc>
                <w:tcPr>
                  <w:tcW w:w="1315" w:type="pct"/>
                  <w:noWrap w:val="0"/>
                  <w:vAlign w:val="center"/>
                </w:tcPr>
                <w:p w14:paraId="2CBFC535">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pH、COD、BOD</w:t>
                  </w:r>
                  <w:r>
                    <w:rPr>
                      <w:rFonts w:hint="eastAsia"/>
                      <w:color w:val="000000" w:themeColor="text1"/>
                      <w:szCs w:val="21"/>
                      <w:vertAlign w:val="subscript"/>
                      <w:lang w:val="en-US" w:eastAsia="zh-CN"/>
                      <w14:textFill>
                        <w14:solidFill>
                          <w14:schemeClr w14:val="tx1"/>
                        </w14:solidFill>
                      </w14:textFill>
                    </w:rPr>
                    <w:t>5</w:t>
                  </w:r>
                  <w:r>
                    <w:rPr>
                      <w:rFonts w:hint="eastAsia"/>
                      <w:color w:val="000000" w:themeColor="text1"/>
                      <w:szCs w:val="21"/>
                      <w:lang w:val="en-US" w:eastAsia="zh-CN"/>
                      <w14:textFill>
                        <w14:solidFill>
                          <w14:schemeClr w14:val="tx1"/>
                        </w14:solidFill>
                      </w14:textFill>
                    </w:rPr>
                    <w:t>、SS、色度、氨氮、总氮、总磷、动植物油、总有机碳、总氰化物、急性毒性</w:t>
                  </w:r>
                </w:p>
              </w:tc>
              <w:tc>
                <w:tcPr>
                  <w:tcW w:w="1949" w:type="pct"/>
                  <w:vMerge w:val="restart"/>
                  <w:noWrap w:val="0"/>
                  <w:vAlign w:val="center"/>
                </w:tcPr>
                <w:p w14:paraId="27CBDED1">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统一进厂内污水处理站处理，处理工艺为气浮+混凝沉淀+厌氧+CASS生化处理，处理达标后外排，进入产业集聚区污水处理厂进一步处理</w:t>
                  </w:r>
                </w:p>
              </w:tc>
            </w:tr>
            <w:tr w14:paraId="2248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78094347">
                  <w:pPr>
                    <w:widowControl/>
                    <w:adjustRightInd w:val="0"/>
                    <w:snapToGrid w:val="0"/>
                    <w:jc w:val="center"/>
                    <w:rPr>
                      <w:rFonts w:hint="eastAsia"/>
                      <w:color w:val="000000" w:themeColor="text1"/>
                      <w:szCs w:val="21"/>
                      <w:lang w:val="en-US" w:eastAsia="zh-CN"/>
                      <w14:textFill>
                        <w14:solidFill>
                          <w14:schemeClr w14:val="tx1"/>
                        </w14:solidFill>
                      </w14:textFill>
                    </w:rPr>
                  </w:pPr>
                </w:p>
              </w:tc>
              <w:tc>
                <w:tcPr>
                  <w:tcW w:w="1317" w:type="pct"/>
                  <w:gridSpan w:val="2"/>
                  <w:noWrap w:val="0"/>
                  <w:vAlign w:val="center"/>
                </w:tcPr>
                <w:p w14:paraId="7BA5B20C">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中药水提废水W2</w:t>
                  </w:r>
                </w:p>
              </w:tc>
              <w:tc>
                <w:tcPr>
                  <w:tcW w:w="1315" w:type="pct"/>
                  <w:noWrap w:val="0"/>
                  <w:vAlign w:val="center"/>
                </w:tcPr>
                <w:p w14:paraId="466115A3">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pH、COD、BOD</w:t>
                  </w:r>
                  <w:r>
                    <w:rPr>
                      <w:rFonts w:hint="eastAsia"/>
                      <w:color w:val="000000" w:themeColor="text1"/>
                      <w:szCs w:val="21"/>
                      <w:vertAlign w:val="subscript"/>
                      <w:lang w:val="en-US" w:eastAsia="zh-CN"/>
                      <w14:textFill>
                        <w14:solidFill>
                          <w14:schemeClr w14:val="tx1"/>
                        </w14:solidFill>
                      </w14:textFill>
                    </w:rPr>
                    <w:t>5</w:t>
                  </w:r>
                  <w:r>
                    <w:rPr>
                      <w:rFonts w:hint="eastAsia"/>
                      <w:color w:val="000000" w:themeColor="text1"/>
                      <w:szCs w:val="21"/>
                      <w:lang w:val="en-US" w:eastAsia="zh-CN"/>
                      <w14:textFill>
                        <w14:solidFill>
                          <w14:schemeClr w14:val="tx1"/>
                        </w14:solidFill>
                      </w14:textFill>
                    </w:rPr>
                    <w:t>、SS、色度、氨氮、总氮、总磷、动植物油、总有机碳、总氰化物、急性毒性</w:t>
                  </w:r>
                </w:p>
              </w:tc>
              <w:tc>
                <w:tcPr>
                  <w:tcW w:w="1949" w:type="pct"/>
                  <w:vMerge w:val="continue"/>
                  <w:noWrap w:val="0"/>
                  <w:vAlign w:val="center"/>
                </w:tcPr>
                <w:p w14:paraId="22130759">
                  <w:pPr>
                    <w:adjustRightInd w:val="0"/>
                    <w:snapToGrid w:val="0"/>
                    <w:jc w:val="center"/>
                    <w:rPr>
                      <w:rFonts w:hint="default"/>
                      <w:color w:val="000000" w:themeColor="text1"/>
                      <w:szCs w:val="21"/>
                      <w:lang w:val="en-US" w:eastAsia="zh-CN"/>
                      <w14:textFill>
                        <w14:solidFill>
                          <w14:schemeClr w14:val="tx1"/>
                        </w14:solidFill>
                      </w14:textFill>
                    </w:rPr>
                  </w:pPr>
                </w:p>
              </w:tc>
            </w:tr>
            <w:tr w14:paraId="08A0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1FBF5C2E">
                  <w:pPr>
                    <w:widowControl/>
                    <w:adjustRightInd w:val="0"/>
                    <w:snapToGrid w:val="0"/>
                    <w:jc w:val="center"/>
                    <w:rPr>
                      <w:rFonts w:hint="eastAsia"/>
                      <w:color w:val="000000" w:themeColor="text1"/>
                      <w:szCs w:val="21"/>
                      <w:lang w:val="en-US" w:eastAsia="zh-CN"/>
                      <w14:textFill>
                        <w14:solidFill>
                          <w14:schemeClr w14:val="tx1"/>
                        </w14:solidFill>
                      </w14:textFill>
                    </w:rPr>
                  </w:pPr>
                </w:p>
              </w:tc>
              <w:tc>
                <w:tcPr>
                  <w:tcW w:w="1317" w:type="pct"/>
                  <w:gridSpan w:val="2"/>
                  <w:noWrap w:val="0"/>
                  <w:vAlign w:val="center"/>
                </w:tcPr>
                <w:p w14:paraId="426FF5A0">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洗瓶废水W3</w:t>
                  </w:r>
                </w:p>
              </w:tc>
              <w:tc>
                <w:tcPr>
                  <w:tcW w:w="1315" w:type="pct"/>
                  <w:noWrap w:val="0"/>
                  <w:vAlign w:val="center"/>
                </w:tcPr>
                <w:p w14:paraId="01799044">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pH、COD</w:t>
                  </w:r>
                </w:p>
              </w:tc>
              <w:tc>
                <w:tcPr>
                  <w:tcW w:w="1949" w:type="pct"/>
                  <w:vMerge w:val="continue"/>
                  <w:noWrap w:val="0"/>
                  <w:vAlign w:val="center"/>
                </w:tcPr>
                <w:p w14:paraId="243DDADE">
                  <w:pPr>
                    <w:adjustRightInd w:val="0"/>
                    <w:snapToGrid w:val="0"/>
                    <w:jc w:val="center"/>
                    <w:rPr>
                      <w:rFonts w:hint="default"/>
                      <w:color w:val="000000" w:themeColor="text1"/>
                      <w:szCs w:val="21"/>
                      <w:lang w:val="en-US" w:eastAsia="zh-CN"/>
                      <w14:textFill>
                        <w14:solidFill>
                          <w14:schemeClr w14:val="tx1"/>
                        </w14:solidFill>
                      </w14:textFill>
                    </w:rPr>
                  </w:pPr>
                </w:p>
              </w:tc>
            </w:tr>
            <w:tr w14:paraId="75044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29878956">
                  <w:pPr>
                    <w:widowControl/>
                    <w:adjustRightInd w:val="0"/>
                    <w:snapToGrid w:val="0"/>
                    <w:jc w:val="center"/>
                    <w:rPr>
                      <w:rFonts w:hint="eastAsia"/>
                      <w:color w:val="000000" w:themeColor="text1"/>
                      <w:szCs w:val="21"/>
                      <w:lang w:val="en-US" w:eastAsia="zh-CN"/>
                      <w14:textFill>
                        <w14:solidFill>
                          <w14:schemeClr w14:val="tx1"/>
                        </w14:solidFill>
                      </w14:textFill>
                    </w:rPr>
                  </w:pPr>
                </w:p>
              </w:tc>
              <w:tc>
                <w:tcPr>
                  <w:tcW w:w="1317" w:type="pct"/>
                  <w:gridSpan w:val="2"/>
                  <w:noWrap w:val="0"/>
                  <w:vAlign w:val="center"/>
                </w:tcPr>
                <w:p w14:paraId="51A9EC2E">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设备及车间地面清洗废水</w:t>
                  </w:r>
                </w:p>
              </w:tc>
              <w:tc>
                <w:tcPr>
                  <w:tcW w:w="1315" w:type="pct"/>
                  <w:noWrap w:val="0"/>
                  <w:vAlign w:val="center"/>
                </w:tcPr>
                <w:p w14:paraId="2581D4D7">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pH、COD、BOD</w:t>
                  </w:r>
                  <w:r>
                    <w:rPr>
                      <w:rFonts w:hint="eastAsia"/>
                      <w:color w:val="000000" w:themeColor="text1"/>
                      <w:szCs w:val="21"/>
                      <w:vertAlign w:val="subscript"/>
                      <w:lang w:val="en-US" w:eastAsia="zh-CN"/>
                      <w14:textFill>
                        <w14:solidFill>
                          <w14:schemeClr w14:val="tx1"/>
                        </w14:solidFill>
                      </w14:textFill>
                    </w:rPr>
                    <w:t>5</w:t>
                  </w:r>
                  <w:r>
                    <w:rPr>
                      <w:rFonts w:hint="eastAsia"/>
                      <w:color w:val="000000" w:themeColor="text1"/>
                      <w:szCs w:val="21"/>
                      <w:lang w:val="en-US" w:eastAsia="zh-CN"/>
                      <w14:textFill>
                        <w14:solidFill>
                          <w14:schemeClr w14:val="tx1"/>
                        </w14:solidFill>
                      </w14:textFill>
                    </w:rPr>
                    <w:t>、SS、色度、氨氮、总氮、总磷、动植物油、总有机碳、总氰化物、急性毒性</w:t>
                  </w:r>
                </w:p>
              </w:tc>
              <w:tc>
                <w:tcPr>
                  <w:tcW w:w="1949" w:type="pct"/>
                  <w:vMerge w:val="continue"/>
                  <w:noWrap w:val="0"/>
                  <w:vAlign w:val="center"/>
                </w:tcPr>
                <w:p w14:paraId="0289B174">
                  <w:pPr>
                    <w:adjustRightInd w:val="0"/>
                    <w:snapToGrid w:val="0"/>
                    <w:jc w:val="center"/>
                    <w:rPr>
                      <w:rFonts w:hint="default"/>
                      <w:color w:val="000000" w:themeColor="text1"/>
                      <w:szCs w:val="21"/>
                      <w:lang w:val="en-US" w:eastAsia="zh-CN"/>
                      <w14:textFill>
                        <w14:solidFill>
                          <w14:schemeClr w14:val="tx1"/>
                        </w14:solidFill>
                      </w14:textFill>
                    </w:rPr>
                  </w:pPr>
                </w:p>
              </w:tc>
            </w:tr>
            <w:tr w14:paraId="12AF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49FCC890">
                  <w:pPr>
                    <w:widowControl/>
                    <w:adjustRightInd w:val="0"/>
                    <w:snapToGrid w:val="0"/>
                    <w:jc w:val="center"/>
                    <w:rPr>
                      <w:rFonts w:hint="eastAsia"/>
                      <w:color w:val="000000" w:themeColor="text1"/>
                      <w:szCs w:val="21"/>
                      <w:lang w:val="en-US" w:eastAsia="zh-CN"/>
                      <w14:textFill>
                        <w14:solidFill>
                          <w14:schemeClr w14:val="tx1"/>
                        </w14:solidFill>
                      </w14:textFill>
                    </w:rPr>
                  </w:pPr>
                </w:p>
              </w:tc>
              <w:tc>
                <w:tcPr>
                  <w:tcW w:w="1317" w:type="pct"/>
                  <w:gridSpan w:val="2"/>
                  <w:noWrap w:val="0"/>
                  <w:vAlign w:val="center"/>
                </w:tcPr>
                <w:p w14:paraId="2FA88E9F">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职工生活污水</w:t>
                  </w:r>
                </w:p>
              </w:tc>
              <w:tc>
                <w:tcPr>
                  <w:tcW w:w="1315" w:type="pct"/>
                  <w:noWrap w:val="0"/>
                  <w:vAlign w:val="center"/>
                </w:tcPr>
                <w:p w14:paraId="6F52EDB0">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pH、COD、氨氮、BOD</w:t>
                  </w:r>
                  <w:r>
                    <w:rPr>
                      <w:rFonts w:hint="eastAsia"/>
                      <w:color w:val="000000" w:themeColor="text1"/>
                      <w:szCs w:val="21"/>
                      <w:vertAlign w:val="subscript"/>
                      <w:lang w:val="en-US" w:eastAsia="zh-CN"/>
                      <w14:textFill>
                        <w14:solidFill>
                          <w14:schemeClr w14:val="tx1"/>
                        </w14:solidFill>
                      </w14:textFill>
                    </w:rPr>
                    <w:t>5</w:t>
                  </w:r>
                  <w:r>
                    <w:rPr>
                      <w:rFonts w:hint="eastAsia"/>
                      <w:color w:val="000000" w:themeColor="text1"/>
                      <w:szCs w:val="21"/>
                      <w:lang w:val="en-US" w:eastAsia="zh-CN"/>
                      <w14:textFill>
                        <w14:solidFill>
                          <w14:schemeClr w14:val="tx1"/>
                        </w14:solidFill>
                      </w14:textFill>
                    </w:rPr>
                    <w:t>、SS、总氮、总磷</w:t>
                  </w:r>
                </w:p>
              </w:tc>
              <w:tc>
                <w:tcPr>
                  <w:tcW w:w="1949" w:type="pct"/>
                  <w:vMerge w:val="continue"/>
                  <w:noWrap w:val="0"/>
                  <w:vAlign w:val="center"/>
                </w:tcPr>
                <w:p w14:paraId="3F92F97E">
                  <w:pPr>
                    <w:adjustRightInd w:val="0"/>
                    <w:snapToGrid w:val="0"/>
                    <w:jc w:val="center"/>
                    <w:rPr>
                      <w:rFonts w:hint="default"/>
                      <w:color w:val="000000" w:themeColor="text1"/>
                      <w:szCs w:val="21"/>
                      <w:lang w:val="en-US" w:eastAsia="zh-CN"/>
                      <w14:textFill>
                        <w14:solidFill>
                          <w14:schemeClr w14:val="tx1"/>
                        </w14:solidFill>
                      </w14:textFill>
                    </w:rPr>
                  </w:pPr>
                </w:p>
              </w:tc>
            </w:tr>
            <w:tr w14:paraId="4082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1CE36D2C">
                  <w:pPr>
                    <w:widowControl/>
                    <w:adjustRightInd w:val="0"/>
                    <w:snapToGrid w:val="0"/>
                    <w:jc w:val="center"/>
                    <w:rPr>
                      <w:rFonts w:hint="eastAsia"/>
                      <w:color w:val="000000" w:themeColor="text1"/>
                      <w:szCs w:val="21"/>
                      <w:lang w:val="en-US" w:eastAsia="zh-CN"/>
                      <w14:textFill>
                        <w14:solidFill>
                          <w14:schemeClr w14:val="tx1"/>
                        </w14:solidFill>
                      </w14:textFill>
                    </w:rPr>
                  </w:pPr>
                </w:p>
              </w:tc>
              <w:tc>
                <w:tcPr>
                  <w:tcW w:w="1317" w:type="pct"/>
                  <w:gridSpan w:val="2"/>
                  <w:noWrap w:val="0"/>
                  <w:vAlign w:val="center"/>
                </w:tcPr>
                <w:p w14:paraId="3FE5F84B">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纯化水系统废水</w:t>
                  </w:r>
                </w:p>
              </w:tc>
              <w:tc>
                <w:tcPr>
                  <w:tcW w:w="1315" w:type="pct"/>
                  <w:noWrap w:val="0"/>
                  <w:vAlign w:val="center"/>
                </w:tcPr>
                <w:p w14:paraId="6CB548ED">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pH、COD、SS、全盐量</w:t>
                  </w:r>
                </w:p>
              </w:tc>
              <w:tc>
                <w:tcPr>
                  <w:tcW w:w="1949" w:type="pct"/>
                  <w:noWrap w:val="0"/>
                  <w:vAlign w:val="center"/>
                </w:tcPr>
                <w:p w14:paraId="2AB1F1F5">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清净下水直接排入市政管网</w:t>
                  </w:r>
                </w:p>
              </w:tc>
            </w:tr>
            <w:tr w14:paraId="7523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noWrap w:val="0"/>
                  <w:vAlign w:val="center"/>
                </w:tcPr>
                <w:p w14:paraId="5C588C2B">
                  <w:pPr>
                    <w:widowControl/>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color w:val="000000" w:themeColor="text1"/>
                      <w:szCs w:val="21"/>
                      <w14:textFill>
                        <w14:solidFill>
                          <w14:schemeClr w14:val="tx1"/>
                        </w14:solidFill>
                      </w14:textFill>
                    </w:rPr>
                    <w:t>噪声</w:t>
                  </w:r>
                </w:p>
              </w:tc>
              <w:tc>
                <w:tcPr>
                  <w:tcW w:w="1317" w:type="pct"/>
                  <w:gridSpan w:val="2"/>
                  <w:noWrap w:val="0"/>
                  <w:vAlign w:val="center"/>
                </w:tcPr>
                <w:p w14:paraId="64D7CF9A">
                  <w:pPr>
                    <w:widowControl/>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各</w:t>
                  </w:r>
                  <w:r>
                    <w:rPr>
                      <w:rFonts w:hint="default"/>
                      <w:color w:val="000000" w:themeColor="text1"/>
                      <w:szCs w:val="21"/>
                      <w14:textFill>
                        <w14:solidFill>
                          <w14:schemeClr w14:val="tx1"/>
                        </w14:solidFill>
                      </w14:textFill>
                    </w:rPr>
                    <w:t>设备运行</w:t>
                  </w:r>
                </w:p>
              </w:tc>
              <w:tc>
                <w:tcPr>
                  <w:tcW w:w="1315" w:type="pct"/>
                  <w:noWrap w:val="0"/>
                  <w:vAlign w:val="center"/>
                </w:tcPr>
                <w:p w14:paraId="344B7D25">
                  <w:pPr>
                    <w:widowControl/>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等效声级、最大声级</w:t>
                  </w:r>
                </w:p>
              </w:tc>
              <w:tc>
                <w:tcPr>
                  <w:tcW w:w="1949" w:type="pct"/>
                  <w:noWrap w:val="0"/>
                  <w:vAlign w:val="center"/>
                </w:tcPr>
                <w:p w14:paraId="37A78272">
                  <w:pPr>
                    <w:widowControl/>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color w:val="000000" w:themeColor="text1"/>
                      <w:szCs w:val="21"/>
                      <w14:textFill>
                        <w14:solidFill>
                          <w14:schemeClr w14:val="tx1"/>
                        </w14:solidFill>
                      </w14:textFill>
                    </w:rPr>
                    <w:t>基础减振、厂房隔声</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距离衰减</w:t>
                  </w:r>
                  <w:r>
                    <w:rPr>
                      <w:rFonts w:hint="default"/>
                      <w:color w:val="000000" w:themeColor="text1"/>
                      <w:szCs w:val="21"/>
                      <w14:textFill>
                        <w14:solidFill>
                          <w14:schemeClr w14:val="tx1"/>
                        </w14:solidFill>
                      </w14:textFill>
                    </w:rPr>
                    <w:t>等</w:t>
                  </w:r>
                </w:p>
              </w:tc>
            </w:tr>
            <w:tr w14:paraId="334F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restart"/>
                  <w:noWrap w:val="0"/>
                  <w:vAlign w:val="center"/>
                </w:tcPr>
                <w:p w14:paraId="66723478">
                  <w:pPr>
                    <w:widowControl/>
                    <w:adjustRightInd w:val="0"/>
                    <w:snapToGrid w:val="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固废</w:t>
                  </w:r>
                </w:p>
              </w:tc>
              <w:tc>
                <w:tcPr>
                  <w:tcW w:w="424" w:type="pct"/>
                  <w:vMerge w:val="restart"/>
                  <w:noWrap w:val="0"/>
                  <w:vAlign w:val="center"/>
                </w:tcPr>
                <w:p w14:paraId="2FBE9B9B">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一般固废</w:t>
                  </w:r>
                </w:p>
              </w:tc>
              <w:tc>
                <w:tcPr>
                  <w:tcW w:w="893" w:type="pct"/>
                  <w:shd w:val="clear" w:color="auto" w:fill="auto"/>
                  <w:noWrap w:val="0"/>
                  <w:vAlign w:val="center"/>
                </w:tcPr>
                <w:p w14:paraId="675C358E">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拣选废弃物S1</w:t>
                  </w:r>
                </w:p>
              </w:tc>
              <w:tc>
                <w:tcPr>
                  <w:tcW w:w="1315" w:type="pct"/>
                  <w:shd w:val="clear" w:color="auto" w:fill="auto"/>
                  <w:noWrap w:val="0"/>
                  <w:vAlign w:val="center"/>
                </w:tcPr>
                <w:p w14:paraId="771F19EB">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一般固废</w:t>
                  </w:r>
                </w:p>
              </w:tc>
              <w:tc>
                <w:tcPr>
                  <w:tcW w:w="1949" w:type="pct"/>
                  <w:vMerge w:val="restart"/>
                  <w:noWrap w:val="0"/>
                  <w:vAlign w:val="center"/>
                </w:tcPr>
                <w:p w14:paraId="7FF2174A">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储存于中药渣库，定期外运综合利用</w:t>
                  </w:r>
                </w:p>
              </w:tc>
            </w:tr>
            <w:tr w14:paraId="75A6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68B4327F">
                  <w:pPr>
                    <w:widowControl/>
                    <w:adjustRightInd w:val="0"/>
                    <w:snapToGrid w:val="0"/>
                    <w:jc w:val="center"/>
                    <w:rPr>
                      <w:rFonts w:hint="default"/>
                      <w:color w:val="000000" w:themeColor="text1"/>
                      <w:szCs w:val="21"/>
                      <w14:textFill>
                        <w14:solidFill>
                          <w14:schemeClr w14:val="tx1"/>
                        </w14:solidFill>
                      </w14:textFill>
                    </w:rPr>
                  </w:pPr>
                </w:p>
              </w:tc>
              <w:tc>
                <w:tcPr>
                  <w:tcW w:w="424" w:type="pct"/>
                  <w:vMerge w:val="continue"/>
                  <w:noWrap w:val="0"/>
                  <w:vAlign w:val="center"/>
                </w:tcPr>
                <w:p w14:paraId="3EA9E2B0">
                  <w:pPr>
                    <w:adjustRightInd w:val="0"/>
                    <w:snapToGrid w:val="0"/>
                    <w:jc w:val="center"/>
                    <w:rPr>
                      <w:rFonts w:hint="default"/>
                      <w:color w:val="000000" w:themeColor="text1"/>
                      <w:szCs w:val="21"/>
                      <w:lang w:val="en-US" w:eastAsia="zh-CN"/>
                      <w14:textFill>
                        <w14:solidFill>
                          <w14:schemeClr w14:val="tx1"/>
                        </w14:solidFill>
                      </w14:textFill>
                    </w:rPr>
                  </w:pPr>
                </w:p>
              </w:tc>
              <w:tc>
                <w:tcPr>
                  <w:tcW w:w="893" w:type="pct"/>
                  <w:shd w:val="clear" w:color="auto" w:fill="auto"/>
                  <w:noWrap w:val="0"/>
                  <w:vAlign w:val="center"/>
                </w:tcPr>
                <w:p w14:paraId="43AFD2A7">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废中药渣S2、S3</w:t>
                  </w:r>
                </w:p>
              </w:tc>
              <w:tc>
                <w:tcPr>
                  <w:tcW w:w="1315" w:type="pct"/>
                  <w:shd w:val="clear" w:color="auto" w:fill="auto"/>
                  <w:noWrap w:val="0"/>
                  <w:vAlign w:val="center"/>
                </w:tcPr>
                <w:p w14:paraId="3B43ACEA">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一般固废</w:t>
                  </w:r>
                </w:p>
              </w:tc>
              <w:tc>
                <w:tcPr>
                  <w:tcW w:w="1949" w:type="pct"/>
                  <w:vMerge w:val="continue"/>
                  <w:noWrap w:val="0"/>
                  <w:vAlign w:val="center"/>
                </w:tcPr>
                <w:p w14:paraId="0FC0F760">
                  <w:pPr>
                    <w:adjustRightInd w:val="0"/>
                    <w:snapToGrid w:val="0"/>
                    <w:jc w:val="center"/>
                    <w:rPr>
                      <w:rFonts w:hint="default"/>
                      <w:color w:val="000000" w:themeColor="text1"/>
                      <w:szCs w:val="21"/>
                      <w:lang w:val="en-US" w:eastAsia="zh-CN"/>
                      <w14:textFill>
                        <w14:solidFill>
                          <w14:schemeClr w14:val="tx1"/>
                        </w14:solidFill>
                      </w14:textFill>
                    </w:rPr>
                  </w:pPr>
                </w:p>
              </w:tc>
            </w:tr>
            <w:tr w14:paraId="18D9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56FFB0B7">
                  <w:pPr>
                    <w:widowControl/>
                    <w:adjustRightInd w:val="0"/>
                    <w:snapToGrid w:val="0"/>
                    <w:jc w:val="center"/>
                    <w:rPr>
                      <w:rFonts w:hint="default"/>
                      <w:color w:val="000000" w:themeColor="text1"/>
                      <w:szCs w:val="21"/>
                      <w14:textFill>
                        <w14:solidFill>
                          <w14:schemeClr w14:val="tx1"/>
                        </w14:solidFill>
                      </w14:textFill>
                    </w:rPr>
                  </w:pPr>
                </w:p>
              </w:tc>
              <w:tc>
                <w:tcPr>
                  <w:tcW w:w="424" w:type="pct"/>
                  <w:vMerge w:val="continue"/>
                  <w:noWrap w:val="0"/>
                  <w:vAlign w:val="center"/>
                </w:tcPr>
                <w:p w14:paraId="650C68E8">
                  <w:pPr>
                    <w:adjustRightInd w:val="0"/>
                    <w:snapToGrid w:val="0"/>
                    <w:jc w:val="center"/>
                    <w:rPr>
                      <w:rFonts w:hint="default"/>
                      <w:color w:val="000000" w:themeColor="text1"/>
                      <w:szCs w:val="21"/>
                      <w:lang w:val="en-US" w:eastAsia="zh-CN"/>
                      <w14:textFill>
                        <w14:solidFill>
                          <w14:schemeClr w14:val="tx1"/>
                        </w14:solidFill>
                      </w14:textFill>
                    </w:rPr>
                  </w:pPr>
                </w:p>
              </w:tc>
              <w:tc>
                <w:tcPr>
                  <w:tcW w:w="893" w:type="pct"/>
                  <w:shd w:val="clear" w:color="auto" w:fill="auto"/>
                  <w:noWrap w:val="0"/>
                  <w:vAlign w:val="center"/>
                </w:tcPr>
                <w:p w14:paraId="35ED434D">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除尘灰</w:t>
                  </w:r>
                </w:p>
                <w:p w14:paraId="4B8D10FC">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（废中药粉）</w:t>
                  </w:r>
                </w:p>
              </w:tc>
              <w:tc>
                <w:tcPr>
                  <w:tcW w:w="1315" w:type="pct"/>
                  <w:shd w:val="clear" w:color="auto" w:fill="auto"/>
                  <w:noWrap w:val="0"/>
                  <w:vAlign w:val="center"/>
                </w:tcPr>
                <w:p w14:paraId="3A5202BD">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一般固废</w:t>
                  </w:r>
                </w:p>
              </w:tc>
              <w:tc>
                <w:tcPr>
                  <w:tcW w:w="1949" w:type="pct"/>
                  <w:vMerge w:val="continue"/>
                  <w:shd w:val="clear" w:color="auto" w:fill="auto"/>
                  <w:noWrap w:val="0"/>
                  <w:vAlign w:val="center"/>
                </w:tcPr>
                <w:p w14:paraId="07D6ADEB">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r>
            <w:tr w14:paraId="3795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294DD68A">
                  <w:pPr>
                    <w:widowControl/>
                    <w:adjustRightInd w:val="0"/>
                    <w:snapToGrid w:val="0"/>
                    <w:jc w:val="center"/>
                    <w:rPr>
                      <w:rFonts w:hint="default"/>
                      <w:color w:val="000000" w:themeColor="text1"/>
                      <w:szCs w:val="21"/>
                      <w14:textFill>
                        <w14:solidFill>
                          <w14:schemeClr w14:val="tx1"/>
                        </w14:solidFill>
                      </w14:textFill>
                    </w:rPr>
                  </w:pPr>
                </w:p>
              </w:tc>
              <w:tc>
                <w:tcPr>
                  <w:tcW w:w="424" w:type="pct"/>
                  <w:vMerge w:val="continue"/>
                  <w:noWrap w:val="0"/>
                  <w:vAlign w:val="center"/>
                </w:tcPr>
                <w:p w14:paraId="0D81A8B9">
                  <w:pPr>
                    <w:adjustRightInd w:val="0"/>
                    <w:snapToGrid w:val="0"/>
                    <w:jc w:val="center"/>
                    <w:rPr>
                      <w:rFonts w:hint="eastAsia"/>
                      <w:color w:val="000000" w:themeColor="text1"/>
                      <w:szCs w:val="21"/>
                      <w:lang w:val="en-US" w:eastAsia="zh-CN"/>
                      <w14:textFill>
                        <w14:solidFill>
                          <w14:schemeClr w14:val="tx1"/>
                        </w14:solidFill>
                      </w14:textFill>
                    </w:rPr>
                  </w:pPr>
                </w:p>
              </w:tc>
              <w:tc>
                <w:tcPr>
                  <w:tcW w:w="893" w:type="pct"/>
                  <w:shd w:val="clear" w:color="auto" w:fill="auto"/>
                  <w:noWrap w:val="0"/>
                  <w:vAlign w:val="center"/>
                </w:tcPr>
                <w:p w14:paraId="219FF030">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废弃包装物</w:t>
                  </w:r>
                </w:p>
              </w:tc>
              <w:tc>
                <w:tcPr>
                  <w:tcW w:w="1315" w:type="pct"/>
                  <w:shd w:val="clear" w:color="auto" w:fill="auto"/>
                  <w:noWrap w:val="0"/>
                  <w:vAlign w:val="center"/>
                </w:tcPr>
                <w:p w14:paraId="7E3FB7EA">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一般固废</w:t>
                  </w:r>
                </w:p>
              </w:tc>
              <w:tc>
                <w:tcPr>
                  <w:tcW w:w="1949" w:type="pct"/>
                  <w:vMerge w:val="restart"/>
                  <w:noWrap w:val="0"/>
                  <w:vAlign w:val="center"/>
                </w:tcPr>
                <w:p w14:paraId="201F9DC9">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储存于一般固废间，定期外运综合利用</w:t>
                  </w:r>
                </w:p>
              </w:tc>
            </w:tr>
            <w:tr w14:paraId="1FCC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0F6A7932">
                  <w:pPr>
                    <w:widowControl/>
                    <w:adjustRightInd w:val="0"/>
                    <w:snapToGrid w:val="0"/>
                    <w:jc w:val="center"/>
                    <w:rPr>
                      <w:rFonts w:hint="default"/>
                      <w:color w:val="000000" w:themeColor="text1"/>
                      <w:szCs w:val="21"/>
                      <w14:textFill>
                        <w14:solidFill>
                          <w14:schemeClr w14:val="tx1"/>
                        </w14:solidFill>
                      </w14:textFill>
                    </w:rPr>
                  </w:pPr>
                </w:p>
              </w:tc>
              <w:tc>
                <w:tcPr>
                  <w:tcW w:w="424" w:type="pct"/>
                  <w:vMerge w:val="continue"/>
                  <w:noWrap w:val="0"/>
                  <w:vAlign w:val="center"/>
                </w:tcPr>
                <w:p w14:paraId="70B7DEE2">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93" w:type="pct"/>
                  <w:shd w:val="clear" w:color="auto" w:fill="auto"/>
                  <w:noWrap w:val="0"/>
                  <w:vAlign w:val="center"/>
                </w:tcPr>
                <w:p w14:paraId="23BBB788">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废滤芯（纯水系统）</w:t>
                  </w:r>
                </w:p>
              </w:tc>
              <w:tc>
                <w:tcPr>
                  <w:tcW w:w="1315" w:type="pct"/>
                  <w:noWrap w:val="0"/>
                  <w:vAlign w:val="center"/>
                </w:tcPr>
                <w:p w14:paraId="267001B2">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一般固废</w:t>
                  </w:r>
                </w:p>
              </w:tc>
              <w:tc>
                <w:tcPr>
                  <w:tcW w:w="1949" w:type="pct"/>
                  <w:vMerge w:val="continue"/>
                  <w:noWrap w:val="0"/>
                  <w:vAlign w:val="center"/>
                </w:tcPr>
                <w:p w14:paraId="5B3746C6">
                  <w:pPr>
                    <w:adjustRightInd w:val="0"/>
                    <w:snapToGrid w:val="0"/>
                    <w:jc w:val="center"/>
                    <w:rPr>
                      <w:rFonts w:hint="eastAsia"/>
                      <w:color w:val="000000" w:themeColor="text1"/>
                      <w:szCs w:val="21"/>
                      <w:lang w:val="en-US" w:eastAsia="zh-CN"/>
                      <w14:textFill>
                        <w14:solidFill>
                          <w14:schemeClr w14:val="tx1"/>
                        </w14:solidFill>
                      </w14:textFill>
                    </w:rPr>
                  </w:pPr>
                </w:p>
              </w:tc>
            </w:tr>
            <w:tr w14:paraId="5037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7F060663">
                  <w:pPr>
                    <w:widowControl/>
                    <w:adjustRightInd w:val="0"/>
                    <w:snapToGrid w:val="0"/>
                    <w:jc w:val="center"/>
                    <w:rPr>
                      <w:rFonts w:hint="default"/>
                      <w:color w:val="000000" w:themeColor="text1"/>
                      <w:szCs w:val="21"/>
                      <w14:textFill>
                        <w14:solidFill>
                          <w14:schemeClr w14:val="tx1"/>
                        </w14:solidFill>
                      </w14:textFill>
                    </w:rPr>
                  </w:pPr>
                </w:p>
              </w:tc>
              <w:tc>
                <w:tcPr>
                  <w:tcW w:w="424" w:type="pct"/>
                  <w:vMerge w:val="continue"/>
                  <w:noWrap w:val="0"/>
                  <w:tcMar>
                    <w:top w:w="0" w:type="dxa"/>
                    <w:left w:w="51" w:type="dxa"/>
                    <w:bottom w:w="0" w:type="dxa"/>
                    <w:right w:w="51" w:type="dxa"/>
                  </w:tcMar>
                  <w:vAlign w:val="center"/>
                </w:tcPr>
                <w:p w14:paraId="2F6BF0B1">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93" w:type="pct"/>
                  <w:shd w:val="clear" w:color="auto" w:fill="auto"/>
                  <w:noWrap w:val="0"/>
                  <w:tcMar>
                    <w:top w:w="0" w:type="dxa"/>
                    <w:left w:w="51" w:type="dxa"/>
                    <w:bottom w:w="0" w:type="dxa"/>
                    <w:right w:w="51" w:type="dxa"/>
                  </w:tcMar>
                  <w:vAlign w:val="center"/>
                </w:tcPr>
                <w:p w14:paraId="2C5988C8">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废活性炭（纯水系统）</w:t>
                  </w:r>
                </w:p>
              </w:tc>
              <w:tc>
                <w:tcPr>
                  <w:tcW w:w="1315" w:type="pct"/>
                  <w:noWrap w:val="0"/>
                  <w:vAlign w:val="center"/>
                </w:tcPr>
                <w:p w14:paraId="76BB797C">
                  <w:pPr>
                    <w:adjustRightInd w:val="0"/>
                    <w:snapToGrid w:val="0"/>
                    <w:jc w:val="center"/>
                    <w:rPr>
                      <w:rFonts w:hint="default"/>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一般固废</w:t>
                  </w:r>
                </w:p>
              </w:tc>
              <w:tc>
                <w:tcPr>
                  <w:tcW w:w="1949" w:type="pct"/>
                  <w:vMerge w:val="continue"/>
                  <w:noWrap w:val="0"/>
                  <w:vAlign w:val="center"/>
                </w:tcPr>
                <w:p w14:paraId="1D2E0162">
                  <w:pPr>
                    <w:adjustRightInd w:val="0"/>
                    <w:snapToGrid w:val="0"/>
                    <w:jc w:val="center"/>
                    <w:rPr>
                      <w:rFonts w:hint="default"/>
                      <w:color w:val="000000" w:themeColor="text1"/>
                      <w:szCs w:val="21"/>
                      <w:lang w:val="en-US"/>
                      <w14:textFill>
                        <w14:solidFill>
                          <w14:schemeClr w14:val="tx1"/>
                        </w14:solidFill>
                      </w14:textFill>
                    </w:rPr>
                  </w:pPr>
                </w:p>
              </w:tc>
            </w:tr>
            <w:tr w14:paraId="126D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7D097468">
                  <w:pPr>
                    <w:widowControl/>
                    <w:adjustRightInd w:val="0"/>
                    <w:snapToGrid w:val="0"/>
                    <w:jc w:val="center"/>
                    <w:rPr>
                      <w:rFonts w:hint="default"/>
                      <w:color w:val="000000" w:themeColor="text1"/>
                      <w:szCs w:val="21"/>
                      <w14:textFill>
                        <w14:solidFill>
                          <w14:schemeClr w14:val="tx1"/>
                        </w14:solidFill>
                      </w14:textFill>
                    </w:rPr>
                  </w:pPr>
                </w:p>
              </w:tc>
              <w:tc>
                <w:tcPr>
                  <w:tcW w:w="424" w:type="pct"/>
                  <w:vMerge w:val="continue"/>
                  <w:noWrap w:val="0"/>
                  <w:tcMar>
                    <w:top w:w="0" w:type="dxa"/>
                    <w:left w:w="51" w:type="dxa"/>
                    <w:bottom w:w="0" w:type="dxa"/>
                    <w:right w:w="51" w:type="dxa"/>
                  </w:tcMar>
                  <w:vAlign w:val="center"/>
                </w:tcPr>
                <w:p w14:paraId="1D102027">
                  <w:pPr>
                    <w:adjustRightInd w:val="0"/>
                    <w:snapToGrid w:val="0"/>
                    <w:jc w:val="center"/>
                    <w:rPr>
                      <w:rFonts w:hint="default"/>
                      <w:color w:val="000000" w:themeColor="text1"/>
                      <w:szCs w:val="21"/>
                      <w:lang w:val="en-US" w:eastAsia="zh-CN"/>
                      <w14:textFill>
                        <w14:solidFill>
                          <w14:schemeClr w14:val="tx1"/>
                        </w14:solidFill>
                      </w14:textFill>
                    </w:rPr>
                  </w:pPr>
                </w:p>
              </w:tc>
              <w:tc>
                <w:tcPr>
                  <w:tcW w:w="893" w:type="pct"/>
                  <w:shd w:val="clear" w:color="auto" w:fill="auto"/>
                  <w:noWrap w:val="0"/>
                  <w:tcMar>
                    <w:top w:w="0" w:type="dxa"/>
                    <w:left w:w="51" w:type="dxa"/>
                    <w:bottom w:w="0" w:type="dxa"/>
                    <w:right w:w="51" w:type="dxa"/>
                  </w:tcMar>
                  <w:vAlign w:val="center"/>
                </w:tcPr>
                <w:p w14:paraId="28DC23C8">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生化污泥（污水处理）</w:t>
                  </w:r>
                </w:p>
              </w:tc>
              <w:tc>
                <w:tcPr>
                  <w:tcW w:w="1315" w:type="pct"/>
                  <w:noWrap w:val="0"/>
                  <w:vAlign w:val="center"/>
                </w:tcPr>
                <w:p w14:paraId="1B72CA0B">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一般固废</w:t>
                  </w:r>
                </w:p>
              </w:tc>
              <w:tc>
                <w:tcPr>
                  <w:tcW w:w="1949" w:type="pct"/>
                  <w:noWrap w:val="0"/>
                  <w:vAlign w:val="center"/>
                </w:tcPr>
                <w:p w14:paraId="2E4D8250">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储存于污水处理站污泥间，定期外运综合利用</w:t>
                  </w:r>
                </w:p>
              </w:tc>
            </w:tr>
            <w:tr w14:paraId="7E0B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02CCE5E5">
                  <w:pPr>
                    <w:widowControl/>
                    <w:adjustRightInd w:val="0"/>
                    <w:snapToGrid w:val="0"/>
                    <w:jc w:val="center"/>
                    <w:rPr>
                      <w:rFonts w:hint="default"/>
                      <w:color w:val="000000" w:themeColor="text1"/>
                      <w:szCs w:val="21"/>
                      <w14:textFill>
                        <w14:solidFill>
                          <w14:schemeClr w14:val="tx1"/>
                        </w14:solidFill>
                      </w14:textFill>
                    </w:rPr>
                  </w:pPr>
                </w:p>
              </w:tc>
              <w:tc>
                <w:tcPr>
                  <w:tcW w:w="424" w:type="pct"/>
                  <w:vMerge w:val="restart"/>
                  <w:noWrap w:val="0"/>
                  <w:tcMar>
                    <w:top w:w="0" w:type="dxa"/>
                    <w:left w:w="51" w:type="dxa"/>
                    <w:bottom w:w="0" w:type="dxa"/>
                    <w:right w:w="51" w:type="dxa"/>
                  </w:tcMar>
                  <w:vAlign w:val="center"/>
                </w:tcPr>
                <w:p w14:paraId="5660104C">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危险废物</w:t>
                  </w:r>
                </w:p>
              </w:tc>
              <w:tc>
                <w:tcPr>
                  <w:tcW w:w="893" w:type="pct"/>
                  <w:shd w:val="clear" w:color="auto" w:fill="auto"/>
                  <w:noWrap w:val="0"/>
                  <w:tcMar>
                    <w:top w:w="0" w:type="dxa"/>
                    <w:left w:w="51" w:type="dxa"/>
                    <w:bottom w:w="0" w:type="dxa"/>
                    <w:right w:w="51" w:type="dxa"/>
                  </w:tcMar>
                  <w:vAlign w:val="center"/>
                </w:tcPr>
                <w:p w14:paraId="02A30631">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配液废滤渣S4</w:t>
                  </w:r>
                </w:p>
              </w:tc>
              <w:tc>
                <w:tcPr>
                  <w:tcW w:w="1315" w:type="pct"/>
                  <w:shd w:val="clear" w:color="auto" w:fill="auto"/>
                  <w:noWrap w:val="0"/>
                  <w:vAlign w:val="center"/>
                </w:tcPr>
                <w:p w14:paraId="06E91163">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危险废物</w:t>
                  </w:r>
                </w:p>
              </w:tc>
              <w:tc>
                <w:tcPr>
                  <w:tcW w:w="1949" w:type="pct"/>
                  <w:vMerge w:val="restart"/>
                  <w:noWrap w:val="0"/>
                  <w:vAlign w:val="center"/>
                </w:tcPr>
                <w:p w14:paraId="3D6B8690">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储存于危废间，委托有危废处置资质单位代为处置</w:t>
                  </w:r>
                </w:p>
              </w:tc>
            </w:tr>
            <w:tr w14:paraId="65D2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37524D42">
                  <w:pPr>
                    <w:widowControl/>
                    <w:adjustRightInd w:val="0"/>
                    <w:snapToGrid w:val="0"/>
                    <w:jc w:val="center"/>
                    <w:rPr>
                      <w:rFonts w:hint="default"/>
                      <w:color w:val="000000" w:themeColor="text1"/>
                      <w:szCs w:val="21"/>
                      <w14:textFill>
                        <w14:solidFill>
                          <w14:schemeClr w14:val="tx1"/>
                        </w14:solidFill>
                      </w14:textFill>
                    </w:rPr>
                  </w:pPr>
                </w:p>
              </w:tc>
              <w:tc>
                <w:tcPr>
                  <w:tcW w:w="424" w:type="pct"/>
                  <w:vMerge w:val="continue"/>
                  <w:noWrap w:val="0"/>
                  <w:tcMar>
                    <w:top w:w="0" w:type="dxa"/>
                    <w:left w:w="51" w:type="dxa"/>
                    <w:bottom w:w="0" w:type="dxa"/>
                    <w:right w:w="51" w:type="dxa"/>
                  </w:tcMar>
                  <w:vAlign w:val="center"/>
                </w:tcPr>
                <w:p w14:paraId="0812E9C9">
                  <w:pPr>
                    <w:adjustRightInd w:val="0"/>
                    <w:snapToGrid w:val="0"/>
                    <w:jc w:val="center"/>
                    <w:rPr>
                      <w:rFonts w:hint="default"/>
                      <w:color w:val="000000" w:themeColor="text1"/>
                      <w:szCs w:val="21"/>
                      <w:lang w:val="en-US" w:eastAsia="zh-CN"/>
                      <w14:textFill>
                        <w14:solidFill>
                          <w14:schemeClr w14:val="tx1"/>
                        </w14:solidFill>
                      </w14:textFill>
                    </w:rPr>
                  </w:pPr>
                </w:p>
              </w:tc>
              <w:tc>
                <w:tcPr>
                  <w:tcW w:w="893" w:type="pct"/>
                  <w:shd w:val="clear" w:color="auto" w:fill="auto"/>
                  <w:noWrap w:val="0"/>
                  <w:tcMar>
                    <w:top w:w="0" w:type="dxa"/>
                    <w:left w:w="51" w:type="dxa"/>
                    <w:bottom w:w="0" w:type="dxa"/>
                    <w:right w:w="51" w:type="dxa"/>
                  </w:tcMar>
                  <w:vAlign w:val="center"/>
                </w:tcPr>
                <w:p w14:paraId="2C14BAD4">
                  <w:pPr>
                    <w:adjustRightInd w:val="0"/>
                    <w:snapToGrid w:val="0"/>
                    <w:jc w:val="center"/>
                    <w:rPr>
                      <w:rFonts w:hint="eastAsia"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物化污泥（污水处理）</w:t>
                  </w:r>
                </w:p>
              </w:tc>
              <w:tc>
                <w:tcPr>
                  <w:tcW w:w="1315" w:type="pct"/>
                  <w:noWrap w:val="0"/>
                  <w:vAlign w:val="center"/>
                </w:tcPr>
                <w:p w14:paraId="7EEA66FB">
                  <w:pPr>
                    <w:adjustRightInd w:val="0"/>
                    <w:snapToGrid w:val="0"/>
                    <w:jc w:val="center"/>
                    <w:rPr>
                      <w:rFonts w:hint="eastAsia"/>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危险废物</w:t>
                  </w:r>
                </w:p>
              </w:tc>
              <w:tc>
                <w:tcPr>
                  <w:tcW w:w="1949" w:type="pct"/>
                  <w:vMerge w:val="continue"/>
                  <w:noWrap w:val="0"/>
                  <w:vAlign w:val="center"/>
                </w:tcPr>
                <w:p w14:paraId="56D7C948">
                  <w:pPr>
                    <w:adjustRightInd w:val="0"/>
                    <w:snapToGrid w:val="0"/>
                    <w:jc w:val="center"/>
                    <w:rPr>
                      <w:rFonts w:hint="eastAsia"/>
                      <w:color w:val="000000" w:themeColor="text1"/>
                      <w:szCs w:val="21"/>
                      <w:lang w:val="en-US" w:eastAsia="zh-CN"/>
                      <w14:textFill>
                        <w14:solidFill>
                          <w14:schemeClr w14:val="tx1"/>
                        </w14:solidFill>
                      </w14:textFill>
                    </w:rPr>
                  </w:pPr>
                </w:p>
              </w:tc>
            </w:tr>
            <w:tr w14:paraId="3453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2EB39F5B">
                  <w:pPr>
                    <w:widowControl/>
                    <w:adjustRightInd w:val="0"/>
                    <w:snapToGrid w:val="0"/>
                    <w:jc w:val="center"/>
                    <w:rPr>
                      <w:rFonts w:hint="default"/>
                      <w:color w:val="000000" w:themeColor="text1"/>
                      <w:szCs w:val="21"/>
                      <w14:textFill>
                        <w14:solidFill>
                          <w14:schemeClr w14:val="tx1"/>
                        </w14:solidFill>
                      </w14:textFill>
                    </w:rPr>
                  </w:pPr>
                </w:p>
              </w:tc>
              <w:tc>
                <w:tcPr>
                  <w:tcW w:w="424" w:type="pct"/>
                  <w:vMerge w:val="continue"/>
                  <w:noWrap w:val="0"/>
                  <w:tcMar>
                    <w:top w:w="0" w:type="dxa"/>
                    <w:left w:w="51" w:type="dxa"/>
                    <w:bottom w:w="0" w:type="dxa"/>
                    <w:right w:w="51" w:type="dxa"/>
                  </w:tcMar>
                  <w:vAlign w:val="center"/>
                </w:tcPr>
                <w:p w14:paraId="6EA26DA2">
                  <w:pPr>
                    <w:adjustRightInd w:val="0"/>
                    <w:snapToGrid w:val="0"/>
                    <w:jc w:val="center"/>
                    <w:rPr>
                      <w:rFonts w:hint="default"/>
                      <w:color w:val="000000" w:themeColor="text1"/>
                      <w:szCs w:val="21"/>
                      <w:lang w:val="en-US" w:eastAsia="zh-CN"/>
                      <w14:textFill>
                        <w14:solidFill>
                          <w14:schemeClr w14:val="tx1"/>
                        </w14:solidFill>
                      </w14:textFill>
                    </w:rPr>
                  </w:pPr>
                </w:p>
              </w:tc>
              <w:tc>
                <w:tcPr>
                  <w:tcW w:w="893" w:type="pct"/>
                  <w:shd w:val="clear" w:color="auto" w:fill="auto"/>
                  <w:noWrap w:val="0"/>
                  <w:tcMar>
                    <w:top w:w="0" w:type="dxa"/>
                    <w:left w:w="51" w:type="dxa"/>
                    <w:bottom w:w="0" w:type="dxa"/>
                    <w:right w:w="51" w:type="dxa"/>
                  </w:tcMar>
                  <w:vAlign w:val="center"/>
                </w:tcPr>
                <w:p w14:paraId="6FB06B9A">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废催化剂</w:t>
                  </w:r>
                </w:p>
              </w:tc>
              <w:tc>
                <w:tcPr>
                  <w:tcW w:w="1315" w:type="pct"/>
                  <w:noWrap w:val="0"/>
                  <w:vAlign w:val="center"/>
                </w:tcPr>
                <w:p w14:paraId="51664235">
                  <w:pPr>
                    <w:adjustRightInd w:val="0"/>
                    <w:snapToGrid w:val="0"/>
                    <w:jc w:val="center"/>
                    <w:rPr>
                      <w:rFonts w:hint="eastAsia"/>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危险废物</w:t>
                  </w:r>
                </w:p>
              </w:tc>
              <w:tc>
                <w:tcPr>
                  <w:tcW w:w="1949" w:type="pct"/>
                  <w:vMerge w:val="continue"/>
                  <w:noWrap w:val="0"/>
                  <w:vAlign w:val="center"/>
                </w:tcPr>
                <w:p w14:paraId="389D2E80">
                  <w:pPr>
                    <w:adjustRightInd w:val="0"/>
                    <w:snapToGrid w:val="0"/>
                    <w:jc w:val="center"/>
                    <w:rPr>
                      <w:rFonts w:hint="eastAsia"/>
                      <w:color w:val="000000" w:themeColor="text1"/>
                      <w:szCs w:val="21"/>
                      <w:lang w:val="en-US" w:eastAsia="zh-CN"/>
                      <w14:textFill>
                        <w14:solidFill>
                          <w14:schemeClr w14:val="tx1"/>
                        </w14:solidFill>
                      </w14:textFill>
                    </w:rPr>
                  </w:pPr>
                </w:p>
              </w:tc>
            </w:tr>
            <w:tr w14:paraId="25FE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17" w:type="pct"/>
                  <w:vMerge w:val="continue"/>
                  <w:noWrap w:val="0"/>
                  <w:vAlign w:val="center"/>
                </w:tcPr>
                <w:p w14:paraId="132E9AF0">
                  <w:pPr>
                    <w:widowControl/>
                    <w:adjustRightInd w:val="0"/>
                    <w:snapToGrid w:val="0"/>
                    <w:jc w:val="center"/>
                    <w:rPr>
                      <w:rFonts w:hint="default"/>
                      <w:color w:val="000000" w:themeColor="text1"/>
                      <w:szCs w:val="21"/>
                      <w14:textFill>
                        <w14:solidFill>
                          <w14:schemeClr w14:val="tx1"/>
                        </w14:solidFill>
                      </w14:textFill>
                    </w:rPr>
                  </w:pPr>
                </w:p>
              </w:tc>
              <w:tc>
                <w:tcPr>
                  <w:tcW w:w="1317" w:type="pct"/>
                  <w:gridSpan w:val="2"/>
                  <w:noWrap w:val="0"/>
                  <w:vAlign w:val="center"/>
                </w:tcPr>
                <w:p w14:paraId="0A5EDDEE">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职工生活</w:t>
                  </w:r>
                </w:p>
              </w:tc>
              <w:tc>
                <w:tcPr>
                  <w:tcW w:w="1315" w:type="pct"/>
                  <w:noWrap w:val="0"/>
                  <w:vAlign w:val="center"/>
                </w:tcPr>
                <w:p w14:paraId="36FA9E49">
                  <w:pPr>
                    <w:adjustRightInd w:val="0"/>
                    <w:snapToGrid w:val="0"/>
                    <w:jc w:val="center"/>
                    <w:rPr>
                      <w:rFonts w:hint="default"/>
                      <w:color w:val="000000" w:themeColor="text1"/>
                      <w:kern w:val="2"/>
                      <w:sz w:val="21"/>
                      <w:szCs w:val="21"/>
                      <w:lang w:val="en-US" w:eastAsia="zh-CN" w:bidi="ar-SA"/>
                      <w14:textFill>
                        <w14:solidFill>
                          <w14:schemeClr w14:val="tx1"/>
                        </w14:solidFill>
                      </w14:textFill>
                    </w:rPr>
                  </w:pPr>
                  <w:r>
                    <w:rPr>
                      <w:rFonts w:hint="eastAsia"/>
                      <w:color w:val="000000" w:themeColor="text1"/>
                      <w:kern w:val="2"/>
                      <w:sz w:val="21"/>
                      <w:szCs w:val="21"/>
                      <w:lang w:val="en-US" w:eastAsia="zh-CN" w:bidi="ar-SA"/>
                      <w14:textFill>
                        <w14:solidFill>
                          <w14:schemeClr w14:val="tx1"/>
                        </w14:solidFill>
                      </w14:textFill>
                    </w:rPr>
                    <w:t>生活垃圾</w:t>
                  </w:r>
                </w:p>
              </w:tc>
              <w:tc>
                <w:tcPr>
                  <w:tcW w:w="1949" w:type="pct"/>
                  <w:noWrap w:val="0"/>
                  <w:vAlign w:val="center"/>
                </w:tcPr>
                <w:p w14:paraId="392E57F6">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一般固废，定期由环卫清运</w:t>
                  </w:r>
                </w:p>
              </w:tc>
            </w:tr>
          </w:tbl>
          <w:p w14:paraId="1FEE3E7C">
            <w:pPr>
              <w:rPr>
                <w:rFonts w:hint="eastAsia"/>
                <w:color w:val="000000" w:themeColor="text1"/>
                <w:lang w:val="en-US" w:eastAsia="zh-CN"/>
                <w14:textFill>
                  <w14:solidFill>
                    <w14:schemeClr w14:val="tx1"/>
                  </w14:solidFill>
                </w14:textFill>
              </w:rPr>
            </w:pPr>
          </w:p>
        </w:tc>
      </w:tr>
      <w:tr w14:paraId="38781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81" w:hRule="atLeast"/>
          <w:jc w:val="center"/>
        </w:trPr>
        <w:tc>
          <w:tcPr>
            <w:tcW w:w="418" w:type="pct"/>
            <w:noWrap w:val="0"/>
            <w:vAlign w:val="center"/>
          </w:tcPr>
          <w:p w14:paraId="2A255BF3">
            <w:pPr>
              <w:pStyle w:val="22"/>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宋体"/>
                <w:bCs/>
                <w:color w:val="000000" w:themeColor="text1"/>
                <w:kern w:val="2"/>
                <w:sz w:val="24"/>
                <w:szCs w:val="24"/>
                <w14:textFill>
                  <w14:solidFill>
                    <w14:schemeClr w14:val="tx1"/>
                  </w14:solidFill>
                </w14:textFill>
              </w:rPr>
              <w:t>与项目有关的原有环境污染问题</w:t>
            </w:r>
          </w:p>
        </w:tc>
        <w:tc>
          <w:tcPr>
            <w:tcW w:w="4581" w:type="pct"/>
            <w:noWrap w:val="0"/>
            <w:vAlign w:val="top"/>
          </w:tcPr>
          <w:p w14:paraId="2F4D05E2">
            <w:pPr>
              <w:pStyle w:val="2"/>
              <w:keepNext/>
              <w:keepLines w:val="0"/>
              <w:pageBreakBefore w:val="0"/>
              <w:widowControl w:val="0"/>
              <w:kinsoku/>
              <w:wordWrap/>
              <w:overflowPunct w:val="0"/>
              <w:topLinePunct w:val="0"/>
              <w:autoSpaceDE/>
              <w:autoSpaceDN/>
              <w:bidi w:val="0"/>
              <w:adjustRightInd/>
              <w:snapToGrid w:val="0"/>
              <w:spacing w:before="0" w:after="0" w:line="240" w:lineRule="auto"/>
              <w:ind w:left="0" w:leftChars="0" w:firstLine="480" w:firstLineChars="200"/>
              <w:jc w:val="both"/>
              <w:textAlignment w:val="auto"/>
              <w:rPr>
                <w:rFonts w:hint="eastAsia" w:hAnsi="宋体" w:eastAsia="宋体"/>
                <w:b w:val="0"/>
                <w:bCs w:val="0"/>
                <w:snapToGrid/>
                <w:color w:val="000000" w:themeColor="text1"/>
                <w:sz w:val="24"/>
                <w:szCs w:val="24"/>
                <w14:textFill>
                  <w14:solidFill>
                    <w14:schemeClr w14:val="tx1"/>
                  </w14:solidFill>
                </w14:textFill>
              </w:rPr>
            </w:pPr>
          </w:p>
          <w:p w14:paraId="52B51DEB">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hAnsi="宋体" w:eastAsia="宋体"/>
                <w:b w:val="0"/>
                <w:bCs w:val="0"/>
                <w:snapToGrid/>
                <w:color w:val="000000" w:themeColor="text1"/>
                <w:sz w:val="24"/>
                <w:szCs w:val="24"/>
                <w:lang w:val="en-US" w:eastAsia="zh-CN"/>
                <w14:textFill>
                  <w14:solidFill>
                    <w14:schemeClr w14:val="tx1"/>
                  </w14:solidFill>
                </w14:textFill>
              </w:rPr>
            </w:pPr>
            <w:r>
              <w:rPr>
                <w:rFonts w:hint="eastAsia" w:hAnsi="宋体" w:eastAsia="宋体"/>
                <w:b w:val="0"/>
                <w:bCs w:val="0"/>
                <w:snapToGrid/>
                <w:color w:val="000000" w:themeColor="text1"/>
                <w:sz w:val="24"/>
                <w:szCs w:val="24"/>
                <w14:textFill>
                  <w14:solidFill>
                    <w14:schemeClr w14:val="tx1"/>
                  </w14:solidFill>
                </w14:textFill>
              </w:rPr>
              <w:t>白云山汤阴东泰药业有限责任公司成立于2004年4月，原厂址位于安阳市汤阴县永通路东段，主要生产以片剂、胶囊剂为主的中西药。</w:t>
            </w:r>
            <w:r>
              <w:rPr>
                <w:rFonts w:hint="eastAsia" w:hAnsi="宋体" w:eastAsia="宋体"/>
                <w:b w:val="0"/>
                <w:bCs w:val="0"/>
                <w:snapToGrid/>
                <w:color w:val="000000" w:themeColor="text1"/>
                <w:sz w:val="24"/>
                <w:szCs w:val="24"/>
                <w:lang w:val="en-US" w:eastAsia="zh-CN"/>
                <w14:textFill>
                  <w14:solidFill>
                    <w14:schemeClr w14:val="tx1"/>
                  </w14:solidFill>
                </w14:textFill>
              </w:rPr>
              <w:t>原有项目</w:t>
            </w:r>
            <w:r>
              <w:rPr>
                <w:rFonts w:hint="eastAsia" w:hAnsi="宋体" w:eastAsia="宋体"/>
                <w:b w:val="0"/>
                <w:bCs w:val="0"/>
                <w:snapToGrid/>
                <w:color w:val="000000" w:themeColor="text1"/>
                <w:sz w:val="24"/>
                <w:szCs w:val="24"/>
                <w14:textFill>
                  <w14:solidFill>
                    <w14:schemeClr w14:val="tx1"/>
                  </w14:solidFill>
                </w14:textFill>
              </w:rPr>
              <w:t>总占地面积</w:t>
            </w:r>
            <w:r>
              <w:rPr>
                <w:rFonts w:hint="eastAsia" w:hAnsi="宋体" w:eastAsia="宋体"/>
                <w:b w:val="0"/>
                <w:bCs w:val="0"/>
                <w:snapToGrid/>
                <w:color w:val="000000" w:themeColor="text1"/>
                <w:sz w:val="24"/>
                <w:szCs w:val="24"/>
                <w:lang w:val="en-US" w:eastAsia="zh-CN"/>
                <w14:textFill>
                  <w14:solidFill>
                    <w14:schemeClr w14:val="tx1"/>
                  </w14:solidFill>
                </w14:textFill>
              </w:rPr>
              <w:t>66700</w:t>
            </w:r>
            <w:r>
              <w:rPr>
                <w:rFonts w:hint="eastAsia" w:hAnsi="宋体" w:eastAsia="宋体"/>
                <w:b w:val="0"/>
                <w:bCs w:val="0"/>
                <w:snapToGrid/>
                <w:color w:val="000000" w:themeColor="text1"/>
                <w:sz w:val="24"/>
                <w:szCs w:val="24"/>
                <w14:textFill>
                  <w14:solidFill>
                    <w14:schemeClr w14:val="tx1"/>
                  </w14:solidFill>
                </w14:textFill>
              </w:rPr>
              <w:t>m</w:t>
            </w:r>
            <w:r>
              <w:rPr>
                <w:rFonts w:hint="eastAsia" w:hAnsi="宋体" w:eastAsia="宋体"/>
                <w:b w:val="0"/>
                <w:bCs w:val="0"/>
                <w:snapToGrid/>
                <w:color w:val="000000" w:themeColor="text1"/>
                <w:sz w:val="24"/>
                <w:szCs w:val="24"/>
                <w:vertAlign w:val="superscript"/>
                <w14:textFill>
                  <w14:solidFill>
                    <w14:schemeClr w14:val="tx1"/>
                  </w14:solidFill>
                </w14:textFill>
              </w:rPr>
              <w:t>2</w:t>
            </w:r>
            <w:r>
              <w:rPr>
                <w:rFonts w:hint="eastAsia" w:hAnsi="宋体" w:eastAsia="宋体"/>
                <w:b w:val="0"/>
                <w:bCs w:val="0"/>
                <w:snapToGrid/>
                <w:color w:val="000000" w:themeColor="text1"/>
                <w:sz w:val="24"/>
                <w:szCs w:val="24"/>
                <w14:textFill>
                  <w14:solidFill>
                    <w14:schemeClr w14:val="tx1"/>
                  </w14:solidFill>
                </w14:textFill>
              </w:rPr>
              <w:t>，</w:t>
            </w:r>
            <w:r>
              <w:rPr>
                <w:rFonts w:hint="eastAsia" w:hAnsi="宋体" w:eastAsia="宋体"/>
                <w:b w:val="0"/>
                <w:bCs w:val="0"/>
                <w:snapToGrid/>
                <w:color w:val="000000" w:themeColor="text1"/>
                <w:sz w:val="24"/>
                <w:szCs w:val="24"/>
                <w:lang w:val="en-US" w:eastAsia="zh-CN"/>
                <w14:textFill>
                  <w14:solidFill>
                    <w14:schemeClr w14:val="tx1"/>
                  </w14:solidFill>
                </w14:textFill>
              </w:rPr>
              <w:t>设计产品产能：盐酸二甲双弧片、双氯芬芬酸钠肠溶片、冰硼含片等共计12亿片，氨加黄敏胶囊、诺氟沙星胶囊等共计2亿粒。</w:t>
            </w:r>
          </w:p>
          <w:p w14:paraId="42234D49">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default" w:hAnsi="宋体" w:eastAsia="宋体"/>
                <w:b w:val="0"/>
                <w:bCs w:val="0"/>
                <w:snapToGrid/>
                <w:color w:val="000000" w:themeColor="text1"/>
                <w:sz w:val="24"/>
                <w:szCs w:val="24"/>
                <w:lang w:val="en-US" w:eastAsia="zh-CN"/>
                <w14:textFill>
                  <w14:solidFill>
                    <w14:schemeClr w14:val="tx1"/>
                  </w14:solidFill>
                </w14:textFill>
              </w:rPr>
            </w:pPr>
            <w:r>
              <w:rPr>
                <w:rFonts w:hint="eastAsia" w:hAnsi="宋体" w:eastAsia="宋体"/>
                <w:b w:val="0"/>
                <w:bCs w:val="0"/>
                <w:snapToGrid/>
                <w:color w:val="000000" w:themeColor="text1"/>
                <w:sz w:val="24"/>
                <w:szCs w:val="24"/>
                <w:lang w:val="en-US" w:eastAsia="zh-CN"/>
                <w14:textFill>
                  <w14:solidFill>
                    <w14:schemeClr w14:val="tx1"/>
                  </w14:solidFill>
                </w14:textFill>
              </w:rPr>
              <w:t>公司厂址已于2022年搬迁至汤阴县产业集聚区汤伏路与复兴大道交叉口西南角，占地面积平方米，建设年产消炎镇痛、祛痰、降糖类等固体制剂约270亿片/粒/袋、口服溶液剂约2.5亿支/瓶药品生产项目，截至目前，新厂已初步建成，项目建设已竣工，但未投入正常生产。环评手续如下</w:t>
            </w:r>
          </w:p>
          <w:p w14:paraId="042D0171">
            <w:pPr>
              <w:keepNext w:val="0"/>
              <w:keepLines w:val="0"/>
              <w:pageBreakBefore w:val="0"/>
              <w:widowControl/>
              <w:numPr>
                <w:ilvl w:val="0"/>
                <w:numId w:val="0"/>
              </w:numPr>
              <w:kinsoku/>
              <w:wordWrap/>
              <w:overflowPunct/>
              <w:topLinePunct w:val="0"/>
              <w:autoSpaceDE/>
              <w:autoSpaceDN/>
              <w:bidi w:val="0"/>
              <w:adjustRightInd w:val="0"/>
              <w:snapToGrid/>
              <w:spacing w:beforeLines="0" w:line="240" w:lineRule="auto"/>
              <w:ind w:leftChars="0"/>
              <w:jc w:val="center"/>
              <w:textAlignment w:val="auto"/>
              <w:rPr>
                <w:rFonts w:hint="default" w:ascii="Times New Roman" w:hAnsi="Times New Roman" w:eastAsia="宋体" w:cs="Times New Roman"/>
                <w:b w:val="0"/>
                <w:bCs w:val="0"/>
                <w:color w:val="000000" w:themeColor="text1"/>
                <w:sz w:val="24"/>
                <w:szCs w:val="24"/>
                <w:highlight w:val="yellow"/>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表</w:t>
            </w:r>
            <w:r>
              <w:rPr>
                <w:rFonts w:hint="eastAsia" w:cs="Times New Roman"/>
                <w:b w:val="0"/>
                <w:bCs w:val="0"/>
                <w:color w:val="000000" w:themeColor="text1"/>
                <w:sz w:val="24"/>
                <w:szCs w:val="24"/>
                <w:highlight w:val="none"/>
                <w:lang w:val="en-US" w:eastAsia="zh-CN"/>
                <w14:textFill>
                  <w14:solidFill>
                    <w14:schemeClr w14:val="tx1"/>
                  </w14:solidFill>
                </w14:textFill>
              </w:rPr>
              <w:t>22  原有项目环评手续情况</w:t>
            </w:r>
          </w:p>
          <w:tbl>
            <w:tblPr>
              <w:tblStyle w:val="26"/>
              <w:tblW w:w="7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6"/>
              <w:gridCol w:w="2070"/>
              <w:gridCol w:w="1762"/>
              <w:gridCol w:w="1778"/>
              <w:gridCol w:w="1605"/>
            </w:tblGrid>
            <w:tr w14:paraId="1870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76" w:type="dxa"/>
                  <w:tcBorders>
                    <w:tl2br w:val="nil"/>
                    <w:tr2bl w:val="nil"/>
                  </w:tcBorders>
                  <w:noWrap w:val="0"/>
                  <w:tcMar>
                    <w:left w:w="0" w:type="dxa"/>
                    <w:right w:w="0" w:type="dxa"/>
                  </w:tcMar>
                  <w:vAlign w:val="center"/>
                </w:tcPr>
                <w:p w14:paraId="05D6E83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序号</w:t>
                  </w:r>
                </w:p>
              </w:tc>
              <w:tc>
                <w:tcPr>
                  <w:tcW w:w="2070" w:type="dxa"/>
                  <w:tcBorders>
                    <w:tl2br w:val="nil"/>
                    <w:tr2bl w:val="nil"/>
                  </w:tcBorders>
                  <w:noWrap w:val="0"/>
                  <w:tcMar>
                    <w:left w:w="0" w:type="dxa"/>
                    <w:right w:w="0" w:type="dxa"/>
                  </w:tcMar>
                  <w:vAlign w:val="center"/>
                </w:tcPr>
                <w:p w14:paraId="64A5909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项目名称</w:t>
                  </w:r>
                </w:p>
              </w:tc>
              <w:tc>
                <w:tcPr>
                  <w:tcW w:w="1762" w:type="dxa"/>
                  <w:tcBorders>
                    <w:tl2br w:val="nil"/>
                    <w:tr2bl w:val="nil"/>
                  </w:tcBorders>
                  <w:noWrap w:val="0"/>
                  <w:tcMar>
                    <w:left w:w="0" w:type="dxa"/>
                    <w:right w:w="0" w:type="dxa"/>
                  </w:tcMar>
                  <w:vAlign w:val="center"/>
                </w:tcPr>
                <w:p w14:paraId="019BE83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环评</w:t>
                  </w:r>
                  <w:r>
                    <w:rPr>
                      <w:b w:val="0"/>
                      <w:bCs w:val="0"/>
                      <w:color w:val="000000" w:themeColor="text1"/>
                      <w14:textFill>
                        <w14:solidFill>
                          <w14:schemeClr w14:val="tx1"/>
                        </w14:solidFill>
                      </w14:textFill>
                    </w:rPr>
                    <w:t>审批</w:t>
                  </w:r>
                  <w:r>
                    <w:rPr>
                      <w:rFonts w:hint="eastAsia"/>
                      <w:b w:val="0"/>
                      <w:bCs w:val="0"/>
                      <w:color w:val="000000" w:themeColor="text1"/>
                      <w:lang w:val="en-US" w:eastAsia="zh-CN"/>
                      <w14:textFill>
                        <w14:solidFill>
                          <w14:schemeClr w14:val="tx1"/>
                        </w14:solidFill>
                      </w14:textFill>
                    </w:rPr>
                    <w:t>情况</w:t>
                  </w:r>
                </w:p>
              </w:tc>
              <w:tc>
                <w:tcPr>
                  <w:tcW w:w="1778" w:type="dxa"/>
                  <w:tcBorders>
                    <w:tl2br w:val="nil"/>
                    <w:tr2bl w:val="nil"/>
                  </w:tcBorders>
                  <w:noWrap w:val="0"/>
                  <w:tcMar>
                    <w:left w:w="0" w:type="dxa"/>
                    <w:right w:w="0" w:type="dxa"/>
                  </w:tcMar>
                  <w:vAlign w:val="center"/>
                </w:tcPr>
                <w:p w14:paraId="73105D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环保</w:t>
                  </w:r>
                  <w:r>
                    <w:rPr>
                      <w:b w:val="0"/>
                      <w:bCs w:val="0"/>
                      <w:color w:val="000000" w:themeColor="text1"/>
                      <w14:textFill>
                        <w14:solidFill>
                          <w14:schemeClr w14:val="tx1"/>
                        </w14:solidFill>
                      </w14:textFill>
                    </w:rPr>
                    <w:t>验收</w:t>
                  </w:r>
                  <w:r>
                    <w:rPr>
                      <w:rFonts w:hint="eastAsia"/>
                      <w:b w:val="0"/>
                      <w:bCs w:val="0"/>
                      <w:color w:val="000000" w:themeColor="text1"/>
                      <w:lang w:val="en-US" w:eastAsia="zh-CN"/>
                      <w14:textFill>
                        <w14:solidFill>
                          <w14:schemeClr w14:val="tx1"/>
                        </w14:solidFill>
                      </w14:textFill>
                    </w:rPr>
                    <w:t>情况</w:t>
                  </w:r>
                </w:p>
              </w:tc>
              <w:tc>
                <w:tcPr>
                  <w:tcW w:w="1605" w:type="dxa"/>
                  <w:tcBorders>
                    <w:tl2br w:val="nil"/>
                    <w:tr2bl w:val="nil"/>
                  </w:tcBorders>
                  <w:noWrap w:val="0"/>
                  <w:vAlign w:val="center"/>
                </w:tcPr>
                <w:p w14:paraId="6B08FEB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备注</w:t>
                  </w:r>
                </w:p>
              </w:tc>
            </w:tr>
            <w:tr w14:paraId="7056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76" w:type="dxa"/>
                  <w:tcBorders>
                    <w:tl2br w:val="nil"/>
                    <w:tr2bl w:val="nil"/>
                  </w:tcBorders>
                  <w:noWrap w:val="0"/>
                  <w:tcMar>
                    <w:left w:w="0" w:type="dxa"/>
                    <w:right w:w="0" w:type="dxa"/>
                  </w:tcMar>
                  <w:vAlign w:val="center"/>
                </w:tcPr>
                <w:p w14:paraId="12E3C0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1</w:t>
                  </w:r>
                </w:p>
              </w:tc>
              <w:tc>
                <w:tcPr>
                  <w:tcW w:w="2070" w:type="dxa"/>
                  <w:tcBorders>
                    <w:tl2br w:val="nil"/>
                    <w:tr2bl w:val="nil"/>
                  </w:tcBorders>
                  <w:noWrap w:val="0"/>
                  <w:tcMar>
                    <w:left w:w="0" w:type="dxa"/>
                    <w:right w:w="0" w:type="dxa"/>
                  </w:tcMar>
                  <w:vAlign w:val="center"/>
                </w:tcPr>
                <w:p w14:paraId="5E6EB94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val="0"/>
                      <w:color w:val="000000" w:themeColor="text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固体制剂车间</w:t>
                  </w:r>
                  <w:r>
                    <w:rPr>
                      <w:rFonts w:hint="eastAsia" w:hAnsi="宋体"/>
                      <w:b w:val="0"/>
                      <w:bCs w:val="0"/>
                      <w:snapToGrid/>
                      <w:color w:val="000000" w:themeColor="text1"/>
                      <w:sz w:val="21"/>
                      <w:szCs w:val="21"/>
                      <w:lang w:val="en-US" w:eastAsia="zh-CN"/>
                      <w14:textFill>
                        <w14:solidFill>
                          <w14:schemeClr w14:val="tx1"/>
                        </w14:solidFill>
                      </w14:textFill>
                    </w:rPr>
                    <w:t>项目</w:t>
                  </w:r>
                </w:p>
              </w:tc>
              <w:tc>
                <w:tcPr>
                  <w:tcW w:w="1762" w:type="dxa"/>
                  <w:tcBorders>
                    <w:tl2br w:val="nil"/>
                    <w:tr2bl w:val="nil"/>
                  </w:tcBorders>
                  <w:noWrap w:val="0"/>
                  <w:tcMar>
                    <w:left w:w="0" w:type="dxa"/>
                    <w:right w:w="0" w:type="dxa"/>
                  </w:tcMar>
                  <w:vAlign w:val="center"/>
                </w:tcPr>
                <w:p w14:paraId="210765C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eastAsia="宋体"/>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审批时间：1995.5审批文号：（1995）安环管字第21号</w:t>
                  </w:r>
                </w:p>
              </w:tc>
              <w:tc>
                <w:tcPr>
                  <w:tcW w:w="1778" w:type="dxa"/>
                  <w:tcBorders>
                    <w:tl2br w:val="nil"/>
                    <w:tr2bl w:val="nil"/>
                  </w:tcBorders>
                  <w:noWrap w:val="0"/>
                  <w:tcMar>
                    <w:left w:w="0" w:type="dxa"/>
                    <w:right w:w="0" w:type="dxa"/>
                  </w:tcMar>
                  <w:vAlign w:val="center"/>
                </w:tcPr>
                <w:p w14:paraId="20077B2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b w:val="0"/>
                      <w:bCs w:val="0"/>
                      <w:color w:val="000000" w:themeColor="text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验收时间：</w:t>
                  </w:r>
                  <w:r>
                    <w:rPr>
                      <w:rFonts w:hint="eastAsia"/>
                      <w:color w:val="000000" w:themeColor="text1"/>
                      <w:szCs w:val="21"/>
                      <w14:textFill>
                        <w14:solidFill>
                          <w14:schemeClr w14:val="tx1"/>
                        </w14:solidFill>
                      </w14:textFill>
                    </w:rPr>
                    <w:t>200</w:t>
                  </w:r>
                  <w:r>
                    <w:rPr>
                      <w:rFonts w:hint="eastAsia"/>
                      <w:color w:val="000000" w:themeColor="text1"/>
                      <w:szCs w:val="21"/>
                      <w:lang w:val="en-US" w:eastAsia="zh-CN"/>
                      <w14:textFill>
                        <w14:solidFill>
                          <w14:schemeClr w14:val="tx1"/>
                        </w14:solidFill>
                      </w14:textFill>
                    </w:rPr>
                    <w:t>4</w:t>
                  </w:r>
                  <w:r>
                    <w:rPr>
                      <w:rFonts w:hint="eastAsia"/>
                      <w:color w:val="000000" w:themeColor="text1"/>
                      <w:szCs w:val="21"/>
                      <w14:textFill>
                        <w14:solidFill>
                          <w14:schemeClr w14:val="tx1"/>
                        </w14:solidFill>
                      </w14:textFill>
                    </w:rPr>
                    <w:t>.2验收文号：</w:t>
                  </w:r>
                  <w:r>
                    <w:rPr>
                      <w:rFonts w:hint="eastAsia"/>
                      <w:color w:val="000000" w:themeColor="text1"/>
                      <w:szCs w:val="21"/>
                      <w:lang w:val="en-US" w:eastAsia="zh-CN"/>
                      <w14:textFill>
                        <w14:solidFill>
                          <w14:schemeClr w14:val="tx1"/>
                        </w14:solidFill>
                      </w14:textFill>
                    </w:rPr>
                    <w:t>汤环验</w:t>
                  </w:r>
                  <w:r>
                    <w:rPr>
                      <w:rFonts w:hint="eastAsia"/>
                      <w:color w:val="000000" w:themeColor="text1"/>
                      <w:szCs w:val="21"/>
                      <w14:textFill>
                        <w14:solidFill>
                          <w14:schemeClr w14:val="tx1"/>
                        </w14:solidFill>
                      </w14:textFill>
                    </w:rPr>
                    <w:t>[200</w:t>
                  </w:r>
                  <w:r>
                    <w:rPr>
                      <w:rFonts w:hint="eastAsia"/>
                      <w:color w:val="000000" w:themeColor="text1"/>
                      <w:szCs w:val="21"/>
                      <w:lang w:val="en-US" w:eastAsia="zh-CN"/>
                      <w14:textFill>
                        <w14:solidFill>
                          <w14:schemeClr w14:val="tx1"/>
                        </w14:solidFill>
                      </w14:textFill>
                    </w:rPr>
                    <w:t>4</w:t>
                  </w:r>
                  <w:r>
                    <w:rPr>
                      <w:rFonts w:hint="eastAsia"/>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1</w:t>
                  </w:r>
                  <w:r>
                    <w:rPr>
                      <w:rFonts w:hint="eastAsia"/>
                      <w:color w:val="000000" w:themeColor="text1"/>
                      <w:szCs w:val="21"/>
                      <w14:textFill>
                        <w14:solidFill>
                          <w14:schemeClr w14:val="tx1"/>
                        </w14:solidFill>
                      </w14:textFill>
                    </w:rPr>
                    <w:t>号</w:t>
                  </w:r>
                </w:p>
              </w:tc>
              <w:tc>
                <w:tcPr>
                  <w:tcW w:w="1605" w:type="dxa"/>
                  <w:tcBorders>
                    <w:tl2br w:val="nil"/>
                    <w:tr2bl w:val="nil"/>
                  </w:tcBorders>
                  <w:noWrap w:val="0"/>
                  <w:vAlign w:val="center"/>
                </w:tcPr>
                <w:p w14:paraId="47F63D4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b w:val="0"/>
                      <w:bCs w:val="0"/>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待新厂正式投产后停产并拆除</w:t>
                  </w:r>
                </w:p>
              </w:tc>
            </w:tr>
            <w:tr w14:paraId="1C0B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76" w:type="dxa"/>
                  <w:tcBorders>
                    <w:tl2br w:val="nil"/>
                    <w:tr2bl w:val="nil"/>
                  </w:tcBorders>
                  <w:noWrap w:val="0"/>
                  <w:tcMar>
                    <w:left w:w="0" w:type="dxa"/>
                    <w:right w:w="0" w:type="dxa"/>
                  </w:tcMar>
                  <w:vAlign w:val="center"/>
                </w:tcPr>
                <w:p w14:paraId="5ECEDD7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2</w:t>
                  </w:r>
                </w:p>
              </w:tc>
              <w:tc>
                <w:tcPr>
                  <w:tcW w:w="2070" w:type="dxa"/>
                  <w:tcBorders>
                    <w:tl2br w:val="nil"/>
                    <w:tr2bl w:val="nil"/>
                  </w:tcBorders>
                  <w:noWrap w:val="0"/>
                  <w:tcMar>
                    <w:left w:w="0" w:type="dxa"/>
                    <w:right w:w="0" w:type="dxa"/>
                  </w:tcMar>
                  <w:vAlign w:val="center"/>
                </w:tcPr>
                <w:p w14:paraId="5B21C51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年产消炎镇痛、祛痰、降糖类等固体制剂约270亿片/粒/袋、口服溶液剂约2.5亿支/瓶药品生产项目</w:t>
                  </w:r>
                </w:p>
              </w:tc>
              <w:tc>
                <w:tcPr>
                  <w:tcW w:w="1762" w:type="dxa"/>
                  <w:tcBorders>
                    <w:tl2br w:val="nil"/>
                    <w:tr2bl w:val="nil"/>
                  </w:tcBorders>
                  <w:noWrap w:val="0"/>
                  <w:tcMar>
                    <w:left w:w="0" w:type="dxa"/>
                    <w:right w:w="0" w:type="dxa"/>
                  </w:tcMar>
                  <w:vAlign w:val="center"/>
                </w:tcPr>
                <w:p w14:paraId="1B404C0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审批时间：2022.3审批文号：汤环管字（2022）7号</w:t>
                  </w:r>
                </w:p>
              </w:tc>
              <w:tc>
                <w:tcPr>
                  <w:tcW w:w="1778" w:type="dxa"/>
                  <w:tcBorders>
                    <w:tl2br w:val="nil"/>
                    <w:tr2bl w:val="nil"/>
                  </w:tcBorders>
                  <w:noWrap w:val="0"/>
                  <w:tcMar>
                    <w:left w:w="0" w:type="dxa"/>
                    <w:right w:w="0" w:type="dxa"/>
                  </w:tcMar>
                  <w:vAlign w:val="center"/>
                </w:tcPr>
                <w:p w14:paraId="1951D2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未验收</w:t>
                  </w:r>
                </w:p>
              </w:tc>
              <w:tc>
                <w:tcPr>
                  <w:tcW w:w="1605" w:type="dxa"/>
                  <w:tcBorders>
                    <w:tl2br w:val="nil"/>
                    <w:tr2bl w:val="nil"/>
                  </w:tcBorders>
                  <w:noWrap w:val="0"/>
                  <w:vAlign w:val="center"/>
                </w:tcPr>
                <w:p w14:paraId="3A92E8D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已建成，未投产</w:t>
                  </w:r>
                </w:p>
              </w:tc>
            </w:tr>
          </w:tbl>
          <w:p w14:paraId="4C8CA9CB">
            <w:pPr>
              <w:pStyle w:val="2"/>
              <w:keepNext/>
              <w:keepLines w:val="0"/>
              <w:pageBreakBefore w:val="0"/>
              <w:widowControl w:val="0"/>
              <w:kinsoku/>
              <w:wordWrap/>
              <w:overflowPunct w:val="0"/>
              <w:topLinePunct w:val="0"/>
              <w:autoSpaceDE/>
              <w:autoSpaceDN/>
              <w:bidi w:val="0"/>
              <w:adjustRightInd/>
              <w:snapToGrid w:val="0"/>
              <w:spacing w:before="0" w:after="0" w:line="240" w:lineRule="exact"/>
              <w:ind w:left="0" w:leftChars="0" w:firstLine="420" w:firstLineChars="200"/>
              <w:jc w:val="both"/>
              <w:textAlignment w:val="auto"/>
              <w:rPr>
                <w:rFonts w:hint="eastAsia" w:eastAsia="宋体" w:cs="Times New Roman"/>
                <w:b w:val="0"/>
                <w:bCs w:val="0"/>
                <w:color w:val="000000" w:themeColor="text1"/>
                <w:kern w:val="2"/>
                <w:sz w:val="21"/>
                <w:szCs w:val="21"/>
                <w:lang w:val="en-US" w:eastAsia="zh-CN" w:bidi="ar-SA"/>
                <w14:textFill>
                  <w14:solidFill>
                    <w14:schemeClr w14:val="tx1"/>
                  </w14:solidFill>
                </w14:textFill>
              </w:rPr>
            </w:pPr>
          </w:p>
          <w:p w14:paraId="39C18394">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eastAsia="宋体" w:cs="Times New Roman"/>
                <w:b w:val="0"/>
                <w:bCs w:val="0"/>
                <w:color w:val="000000" w:themeColor="text1"/>
                <w:kern w:val="2"/>
                <w:sz w:val="24"/>
                <w:szCs w:val="24"/>
                <w:lang w:val="en-US" w:eastAsia="zh-CN" w:bidi="ar-SA"/>
                <w14:textFill>
                  <w14:solidFill>
                    <w14:schemeClr w14:val="tx1"/>
                  </w14:solidFill>
                </w14:textFill>
              </w:rPr>
              <w:t>由上表可知，白云山汤阴东泰药业有限责任公司原有项目环评手续齐全。公司现持排污许可证有效期为2024-04-08至2029-04-07，根据公司排污许可证及年度执行报告内容，原有项目废气、废水及噪声排放均能达标排放。</w:t>
            </w:r>
          </w:p>
          <w:p w14:paraId="1FC86039">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由于老厂即将停产拆除，本次仅对新厂现有项目进行回顾性分析，具体内容如下：</w:t>
            </w:r>
          </w:p>
          <w:p w14:paraId="70737FB3">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default"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eastAsia="宋体" w:cs="Times New Roman"/>
                <w:b w:val="0"/>
                <w:bCs w:val="0"/>
                <w:color w:val="000000" w:themeColor="text1"/>
                <w:kern w:val="2"/>
                <w:sz w:val="24"/>
                <w:szCs w:val="24"/>
                <w:lang w:val="en-US" w:eastAsia="zh-CN" w:bidi="ar-SA"/>
                <w14:textFill>
                  <w14:solidFill>
                    <w14:schemeClr w14:val="tx1"/>
                  </w14:solidFill>
                </w14:textFill>
              </w:rPr>
              <w:t>结合现场勘查结果，根据该项目环境影响报告表及批复内容，本次对项目生产工艺流程、产排污环节进行回顾分析；由于项目未正式投产，未对污染源进行监测，根据原环评对废气、废水、固废及噪声污染源进行分析。</w:t>
            </w:r>
          </w:p>
          <w:p w14:paraId="27FF76A6">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default"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eastAsia="宋体" w:cs="Times New Roman"/>
                <w:b w:val="0"/>
                <w:bCs w:val="0"/>
                <w:color w:val="000000" w:themeColor="text1"/>
                <w:kern w:val="2"/>
                <w:sz w:val="24"/>
                <w:szCs w:val="24"/>
                <w:lang w:val="en-US" w:eastAsia="zh-CN" w:bidi="ar-SA"/>
                <w14:textFill>
                  <w14:solidFill>
                    <w14:schemeClr w14:val="tx1"/>
                  </w14:solidFill>
                </w14:textFill>
              </w:rPr>
              <w:t>1、生产工艺流程</w:t>
            </w:r>
          </w:p>
          <w:p w14:paraId="4460FB58">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eastAsia="宋体" w:cs="Times New Roman"/>
                <w:b w:val="0"/>
                <w:bCs w:val="0"/>
                <w:color w:val="000000" w:themeColor="text1"/>
                <w:kern w:val="2"/>
                <w:sz w:val="24"/>
                <w:szCs w:val="24"/>
                <w:lang w:val="en-US" w:eastAsia="zh-CN" w:bidi="ar-SA"/>
                <w14:textFill>
                  <w14:solidFill>
                    <w14:schemeClr w14:val="tx1"/>
                  </w14:solidFill>
                </w14:textFill>
              </w:rPr>
              <w:t>公司新厂建设项目为固体制剂、液体制剂的，产品种类较多，生产工艺流程如下：</w:t>
            </w:r>
          </w:p>
          <w:p w14:paraId="5C35C5AF">
            <w:pPr>
              <w:pStyle w:val="2"/>
              <w:keepNext/>
              <w:keepLines w:val="0"/>
              <w:pageBreakBefore w:val="0"/>
              <w:widowControl w:val="0"/>
              <w:kinsoku/>
              <w:wordWrap/>
              <w:overflowPunct w:val="0"/>
              <w:topLinePunct w:val="0"/>
              <w:autoSpaceDE/>
              <w:autoSpaceDN/>
              <w:bidi w:val="0"/>
              <w:adjustRightInd/>
              <w:snapToGrid w:val="0"/>
              <w:spacing w:before="0" w:after="0" w:line="360" w:lineRule="auto"/>
              <w:jc w:val="center"/>
              <w:textAlignment w:val="auto"/>
              <w:rPr>
                <w:rFonts w:hint="eastAsia" w:eastAsia="宋体" w:cs="Times New Roman"/>
                <w:b w:val="0"/>
                <w:bCs w:val="0"/>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drawing>
                <wp:inline distT="0" distB="0" distL="114300" distR="114300">
                  <wp:extent cx="4093210" cy="4168775"/>
                  <wp:effectExtent l="0" t="0" r="2540" b="3175"/>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17"/>
                          <a:srcRect t="3913"/>
                          <a:stretch>
                            <a:fillRect/>
                          </a:stretch>
                        </pic:blipFill>
                        <pic:spPr>
                          <a:xfrm>
                            <a:off x="0" y="0"/>
                            <a:ext cx="4093210" cy="4168775"/>
                          </a:xfrm>
                          <a:prstGeom prst="rect">
                            <a:avLst/>
                          </a:prstGeom>
                          <a:noFill/>
                          <a:ln>
                            <a:noFill/>
                          </a:ln>
                        </pic:spPr>
                      </pic:pic>
                    </a:graphicData>
                  </a:graphic>
                </wp:inline>
              </w:drawing>
            </w:r>
          </w:p>
          <w:p w14:paraId="78D8F473">
            <w:pPr>
              <w:pStyle w:val="2"/>
              <w:keepNext/>
              <w:keepLines w:val="0"/>
              <w:pageBreakBefore w:val="0"/>
              <w:widowControl w:val="0"/>
              <w:kinsoku/>
              <w:wordWrap/>
              <w:overflowPunct w:val="0"/>
              <w:topLinePunct w:val="0"/>
              <w:autoSpaceDE/>
              <w:autoSpaceDN/>
              <w:bidi w:val="0"/>
              <w:adjustRightInd/>
              <w:snapToGrid w:val="0"/>
              <w:spacing w:before="0" w:after="0" w:line="360" w:lineRule="auto"/>
              <w:jc w:val="center"/>
              <w:textAlignment w:val="auto"/>
              <w:rPr>
                <w:rFonts w:hint="default"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eastAsia="宋体" w:cs="Times New Roman"/>
                <w:b/>
                <w:bCs/>
                <w:color w:val="000000" w:themeColor="text1"/>
                <w:kern w:val="2"/>
                <w:sz w:val="21"/>
                <w:szCs w:val="21"/>
                <w:lang w:val="en-US" w:eastAsia="zh-CN" w:bidi="ar-SA"/>
                <w14:textFill>
                  <w14:solidFill>
                    <w14:schemeClr w14:val="tx1"/>
                  </w14:solidFill>
                </w14:textFill>
              </w:rPr>
              <w:t>现有项目固体制剂生产工艺流程及产污环节图</w:t>
            </w:r>
          </w:p>
          <w:p w14:paraId="701403D5">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2" w:firstLineChars="200"/>
              <w:jc w:val="both"/>
              <w:textAlignment w:val="auto"/>
              <w:rPr>
                <w:rFonts w:hint="default"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eastAsia="宋体" w:cs="Times New Roman"/>
                <w:b/>
                <w:bCs/>
                <w:color w:val="000000" w:themeColor="text1"/>
                <w:kern w:val="2"/>
                <w:sz w:val="24"/>
                <w:szCs w:val="24"/>
                <w:lang w:val="en-US" w:eastAsia="zh-CN" w:bidi="ar-SA"/>
                <w14:textFill>
                  <w14:solidFill>
                    <w14:schemeClr w14:val="tx1"/>
                  </w14:solidFill>
                </w14:textFill>
              </w:rPr>
              <w:t>固体制剂生产工艺描述如下：</w:t>
            </w:r>
          </w:p>
          <w:p w14:paraId="6F3D36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粉碎过筛</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先领取原、辅料，经气锁间脱外包进入称量间称量，再经固体粉碎机、振荡筛进行粉碎、过筛</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64CC3F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湿法制粒</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粉碎过筛后的原、辅料根据产品配方准确称量后与纯化水按比例投入制浆锅制浆，制浆锅为夹层锅，由蒸汽间接供热；由整粒湿法混合制粒机进行制粒。</w:t>
            </w:r>
          </w:p>
          <w:p w14:paraId="40AC47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干燥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制粒后，经沸腾干燥机进行干燥成干颗粒，干燥机热源采用蒸汽间接供热。</w:t>
            </w:r>
          </w:p>
          <w:p w14:paraId="515A51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（4）干法制粒：利用粉碎过筛后的物料本身的结晶水，依靠机械挤压原理，直接对原料粉末进行制粒，无需进行干燥，可直接进入总混。</w:t>
            </w:r>
          </w:p>
          <w:p w14:paraId="08655E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总混</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干燥得到的干颗粒经混合机进行总混，在总混时加入一定量的硬脂酸镁等润滑剂，使得制成的颗粒具有很好的流动性和可压性。</w:t>
            </w:r>
          </w:p>
          <w:p w14:paraId="7E83A2D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6</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片剂生产</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素片颗粒暂存，转运至压片间经高速压片机进行压片，需要包衣的素片，转运至包衣间由高效包衣机包衣，包衣材料中含有乙醇溶剂，高效包衣机热源采用蒸汽间接加热，包衣片去中转站暂存，检验合格的片剂去铝塑包装机进行包装，包装好的半成品经传递窗进入暂存间后送外包装间，再经装盒、装箱、捆扎和喷码后入库待售。</w:t>
            </w:r>
          </w:p>
          <w:p w14:paraId="19FA9C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7</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硬胶囊生产</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药品颗粒暂存后去胶囊充填间由全自动硬胶囊填充机进行胶囊充填，再由胶囊抛光机抛光，检验合格后去铝塑包装机和塑瓶自动包装线进行包装，包装好的半成品经传递窗进入暂存间后去外包装间，再经装盒、装箱、捆扎和喷码后入库待售。</w:t>
            </w:r>
          </w:p>
          <w:p w14:paraId="225059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（8）颗粒剂（悬浮剂）生产：药品颗粒暂存后去颗粒包装间由颗粒包装机进行颗粒装袋，包装好的袋装颗粒半成品经传递窗进入暂存间后去外包装间，再经装盒、装箱、捆扎和喷码后入库待售。</w:t>
            </w:r>
          </w:p>
          <w:p w14:paraId="2DA7929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4039235" cy="4305300"/>
                  <wp:effectExtent l="0" t="0" r="18415" b="0"/>
                  <wp:docPr id="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
                          <pic:cNvPicPr>
                            <a:picLocks noChangeAspect="1"/>
                          </pic:cNvPicPr>
                        </pic:nvPicPr>
                        <pic:blipFill>
                          <a:blip r:embed="rId18"/>
                          <a:srcRect t="4432" b="1719"/>
                          <a:stretch>
                            <a:fillRect/>
                          </a:stretch>
                        </pic:blipFill>
                        <pic:spPr>
                          <a:xfrm>
                            <a:off x="0" y="0"/>
                            <a:ext cx="4039235" cy="4305300"/>
                          </a:xfrm>
                          <a:prstGeom prst="rect">
                            <a:avLst/>
                          </a:prstGeom>
                          <a:noFill/>
                          <a:ln>
                            <a:noFill/>
                          </a:ln>
                        </pic:spPr>
                      </pic:pic>
                    </a:graphicData>
                  </a:graphic>
                </wp:inline>
              </w:drawing>
            </w:r>
          </w:p>
          <w:p w14:paraId="1ED2E4D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b/>
                <w:bCs/>
                <w:color w:val="000000" w:themeColor="text1"/>
                <w:kern w:val="2"/>
                <w:sz w:val="21"/>
                <w:szCs w:val="21"/>
                <w:lang w:val="en-US" w:eastAsia="zh-CN" w:bidi="ar-SA"/>
                <w14:textFill>
                  <w14:solidFill>
                    <w14:schemeClr w14:val="tx1"/>
                  </w14:solidFill>
                </w14:textFill>
              </w:rPr>
              <w:t>现有项目液体制剂生产工艺流程及产污环节图</w:t>
            </w:r>
          </w:p>
          <w:p w14:paraId="5B821367">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hint="eastAsia" w:eastAsia="宋体" w:cs="Times New Roman"/>
                <w:b/>
                <w:bCs/>
                <w:color w:val="000000" w:themeColor="text1"/>
                <w:kern w:val="2"/>
                <w:sz w:val="24"/>
                <w:szCs w:val="24"/>
                <w:lang w:val="en-US" w:eastAsia="zh-CN" w:bidi="ar-SA"/>
                <w14:textFill>
                  <w14:solidFill>
                    <w14:schemeClr w14:val="tx1"/>
                  </w14:solidFill>
                </w14:textFill>
              </w:rPr>
            </w:pPr>
            <w:r>
              <w:rPr>
                <w:rFonts w:hint="eastAsia" w:eastAsia="宋体" w:cs="Times New Roman"/>
                <w:b/>
                <w:bCs/>
                <w:color w:val="000000" w:themeColor="text1"/>
                <w:kern w:val="2"/>
                <w:sz w:val="24"/>
                <w:szCs w:val="24"/>
                <w:lang w:val="en-US" w:eastAsia="zh-CN" w:bidi="ar-SA"/>
                <w14:textFill>
                  <w14:solidFill>
                    <w14:schemeClr w14:val="tx1"/>
                  </w14:solidFill>
                </w14:textFill>
              </w:rPr>
              <w:t>液体制剂生产工艺描述如下：</w:t>
            </w:r>
          </w:p>
          <w:p w14:paraId="02AA62F4">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配液、过滤</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原、辅料经清外包进入称量间称量，根据配方准确称量后与纯化水按比例投入浓配罐，在搅拌状态下升至一定温度进行浓配，配料合格后经粗过滤器过滤，由浓配输送泵输送至稀配罐内。配制合格的料液再泵入稀配罐内，根据产品配方需要，再加入相应的辅料，在搅拌状态下升温，将料液调整到要求的浓度和pH值，由稀配输送泵经细过滤器过滤后输送至灌封岗位。配液罐热源采用蒸汽间接加热。</w:t>
            </w:r>
          </w:p>
          <w:p w14:paraId="7F61F191">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理瓶：根据产品需要将不同规格的玻璃瓶进行整理。</w:t>
            </w:r>
          </w:p>
          <w:p w14:paraId="4C777BF3">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洗哄瓶：灌装使用的玻璃瓶在洗瓶间经过立式超声波清洗机洗瓶，经远红外灭菌干燥机干燥并灭菌，进入灌封间。</w:t>
            </w:r>
          </w:p>
          <w:p w14:paraId="057B9518">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灌装轧盖：来自配液间的过滤后的合格料液经灌装机按要求灌入玻璃瓶内并进行轧盖封口。</w:t>
            </w:r>
          </w:p>
          <w:p w14:paraId="61D4FD30">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灭菌检漏：灌封好的玻璃瓶经蒸汽灭菌柜灭菌，再经灭菌检漏机检漏。所用蒸汽由厂内统一调配。</w:t>
            </w:r>
          </w:p>
          <w:p w14:paraId="63A52F61">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灯检：经灭菌检漏的玻璃瓶瓶体清洁、干燥存放，然后去灯检机上灯检，剔除不合格产品。</w:t>
            </w:r>
          </w:p>
          <w:p w14:paraId="4E6875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eastAsia="宋体" w:cs="Times New Roman"/>
                <w:b/>
                <w:bCs/>
                <w:color w:val="000000" w:themeColor="text1"/>
                <w:kern w:val="2"/>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包装：灯检合格后的产品经贴签、装盒、装箱，再经捆扎和喷码后入库待售。</w:t>
            </w:r>
          </w:p>
          <w:p w14:paraId="0BC001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2、污染物达标排放</w:t>
            </w:r>
          </w:p>
          <w:p w14:paraId="3B6652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根据原环评及批复内容，分析污染物达标排放情况如下：</w:t>
            </w:r>
          </w:p>
          <w:p w14:paraId="6B00E27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废气</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：主要为</w:t>
            </w:r>
            <w:r>
              <w:rPr>
                <w:rFonts w:hint="eastAsia"/>
                <w:color w:val="000000" w:themeColor="text1"/>
                <w:sz w:val="24"/>
                <w:szCs w:val="24"/>
                <w:lang w:val="en-US" w:eastAsia="zh-CN"/>
                <w14:textFill>
                  <w14:solidFill>
                    <w14:schemeClr w14:val="tx1"/>
                  </w14:solidFill>
                </w14:textFill>
              </w:rPr>
              <w:t>粉碎过筛、制粒、总混、压片、包衣、胶囊填充等固体制剂生产过程产生的粉尘</w:t>
            </w:r>
            <w:r>
              <w:rPr>
                <w:rFonts w:hint="eastAsia" w:cs="Times New Roman"/>
                <w:color w:val="000000" w:themeColor="text1"/>
                <w:sz w:val="24"/>
                <w:szCs w:val="24"/>
                <w:lang w:val="en-US" w:eastAsia="zh-CN"/>
                <w14:textFill>
                  <w14:solidFill>
                    <w14:schemeClr w14:val="tx1"/>
                  </w14:solidFill>
                </w14:textFill>
              </w:rPr>
              <w:t>，以及包衣过程产生的VOCs。</w:t>
            </w:r>
            <w:r>
              <w:rPr>
                <w:rFonts w:hint="eastAsia"/>
                <w:color w:val="000000" w:themeColor="text1"/>
                <w:sz w:val="24"/>
                <w:szCs w:val="24"/>
                <w:lang w:val="en-US" w:eastAsia="zh-CN"/>
                <w14:textFill>
                  <w14:solidFill>
                    <w14:schemeClr w14:val="tx1"/>
                  </w14:solidFill>
                </w14:textFill>
              </w:rPr>
              <w:t>固体制剂生产过程产生的粉尘采取袋式除尘器处理后外排；</w:t>
            </w:r>
            <w:r>
              <w:rPr>
                <w:rFonts w:hint="eastAsia" w:cs="Times New Roman"/>
                <w:color w:val="000000" w:themeColor="text1"/>
                <w:sz w:val="24"/>
                <w:szCs w:val="24"/>
                <w:lang w:val="en-US" w:eastAsia="zh-CN"/>
                <w14:textFill>
                  <w14:solidFill>
                    <w14:schemeClr w14:val="tx1"/>
                  </w14:solidFill>
                </w14:textFill>
              </w:rPr>
              <w:t>包衣过程产生的VOCs采取活性炭吸附+RCO催化燃烧处理后外排；均能够满足《制药工业大气污染物排放标准》（GB37823-2019）表2大气污染物特别排放限值的50%要求：颗粒物10 mg/m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，VOCs 50 mg/m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，达标排放。</w:t>
            </w:r>
          </w:p>
          <w:p w14:paraId="570479C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废水：</w:t>
            </w:r>
            <w:r>
              <w:rPr>
                <w:rFonts w:hint="eastAsia" w:cs="Times New Roman"/>
                <w:color w:val="000000" w:themeColor="text1"/>
                <w:sz w:val="24"/>
                <w:szCs w:val="24"/>
                <w:lang w:val="en-US" w:eastAsia="zh-CN"/>
                <w14:textFill>
                  <w14:solidFill>
                    <w14:schemeClr w14:val="tx1"/>
                  </w14:solidFill>
                </w14:textFill>
              </w:rPr>
              <w:t>主要包括设备洗瓶废水、设备清洗废水、车间地面冲洗废水、洗衣房废水、纯化水系统废水、制冷站废水、实验室废水、生活污水等，</w:t>
            </w:r>
            <w:r>
              <w:rPr>
                <w:rFonts w:hint="eastAsia"/>
                <w:color w:val="000000" w:themeColor="text1"/>
                <w:sz w:val="24"/>
                <w:szCs w:val="24"/>
                <w:lang w:val="en-US" w:eastAsia="zh-CN"/>
                <w14:textFill>
                  <w14:solidFill>
                    <w14:schemeClr w14:val="tx1"/>
                  </w14:solidFill>
                </w14:textFill>
              </w:rPr>
              <w:t>项目废水进入厂内废水处理站处理，处理规模为100m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/d，处理工艺：气浮+混凝沉淀+CASS生化处理，项目废水处理后水质满足《污水综合排放标准》（GB8978-1996）三级标准及集聚区污水处理厂接管标准后经过集聚区污水管网排入集聚区污水处理厂。</w:t>
            </w:r>
          </w:p>
          <w:p w14:paraId="5616D80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eastAsia="宋体" w:cs="Times New Roman"/>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噪声：</w:t>
            </w:r>
            <w:r>
              <w:rPr>
                <w:rFonts w:hint="eastAsia" w:cs="Times New Roman"/>
                <w:color w:val="000000" w:themeColor="text1"/>
                <w:sz w:val="24"/>
                <w:szCs w:val="24"/>
                <w:lang w:val="en-US" w:eastAsia="zh-CN"/>
                <w14:textFill>
                  <w14:solidFill>
                    <w14:schemeClr w14:val="tx1"/>
                  </w14:solidFill>
                </w14:textFill>
              </w:rPr>
              <w:t>主要来自制冷机、空调机组、风机以及各类泵等设备运行时产生的噪声，源强增加在70~100dB(A)之间。通过设置减振基础、隔声、消声等措施，可将噪声平均削减15dB（A）以上。预计厂界预测值</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能够</w:t>
            </w:r>
            <w:r>
              <w:rPr>
                <w:rFonts w:hint="default"/>
                <w:color w:val="000000" w:themeColor="text1"/>
                <w:sz w:val="24"/>
                <w:szCs w:val="24"/>
                <w:lang w:val="en-US" w:eastAsia="zh-CN"/>
                <w14:textFill>
                  <w14:solidFill>
                    <w14:schemeClr w14:val="tx1"/>
                  </w14:solidFill>
                </w14:textFill>
              </w:rPr>
              <w:t>满足</w:t>
            </w:r>
            <w:r>
              <w:rPr>
                <w:rFonts w:hint="default"/>
                <w:color w:val="000000" w:themeColor="text1"/>
                <w:sz w:val="24"/>
                <w14:textFill>
                  <w14:solidFill>
                    <w14:schemeClr w14:val="tx1"/>
                  </w14:solidFill>
                </w14:textFill>
              </w:rPr>
              <w:t>《工业企业厂界环境噪声排放标准》（GB12348-2008）</w:t>
            </w:r>
            <w:r>
              <w:rPr>
                <w:rFonts w:hint="eastAsia"/>
                <w:color w:val="000000" w:themeColor="text1"/>
                <w:sz w:val="24"/>
                <w:lang w:val="en-US" w:eastAsia="zh-CN"/>
                <w14:textFill>
                  <w14:solidFill>
                    <w14:schemeClr w14:val="tx1"/>
                  </w14:solidFill>
                </w14:textFill>
              </w:rPr>
              <w:t>3</w:t>
            </w:r>
            <w:r>
              <w:rPr>
                <w:rFonts w:hint="default"/>
                <w:color w:val="000000" w:themeColor="text1"/>
                <w:sz w:val="24"/>
                <w14:textFill>
                  <w14:solidFill>
                    <w14:schemeClr w14:val="tx1"/>
                  </w14:solidFill>
                </w14:textFill>
              </w:rPr>
              <w:t>类</w:t>
            </w:r>
            <w:r>
              <w:rPr>
                <w:rFonts w:hint="default"/>
                <w:color w:val="000000" w:themeColor="text1"/>
                <w:sz w:val="24"/>
                <w:lang w:val="en-US" w:eastAsia="zh-CN"/>
                <w14:textFill>
                  <w14:solidFill>
                    <w14:schemeClr w14:val="tx1"/>
                  </w14:solidFill>
                </w14:textFill>
              </w:rPr>
              <w:t>标准要求：昼间6</w:t>
            </w:r>
            <w:r>
              <w:rPr>
                <w:rFonts w:hint="eastAsia"/>
                <w:color w:val="000000" w:themeColor="text1"/>
                <w:sz w:val="24"/>
                <w:lang w:val="en-US" w:eastAsia="zh-CN"/>
                <w14:textFill>
                  <w14:solidFill>
                    <w14:schemeClr w14:val="tx1"/>
                  </w14:solidFill>
                </w14:textFill>
              </w:rPr>
              <w:t>5</w:t>
            </w:r>
            <w:r>
              <w:rPr>
                <w:rFonts w:hint="default"/>
                <w:color w:val="000000" w:themeColor="text1"/>
                <w:sz w:val="24"/>
                <w:szCs w:val="24"/>
                <w14:textFill>
                  <w14:solidFill>
                    <w14:schemeClr w14:val="tx1"/>
                  </w14:solidFill>
                </w14:textFill>
              </w:rPr>
              <w:t>dB(A)</w:t>
            </w:r>
            <w:r>
              <w:rPr>
                <w:rFonts w:hint="default"/>
                <w:color w:val="000000" w:themeColor="text1"/>
                <w:sz w:val="24"/>
                <w:szCs w:val="24"/>
                <w:lang w:eastAsia="zh-CN"/>
                <w14:textFill>
                  <w14:solidFill>
                    <w14:schemeClr w14:val="tx1"/>
                  </w14:solidFill>
                </w14:textFill>
              </w:rPr>
              <w:t>，</w:t>
            </w:r>
            <w:r>
              <w:rPr>
                <w:rFonts w:hint="default"/>
                <w:color w:val="000000" w:themeColor="text1"/>
                <w:sz w:val="24"/>
                <w:lang w:val="en-US" w:eastAsia="zh-CN"/>
                <w14:textFill>
                  <w14:solidFill>
                    <w14:schemeClr w14:val="tx1"/>
                  </w14:solidFill>
                </w14:textFill>
              </w:rPr>
              <w:t>夜间5</w:t>
            </w:r>
            <w:r>
              <w:rPr>
                <w:rFonts w:hint="eastAsia"/>
                <w:color w:val="000000" w:themeColor="text1"/>
                <w:sz w:val="24"/>
                <w:lang w:val="en-US" w:eastAsia="zh-CN"/>
                <w14:textFill>
                  <w14:solidFill>
                    <w14:schemeClr w14:val="tx1"/>
                  </w14:solidFill>
                </w14:textFill>
              </w:rPr>
              <w:t>5</w:t>
            </w:r>
            <w:r>
              <w:rPr>
                <w:rFonts w:hint="default"/>
                <w:color w:val="000000" w:themeColor="text1"/>
                <w:sz w:val="24"/>
                <w:szCs w:val="24"/>
                <w14:textFill>
                  <w14:solidFill>
                    <w14:schemeClr w14:val="tx1"/>
                  </w14:solidFill>
                </w14:textFill>
              </w:rPr>
              <w:t>dB(A)</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达标排放。</w:t>
            </w:r>
          </w:p>
          <w:p w14:paraId="362222F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固废：</w:t>
            </w:r>
            <w:r>
              <w:rPr>
                <w:rFonts w:hint="eastAsia" w:cs="Times New Roman"/>
                <w:color w:val="000000" w:themeColor="text1"/>
                <w:sz w:val="24"/>
                <w:szCs w:val="24"/>
                <w:lang w:val="en-US" w:eastAsia="zh-CN"/>
                <w14:textFill>
                  <w14:solidFill>
                    <w14:schemeClr w14:val="tx1"/>
                  </w14:solidFill>
                </w14:textFill>
              </w:rPr>
              <w:t>主要包括原辅料使用产生的废弃外包装物、纯水系统产生的废活性炭、废树脂、污水处理产生的污泥等一般固废，原辅料使用产生的废弃内包装物、药液过滤产生的废过滤膜、不合格药品、废药剂等危险废物。企业设置</w:t>
            </w:r>
            <w:r>
              <w:rPr>
                <w:rFonts w:hint="eastAsia"/>
                <w:color w:val="000000" w:themeColor="text1"/>
                <w:sz w:val="24"/>
                <w:szCs w:val="24"/>
                <w:lang w:val="en-US" w:eastAsia="zh-CN"/>
                <w14:textFill>
                  <w14:solidFill>
                    <w14:schemeClr w14:val="tx1"/>
                  </w14:solidFill>
                </w14:textFill>
              </w:rPr>
              <w:t>500</w:t>
            </w:r>
            <w:r>
              <w:rPr>
                <w:rFonts w:hint="default"/>
                <w:color w:val="000000" w:themeColor="text1"/>
                <w:sz w:val="24"/>
                <w:szCs w:val="24"/>
                <w14:textFill>
                  <w14:solidFill>
                    <w14:schemeClr w14:val="tx1"/>
                  </w14:solidFill>
                </w14:textFill>
              </w:rPr>
              <w:t>m</w:t>
            </w:r>
            <w:r>
              <w:rPr>
                <w:rFonts w:hint="default"/>
                <w:color w:val="000000" w:themeColor="text1"/>
                <w:sz w:val="24"/>
                <w:szCs w:val="24"/>
                <w:vertAlign w:val="superscript"/>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一般固废间，40m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危废间，对固废妥善处置。</w:t>
            </w:r>
          </w:p>
          <w:p w14:paraId="74A59D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3、排污总量</w:t>
            </w:r>
          </w:p>
          <w:p w14:paraId="553C06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根据环评及批复要求，企业排污总量核算如下：</w:t>
            </w:r>
          </w:p>
          <w:p w14:paraId="58C027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废气：</w:t>
            </w:r>
            <w:r>
              <w:rPr>
                <w:rFonts w:hint="eastAsia" w:hAnsi="宋体" w:eastAsia="宋体"/>
                <w:b w:val="0"/>
                <w:bCs w:val="0"/>
                <w:snapToGrid/>
                <w:color w:val="000000" w:themeColor="text1"/>
                <w:sz w:val="24"/>
                <w:szCs w:val="24"/>
                <w:highlight w:val="none"/>
                <w:lang w:val="en-US" w:eastAsia="zh-CN"/>
                <w14:textFill>
                  <w14:solidFill>
                    <w14:schemeClr w14:val="tx1"/>
                  </w14:solidFill>
                </w14:textFill>
              </w:rPr>
              <w:t>颗粒物</w:t>
            </w:r>
            <w:r>
              <w:rPr>
                <w:rFonts w:hint="eastAsia" w:hAnsi="宋体"/>
                <w:b w:val="0"/>
                <w:bCs w:val="0"/>
                <w:snapToGrid/>
                <w:color w:val="000000" w:themeColor="text1"/>
                <w:sz w:val="24"/>
                <w:szCs w:val="24"/>
                <w:highlight w:val="none"/>
                <w:lang w:val="en-US" w:eastAsia="zh-CN"/>
                <w14:textFill>
                  <w14:solidFill>
                    <w14:schemeClr w14:val="tx1"/>
                  </w14:solidFill>
                </w14:textFill>
              </w:rPr>
              <w:t>0.549</w:t>
            </w:r>
            <w:r>
              <w:rPr>
                <w:rFonts w:hint="eastAsia" w:hAnsi="宋体" w:eastAsia="宋体"/>
                <w:b w:val="0"/>
                <w:bCs w:val="0"/>
                <w:snapToGrid/>
                <w:color w:val="000000" w:themeColor="text1"/>
                <w:sz w:val="24"/>
                <w:szCs w:val="24"/>
                <w:highlight w:val="none"/>
                <w:lang w:val="en-US" w:eastAsia="zh-CN"/>
                <w14:textFill>
                  <w14:solidFill>
                    <w14:schemeClr w14:val="tx1"/>
                  </w14:solidFill>
                </w14:textFill>
              </w:rPr>
              <w:t>t/a，</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二氧化硫</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t/a，氮氧化物</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，挥发性有机物 0.676t/a；</w:t>
            </w:r>
          </w:p>
          <w:p w14:paraId="2B2E3C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废水：</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化学需氧量</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0.84</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t/a、氨氮0.0</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84</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a、总磷0.0017t/a</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p>
          <w:p w14:paraId="3A262AE6">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default"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eastAsia="宋体" w:cs="Times New Roman"/>
                <w:b w:val="0"/>
                <w:bCs w:val="0"/>
                <w:color w:val="000000" w:themeColor="text1"/>
                <w:kern w:val="2"/>
                <w:sz w:val="24"/>
                <w:szCs w:val="24"/>
                <w:lang w:val="en-US" w:eastAsia="zh-CN" w:bidi="ar-SA"/>
                <w14:textFill>
                  <w14:solidFill>
                    <w14:schemeClr w14:val="tx1"/>
                  </w14:solidFill>
                </w14:textFill>
              </w:rPr>
              <w:t>综上所述，现有工程不存在环境问题。</w:t>
            </w:r>
          </w:p>
          <w:p w14:paraId="3A610466">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eastAsia="宋体" w:cs="Times New Roman"/>
                <w:b w:val="0"/>
                <w:bCs w:val="0"/>
                <w:color w:val="000000" w:themeColor="text1"/>
                <w:kern w:val="2"/>
                <w:sz w:val="24"/>
                <w:szCs w:val="24"/>
                <w:lang w:val="en-US" w:eastAsia="zh-CN" w:bidi="ar-SA"/>
                <w14:textFill>
                  <w14:solidFill>
                    <w14:schemeClr w14:val="tx1"/>
                  </w14:solidFill>
                </w14:textFill>
              </w:rPr>
            </w:pPr>
          </w:p>
          <w:p w14:paraId="711DE2BD">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eastAsia="宋体" w:cs="Times New Roman"/>
                <w:b w:val="0"/>
                <w:bCs w:val="0"/>
                <w:color w:val="000000" w:themeColor="text1"/>
                <w:kern w:val="2"/>
                <w:sz w:val="24"/>
                <w:szCs w:val="24"/>
                <w:lang w:val="en-US" w:eastAsia="zh-CN" w:bidi="ar-SA"/>
                <w14:textFill>
                  <w14:solidFill>
                    <w14:schemeClr w14:val="tx1"/>
                  </w14:solidFill>
                </w14:textFill>
              </w:rPr>
            </w:pPr>
          </w:p>
          <w:p w14:paraId="067F89DB">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eastAsia="宋体" w:cs="Times New Roman"/>
                <w:b w:val="0"/>
                <w:bCs w:val="0"/>
                <w:color w:val="000000" w:themeColor="text1"/>
                <w:kern w:val="2"/>
                <w:sz w:val="24"/>
                <w:szCs w:val="24"/>
                <w:lang w:val="en-US" w:eastAsia="zh-CN" w:bidi="ar-SA"/>
                <w14:textFill>
                  <w14:solidFill>
                    <w14:schemeClr w14:val="tx1"/>
                  </w14:solidFill>
                </w14:textFill>
              </w:rPr>
            </w:pPr>
          </w:p>
          <w:p w14:paraId="16892509">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eastAsia="宋体" w:cs="Times New Roman"/>
                <w:b w:val="0"/>
                <w:bCs w:val="0"/>
                <w:color w:val="000000" w:themeColor="text1"/>
                <w:kern w:val="2"/>
                <w:sz w:val="24"/>
                <w:szCs w:val="24"/>
                <w:lang w:val="en-US" w:eastAsia="zh-CN" w:bidi="ar-SA"/>
                <w14:textFill>
                  <w14:solidFill>
                    <w14:schemeClr w14:val="tx1"/>
                  </w14:solidFill>
                </w14:textFill>
              </w:rPr>
            </w:pPr>
          </w:p>
          <w:p w14:paraId="69BADF2D">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eastAsia="宋体" w:cs="Times New Roman"/>
                <w:b w:val="0"/>
                <w:bCs w:val="0"/>
                <w:color w:val="000000" w:themeColor="text1"/>
                <w:kern w:val="2"/>
                <w:sz w:val="24"/>
                <w:szCs w:val="24"/>
                <w:lang w:val="en-US" w:eastAsia="zh-CN" w:bidi="ar-SA"/>
                <w14:textFill>
                  <w14:solidFill>
                    <w14:schemeClr w14:val="tx1"/>
                  </w14:solidFill>
                </w14:textFill>
              </w:rPr>
            </w:pPr>
          </w:p>
          <w:p w14:paraId="19355CE0">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eastAsia="宋体" w:cs="Times New Roman"/>
                <w:b w:val="0"/>
                <w:bCs w:val="0"/>
                <w:color w:val="000000" w:themeColor="text1"/>
                <w:kern w:val="2"/>
                <w:sz w:val="24"/>
                <w:szCs w:val="24"/>
                <w:lang w:val="en-US" w:eastAsia="zh-CN" w:bidi="ar-SA"/>
                <w14:textFill>
                  <w14:solidFill>
                    <w14:schemeClr w14:val="tx1"/>
                  </w14:solidFill>
                </w14:textFill>
              </w:rPr>
            </w:pPr>
          </w:p>
          <w:p w14:paraId="7FDF445D">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eastAsia" w:eastAsia="宋体" w:cs="Times New Roman"/>
                <w:b w:val="0"/>
                <w:bCs w:val="0"/>
                <w:color w:val="000000" w:themeColor="text1"/>
                <w:kern w:val="2"/>
                <w:sz w:val="24"/>
                <w:szCs w:val="24"/>
                <w:lang w:val="en-US" w:eastAsia="zh-CN" w:bidi="ar-SA"/>
                <w14:textFill>
                  <w14:solidFill>
                    <w14:schemeClr w14:val="tx1"/>
                  </w14:solidFill>
                </w14:textFill>
              </w:rPr>
            </w:pPr>
          </w:p>
          <w:p w14:paraId="20F3E34E">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jc w:val="both"/>
              <w:textAlignment w:val="auto"/>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p>
        </w:tc>
      </w:tr>
    </w:tbl>
    <w:p w14:paraId="0BA0A2F0">
      <w:pPr>
        <w:pStyle w:val="22"/>
        <w:jc w:val="center"/>
        <w:outlineLvl w:val="0"/>
        <w:rPr>
          <w:rFonts w:hint="eastAsia" w:ascii="黑体" w:hAnsi="黑体" w:eastAsia="黑体" w:cs="Times New Roman"/>
          <w:snapToGrid w:val="0"/>
          <w:color w:val="000000" w:themeColor="text1"/>
          <w:sz w:val="30"/>
          <w:szCs w:val="30"/>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F1D5FA1">
      <w:pPr>
        <w:pStyle w:val="22"/>
        <w:tabs>
          <w:tab w:val="left" w:pos="630"/>
        </w:tabs>
        <w:jc w:val="center"/>
        <w:outlineLvl w:val="0"/>
        <w:rPr>
          <w:rFonts w:hint="eastAsia" w:ascii="黑体" w:hAnsi="黑体" w:eastAsia="黑体" w:cs="Times New Roman"/>
          <w:snapToGrid w:val="0"/>
          <w:color w:val="000000" w:themeColor="text1"/>
          <w:sz w:val="30"/>
          <w:szCs w:val="30"/>
          <w14:textFill>
            <w14:solidFill>
              <w14:schemeClr w14:val="tx1"/>
            </w14:solidFill>
          </w14:textFill>
        </w:rPr>
      </w:pPr>
      <w:r>
        <w:rPr>
          <w:rFonts w:hint="eastAsia" w:ascii="黑体" w:hAnsi="黑体" w:eastAsia="黑体" w:cs="Times New Roman"/>
          <w:snapToGrid w:val="0"/>
          <w:color w:val="000000" w:themeColor="text1"/>
          <w:sz w:val="30"/>
          <w:szCs w:val="30"/>
          <w14:textFill>
            <w14:solidFill>
              <w14:schemeClr w14:val="tx1"/>
            </w14:solidFill>
          </w14:textFill>
        </w:rPr>
        <w:t>三、区域环境质量现状、环境保护目标及评价标准</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8102"/>
      </w:tblGrid>
      <w:tr w14:paraId="49EFE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962" w:hRule="atLeast"/>
          <w:jc w:val="center"/>
        </w:trPr>
        <w:tc>
          <w:tcPr>
            <w:tcW w:w="762" w:type="dxa"/>
            <w:noWrap w:val="0"/>
            <w:vAlign w:val="center"/>
          </w:tcPr>
          <w:p w14:paraId="06079F28">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区域</w:t>
            </w:r>
          </w:p>
          <w:p w14:paraId="7DE2388C">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环境</w:t>
            </w:r>
          </w:p>
          <w:p w14:paraId="0B953E55">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质量</w:t>
            </w:r>
          </w:p>
          <w:p w14:paraId="60213F74">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现状</w:t>
            </w:r>
          </w:p>
        </w:tc>
        <w:tc>
          <w:tcPr>
            <w:tcW w:w="8096" w:type="dxa"/>
            <w:noWrap w:val="0"/>
            <w:vAlign w:val="center"/>
          </w:tcPr>
          <w:p w14:paraId="55486F29">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textAlignment w:val="auto"/>
              <w:rPr>
                <w:rFonts w:hint="eastAsia" w:ascii="Times New Roman" w:hAnsi="Times New Roman" w:eastAsia="宋体" w:cs="Times New Roman"/>
                <w:b w:val="0"/>
                <w:color w:val="000000" w:themeColor="text1"/>
                <w:spacing w:val="0"/>
                <w:sz w:val="24"/>
                <w:szCs w:val="24"/>
                <w:lang w:val="en-US" w:eastAsia="zh-CN"/>
                <w14:textFill>
                  <w14:solidFill>
                    <w14:schemeClr w14:val="tx1"/>
                  </w14:solidFill>
                </w14:textFill>
              </w:rPr>
            </w:pPr>
            <w:r>
              <w:rPr>
                <w:rFonts w:hint="eastAsia" w:cs="Times New Roman"/>
                <w:b w:val="0"/>
                <w:color w:val="000000" w:themeColor="text1"/>
                <w:spacing w:val="0"/>
                <w:sz w:val="24"/>
                <w:szCs w:val="24"/>
                <w:lang w:val="en-US" w:eastAsia="zh-CN"/>
                <w14:textFill>
                  <w14:solidFill>
                    <w14:schemeClr w14:val="tx1"/>
                  </w14:solidFill>
                </w14:textFill>
              </w:rPr>
              <w:t>一、</w:t>
            </w:r>
            <w:r>
              <w:rPr>
                <w:rFonts w:hint="eastAsia" w:ascii="Times New Roman" w:hAnsi="Times New Roman" w:eastAsia="宋体" w:cs="Times New Roman"/>
                <w:b w:val="0"/>
                <w:color w:val="000000" w:themeColor="text1"/>
                <w:spacing w:val="0"/>
                <w:sz w:val="24"/>
                <w:szCs w:val="24"/>
                <w:lang w:val="en-US" w:eastAsia="zh-CN"/>
                <w14:textFill>
                  <w14:solidFill>
                    <w14:schemeClr w14:val="tx1"/>
                  </w14:solidFill>
                </w14:textFill>
              </w:rPr>
              <w:t>大</w:t>
            </w:r>
            <w:r>
              <w:rPr>
                <w:rFonts w:hint="default" w:ascii="Times New Roman" w:hAnsi="Times New Roman" w:eastAsia="宋体" w:cs="Times New Roman"/>
                <w:b w:val="0"/>
                <w:color w:val="000000" w:themeColor="text1"/>
                <w:spacing w:val="0"/>
                <w:sz w:val="24"/>
                <w:szCs w:val="24"/>
                <w14:textFill>
                  <w14:solidFill>
                    <w14:schemeClr w14:val="tx1"/>
                  </w14:solidFill>
                </w14:textFill>
              </w:rPr>
              <w:t>气</w:t>
            </w:r>
            <w:r>
              <w:rPr>
                <w:rFonts w:hint="eastAsia" w:ascii="Times New Roman" w:hAnsi="Times New Roman" w:eastAsia="宋体" w:cs="Times New Roman"/>
                <w:b w:val="0"/>
                <w:color w:val="000000" w:themeColor="text1"/>
                <w:spacing w:val="0"/>
                <w:sz w:val="24"/>
                <w:szCs w:val="24"/>
                <w:lang w:val="en-US" w:eastAsia="zh-CN"/>
                <w14:textFill>
                  <w14:solidFill>
                    <w14:schemeClr w14:val="tx1"/>
                  </w14:solidFill>
                </w14:textFill>
              </w:rPr>
              <w:t>环境</w:t>
            </w:r>
          </w:p>
          <w:p w14:paraId="56809B0A">
            <w:pPr>
              <w:pStyle w:val="53"/>
              <w:keepNext w:val="0"/>
              <w:keepLines w:val="0"/>
              <w:pageBreakBefore w:val="0"/>
              <w:widowControl w:val="0"/>
              <w:kinsoku/>
              <w:wordWrap/>
              <w:overflowPunct/>
              <w:topLinePunct w:val="0"/>
              <w:autoSpaceDE/>
              <w:autoSpaceDN/>
              <w:bidi w:val="0"/>
              <w:adjustRightInd w:val="0"/>
              <w:snapToGrid w:val="0"/>
              <w:spacing w:line="360" w:lineRule="auto"/>
              <w:ind w:firstLine="504" w:firstLineChars="200"/>
              <w:jc w:val="both"/>
              <w:textAlignment w:val="auto"/>
              <w:rPr>
                <w:rFonts w:hint="default" w:ascii="Times New Roman" w:hAnsi="Times New Roman" w:eastAsia="宋体" w:cs="Times New Roman"/>
                <w:color w:val="000000" w:themeColor="text1"/>
                <w:kern w:val="0"/>
                <w:sz w:val="24"/>
                <w:szCs w:val="24"/>
                <w:highlight w:val="none"/>
                <w:u w:val="none"/>
                <w14:textFill>
                  <w14:solidFill>
                    <w14:schemeClr w14:val="tx1"/>
                  </w14:solidFill>
                </w14:textFill>
              </w:rPr>
            </w:pPr>
            <w:r>
              <w:rPr>
                <w:rFonts w:hint="eastAsia" w:cs="Times New Roman"/>
                <w:color w:val="000000" w:themeColor="text1"/>
                <w:kern w:val="0"/>
                <w:sz w:val="24"/>
                <w:szCs w:val="24"/>
                <w:highlight w:val="none"/>
                <w:u w:val="none"/>
                <w:lang w:val="en-US" w:eastAsia="zh-CN"/>
                <w14:textFill>
                  <w14:solidFill>
                    <w14:schemeClr w14:val="tx1"/>
                  </w14:solidFill>
                </w14:textFill>
              </w:rPr>
              <w:t>本项目位于安阳市汤阴县</w:t>
            </w:r>
            <w:r>
              <w:rPr>
                <w:rFonts w:hint="default" w:ascii="Times New Roman" w:hAnsi="Times New Roman" w:eastAsia="宋体" w:cs="Times New Roman"/>
                <w:color w:val="000000" w:themeColor="text1"/>
                <w:kern w:val="0"/>
                <w:sz w:val="24"/>
                <w:szCs w:val="24"/>
                <w:highlight w:val="none"/>
                <w:u w:val="none"/>
                <w14:textFill>
                  <w14:solidFill>
                    <w14:schemeClr w14:val="tx1"/>
                  </w14:solidFill>
                </w14:textFill>
              </w:rPr>
              <w:t>，项目所在区域为二类区，环境空气质量执行《环境空气质量标准》（GB3095-20</w:t>
            </w:r>
            <w:r>
              <w:rPr>
                <w:rFonts w:hint="eastAsia" w:cs="Times New Roman"/>
                <w:color w:val="000000" w:themeColor="text1"/>
                <w:kern w:val="0"/>
                <w:sz w:val="24"/>
                <w:szCs w:val="24"/>
                <w:highlight w:val="none"/>
                <w:u w:val="none"/>
                <w:lang w:val="en-US" w:eastAsia="zh-CN"/>
                <w14:textFill>
                  <w14:solidFill>
                    <w14:schemeClr w14:val="tx1"/>
                  </w14:solidFill>
                </w14:textFill>
              </w:rPr>
              <w:t>26</w:t>
            </w:r>
            <w:r>
              <w:rPr>
                <w:rFonts w:hint="default" w:ascii="Times New Roman" w:hAnsi="Times New Roman" w:eastAsia="宋体" w:cs="Times New Roman"/>
                <w:color w:val="000000" w:themeColor="text1"/>
                <w:kern w:val="0"/>
                <w:sz w:val="24"/>
                <w:szCs w:val="24"/>
                <w:highlight w:val="none"/>
                <w:u w:val="none"/>
                <w14:textFill>
                  <w14:solidFill>
                    <w14:schemeClr w14:val="tx1"/>
                  </w14:solidFill>
                </w14:textFill>
              </w:rPr>
              <w:t>）二级标准要求。</w:t>
            </w:r>
          </w:p>
          <w:p w14:paraId="6080AF63">
            <w:pPr>
              <w:pStyle w:val="53"/>
              <w:keepNext w:val="0"/>
              <w:keepLines w:val="0"/>
              <w:pageBreakBefore w:val="0"/>
              <w:widowControl w:val="0"/>
              <w:kinsoku/>
              <w:wordWrap/>
              <w:overflowPunct/>
              <w:topLinePunct w:val="0"/>
              <w:autoSpaceDE/>
              <w:autoSpaceDN/>
              <w:bidi w:val="0"/>
              <w:adjustRightInd w:val="0"/>
              <w:snapToGrid w:val="0"/>
              <w:spacing w:line="360" w:lineRule="auto"/>
              <w:ind w:firstLine="504" w:firstLineChars="200"/>
              <w:jc w:val="both"/>
              <w:textAlignment w:val="auto"/>
              <w:rPr>
                <w:rFonts w:hint="default" w:ascii="Times New Roman" w:hAnsi="Times New Roman" w:eastAsia="宋体" w:cs="Times New Roman"/>
                <w:color w:val="000000" w:themeColor="text1"/>
                <w:sz w:val="24"/>
                <w:szCs w:val="24"/>
                <w:u w:val="none"/>
                <w14:textFill>
                  <w14:solidFill>
                    <w14:schemeClr w14:val="tx1"/>
                  </w14:solidFill>
                </w14:textFill>
              </w:rPr>
            </w:pPr>
            <w:r>
              <w:rPr>
                <w:rFonts w:hint="eastAsia" w:cs="Times New Roman"/>
                <w:color w:val="000000" w:themeColor="text1"/>
                <w:sz w:val="24"/>
                <w:szCs w:val="24"/>
                <w:u w:val="none"/>
                <w:lang w:val="en-US" w:eastAsia="zh-CN"/>
                <w14:textFill>
                  <w14:solidFill>
                    <w14:schemeClr w14:val="tx1"/>
                  </w14:solidFill>
                </w14:textFill>
              </w:rPr>
              <w:t>本次评价引用汤阴县环境空气质量监测点2024年公开数据进行评价，具体</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如下：</w:t>
            </w:r>
          </w:p>
          <w:p w14:paraId="4A75A5A3">
            <w:pPr>
              <w:keepNext w:val="0"/>
              <w:keepLines w:val="0"/>
              <w:pageBreakBefore w:val="0"/>
              <w:widowControl/>
              <w:numPr>
                <w:ilvl w:val="0"/>
                <w:numId w:val="0"/>
              </w:numPr>
              <w:kinsoku/>
              <w:wordWrap/>
              <w:overflowPunct/>
              <w:topLinePunct w:val="0"/>
              <w:autoSpaceDE/>
              <w:autoSpaceDN/>
              <w:bidi w:val="0"/>
              <w:adjustRightInd w:val="0"/>
              <w:snapToGrid/>
              <w:spacing w:beforeLines="0" w:line="240" w:lineRule="auto"/>
              <w:ind w:leftChars="0"/>
              <w:jc w:val="center"/>
              <w:textAlignment w:val="auto"/>
              <w:rPr>
                <w:rFonts w:hint="default" w:ascii="Times New Roman" w:hAnsi="Times New Roman" w:eastAsia="宋体" w:cs="Times New Roman"/>
                <w:b w:val="0"/>
                <w:bCs w:val="0"/>
                <w:color w:val="000000" w:themeColor="text1"/>
                <w:sz w:val="24"/>
                <w:szCs w:val="24"/>
                <w:lang w:val="en-US"/>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表</w:t>
            </w:r>
            <w:r>
              <w:rPr>
                <w:rFonts w:hint="eastAsia" w:cs="Times New Roman"/>
                <w:b w:val="0"/>
                <w:bCs w:val="0"/>
                <w:color w:val="000000" w:themeColor="text1"/>
                <w:sz w:val="24"/>
                <w:szCs w:val="24"/>
                <w:lang w:val="en-US" w:eastAsia="zh-CN"/>
                <w14:textFill>
                  <w14:solidFill>
                    <w14:schemeClr w14:val="tx1"/>
                  </w14:solidFill>
                </w14:textFill>
              </w:rPr>
              <w:t>23</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14:textFill>
                  <w14:solidFill>
                    <w14:schemeClr w14:val="tx1"/>
                  </w14:solidFill>
                </w14:textFill>
              </w:rPr>
              <w:t> </w:t>
            </w:r>
            <w:r>
              <w:rPr>
                <w:rFonts w:hint="eastAsia" w:cs="Times New Roman"/>
                <w:b w:val="0"/>
                <w:bCs w:val="0"/>
                <w:color w:val="000000" w:themeColor="text1"/>
                <w:sz w:val="24"/>
                <w:szCs w:val="24"/>
                <w:lang w:val="en-US" w:eastAsia="zh-CN"/>
                <w14:textFill>
                  <w14:solidFill>
                    <w14:schemeClr w14:val="tx1"/>
                  </w14:solidFill>
                </w14:textFill>
              </w:rPr>
              <w:t>汤阴县环境空气质量监测点统计结果</w:t>
            </w:r>
          </w:p>
          <w:tbl>
            <w:tblPr>
              <w:tblStyle w:val="26"/>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782"/>
              <w:gridCol w:w="1489"/>
              <w:gridCol w:w="1136"/>
              <w:gridCol w:w="1156"/>
              <w:gridCol w:w="895"/>
              <w:gridCol w:w="1342"/>
            </w:tblGrid>
            <w:tr w14:paraId="436C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noWrap w:val="0"/>
                  <w:vAlign w:val="center"/>
                </w:tcPr>
                <w:p w14:paraId="208326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eastAsia" w:cs="Times New Roman"/>
                      <w:color w:val="000000" w:themeColor="text1"/>
                      <w:kern w:val="0"/>
                      <w:sz w:val="21"/>
                      <w:szCs w:val="21"/>
                      <w:highlight w:val="none"/>
                      <w:u w:val="none"/>
                      <w:lang w:val="en-US" w:eastAsia="zh-CN"/>
                      <w14:textFill>
                        <w14:solidFill>
                          <w14:schemeClr w14:val="tx1"/>
                        </w14:solidFill>
                      </w14:textFill>
                    </w:rPr>
                    <w:t>区域</w:t>
                  </w:r>
                  <w:r>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t>名称</w:t>
                  </w:r>
                </w:p>
              </w:tc>
              <w:tc>
                <w:tcPr>
                  <w:tcW w:w="498" w:type="pct"/>
                  <w:noWrap w:val="0"/>
                  <w:vAlign w:val="center"/>
                </w:tcPr>
                <w:p w14:paraId="3E2EB1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t>评价</w:t>
                  </w:r>
                </w:p>
                <w:p w14:paraId="7C7276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因子</w:t>
                  </w:r>
                </w:p>
              </w:tc>
              <w:tc>
                <w:tcPr>
                  <w:tcW w:w="947" w:type="pct"/>
                  <w:noWrap w:val="0"/>
                  <w:vAlign w:val="center"/>
                </w:tcPr>
                <w:p w14:paraId="298023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t>年评价指标</w:t>
                  </w:r>
                </w:p>
              </w:tc>
              <w:tc>
                <w:tcPr>
                  <w:tcW w:w="714" w:type="pct"/>
                  <w:noWrap w:val="0"/>
                  <w:vAlign w:val="center"/>
                </w:tcPr>
                <w:p w14:paraId="6219B4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0"/>
                      <w:sz w:val="21"/>
                      <w:szCs w:val="21"/>
                      <w:highlight w:val="none"/>
                      <w:u w:val="no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现状浓度（ug/m</w:t>
                  </w:r>
                  <w:r>
                    <w:rPr>
                      <w:rFonts w:hint="default" w:ascii="Times New Roman" w:hAnsi="Times New Roman" w:cs="Times New Roman"/>
                      <w:color w:val="000000" w:themeColor="text1"/>
                      <w:kern w:val="0"/>
                      <w:sz w:val="21"/>
                      <w:szCs w:val="21"/>
                      <w:highlight w:val="none"/>
                      <w:u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w:t>
                  </w:r>
                </w:p>
              </w:tc>
              <w:tc>
                <w:tcPr>
                  <w:tcW w:w="736" w:type="pct"/>
                  <w:noWrap w:val="0"/>
                  <w:vAlign w:val="center"/>
                </w:tcPr>
                <w:p w14:paraId="216EAB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标准值（ug/m</w:t>
                  </w:r>
                  <w:r>
                    <w:rPr>
                      <w:rFonts w:hint="default" w:ascii="Times New Roman" w:hAnsi="Times New Roman" w:cs="Times New Roman"/>
                      <w:color w:val="000000" w:themeColor="text1"/>
                      <w:kern w:val="0"/>
                      <w:sz w:val="21"/>
                      <w:szCs w:val="21"/>
                      <w:highlight w:val="none"/>
                      <w:u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w:t>
                  </w:r>
                </w:p>
              </w:tc>
              <w:tc>
                <w:tcPr>
                  <w:tcW w:w="570" w:type="pct"/>
                  <w:noWrap w:val="0"/>
                  <w:vAlign w:val="center"/>
                </w:tcPr>
                <w:p w14:paraId="7CBA51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t>占标率</w:t>
                  </w:r>
                </w:p>
                <w:p w14:paraId="260655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w:t>
                  </w:r>
                </w:p>
              </w:tc>
              <w:tc>
                <w:tcPr>
                  <w:tcW w:w="854" w:type="pct"/>
                  <w:noWrap w:val="0"/>
                  <w:vAlign w:val="center"/>
                </w:tcPr>
                <w:p w14:paraId="4EEECF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t>达标情况</w:t>
                  </w:r>
                </w:p>
              </w:tc>
            </w:tr>
            <w:tr w14:paraId="14BB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vMerge w:val="restart"/>
                  <w:noWrap w:val="0"/>
                  <w:vAlign w:val="center"/>
                </w:tcPr>
                <w:p w14:paraId="17EBEE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t>汤阴</w:t>
                  </w:r>
                  <w:r>
                    <w:rPr>
                      <w:rFonts w:hint="eastAsia" w:cs="Times New Roman"/>
                      <w:color w:val="000000" w:themeColor="text1"/>
                      <w:kern w:val="0"/>
                      <w:sz w:val="21"/>
                      <w:szCs w:val="21"/>
                      <w:highlight w:val="none"/>
                      <w:u w:val="none"/>
                      <w:lang w:val="en-US" w:eastAsia="zh-CN"/>
                      <w14:textFill>
                        <w14:solidFill>
                          <w14:schemeClr w14:val="tx1"/>
                        </w14:solidFill>
                      </w14:textFill>
                    </w:rPr>
                    <w:t>一中</w:t>
                  </w:r>
                </w:p>
              </w:tc>
              <w:tc>
                <w:tcPr>
                  <w:tcW w:w="498" w:type="pct"/>
                  <w:noWrap w:val="0"/>
                  <w:vAlign w:val="center"/>
                </w:tcPr>
                <w:p w14:paraId="5FA65D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SO</w:t>
                  </w:r>
                  <w:r>
                    <w:rPr>
                      <w:rFonts w:hint="default" w:ascii="Times New Roman" w:hAnsi="Times New Roman" w:cs="Times New Roman"/>
                      <w:color w:val="000000" w:themeColor="text1"/>
                      <w:kern w:val="0"/>
                      <w:sz w:val="21"/>
                      <w:szCs w:val="21"/>
                      <w:highlight w:val="none"/>
                      <w:u w:val="none"/>
                      <w:vertAlign w:val="subscript"/>
                      <w14:textFill>
                        <w14:solidFill>
                          <w14:schemeClr w14:val="tx1"/>
                        </w14:solidFill>
                      </w14:textFill>
                    </w:rPr>
                    <w:t>2</w:t>
                  </w:r>
                </w:p>
              </w:tc>
              <w:tc>
                <w:tcPr>
                  <w:tcW w:w="947" w:type="pct"/>
                  <w:noWrap w:val="0"/>
                  <w:vAlign w:val="center"/>
                </w:tcPr>
                <w:p w14:paraId="5AC569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年平均</w:t>
                  </w:r>
                </w:p>
              </w:tc>
              <w:tc>
                <w:tcPr>
                  <w:tcW w:w="1136" w:type="dxa"/>
                  <w:noWrap w:val="0"/>
                  <w:vAlign w:val="center"/>
                </w:tcPr>
                <w:p w14:paraId="3245D46F">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10</w:t>
                  </w:r>
                </w:p>
              </w:tc>
              <w:tc>
                <w:tcPr>
                  <w:tcW w:w="736" w:type="pct"/>
                  <w:noWrap w:val="0"/>
                  <w:vAlign w:val="center"/>
                </w:tcPr>
                <w:p w14:paraId="2FF037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60</w:t>
                  </w:r>
                </w:p>
              </w:tc>
              <w:tc>
                <w:tcPr>
                  <w:tcW w:w="907" w:type="dxa"/>
                  <w:noWrap w:val="0"/>
                  <w:vAlign w:val="center"/>
                </w:tcPr>
                <w:p w14:paraId="76C348DE">
                  <w:pPr>
                    <w:spacing w:line="0" w:lineRule="atLeast"/>
                    <w:jc w:val="cente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color w:val="000000" w:themeColor="text1"/>
                      <w:szCs w:val="21"/>
                      <w:u w:val="none"/>
                      <w14:textFill>
                        <w14:solidFill>
                          <w14:schemeClr w14:val="tx1"/>
                        </w14:solidFill>
                      </w14:textFill>
                    </w:rPr>
                    <w:t>16.</w:t>
                  </w:r>
                  <w:r>
                    <w:rPr>
                      <w:rFonts w:hint="eastAsia"/>
                      <w:color w:val="000000" w:themeColor="text1"/>
                      <w:szCs w:val="21"/>
                      <w:u w:val="none"/>
                      <w:lang w:val="en-US" w:eastAsia="zh-CN"/>
                      <w14:textFill>
                        <w14:solidFill>
                          <w14:schemeClr w14:val="tx1"/>
                        </w14:solidFill>
                      </w14:textFill>
                    </w:rPr>
                    <w:t>7</w:t>
                  </w:r>
                </w:p>
              </w:tc>
              <w:tc>
                <w:tcPr>
                  <w:tcW w:w="854" w:type="pct"/>
                  <w:noWrap w:val="0"/>
                  <w:vAlign w:val="center"/>
                </w:tcPr>
                <w:p w14:paraId="2FFC92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达标</w:t>
                  </w:r>
                </w:p>
              </w:tc>
            </w:tr>
            <w:tr w14:paraId="0F60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vMerge w:val="continue"/>
                  <w:noWrap w:val="0"/>
                  <w:vAlign w:val="center"/>
                </w:tcPr>
                <w:p w14:paraId="66ECAA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p>
              </w:tc>
              <w:tc>
                <w:tcPr>
                  <w:tcW w:w="498" w:type="pct"/>
                  <w:noWrap w:val="0"/>
                  <w:vAlign w:val="center"/>
                </w:tcPr>
                <w:p w14:paraId="0A06F9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NO</w:t>
                  </w:r>
                  <w:r>
                    <w:rPr>
                      <w:rFonts w:hint="default" w:ascii="Times New Roman" w:hAnsi="Times New Roman" w:cs="Times New Roman"/>
                      <w:color w:val="000000" w:themeColor="text1"/>
                      <w:kern w:val="0"/>
                      <w:sz w:val="21"/>
                      <w:szCs w:val="21"/>
                      <w:highlight w:val="none"/>
                      <w:u w:val="none"/>
                      <w:vertAlign w:val="subscript"/>
                      <w14:textFill>
                        <w14:solidFill>
                          <w14:schemeClr w14:val="tx1"/>
                        </w14:solidFill>
                      </w14:textFill>
                    </w:rPr>
                    <w:t>2</w:t>
                  </w:r>
                </w:p>
              </w:tc>
              <w:tc>
                <w:tcPr>
                  <w:tcW w:w="947" w:type="pct"/>
                  <w:noWrap w:val="0"/>
                  <w:vAlign w:val="center"/>
                </w:tcPr>
                <w:p w14:paraId="1DC849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年平均</w:t>
                  </w:r>
                </w:p>
              </w:tc>
              <w:tc>
                <w:tcPr>
                  <w:tcW w:w="1136" w:type="dxa"/>
                  <w:noWrap w:val="0"/>
                  <w:vAlign w:val="center"/>
                </w:tcPr>
                <w:p w14:paraId="0645450A">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14:textFill>
                        <w14:solidFill>
                          <w14:schemeClr w14:val="tx1"/>
                        </w14:solidFill>
                      </w14:textFill>
                    </w:rPr>
                    <w:t>29</w:t>
                  </w:r>
                </w:p>
              </w:tc>
              <w:tc>
                <w:tcPr>
                  <w:tcW w:w="736" w:type="pct"/>
                  <w:noWrap w:val="0"/>
                  <w:vAlign w:val="center"/>
                </w:tcPr>
                <w:p w14:paraId="2B7B7B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40</w:t>
                  </w:r>
                </w:p>
              </w:tc>
              <w:tc>
                <w:tcPr>
                  <w:tcW w:w="907" w:type="dxa"/>
                  <w:noWrap w:val="0"/>
                  <w:vAlign w:val="center"/>
                </w:tcPr>
                <w:p w14:paraId="70CD20A6">
                  <w:pPr>
                    <w:spacing w:line="0" w:lineRule="atLeast"/>
                    <w:jc w:val="cente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72.5</w:t>
                  </w:r>
                </w:p>
              </w:tc>
              <w:tc>
                <w:tcPr>
                  <w:tcW w:w="854" w:type="pct"/>
                  <w:noWrap w:val="0"/>
                  <w:vAlign w:val="center"/>
                </w:tcPr>
                <w:p w14:paraId="40474F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0"/>
                      <w:sz w:val="21"/>
                      <w:szCs w:val="21"/>
                      <w:highlight w:val="none"/>
                      <w:u w:val="none"/>
                      <w:lang w:eastAsia="zh-CN"/>
                      <w14:textFill>
                        <w14:solidFill>
                          <w14:schemeClr w14:val="tx1"/>
                        </w14:solidFill>
                      </w14:textFill>
                    </w:rPr>
                  </w:pPr>
                  <w:r>
                    <w:rPr>
                      <w:rFonts w:hint="eastAsia" w:cs="Times New Roman"/>
                      <w:color w:val="000000" w:themeColor="text1"/>
                      <w:kern w:val="0"/>
                      <w:sz w:val="21"/>
                      <w:szCs w:val="21"/>
                      <w:highlight w:val="none"/>
                      <w:u w:val="none"/>
                      <w:lang w:val="en-US" w:eastAsia="zh-CN"/>
                      <w14:textFill>
                        <w14:solidFill>
                          <w14:schemeClr w14:val="tx1"/>
                        </w14:solidFill>
                      </w14:textFill>
                    </w:rPr>
                    <w:t>达标</w:t>
                  </w:r>
                </w:p>
              </w:tc>
            </w:tr>
            <w:tr w14:paraId="173D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vMerge w:val="continue"/>
                  <w:noWrap w:val="0"/>
                  <w:vAlign w:val="center"/>
                </w:tcPr>
                <w:p w14:paraId="3BAE30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p>
              </w:tc>
              <w:tc>
                <w:tcPr>
                  <w:tcW w:w="498" w:type="pct"/>
                  <w:noWrap w:val="0"/>
                  <w:vAlign w:val="center"/>
                </w:tcPr>
                <w:p w14:paraId="4AC520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PM</w:t>
                  </w:r>
                  <w:r>
                    <w:rPr>
                      <w:rFonts w:hint="default" w:ascii="Times New Roman" w:hAnsi="Times New Roman" w:cs="Times New Roman"/>
                      <w:color w:val="000000" w:themeColor="text1"/>
                      <w:kern w:val="0"/>
                      <w:sz w:val="21"/>
                      <w:szCs w:val="21"/>
                      <w:highlight w:val="none"/>
                      <w:u w:val="none"/>
                      <w:vertAlign w:val="subscript"/>
                      <w14:textFill>
                        <w14:solidFill>
                          <w14:schemeClr w14:val="tx1"/>
                        </w14:solidFill>
                      </w14:textFill>
                    </w:rPr>
                    <w:t>10</w:t>
                  </w:r>
                </w:p>
              </w:tc>
              <w:tc>
                <w:tcPr>
                  <w:tcW w:w="947" w:type="pct"/>
                  <w:noWrap w:val="0"/>
                  <w:vAlign w:val="center"/>
                </w:tcPr>
                <w:p w14:paraId="3CAD25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年平均</w:t>
                  </w:r>
                </w:p>
              </w:tc>
              <w:tc>
                <w:tcPr>
                  <w:tcW w:w="1136" w:type="dxa"/>
                  <w:noWrap w:val="0"/>
                  <w:vAlign w:val="center"/>
                </w:tcPr>
                <w:p w14:paraId="0F754C7F">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8</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1</w:t>
                  </w:r>
                </w:p>
              </w:tc>
              <w:tc>
                <w:tcPr>
                  <w:tcW w:w="736" w:type="pct"/>
                  <w:noWrap w:val="0"/>
                  <w:vAlign w:val="center"/>
                </w:tcPr>
                <w:p w14:paraId="5281B9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pPr>
                  <w:r>
                    <w:rPr>
                      <w:rFonts w:hint="eastAsia" w:cs="Times New Roman"/>
                      <w:color w:val="000000" w:themeColor="text1"/>
                      <w:kern w:val="0"/>
                      <w:sz w:val="21"/>
                      <w:szCs w:val="21"/>
                      <w:highlight w:val="none"/>
                      <w:u w:val="none"/>
                      <w:lang w:val="en-US" w:eastAsia="zh-CN"/>
                      <w14:textFill>
                        <w14:solidFill>
                          <w14:schemeClr w14:val="tx1"/>
                        </w14:solidFill>
                      </w14:textFill>
                    </w:rPr>
                    <w:t>6</w:t>
                  </w: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0</w:t>
                  </w:r>
                </w:p>
              </w:tc>
              <w:tc>
                <w:tcPr>
                  <w:tcW w:w="907" w:type="dxa"/>
                  <w:noWrap w:val="0"/>
                  <w:vAlign w:val="center"/>
                </w:tcPr>
                <w:p w14:paraId="39ABED69">
                  <w:pPr>
                    <w:spacing w:line="0" w:lineRule="atLeast"/>
                    <w:jc w:val="cente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135</w:t>
                  </w:r>
                </w:p>
              </w:tc>
              <w:tc>
                <w:tcPr>
                  <w:tcW w:w="854" w:type="pct"/>
                  <w:noWrap w:val="0"/>
                  <w:vAlign w:val="center"/>
                </w:tcPr>
                <w:p w14:paraId="0F7A1E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超标</w:t>
                  </w:r>
                </w:p>
              </w:tc>
            </w:tr>
            <w:tr w14:paraId="7A71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vMerge w:val="continue"/>
                  <w:noWrap w:val="0"/>
                  <w:vAlign w:val="center"/>
                </w:tcPr>
                <w:p w14:paraId="51BF0D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p>
              </w:tc>
              <w:tc>
                <w:tcPr>
                  <w:tcW w:w="498" w:type="pct"/>
                  <w:noWrap w:val="0"/>
                  <w:vAlign w:val="center"/>
                </w:tcPr>
                <w:p w14:paraId="134EDD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PM</w:t>
                  </w:r>
                  <w:r>
                    <w:rPr>
                      <w:rFonts w:hint="default" w:ascii="Times New Roman" w:hAnsi="Times New Roman" w:cs="Times New Roman"/>
                      <w:color w:val="000000" w:themeColor="text1"/>
                      <w:kern w:val="0"/>
                      <w:sz w:val="21"/>
                      <w:szCs w:val="21"/>
                      <w:highlight w:val="none"/>
                      <w:u w:val="none"/>
                      <w:vertAlign w:val="subscript"/>
                      <w14:textFill>
                        <w14:solidFill>
                          <w14:schemeClr w14:val="tx1"/>
                        </w14:solidFill>
                      </w14:textFill>
                    </w:rPr>
                    <w:t>2.5</w:t>
                  </w:r>
                </w:p>
              </w:tc>
              <w:tc>
                <w:tcPr>
                  <w:tcW w:w="947" w:type="pct"/>
                  <w:noWrap w:val="0"/>
                  <w:vAlign w:val="center"/>
                </w:tcPr>
                <w:p w14:paraId="1D276D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年平均</w:t>
                  </w:r>
                </w:p>
              </w:tc>
              <w:tc>
                <w:tcPr>
                  <w:tcW w:w="1136" w:type="dxa"/>
                  <w:noWrap w:val="0"/>
                  <w:vAlign w:val="center"/>
                </w:tcPr>
                <w:p w14:paraId="6CA65A64">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14:textFill>
                        <w14:solidFill>
                          <w14:schemeClr w14:val="tx1"/>
                        </w14:solidFill>
                      </w14:textFill>
                    </w:rPr>
                    <w:t>49</w:t>
                  </w:r>
                </w:p>
              </w:tc>
              <w:tc>
                <w:tcPr>
                  <w:tcW w:w="736" w:type="pct"/>
                  <w:noWrap w:val="0"/>
                  <w:vAlign w:val="center"/>
                </w:tcPr>
                <w:p w14:paraId="58B59C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pPr>
                  <w:r>
                    <w:rPr>
                      <w:rFonts w:hint="eastAsia" w:cs="Times New Roman"/>
                      <w:color w:val="000000" w:themeColor="text1"/>
                      <w:kern w:val="0"/>
                      <w:sz w:val="21"/>
                      <w:szCs w:val="21"/>
                      <w:highlight w:val="none"/>
                      <w:u w:val="none"/>
                      <w:lang w:val="en-US" w:eastAsia="zh-CN"/>
                      <w14:textFill>
                        <w14:solidFill>
                          <w14:schemeClr w14:val="tx1"/>
                        </w14:solidFill>
                      </w14:textFill>
                    </w:rPr>
                    <w:t>30</w:t>
                  </w:r>
                </w:p>
              </w:tc>
              <w:tc>
                <w:tcPr>
                  <w:tcW w:w="907" w:type="dxa"/>
                  <w:noWrap w:val="0"/>
                  <w:vAlign w:val="center"/>
                </w:tcPr>
                <w:p w14:paraId="67BCB60C">
                  <w:pPr>
                    <w:spacing w:line="0" w:lineRule="atLeast"/>
                    <w:jc w:val="cente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163.3</w:t>
                  </w:r>
                </w:p>
              </w:tc>
              <w:tc>
                <w:tcPr>
                  <w:tcW w:w="854" w:type="pct"/>
                  <w:noWrap w:val="0"/>
                  <w:vAlign w:val="center"/>
                </w:tcPr>
                <w:p w14:paraId="3F7E74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超标</w:t>
                  </w:r>
                </w:p>
              </w:tc>
            </w:tr>
            <w:tr w14:paraId="0A9C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vMerge w:val="continue"/>
                  <w:noWrap w:val="0"/>
                  <w:vAlign w:val="center"/>
                </w:tcPr>
                <w:p w14:paraId="53C15E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p>
              </w:tc>
              <w:tc>
                <w:tcPr>
                  <w:tcW w:w="498" w:type="pct"/>
                  <w:noWrap w:val="0"/>
                  <w:vAlign w:val="center"/>
                </w:tcPr>
                <w:p w14:paraId="52D110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CO</w:t>
                  </w:r>
                </w:p>
              </w:tc>
              <w:tc>
                <w:tcPr>
                  <w:tcW w:w="947" w:type="pct"/>
                  <w:noWrap w:val="0"/>
                  <w:vAlign w:val="center"/>
                </w:tcPr>
                <w:p w14:paraId="62390E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24h 平均第95百分位数</w:t>
                  </w:r>
                </w:p>
              </w:tc>
              <w:tc>
                <w:tcPr>
                  <w:tcW w:w="1136" w:type="dxa"/>
                  <w:noWrap w:val="0"/>
                  <w:vAlign w:val="center"/>
                </w:tcPr>
                <w:p w14:paraId="0B2283F2">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1400</w:t>
                  </w:r>
                </w:p>
              </w:tc>
              <w:tc>
                <w:tcPr>
                  <w:tcW w:w="736" w:type="pct"/>
                  <w:noWrap w:val="0"/>
                  <w:vAlign w:val="center"/>
                </w:tcPr>
                <w:p w14:paraId="39F346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4000</w:t>
                  </w:r>
                </w:p>
              </w:tc>
              <w:tc>
                <w:tcPr>
                  <w:tcW w:w="907" w:type="dxa"/>
                  <w:noWrap w:val="0"/>
                  <w:vAlign w:val="center"/>
                </w:tcPr>
                <w:p w14:paraId="09AB1070">
                  <w:pPr>
                    <w:spacing w:line="0" w:lineRule="atLeast"/>
                    <w:jc w:val="cente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pPr>
                  <w:r>
                    <w:rPr>
                      <w:color w:val="000000" w:themeColor="text1"/>
                      <w:szCs w:val="21"/>
                      <w:u w:val="none"/>
                      <w14:textFill>
                        <w14:solidFill>
                          <w14:schemeClr w14:val="tx1"/>
                        </w14:solidFill>
                      </w14:textFill>
                    </w:rPr>
                    <w:t>35</w:t>
                  </w:r>
                </w:p>
              </w:tc>
              <w:tc>
                <w:tcPr>
                  <w:tcW w:w="854" w:type="pct"/>
                  <w:noWrap w:val="0"/>
                  <w:vAlign w:val="center"/>
                </w:tcPr>
                <w:p w14:paraId="192ACF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达标</w:t>
                  </w:r>
                </w:p>
              </w:tc>
            </w:tr>
            <w:tr w14:paraId="5551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vMerge w:val="continue"/>
                  <w:noWrap w:val="0"/>
                  <w:vAlign w:val="center"/>
                </w:tcPr>
                <w:p w14:paraId="13B187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p>
              </w:tc>
              <w:tc>
                <w:tcPr>
                  <w:tcW w:w="498" w:type="pct"/>
                  <w:noWrap w:val="0"/>
                  <w:vAlign w:val="center"/>
                </w:tcPr>
                <w:p w14:paraId="7F34BF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O</w:t>
                  </w:r>
                  <w:r>
                    <w:rPr>
                      <w:rFonts w:hint="default" w:ascii="Times New Roman" w:hAnsi="Times New Roman" w:cs="Times New Roman"/>
                      <w:color w:val="000000" w:themeColor="text1"/>
                      <w:kern w:val="0"/>
                      <w:sz w:val="21"/>
                      <w:szCs w:val="21"/>
                      <w:highlight w:val="none"/>
                      <w:u w:val="none"/>
                      <w:vertAlign w:val="subscript"/>
                      <w:lang w:val="en-US" w:eastAsia="zh-CN"/>
                      <w14:textFill>
                        <w14:solidFill>
                          <w14:schemeClr w14:val="tx1"/>
                        </w14:solidFill>
                      </w14:textFill>
                    </w:rPr>
                    <w:t>3</w:t>
                  </w:r>
                </w:p>
              </w:tc>
              <w:tc>
                <w:tcPr>
                  <w:tcW w:w="947" w:type="pct"/>
                  <w:noWrap w:val="0"/>
                  <w:vAlign w:val="center"/>
                </w:tcPr>
                <w:p w14:paraId="182FBF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日最大8h平均第90百分位数</w:t>
                  </w:r>
                </w:p>
              </w:tc>
              <w:tc>
                <w:tcPr>
                  <w:tcW w:w="1136" w:type="dxa"/>
                  <w:noWrap w:val="0"/>
                  <w:vAlign w:val="center"/>
                </w:tcPr>
                <w:p w14:paraId="14C3B575">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1</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84</w:t>
                  </w:r>
                </w:p>
              </w:tc>
              <w:tc>
                <w:tcPr>
                  <w:tcW w:w="736" w:type="pct"/>
                  <w:noWrap w:val="0"/>
                  <w:vAlign w:val="center"/>
                </w:tcPr>
                <w:p w14:paraId="52C9AB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lang w:val="en-US" w:eastAsia="zh-CN"/>
                      <w14:textFill>
                        <w14:solidFill>
                          <w14:schemeClr w14:val="tx1"/>
                        </w14:solidFill>
                      </w14:textFill>
                    </w:rPr>
                    <w:t>160</w:t>
                  </w:r>
                </w:p>
              </w:tc>
              <w:tc>
                <w:tcPr>
                  <w:tcW w:w="907" w:type="dxa"/>
                  <w:noWrap w:val="0"/>
                  <w:vAlign w:val="center"/>
                </w:tcPr>
                <w:p w14:paraId="4313EEBB">
                  <w:pPr>
                    <w:spacing w:line="0" w:lineRule="atLeast"/>
                    <w:jc w:val="cente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115</w:t>
                  </w:r>
                </w:p>
              </w:tc>
              <w:tc>
                <w:tcPr>
                  <w:tcW w:w="854" w:type="pct"/>
                  <w:noWrap w:val="0"/>
                  <w:vAlign w:val="center"/>
                </w:tcPr>
                <w:p w14:paraId="58DF53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kern w:val="0"/>
                      <w:sz w:val="21"/>
                      <w:szCs w:val="21"/>
                      <w:highlight w:val="none"/>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u w:val="none"/>
                      <w14:textFill>
                        <w14:solidFill>
                          <w14:schemeClr w14:val="tx1"/>
                        </w14:solidFill>
                      </w14:textFill>
                    </w:rPr>
                    <w:t>超标</w:t>
                  </w:r>
                </w:p>
              </w:tc>
            </w:tr>
          </w:tbl>
          <w:p w14:paraId="6E5F7C4A">
            <w:pPr>
              <w:pStyle w:val="53"/>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04" w:firstLineChars="200"/>
              <w:jc w:val="both"/>
              <w:textAlignment w:val="auto"/>
              <w:rPr>
                <w:rFonts w:hint="eastAsia" w:cs="Times New Roman"/>
                <w:color w:val="000000" w:themeColor="text1"/>
                <w:sz w:val="24"/>
                <w:szCs w:val="24"/>
                <w:highlight w:val="none"/>
                <w:u w:val="none"/>
                <w:lang w:eastAsia="zh-CN"/>
                <w14:textFill>
                  <w14:solidFill>
                    <w14:schemeClr w14:val="tx1"/>
                  </w14:solidFill>
                </w14:textFill>
              </w:rPr>
            </w:pPr>
            <w:r>
              <w:rPr>
                <w:rFonts w:hint="eastAsia" w:cs="Times New Roman"/>
                <w:color w:val="000000" w:themeColor="text1"/>
                <w:kern w:val="0"/>
                <w:sz w:val="24"/>
                <w:szCs w:val="24"/>
                <w:highlight w:val="none"/>
                <w:u w:val="none"/>
                <w:lang w:val="en-US" w:eastAsia="zh-CN"/>
                <w14:textFill>
                  <w14:solidFill>
                    <w14:schemeClr w14:val="tx1"/>
                  </w14:solidFill>
                </w14:textFill>
              </w:rPr>
              <w:t>可见，</w:t>
            </w:r>
            <w:r>
              <w:rPr>
                <w:rFonts w:hint="default" w:ascii="Times New Roman" w:hAnsi="Times New Roman" w:eastAsia="宋体" w:cs="Times New Roman"/>
                <w:color w:val="000000" w:themeColor="text1"/>
                <w:kern w:val="0"/>
                <w:sz w:val="24"/>
                <w:szCs w:val="24"/>
                <w:highlight w:val="none"/>
                <w:u w:val="none"/>
                <w14:textFill>
                  <w14:solidFill>
                    <w14:schemeClr w14:val="tx1"/>
                  </w14:solidFill>
                </w14:textFill>
              </w:rPr>
              <w:t>PM</w:t>
            </w:r>
            <w:r>
              <w:rPr>
                <w:rFonts w:hint="default" w:ascii="Times New Roman" w:hAnsi="Times New Roman" w:eastAsia="宋体" w:cs="Times New Roman"/>
                <w:color w:val="000000" w:themeColor="text1"/>
                <w:kern w:val="0"/>
                <w:sz w:val="24"/>
                <w:szCs w:val="24"/>
                <w:highlight w:val="none"/>
                <w:u w:val="none"/>
                <w:vertAlign w:val="subscript"/>
                <w14:textFill>
                  <w14:solidFill>
                    <w14:schemeClr w14:val="tx1"/>
                  </w14:solidFill>
                </w14:textFill>
              </w:rPr>
              <w:t>10</w:t>
            </w:r>
            <w:r>
              <w:rPr>
                <w:rFonts w:hint="eastAsia" w:ascii="Times New Roman" w:hAnsi="Times New Roman" w:cs="Times New Roman"/>
                <w:color w:val="000000" w:themeColor="text1"/>
                <w:kern w:val="0"/>
                <w:sz w:val="24"/>
                <w:szCs w:val="24"/>
                <w:highlight w:val="none"/>
                <w:u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u w:val="none"/>
                <w14:textFill>
                  <w14:solidFill>
                    <w14:schemeClr w14:val="tx1"/>
                  </w14:solidFill>
                </w14:textFill>
              </w:rPr>
              <w:t>PM</w:t>
            </w:r>
            <w:r>
              <w:rPr>
                <w:rFonts w:hint="default" w:ascii="Times New Roman" w:hAnsi="Times New Roman" w:eastAsia="宋体" w:cs="Times New Roman"/>
                <w:color w:val="000000" w:themeColor="text1"/>
                <w:kern w:val="0"/>
                <w:sz w:val="24"/>
                <w:szCs w:val="24"/>
                <w:highlight w:val="none"/>
                <w:u w:val="none"/>
                <w:vertAlign w:val="subscript"/>
                <w14:textFill>
                  <w14:solidFill>
                    <w14:schemeClr w14:val="tx1"/>
                  </w14:solidFill>
                </w14:textFill>
              </w:rPr>
              <w:t>2.5</w:t>
            </w:r>
            <w:r>
              <w:rPr>
                <w:rFonts w:hint="eastAsia" w:ascii="Times New Roman" w:hAnsi="Times New Roman" w:cs="Times New Roman"/>
                <w:color w:val="000000" w:themeColor="text1"/>
                <w:kern w:val="0"/>
                <w:sz w:val="24"/>
                <w:szCs w:val="24"/>
                <w:highlight w:val="none"/>
                <w:u w:val="none"/>
                <w:lang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u w:val="none"/>
                <w:lang w:val="en-US" w:eastAsia="zh-CN"/>
                <w14:textFill>
                  <w14:solidFill>
                    <w14:schemeClr w14:val="tx1"/>
                  </w14:solidFill>
                </w14:textFill>
              </w:rPr>
              <w:t>O</w:t>
            </w:r>
            <w:r>
              <w:rPr>
                <w:rFonts w:hint="eastAsia" w:ascii="Times New Roman" w:hAnsi="Times New Roman" w:cs="Times New Roman"/>
                <w:color w:val="000000" w:themeColor="text1"/>
                <w:kern w:val="0"/>
                <w:sz w:val="24"/>
                <w:szCs w:val="24"/>
                <w:highlight w:val="none"/>
                <w:u w:val="none"/>
                <w:vertAlign w:val="subscript"/>
                <w:lang w:val="en-US" w:eastAsia="zh-CN"/>
                <w14:textFill>
                  <w14:solidFill>
                    <w14:schemeClr w14:val="tx1"/>
                  </w14:solidFill>
                </w14:textFill>
              </w:rPr>
              <w:t>3</w:t>
            </w:r>
            <w:r>
              <w:rPr>
                <w:rFonts w:hint="eastAsia" w:ascii="Times New Roman" w:hAnsi="Times New Roman" w:cs="Times New Roman"/>
                <w:color w:val="000000" w:themeColor="text1"/>
                <w:kern w:val="0"/>
                <w:sz w:val="24"/>
                <w:szCs w:val="24"/>
                <w:highlight w:val="none"/>
                <w:u w:val="none"/>
                <w:lang w:val="en-US" w:eastAsia="zh-CN"/>
                <w14:textFill>
                  <w14:solidFill>
                    <w14:schemeClr w14:val="tx1"/>
                  </w14:solidFill>
                </w14:textFill>
              </w:rPr>
              <w:t>不能满足</w:t>
            </w:r>
            <w:r>
              <w:rPr>
                <w:rFonts w:hint="default" w:ascii="Times New Roman" w:hAnsi="Times New Roman" w:eastAsia="宋体" w:cs="Times New Roman"/>
                <w:color w:val="000000" w:themeColor="text1"/>
                <w:kern w:val="0"/>
                <w:sz w:val="24"/>
                <w:szCs w:val="24"/>
                <w:highlight w:val="none"/>
                <w:u w:val="none"/>
                <w14:textFill>
                  <w14:solidFill>
                    <w14:schemeClr w14:val="tx1"/>
                  </w14:solidFill>
                </w14:textFill>
              </w:rPr>
              <w:t>《环境空气质量标准》（GB3095-20</w:t>
            </w:r>
            <w:r>
              <w:rPr>
                <w:rFonts w:hint="eastAsia" w:cs="Times New Roman"/>
                <w:color w:val="000000" w:themeColor="text1"/>
                <w:kern w:val="0"/>
                <w:sz w:val="24"/>
                <w:szCs w:val="24"/>
                <w:highlight w:val="none"/>
                <w:u w:val="none"/>
                <w:lang w:val="en-US" w:eastAsia="zh-CN"/>
                <w14:textFill>
                  <w14:solidFill>
                    <w14:schemeClr w14:val="tx1"/>
                  </w14:solidFill>
                </w14:textFill>
              </w:rPr>
              <w:t>26</w:t>
            </w:r>
            <w:r>
              <w:rPr>
                <w:rFonts w:hint="default" w:ascii="Times New Roman" w:hAnsi="Times New Roman" w:eastAsia="宋体" w:cs="Times New Roman"/>
                <w:color w:val="000000" w:themeColor="text1"/>
                <w:kern w:val="0"/>
                <w:sz w:val="24"/>
                <w:szCs w:val="24"/>
                <w:highlight w:val="none"/>
                <w:u w:val="none"/>
                <w14:textFill>
                  <w14:solidFill>
                    <w14:schemeClr w14:val="tx1"/>
                  </w14:solidFill>
                </w14:textFill>
              </w:rPr>
              <w:t>）二级标准要求</w:t>
            </w:r>
            <w:r>
              <w:rPr>
                <w:rFonts w:hint="eastAsia" w:ascii="Times New Roman" w:hAnsi="Times New Roman" w:cs="Times New Roman"/>
                <w:color w:val="000000" w:themeColor="text1"/>
                <w:kern w:val="0"/>
                <w:sz w:val="24"/>
                <w:szCs w:val="24"/>
                <w:highlight w:val="none"/>
                <w:u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u w:val="none"/>
                <w14:textFill>
                  <w14:solidFill>
                    <w14:schemeClr w14:val="tx1"/>
                  </w14:solidFill>
                </w14:textFill>
              </w:rPr>
              <w:t>判定</w:t>
            </w:r>
            <w:r>
              <w:rPr>
                <w:rFonts w:hint="eastAsia" w:cs="Times New Roman"/>
                <w:color w:val="000000" w:themeColor="text1"/>
                <w:sz w:val="24"/>
                <w:szCs w:val="24"/>
                <w:highlight w:val="none"/>
                <w:u w:val="none"/>
                <w:lang w:val="en-US" w:eastAsia="zh-CN"/>
                <w14:textFill>
                  <w14:solidFill>
                    <w14:schemeClr w14:val="tx1"/>
                  </w14:solidFill>
                </w14:textFill>
              </w:rPr>
              <w:t>本项目所在区域</w:t>
            </w:r>
            <w:r>
              <w:rPr>
                <w:rFonts w:hint="default" w:ascii="Times New Roman" w:hAnsi="Times New Roman" w:eastAsia="宋体" w:cs="Times New Roman"/>
                <w:color w:val="000000" w:themeColor="text1"/>
                <w:sz w:val="24"/>
                <w:szCs w:val="24"/>
                <w:highlight w:val="none"/>
                <w:u w:val="none"/>
                <w14:textFill>
                  <w14:solidFill>
                    <w14:schemeClr w14:val="tx1"/>
                  </w14:solidFill>
                </w14:textFill>
              </w:rPr>
              <w:t>环境空气质量</w:t>
            </w:r>
            <w:r>
              <w:rPr>
                <w:rFonts w:hint="eastAsia" w:cs="Times New Roman"/>
                <w:color w:val="000000" w:themeColor="text1"/>
                <w:sz w:val="24"/>
                <w:szCs w:val="24"/>
                <w:highlight w:val="none"/>
                <w:u w:val="none"/>
                <w:lang w:val="en-US" w:eastAsia="zh-CN"/>
                <w14:textFill>
                  <w14:solidFill>
                    <w14:schemeClr w14:val="tx1"/>
                  </w14:solidFill>
                </w14:textFill>
              </w:rPr>
              <w:t>为</w:t>
            </w:r>
            <w:r>
              <w:rPr>
                <w:rFonts w:hint="default" w:ascii="Times New Roman" w:hAnsi="Times New Roman" w:eastAsia="宋体" w:cs="Times New Roman"/>
                <w:color w:val="000000" w:themeColor="text1"/>
                <w:sz w:val="24"/>
                <w:szCs w:val="24"/>
                <w:highlight w:val="none"/>
                <w:u w:val="none"/>
                <w:lang w:eastAsia="zh-CN"/>
                <w14:textFill>
                  <w14:solidFill>
                    <w14:schemeClr w14:val="tx1"/>
                  </w14:solidFill>
                </w14:textFill>
              </w:rPr>
              <w:t>不</w:t>
            </w:r>
            <w:r>
              <w:rPr>
                <w:rFonts w:hint="default" w:ascii="Times New Roman" w:hAnsi="Times New Roman" w:eastAsia="宋体" w:cs="Times New Roman"/>
                <w:color w:val="000000" w:themeColor="text1"/>
                <w:sz w:val="24"/>
                <w:szCs w:val="24"/>
                <w:highlight w:val="none"/>
                <w:u w:val="none"/>
                <w14:textFill>
                  <w14:solidFill>
                    <w14:schemeClr w14:val="tx1"/>
                  </w14:solidFill>
                </w14:textFill>
              </w:rPr>
              <w:t>达标区</w:t>
            </w:r>
            <w:r>
              <w:rPr>
                <w:rFonts w:hint="eastAsia" w:cs="Times New Roman"/>
                <w:color w:val="000000" w:themeColor="text1"/>
                <w:sz w:val="24"/>
                <w:szCs w:val="24"/>
                <w:highlight w:val="none"/>
                <w:u w:val="none"/>
                <w:lang w:eastAsia="zh-CN"/>
                <w14:textFill>
                  <w14:solidFill>
                    <w14:schemeClr w14:val="tx1"/>
                  </w14:solidFill>
                </w14:textFill>
              </w:rPr>
              <w:t>。</w:t>
            </w:r>
          </w:p>
          <w:p w14:paraId="2C9A36A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eastAsia="宋体" w:cs="Times New Roman"/>
                <w:b w:val="0"/>
                <w:color w:val="000000" w:themeColor="text1"/>
                <w:spacing w:val="0"/>
                <w:sz w:val="24"/>
                <w:szCs w:val="24"/>
                <w14:textFill>
                  <w14:solidFill>
                    <w14:schemeClr w14:val="tx1"/>
                  </w14:solidFill>
                </w14:textFill>
              </w:rPr>
            </w:pPr>
            <w:r>
              <w:rPr>
                <w:rFonts w:hint="eastAsia" w:cs="Times New Roman"/>
                <w:b w:val="0"/>
                <w:color w:val="000000" w:themeColor="text1"/>
                <w:spacing w:val="0"/>
                <w:sz w:val="24"/>
                <w:szCs w:val="24"/>
                <w:lang w:val="en-US" w:eastAsia="zh-CN"/>
                <w14:textFill>
                  <w14:solidFill>
                    <w14:schemeClr w14:val="tx1"/>
                  </w14:solidFill>
                </w14:textFill>
              </w:rPr>
              <w:t>二</w:t>
            </w:r>
            <w:r>
              <w:rPr>
                <w:rFonts w:hint="default" w:ascii="Times New Roman" w:hAnsi="Times New Roman" w:eastAsia="宋体" w:cs="Times New Roman"/>
                <w:b w:val="0"/>
                <w:color w:val="000000" w:themeColor="text1"/>
                <w:spacing w:val="0"/>
                <w:sz w:val="24"/>
                <w:szCs w:val="24"/>
                <w14:textFill>
                  <w14:solidFill>
                    <w14:schemeClr w14:val="tx1"/>
                  </w14:solidFill>
                </w14:textFill>
              </w:rPr>
              <w:t>、</w:t>
            </w:r>
            <w:r>
              <w:rPr>
                <w:rFonts w:hint="eastAsia" w:ascii="Times New Roman" w:hAnsi="Times New Roman" w:eastAsia="宋体" w:cs="Times New Roman"/>
                <w:b w:val="0"/>
                <w:color w:val="000000" w:themeColor="text1"/>
                <w:spacing w:val="0"/>
                <w:sz w:val="24"/>
                <w:szCs w:val="24"/>
                <w:lang w:val="en-US" w:eastAsia="zh-CN"/>
                <w14:textFill>
                  <w14:solidFill>
                    <w14:schemeClr w14:val="tx1"/>
                  </w14:solidFill>
                </w14:textFill>
              </w:rPr>
              <w:t>地表水环境</w:t>
            </w:r>
          </w:p>
          <w:p w14:paraId="3BA9853B">
            <w:pPr>
              <w:keepNext w:val="0"/>
              <w:keepLines w:val="0"/>
              <w:suppressLineNumbers w:val="0"/>
              <w:spacing w:before="0" w:beforeAutospacing="0" w:after="0" w:afterAutospacing="0" w:line="360" w:lineRule="auto"/>
              <w:ind w:left="0" w:right="0" w:firstLine="480" w:firstLineChars="200"/>
              <w:jc w:val="left"/>
              <w:rPr>
                <w:rFonts w:hint="eastAsia"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本项目废水排入厂区污水处理站处理达标后排入园区污水管网，</w:t>
            </w:r>
            <w:r>
              <w:rPr>
                <w:rFonts w:hint="eastAsia"/>
                <w:color w:val="000000" w:themeColor="text1"/>
                <w:sz w:val="24"/>
                <w:szCs w:val="24"/>
                <w:lang w:val="en-US" w:eastAsia="zh-CN"/>
                <w14:textFill>
                  <w14:solidFill>
                    <w14:schemeClr w14:val="tx1"/>
                  </w14:solidFill>
                </w14:textFill>
              </w:rPr>
              <w:t>然后</w:t>
            </w:r>
            <w:r>
              <w:rPr>
                <w:rFonts w:hint="default"/>
                <w:color w:val="000000" w:themeColor="text1"/>
                <w:sz w:val="24"/>
                <w:szCs w:val="24"/>
                <w14:textFill>
                  <w14:solidFill>
                    <w14:schemeClr w14:val="tx1"/>
                  </w14:solidFill>
                </w14:textFill>
              </w:rPr>
              <w:t>进入汤阴县产业集聚区</w:t>
            </w:r>
            <w:r>
              <w:rPr>
                <w:rFonts w:hint="eastAsia"/>
                <w:color w:val="000000" w:themeColor="text1"/>
                <w:sz w:val="24"/>
                <w:szCs w:val="24"/>
                <w:lang w:val="en-US" w:eastAsia="zh-CN"/>
                <w14:textFill>
                  <w14:solidFill>
                    <w14:schemeClr w14:val="tx1"/>
                  </w14:solidFill>
                </w14:textFill>
              </w:rPr>
              <w:t>工业</w:t>
            </w:r>
            <w:r>
              <w:rPr>
                <w:rFonts w:hint="default"/>
                <w:color w:val="000000" w:themeColor="text1"/>
                <w:sz w:val="24"/>
                <w:szCs w:val="24"/>
                <w14:textFill>
                  <w14:solidFill>
                    <w14:schemeClr w14:val="tx1"/>
                  </w14:solidFill>
                </w14:textFill>
              </w:rPr>
              <w:t>污水处理厂深度处理后</w:t>
            </w:r>
            <w:r>
              <w:rPr>
                <w:rFonts w:hint="eastAsia"/>
                <w:color w:val="000000" w:themeColor="text1"/>
                <w:sz w:val="24"/>
                <w:szCs w:val="24"/>
                <w:lang w:val="en-US" w:eastAsia="zh-CN"/>
                <w14:textFill>
                  <w14:solidFill>
                    <w14:schemeClr w14:val="tx1"/>
                  </w14:solidFill>
                </w14:textFill>
              </w:rPr>
              <w:t>通过</w:t>
            </w:r>
            <w:r>
              <w:rPr>
                <w:rFonts w:hint="default"/>
                <w:color w:val="000000" w:themeColor="text1"/>
                <w:sz w:val="24"/>
                <w:szCs w:val="24"/>
                <w14:textFill>
                  <w14:solidFill>
                    <w14:schemeClr w14:val="tx1"/>
                  </w14:solidFill>
                </w14:textFill>
              </w:rPr>
              <w:t>附近</w:t>
            </w:r>
            <w:r>
              <w:rPr>
                <w:rFonts w:hint="eastAsia"/>
                <w:color w:val="000000" w:themeColor="text1"/>
                <w:sz w:val="24"/>
                <w:szCs w:val="24"/>
                <w:lang w:val="en-US" w:eastAsia="zh-CN"/>
                <w14:textFill>
                  <w14:solidFill>
                    <w14:schemeClr w14:val="tx1"/>
                  </w14:solidFill>
                </w14:textFill>
              </w:rPr>
              <w:t>孔村沟</w:t>
            </w:r>
            <w:r>
              <w:rPr>
                <w:rFonts w:hint="default"/>
                <w:color w:val="000000" w:themeColor="text1"/>
                <w:sz w:val="24"/>
                <w:szCs w:val="24"/>
                <w14:textFill>
                  <w14:solidFill>
                    <w14:schemeClr w14:val="tx1"/>
                  </w14:solidFill>
                </w14:textFill>
              </w:rPr>
              <w:t>排入永通河，最后汇入汤河。经调查，</w:t>
            </w:r>
            <w:r>
              <w:rPr>
                <w:rFonts w:hint="eastAsia"/>
                <w:color w:val="000000" w:themeColor="text1"/>
                <w:sz w:val="24"/>
                <w:szCs w:val="24"/>
                <w:lang w:val="en-US" w:eastAsia="zh-CN"/>
                <w14:textFill>
                  <w14:solidFill>
                    <w14:schemeClr w14:val="tx1"/>
                  </w14:solidFill>
                </w14:textFill>
              </w:rPr>
              <w:t>距离</w:t>
            </w:r>
            <w:r>
              <w:rPr>
                <w:rFonts w:hint="default"/>
                <w:color w:val="000000" w:themeColor="text1"/>
                <w:sz w:val="24"/>
                <w:szCs w:val="24"/>
                <w14:textFill>
                  <w14:solidFill>
                    <w14:schemeClr w14:val="tx1"/>
                  </w14:solidFill>
                </w14:textFill>
              </w:rPr>
              <w:t>厂址最近的</w:t>
            </w:r>
            <w:r>
              <w:rPr>
                <w:rFonts w:hint="eastAsia"/>
                <w:color w:val="000000" w:themeColor="text1"/>
                <w:sz w:val="24"/>
                <w:szCs w:val="24"/>
                <w:lang w:val="en-US" w:eastAsia="zh-CN"/>
                <w14:textFill>
                  <w14:solidFill>
                    <w14:schemeClr w14:val="tx1"/>
                  </w14:solidFill>
                </w14:textFill>
              </w:rPr>
              <w:t>河流</w:t>
            </w:r>
            <w:r>
              <w:rPr>
                <w:rFonts w:hint="default"/>
                <w:color w:val="000000" w:themeColor="text1"/>
                <w:sz w:val="24"/>
                <w:szCs w:val="24"/>
                <w14:textFill>
                  <w14:solidFill>
                    <w14:schemeClr w14:val="tx1"/>
                  </w14:solidFill>
                </w14:textFill>
              </w:rPr>
              <w:t>水质断面为</w:t>
            </w:r>
            <w:r>
              <w:rPr>
                <w:rFonts w:hint="eastAsia"/>
                <w:color w:val="000000" w:themeColor="text1"/>
                <w:sz w:val="24"/>
                <w:szCs w:val="24"/>
                <w:lang w:val="en-US" w:eastAsia="zh-CN"/>
                <w14:textFill>
                  <w14:solidFill>
                    <w14:schemeClr w14:val="tx1"/>
                  </w14:solidFill>
                </w14:textFill>
              </w:rPr>
              <w:t>汤河石辛庄，为国控水质控制</w:t>
            </w:r>
            <w:r>
              <w:rPr>
                <w:rFonts w:hint="default"/>
                <w:color w:val="000000" w:themeColor="text1"/>
                <w:sz w:val="24"/>
                <w:szCs w:val="24"/>
                <w14:textFill>
                  <w14:solidFill>
                    <w14:schemeClr w14:val="tx1"/>
                  </w14:solidFill>
                </w14:textFill>
              </w:rPr>
              <w:t>断面。</w:t>
            </w:r>
            <w:r>
              <w:rPr>
                <w:rFonts w:hint="eastAsia"/>
                <w:color w:val="000000" w:themeColor="text1"/>
                <w:sz w:val="24"/>
                <w:szCs w:val="24"/>
                <w:lang w:val="en-US" w:eastAsia="zh-CN"/>
                <w14:textFill>
                  <w14:solidFill>
                    <w14:schemeClr w14:val="tx1"/>
                  </w14:solidFill>
                </w14:textFill>
              </w:rPr>
              <w:t>根据地表水环境功能区划，石辛庄</w:t>
            </w:r>
            <w:r>
              <w:rPr>
                <w:rFonts w:hint="default"/>
                <w:color w:val="000000" w:themeColor="text1"/>
                <w:sz w:val="24"/>
                <w:szCs w:val="24"/>
                <w14:textFill>
                  <w14:solidFill>
                    <w14:schemeClr w14:val="tx1"/>
                  </w14:solidFill>
                </w14:textFill>
              </w:rPr>
              <w:t>断面</w:t>
            </w:r>
            <w:r>
              <w:rPr>
                <w:rFonts w:hint="eastAsia"/>
                <w:color w:val="000000" w:themeColor="text1"/>
                <w:sz w:val="24"/>
                <w:szCs w:val="24"/>
                <w:lang w:val="en-US" w:eastAsia="zh-CN"/>
                <w14:textFill>
                  <w14:solidFill>
                    <w14:schemeClr w14:val="tx1"/>
                  </w14:solidFill>
                </w14:textFill>
              </w:rPr>
              <w:t>应执行</w:t>
            </w:r>
            <w:r>
              <w:rPr>
                <w:rFonts w:hint="default"/>
                <w:color w:val="000000" w:themeColor="text1"/>
                <w:sz w:val="24"/>
                <w:szCs w:val="24"/>
                <w14:textFill>
                  <w14:solidFill>
                    <w14:schemeClr w14:val="tx1"/>
                  </w14:solidFill>
                </w14:textFill>
              </w:rPr>
              <w:t>《地表水环境质量标准》（GB</w:t>
            </w:r>
            <w:r>
              <w:rPr>
                <w:rFonts w:hint="eastAsia"/>
                <w:color w:val="000000" w:themeColor="text1"/>
                <w:sz w:val="24"/>
                <w:szCs w:val="24"/>
                <w:lang w:val="en-US" w:eastAsia="zh-CN"/>
                <w14:textFill>
                  <w14:solidFill>
                    <w14:schemeClr w14:val="tx1"/>
                  </w14:solidFill>
                </w14:textFill>
              </w:rPr>
              <w:t xml:space="preserve"> </w:t>
            </w:r>
            <w:r>
              <w:rPr>
                <w:rFonts w:hint="default"/>
                <w:color w:val="000000" w:themeColor="text1"/>
                <w:sz w:val="24"/>
                <w:szCs w:val="24"/>
                <w14:textFill>
                  <w14:solidFill>
                    <w14:schemeClr w14:val="tx1"/>
                  </w14:solidFill>
                </w14:textFill>
              </w:rPr>
              <w:t>3838-2002）中</w:t>
            </w:r>
            <w:r>
              <w:rPr>
                <w:rFonts w:hint="eastAsia"/>
                <w:color w:val="000000" w:themeColor="text1"/>
                <w:sz w:val="24"/>
                <w:szCs w:val="24"/>
                <w:lang w:val="en-US" w:eastAsia="zh-CN"/>
                <w14:textFill>
                  <w14:solidFill>
                    <w14:schemeClr w14:val="tx1"/>
                  </w14:solidFill>
                </w14:textFill>
              </w:rPr>
              <w:t>III</w:t>
            </w:r>
            <w:r>
              <w:rPr>
                <w:rFonts w:hint="default"/>
                <w:color w:val="000000" w:themeColor="text1"/>
                <w:sz w:val="24"/>
                <w:szCs w:val="24"/>
                <w14:textFill>
                  <w14:solidFill>
                    <w14:schemeClr w14:val="tx1"/>
                  </w14:solidFill>
                </w14:textFill>
              </w:rPr>
              <w:t>类标准</w:t>
            </w:r>
            <w:r>
              <w:rPr>
                <w:rFonts w:hint="eastAsia"/>
                <w:color w:val="000000" w:themeColor="text1"/>
                <w:sz w:val="24"/>
                <w:szCs w:val="24"/>
                <w:lang w:val="en-US" w:eastAsia="zh-CN"/>
                <w14:textFill>
                  <w14:solidFill>
                    <w14:schemeClr w14:val="tx1"/>
                  </w14:solidFill>
                </w14:textFill>
              </w:rPr>
              <w:t>要求。</w:t>
            </w:r>
            <w:r>
              <w:rPr>
                <w:rFonts w:hint="default"/>
                <w:color w:val="000000" w:themeColor="text1"/>
                <w:sz w:val="24"/>
                <w:szCs w:val="24"/>
                <w14:textFill>
                  <w14:solidFill>
                    <w14:schemeClr w14:val="tx1"/>
                  </w14:solidFill>
                </w14:textFill>
              </w:rPr>
              <w:t>根据</w:t>
            </w:r>
            <w:r>
              <w:rPr>
                <w:rFonts w:hint="eastAsia"/>
                <w:color w:val="000000" w:themeColor="text1"/>
                <w:sz w:val="24"/>
                <w:szCs w:val="24"/>
                <w:lang w:val="en-US" w:eastAsia="zh-CN"/>
                <w14:textFill>
                  <w14:solidFill>
                    <w14:schemeClr w14:val="tx1"/>
                  </w14:solidFill>
                </w14:textFill>
              </w:rPr>
              <w:t>安阳市生态环境局发布的2024年汤河石辛庄水质断面全年的周监测数据，</w:t>
            </w:r>
            <w:r>
              <w:rPr>
                <w:rFonts w:hint="default"/>
                <w:color w:val="000000" w:themeColor="text1"/>
                <w:sz w:val="24"/>
                <w:szCs w:val="24"/>
                <w14:textFill>
                  <w14:solidFill>
                    <w14:schemeClr w14:val="tx1"/>
                  </w14:solidFill>
                </w14:textFill>
              </w:rPr>
              <w:t>见下表。</w:t>
            </w:r>
          </w:p>
          <w:p w14:paraId="35209EC3">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Chars="0"/>
              <w:jc w:val="center"/>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表</w:t>
            </w:r>
            <w:r>
              <w:rPr>
                <w:rFonts w:hint="eastAsia" w:cs="Times New Roman"/>
                <w:b w:val="0"/>
                <w:bCs w:val="0"/>
                <w:color w:val="000000" w:themeColor="text1"/>
                <w:sz w:val="24"/>
                <w:szCs w:val="24"/>
                <w:lang w:val="en-US" w:eastAsia="zh-CN"/>
                <w14:textFill>
                  <w14:solidFill>
                    <w14:schemeClr w14:val="tx1"/>
                  </w14:solidFill>
                </w14:textFill>
              </w:rPr>
              <w:t>24</w:t>
            </w:r>
            <w:r>
              <w:rPr>
                <w:rFonts w:hint="default" w:ascii="Times New Roman" w:hAnsi="Times New Roman" w:eastAsia="宋体" w:cs="Times New Roman"/>
                <w:b w:val="0"/>
                <w:bCs w:val="0"/>
                <w:color w:val="000000" w:themeColor="text1"/>
                <w:sz w:val="24"/>
                <w:szCs w:val="24"/>
                <w14:textFill>
                  <w14:solidFill>
                    <w14:schemeClr w14:val="tx1"/>
                  </w14:solidFill>
                </w14:textFill>
              </w:rPr>
              <w:t xml:space="preserve">  20</w:t>
            </w:r>
            <w:r>
              <w:rPr>
                <w:rFonts w:hint="eastAsia" w:cs="Times New Roman"/>
                <w:b w:val="0"/>
                <w:bCs w:val="0"/>
                <w:color w:val="000000" w:themeColor="text1"/>
                <w:sz w:val="24"/>
                <w:szCs w:val="24"/>
                <w:lang w:val="en-US" w:eastAsia="zh-CN"/>
                <w14:textFill>
                  <w14:solidFill>
                    <w14:schemeClr w14:val="tx1"/>
                  </w14:solidFill>
                </w14:textFill>
              </w:rPr>
              <w:t>24</w:t>
            </w:r>
            <w:r>
              <w:rPr>
                <w:rFonts w:hint="default" w:ascii="Times New Roman" w:hAnsi="Times New Roman" w:eastAsia="宋体" w:cs="Times New Roman"/>
                <w:b w:val="0"/>
                <w:bCs w:val="0"/>
                <w:color w:val="000000" w:themeColor="text1"/>
                <w:sz w:val="24"/>
                <w:szCs w:val="24"/>
                <w14:textFill>
                  <w14:solidFill>
                    <w14:schemeClr w14:val="tx1"/>
                  </w14:solidFill>
                </w14:textFill>
              </w:rPr>
              <w:t>年</w:t>
            </w:r>
            <w:r>
              <w:rPr>
                <w:rFonts w:hint="eastAsia" w:cs="Times New Roman"/>
                <w:b w:val="0"/>
                <w:bCs w:val="0"/>
                <w:color w:val="000000" w:themeColor="text1"/>
                <w:sz w:val="24"/>
                <w:szCs w:val="24"/>
                <w:lang w:val="en-US" w:eastAsia="zh-CN"/>
                <w14:textFill>
                  <w14:solidFill>
                    <w14:schemeClr w14:val="tx1"/>
                  </w14:solidFill>
                </w14:textFill>
              </w:rPr>
              <w:t>汤河水质</w:t>
            </w:r>
            <w:r>
              <w:rPr>
                <w:rFonts w:hint="default" w:ascii="Times New Roman" w:hAnsi="Times New Roman" w:eastAsia="宋体" w:cs="Times New Roman"/>
                <w:b w:val="0"/>
                <w:bCs w:val="0"/>
                <w:color w:val="000000" w:themeColor="text1"/>
                <w:sz w:val="24"/>
                <w:szCs w:val="24"/>
                <w14:textFill>
                  <w14:solidFill>
                    <w14:schemeClr w14:val="tx1"/>
                  </w14:solidFill>
                </w14:textFill>
              </w:rPr>
              <w:t>断面监测结果年统计表</w:t>
            </w:r>
          </w:p>
          <w:tbl>
            <w:tblPr>
              <w:tblStyle w:val="26"/>
              <w:tblW w:w="7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60"/>
              <w:gridCol w:w="1019"/>
              <w:gridCol w:w="1115"/>
              <w:gridCol w:w="1008"/>
              <w:gridCol w:w="1119"/>
              <w:gridCol w:w="1655"/>
            </w:tblGrid>
            <w:tr w14:paraId="2B73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6E4E6E54">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时间</w:t>
                  </w:r>
                </w:p>
              </w:tc>
              <w:tc>
                <w:tcPr>
                  <w:tcW w:w="1019" w:type="dxa"/>
                  <w:noWrap w:val="0"/>
                  <w:tcMar>
                    <w:top w:w="15" w:type="dxa"/>
                    <w:left w:w="15" w:type="dxa"/>
                    <w:right w:w="15" w:type="dxa"/>
                  </w:tcMar>
                  <w:vAlign w:val="center"/>
                </w:tcPr>
                <w:p w14:paraId="24A309B6">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COD</w:t>
                  </w:r>
                </w:p>
              </w:tc>
              <w:tc>
                <w:tcPr>
                  <w:tcW w:w="1115" w:type="dxa"/>
                  <w:noWrap w:val="0"/>
                  <w:tcMar>
                    <w:top w:w="15" w:type="dxa"/>
                    <w:left w:w="15" w:type="dxa"/>
                    <w:right w:w="15" w:type="dxa"/>
                  </w:tcMar>
                  <w:vAlign w:val="center"/>
                </w:tcPr>
                <w:p w14:paraId="35DE48E7">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氨氮</w:t>
                  </w:r>
                </w:p>
              </w:tc>
              <w:tc>
                <w:tcPr>
                  <w:tcW w:w="1008" w:type="dxa"/>
                  <w:noWrap w:val="0"/>
                  <w:tcMar>
                    <w:top w:w="15" w:type="dxa"/>
                    <w:left w:w="15" w:type="dxa"/>
                    <w:right w:w="15" w:type="dxa"/>
                  </w:tcMar>
                  <w:vAlign w:val="center"/>
                </w:tcPr>
                <w:p w14:paraId="0E643AC8">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总磷</w:t>
                  </w:r>
                </w:p>
              </w:tc>
              <w:tc>
                <w:tcPr>
                  <w:tcW w:w="1119" w:type="dxa"/>
                  <w:noWrap w:val="0"/>
                  <w:vAlign w:val="center"/>
                </w:tcPr>
                <w:p w14:paraId="136FB8E4">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总氮</w:t>
                  </w:r>
                </w:p>
              </w:tc>
              <w:tc>
                <w:tcPr>
                  <w:tcW w:w="1655" w:type="dxa"/>
                  <w:noWrap w:val="0"/>
                  <w:vAlign w:val="center"/>
                </w:tcPr>
                <w:p w14:paraId="1D8D6857">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高锰酸盐指数</w:t>
                  </w:r>
                </w:p>
              </w:tc>
            </w:tr>
            <w:tr w14:paraId="1BFF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0CDF5022">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52周</w:t>
                  </w:r>
                </w:p>
              </w:tc>
              <w:tc>
                <w:tcPr>
                  <w:tcW w:w="1019" w:type="dxa"/>
                  <w:noWrap w:val="0"/>
                  <w:tcMar>
                    <w:top w:w="15" w:type="dxa"/>
                    <w:left w:w="15" w:type="dxa"/>
                    <w:right w:w="15" w:type="dxa"/>
                  </w:tcMar>
                  <w:vAlign w:val="center"/>
                </w:tcPr>
                <w:p w14:paraId="3AF25B67">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2"/>
                      <w:sz w:val="21"/>
                      <w:szCs w:val="24"/>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16.2</w:t>
                  </w:r>
                </w:p>
              </w:tc>
              <w:tc>
                <w:tcPr>
                  <w:tcW w:w="1115" w:type="dxa"/>
                  <w:noWrap w:val="0"/>
                  <w:tcMar>
                    <w:top w:w="15" w:type="dxa"/>
                    <w:left w:w="15" w:type="dxa"/>
                    <w:right w:w="15" w:type="dxa"/>
                  </w:tcMar>
                  <w:vAlign w:val="center"/>
                </w:tcPr>
                <w:p w14:paraId="031367C2">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2"/>
                      <w:sz w:val="21"/>
                      <w:szCs w:val="24"/>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1.26</w:t>
                  </w:r>
                </w:p>
              </w:tc>
              <w:tc>
                <w:tcPr>
                  <w:tcW w:w="1008" w:type="dxa"/>
                  <w:noWrap w:val="0"/>
                  <w:tcMar>
                    <w:top w:w="15" w:type="dxa"/>
                    <w:left w:w="15" w:type="dxa"/>
                    <w:right w:w="15" w:type="dxa"/>
                  </w:tcMar>
                  <w:vAlign w:val="center"/>
                </w:tcPr>
                <w:p w14:paraId="0443CE62">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2"/>
                      <w:sz w:val="21"/>
                      <w:szCs w:val="24"/>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0.246</w:t>
                  </w:r>
                </w:p>
              </w:tc>
              <w:tc>
                <w:tcPr>
                  <w:tcW w:w="1119" w:type="dxa"/>
                  <w:noWrap w:val="0"/>
                  <w:vAlign w:val="center"/>
                </w:tcPr>
                <w:p w14:paraId="672DC1FB">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2"/>
                      <w:sz w:val="21"/>
                      <w:szCs w:val="24"/>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9.94</w:t>
                  </w:r>
                </w:p>
              </w:tc>
              <w:tc>
                <w:tcPr>
                  <w:tcW w:w="1655" w:type="dxa"/>
                  <w:noWrap w:val="0"/>
                  <w:vAlign w:val="center"/>
                </w:tcPr>
                <w:p w14:paraId="411B194A">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2"/>
                      <w:sz w:val="21"/>
                      <w:szCs w:val="24"/>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2.6</w:t>
                  </w:r>
                </w:p>
              </w:tc>
            </w:tr>
            <w:tr w14:paraId="5A3E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303F5558">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51周</w:t>
                  </w:r>
                </w:p>
              </w:tc>
              <w:tc>
                <w:tcPr>
                  <w:tcW w:w="1019" w:type="dxa"/>
                  <w:noWrap w:val="0"/>
                  <w:tcMar>
                    <w:top w:w="15" w:type="dxa"/>
                    <w:left w:w="15" w:type="dxa"/>
                    <w:right w:w="15" w:type="dxa"/>
                  </w:tcMar>
                  <w:vAlign w:val="center"/>
                </w:tcPr>
                <w:p w14:paraId="3B549432">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20.2</w:t>
                  </w:r>
                </w:p>
              </w:tc>
              <w:tc>
                <w:tcPr>
                  <w:tcW w:w="1115" w:type="dxa"/>
                  <w:noWrap w:val="0"/>
                  <w:tcMar>
                    <w:top w:w="15" w:type="dxa"/>
                    <w:left w:w="15" w:type="dxa"/>
                    <w:right w:w="15" w:type="dxa"/>
                  </w:tcMar>
                  <w:vAlign w:val="center"/>
                </w:tcPr>
                <w:p w14:paraId="1713A393">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2.79</w:t>
                  </w:r>
                </w:p>
              </w:tc>
              <w:tc>
                <w:tcPr>
                  <w:tcW w:w="1008" w:type="dxa"/>
                  <w:noWrap w:val="0"/>
                  <w:tcMar>
                    <w:top w:w="15" w:type="dxa"/>
                    <w:left w:w="15" w:type="dxa"/>
                    <w:right w:w="15" w:type="dxa"/>
                  </w:tcMar>
                  <w:vAlign w:val="center"/>
                </w:tcPr>
                <w:p w14:paraId="2C526B21">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0.573</w:t>
                  </w:r>
                </w:p>
              </w:tc>
              <w:tc>
                <w:tcPr>
                  <w:tcW w:w="1119" w:type="dxa"/>
                  <w:noWrap w:val="0"/>
                  <w:vAlign w:val="center"/>
                </w:tcPr>
                <w:p w14:paraId="5C9298F2">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12.09</w:t>
                  </w:r>
                </w:p>
              </w:tc>
              <w:tc>
                <w:tcPr>
                  <w:tcW w:w="1655" w:type="dxa"/>
                  <w:noWrap w:val="0"/>
                  <w:vAlign w:val="center"/>
                </w:tcPr>
                <w:p w14:paraId="5C4EA0A3">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w:t>
                  </w:r>
                </w:p>
              </w:tc>
            </w:tr>
            <w:tr w14:paraId="79FB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685D537C">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50周</w:t>
                  </w:r>
                </w:p>
              </w:tc>
              <w:tc>
                <w:tcPr>
                  <w:tcW w:w="1019" w:type="dxa"/>
                  <w:noWrap w:val="0"/>
                  <w:tcMar>
                    <w:top w:w="15" w:type="dxa"/>
                    <w:left w:w="15" w:type="dxa"/>
                    <w:right w:w="15" w:type="dxa"/>
                  </w:tcMar>
                  <w:vAlign w:val="center"/>
                </w:tcPr>
                <w:p w14:paraId="57774525">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15.6</w:t>
                  </w:r>
                </w:p>
              </w:tc>
              <w:tc>
                <w:tcPr>
                  <w:tcW w:w="1115" w:type="dxa"/>
                  <w:noWrap w:val="0"/>
                  <w:tcMar>
                    <w:top w:w="15" w:type="dxa"/>
                    <w:left w:w="15" w:type="dxa"/>
                    <w:right w:w="15" w:type="dxa"/>
                  </w:tcMar>
                  <w:vAlign w:val="center"/>
                </w:tcPr>
                <w:p w14:paraId="2183BB27">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1.26</w:t>
                  </w:r>
                </w:p>
              </w:tc>
              <w:tc>
                <w:tcPr>
                  <w:tcW w:w="1008" w:type="dxa"/>
                  <w:noWrap w:val="0"/>
                  <w:tcMar>
                    <w:top w:w="15" w:type="dxa"/>
                    <w:left w:w="15" w:type="dxa"/>
                    <w:right w:w="15" w:type="dxa"/>
                  </w:tcMar>
                  <w:vAlign w:val="center"/>
                </w:tcPr>
                <w:p w14:paraId="7265A7FA">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0.033</w:t>
                  </w:r>
                </w:p>
              </w:tc>
              <w:tc>
                <w:tcPr>
                  <w:tcW w:w="1119" w:type="dxa"/>
                  <w:noWrap w:val="0"/>
                  <w:vAlign w:val="center"/>
                </w:tcPr>
                <w:p w14:paraId="3A7263C7">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11.20</w:t>
                  </w:r>
                </w:p>
              </w:tc>
              <w:tc>
                <w:tcPr>
                  <w:tcW w:w="1655" w:type="dxa"/>
                  <w:noWrap w:val="0"/>
                  <w:vAlign w:val="center"/>
                </w:tcPr>
                <w:p w14:paraId="31C4B283">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6.0</w:t>
                  </w:r>
                </w:p>
              </w:tc>
            </w:tr>
            <w:tr w14:paraId="5718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2E1664AF">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49周</w:t>
                  </w:r>
                </w:p>
              </w:tc>
              <w:tc>
                <w:tcPr>
                  <w:tcW w:w="1019" w:type="dxa"/>
                  <w:noWrap w:val="0"/>
                  <w:tcMar>
                    <w:top w:w="15" w:type="dxa"/>
                    <w:left w:w="15" w:type="dxa"/>
                    <w:right w:w="15" w:type="dxa"/>
                  </w:tcMar>
                  <w:vAlign w:val="center"/>
                </w:tcPr>
                <w:p w14:paraId="693E3F59">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17.6</w:t>
                  </w:r>
                </w:p>
              </w:tc>
              <w:tc>
                <w:tcPr>
                  <w:tcW w:w="1115" w:type="dxa"/>
                  <w:noWrap w:val="0"/>
                  <w:tcMar>
                    <w:top w:w="15" w:type="dxa"/>
                    <w:left w:w="15" w:type="dxa"/>
                    <w:right w:w="15" w:type="dxa"/>
                  </w:tcMar>
                  <w:vAlign w:val="center"/>
                </w:tcPr>
                <w:p w14:paraId="5A6538D7">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1.390</w:t>
                  </w:r>
                </w:p>
              </w:tc>
              <w:tc>
                <w:tcPr>
                  <w:tcW w:w="1008" w:type="dxa"/>
                  <w:noWrap w:val="0"/>
                  <w:tcMar>
                    <w:top w:w="15" w:type="dxa"/>
                    <w:left w:w="15" w:type="dxa"/>
                    <w:right w:w="15" w:type="dxa"/>
                  </w:tcMar>
                  <w:vAlign w:val="center"/>
                </w:tcPr>
                <w:p w14:paraId="1D62C119">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0.252</w:t>
                  </w:r>
                </w:p>
              </w:tc>
              <w:tc>
                <w:tcPr>
                  <w:tcW w:w="1119" w:type="dxa"/>
                  <w:noWrap w:val="0"/>
                  <w:vAlign w:val="center"/>
                </w:tcPr>
                <w:p w14:paraId="339C91F5">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10.00</w:t>
                  </w:r>
                </w:p>
              </w:tc>
              <w:tc>
                <w:tcPr>
                  <w:tcW w:w="1655" w:type="dxa"/>
                  <w:noWrap w:val="0"/>
                  <w:vAlign w:val="center"/>
                </w:tcPr>
                <w:p w14:paraId="507424E5">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1.4</w:t>
                  </w:r>
                </w:p>
              </w:tc>
            </w:tr>
            <w:tr w14:paraId="7108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61E960CE">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48周</w:t>
                  </w:r>
                </w:p>
              </w:tc>
              <w:tc>
                <w:tcPr>
                  <w:tcW w:w="1019" w:type="dxa"/>
                  <w:noWrap w:val="0"/>
                  <w:tcMar>
                    <w:top w:w="15" w:type="dxa"/>
                    <w:left w:w="15" w:type="dxa"/>
                    <w:right w:w="15" w:type="dxa"/>
                  </w:tcMar>
                  <w:vAlign w:val="center"/>
                </w:tcPr>
                <w:p w14:paraId="2C2C8DCC">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15.1</w:t>
                  </w:r>
                </w:p>
              </w:tc>
              <w:tc>
                <w:tcPr>
                  <w:tcW w:w="1115" w:type="dxa"/>
                  <w:noWrap w:val="0"/>
                  <w:tcMar>
                    <w:top w:w="15" w:type="dxa"/>
                    <w:left w:w="15" w:type="dxa"/>
                    <w:right w:w="15" w:type="dxa"/>
                  </w:tcMar>
                  <w:vAlign w:val="center"/>
                </w:tcPr>
                <w:p w14:paraId="02ECDD2A">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0.855</w:t>
                  </w:r>
                </w:p>
              </w:tc>
              <w:tc>
                <w:tcPr>
                  <w:tcW w:w="1008" w:type="dxa"/>
                  <w:noWrap w:val="0"/>
                  <w:tcMar>
                    <w:top w:w="15" w:type="dxa"/>
                    <w:left w:w="15" w:type="dxa"/>
                    <w:right w:w="15" w:type="dxa"/>
                  </w:tcMar>
                  <w:vAlign w:val="center"/>
                </w:tcPr>
                <w:p w14:paraId="3EA3C285">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0.300</w:t>
                  </w:r>
                </w:p>
              </w:tc>
              <w:tc>
                <w:tcPr>
                  <w:tcW w:w="1119" w:type="dxa"/>
                  <w:noWrap w:val="0"/>
                  <w:vAlign w:val="center"/>
                </w:tcPr>
                <w:p w14:paraId="2C59437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10.00</w:t>
                  </w:r>
                </w:p>
              </w:tc>
              <w:tc>
                <w:tcPr>
                  <w:tcW w:w="1655" w:type="dxa"/>
                  <w:noWrap w:val="0"/>
                  <w:vAlign w:val="center"/>
                </w:tcPr>
                <w:p w14:paraId="33E9CDBC">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3.4</w:t>
                  </w:r>
                </w:p>
              </w:tc>
            </w:tr>
            <w:tr w14:paraId="7064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7AAC2477">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47周</w:t>
                  </w:r>
                </w:p>
              </w:tc>
              <w:tc>
                <w:tcPr>
                  <w:tcW w:w="1019" w:type="dxa"/>
                  <w:noWrap w:val="0"/>
                  <w:tcMar>
                    <w:top w:w="15" w:type="dxa"/>
                    <w:left w:w="15" w:type="dxa"/>
                    <w:right w:w="15" w:type="dxa"/>
                  </w:tcMar>
                  <w:vAlign w:val="center"/>
                </w:tcPr>
                <w:p w14:paraId="1D28DE20">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15.5</w:t>
                  </w:r>
                </w:p>
              </w:tc>
              <w:tc>
                <w:tcPr>
                  <w:tcW w:w="1115" w:type="dxa"/>
                  <w:noWrap w:val="0"/>
                  <w:tcMar>
                    <w:top w:w="15" w:type="dxa"/>
                    <w:left w:w="15" w:type="dxa"/>
                    <w:right w:w="15" w:type="dxa"/>
                  </w:tcMar>
                  <w:vAlign w:val="center"/>
                </w:tcPr>
                <w:p w14:paraId="414C2793">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0.518</w:t>
                  </w:r>
                </w:p>
              </w:tc>
              <w:tc>
                <w:tcPr>
                  <w:tcW w:w="1008" w:type="dxa"/>
                  <w:noWrap w:val="0"/>
                  <w:tcMar>
                    <w:top w:w="15" w:type="dxa"/>
                    <w:left w:w="15" w:type="dxa"/>
                    <w:right w:w="15" w:type="dxa"/>
                  </w:tcMar>
                  <w:vAlign w:val="center"/>
                </w:tcPr>
                <w:p w14:paraId="243CFCE4">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0.340</w:t>
                  </w:r>
                </w:p>
              </w:tc>
              <w:tc>
                <w:tcPr>
                  <w:tcW w:w="1119" w:type="dxa"/>
                  <w:noWrap w:val="0"/>
                  <w:vAlign w:val="center"/>
                </w:tcPr>
                <w:p w14:paraId="64305E7D">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9.20</w:t>
                  </w:r>
                </w:p>
              </w:tc>
              <w:tc>
                <w:tcPr>
                  <w:tcW w:w="1655" w:type="dxa"/>
                  <w:noWrap w:val="0"/>
                  <w:vAlign w:val="center"/>
                </w:tcPr>
                <w:p w14:paraId="214795D4">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5.7</w:t>
                  </w:r>
                </w:p>
              </w:tc>
            </w:tr>
            <w:tr w14:paraId="1AB5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686F45A4">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46周</w:t>
                  </w:r>
                </w:p>
              </w:tc>
              <w:tc>
                <w:tcPr>
                  <w:tcW w:w="1019" w:type="dxa"/>
                  <w:noWrap w:val="0"/>
                  <w:tcMar>
                    <w:top w:w="15" w:type="dxa"/>
                    <w:left w:w="15" w:type="dxa"/>
                    <w:right w:w="15" w:type="dxa"/>
                  </w:tcMar>
                  <w:vAlign w:val="center"/>
                </w:tcPr>
                <w:p w14:paraId="1CE97B38">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20.0</w:t>
                  </w:r>
                </w:p>
              </w:tc>
              <w:tc>
                <w:tcPr>
                  <w:tcW w:w="1115" w:type="dxa"/>
                  <w:noWrap w:val="0"/>
                  <w:tcMar>
                    <w:top w:w="15" w:type="dxa"/>
                    <w:left w:w="15" w:type="dxa"/>
                    <w:right w:w="15" w:type="dxa"/>
                  </w:tcMar>
                  <w:vAlign w:val="center"/>
                </w:tcPr>
                <w:p w14:paraId="61C69809">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0.550</w:t>
                  </w:r>
                </w:p>
              </w:tc>
              <w:tc>
                <w:tcPr>
                  <w:tcW w:w="1008" w:type="dxa"/>
                  <w:noWrap w:val="0"/>
                  <w:tcMar>
                    <w:top w:w="15" w:type="dxa"/>
                    <w:left w:w="15" w:type="dxa"/>
                    <w:right w:w="15" w:type="dxa"/>
                  </w:tcMar>
                  <w:vAlign w:val="center"/>
                </w:tcPr>
                <w:p w14:paraId="6716649C">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0.421</w:t>
                  </w:r>
                </w:p>
              </w:tc>
              <w:tc>
                <w:tcPr>
                  <w:tcW w:w="1119" w:type="dxa"/>
                  <w:noWrap w:val="0"/>
                  <w:vAlign w:val="center"/>
                </w:tcPr>
                <w:p w14:paraId="1108621C">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9.40</w:t>
                  </w:r>
                </w:p>
              </w:tc>
              <w:tc>
                <w:tcPr>
                  <w:tcW w:w="1655" w:type="dxa"/>
                  <w:noWrap w:val="0"/>
                  <w:vAlign w:val="center"/>
                </w:tcPr>
                <w:p w14:paraId="4B62267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6.8</w:t>
                  </w:r>
                </w:p>
              </w:tc>
            </w:tr>
            <w:tr w14:paraId="4C26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6A6FB178">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45周</w:t>
                  </w:r>
                </w:p>
              </w:tc>
              <w:tc>
                <w:tcPr>
                  <w:tcW w:w="1019" w:type="dxa"/>
                  <w:noWrap w:val="0"/>
                  <w:tcMar>
                    <w:top w:w="15" w:type="dxa"/>
                    <w:left w:w="15" w:type="dxa"/>
                    <w:right w:w="15" w:type="dxa"/>
                  </w:tcMar>
                  <w:vAlign w:val="center"/>
                </w:tcPr>
                <w:p w14:paraId="17E826BC">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21.9</w:t>
                  </w:r>
                </w:p>
              </w:tc>
              <w:tc>
                <w:tcPr>
                  <w:tcW w:w="1115" w:type="dxa"/>
                  <w:noWrap w:val="0"/>
                  <w:tcMar>
                    <w:top w:w="15" w:type="dxa"/>
                    <w:left w:w="15" w:type="dxa"/>
                    <w:right w:w="15" w:type="dxa"/>
                  </w:tcMar>
                  <w:vAlign w:val="center"/>
                </w:tcPr>
                <w:p w14:paraId="050E6FE5">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0.364</w:t>
                  </w:r>
                </w:p>
              </w:tc>
              <w:tc>
                <w:tcPr>
                  <w:tcW w:w="1008" w:type="dxa"/>
                  <w:noWrap w:val="0"/>
                  <w:tcMar>
                    <w:top w:w="15" w:type="dxa"/>
                    <w:left w:w="15" w:type="dxa"/>
                    <w:right w:w="15" w:type="dxa"/>
                  </w:tcMar>
                  <w:vAlign w:val="center"/>
                </w:tcPr>
                <w:p w14:paraId="05CA6408">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0.238</w:t>
                  </w:r>
                </w:p>
              </w:tc>
              <w:tc>
                <w:tcPr>
                  <w:tcW w:w="1119" w:type="dxa"/>
                  <w:noWrap w:val="0"/>
                  <w:vAlign w:val="center"/>
                </w:tcPr>
                <w:p w14:paraId="4F62EEF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8.30</w:t>
                  </w:r>
                </w:p>
              </w:tc>
              <w:tc>
                <w:tcPr>
                  <w:tcW w:w="1655" w:type="dxa"/>
                  <w:noWrap w:val="0"/>
                  <w:vAlign w:val="center"/>
                </w:tcPr>
                <w:p w14:paraId="433A1438">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8.0</w:t>
                  </w:r>
                </w:p>
              </w:tc>
            </w:tr>
            <w:tr w14:paraId="2382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133993B2">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44周</w:t>
                  </w:r>
                </w:p>
              </w:tc>
              <w:tc>
                <w:tcPr>
                  <w:tcW w:w="1019" w:type="dxa"/>
                  <w:noWrap w:val="0"/>
                  <w:tcMar>
                    <w:top w:w="15" w:type="dxa"/>
                    <w:left w:w="15" w:type="dxa"/>
                    <w:right w:w="15" w:type="dxa"/>
                  </w:tcMar>
                  <w:vAlign w:val="center"/>
                </w:tcPr>
                <w:p w14:paraId="629A258E">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24.9</w:t>
                  </w:r>
                </w:p>
              </w:tc>
              <w:tc>
                <w:tcPr>
                  <w:tcW w:w="1115" w:type="dxa"/>
                  <w:noWrap w:val="0"/>
                  <w:tcMar>
                    <w:top w:w="15" w:type="dxa"/>
                    <w:left w:w="15" w:type="dxa"/>
                    <w:right w:w="15" w:type="dxa"/>
                  </w:tcMar>
                  <w:vAlign w:val="center"/>
                </w:tcPr>
                <w:p w14:paraId="32557D2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0.656</w:t>
                  </w:r>
                </w:p>
              </w:tc>
              <w:tc>
                <w:tcPr>
                  <w:tcW w:w="1008" w:type="dxa"/>
                  <w:noWrap w:val="0"/>
                  <w:tcMar>
                    <w:top w:w="15" w:type="dxa"/>
                    <w:left w:w="15" w:type="dxa"/>
                    <w:right w:w="15" w:type="dxa"/>
                  </w:tcMar>
                  <w:vAlign w:val="center"/>
                </w:tcPr>
                <w:p w14:paraId="44EC129A">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0.312</w:t>
                  </w:r>
                </w:p>
              </w:tc>
              <w:tc>
                <w:tcPr>
                  <w:tcW w:w="1119" w:type="dxa"/>
                  <w:noWrap w:val="0"/>
                  <w:vAlign w:val="center"/>
                </w:tcPr>
                <w:p w14:paraId="1B2C751C">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8.54</w:t>
                  </w:r>
                </w:p>
              </w:tc>
              <w:tc>
                <w:tcPr>
                  <w:tcW w:w="1655" w:type="dxa"/>
                  <w:noWrap w:val="0"/>
                  <w:vAlign w:val="center"/>
                </w:tcPr>
                <w:p w14:paraId="68487CD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9.2</w:t>
                  </w:r>
                </w:p>
              </w:tc>
            </w:tr>
            <w:tr w14:paraId="4266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358BCCFC">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43周</w:t>
                  </w:r>
                </w:p>
              </w:tc>
              <w:tc>
                <w:tcPr>
                  <w:tcW w:w="1019" w:type="dxa"/>
                  <w:noWrap w:val="0"/>
                  <w:tcMar>
                    <w:top w:w="15" w:type="dxa"/>
                    <w:left w:w="15" w:type="dxa"/>
                    <w:right w:w="15" w:type="dxa"/>
                  </w:tcMar>
                  <w:vAlign w:val="center"/>
                </w:tcPr>
                <w:p w14:paraId="4D5EF4A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22.7</w:t>
                  </w:r>
                </w:p>
              </w:tc>
              <w:tc>
                <w:tcPr>
                  <w:tcW w:w="1115" w:type="dxa"/>
                  <w:noWrap w:val="0"/>
                  <w:tcMar>
                    <w:top w:w="15" w:type="dxa"/>
                    <w:left w:w="15" w:type="dxa"/>
                    <w:right w:w="15" w:type="dxa"/>
                  </w:tcMar>
                  <w:vAlign w:val="center"/>
                </w:tcPr>
                <w:p w14:paraId="44976700">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w:t>
                  </w:r>
                </w:p>
              </w:tc>
              <w:tc>
                <w:tcPr>
                  <w:tcW w:w="1008" w:type="dxa"/>
                  <w:noWrap w:val="0"/>
                  <w:tcMar>
                    <w:top w:w="15" w:type="dxa"/>
                    <w:left w:w="15" w:type="dxa"/>
                    <w:right w:w="15" w:type="dxa"/>
                  </w:tcMar>
                  <w:vAlign w:val="center"/>
                </w:tcPr>
                <w:p w14:paraId="0206A0E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0.4</w:t>
                  </w:r>
                </w:p>
              </w:tc>
              <w:tc>
                <w:tcPr>
                  <w:tcW w:w="1119" w:type="dxa"/>
                  <w:noWrap w:val="0"/>
                  <w:vAlign w:val="center"/>
                </w:tcPr>
                <w:p w14:paraId="30CBE4C6">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9.0</w:t>
                  </w:r>
                </w:p>
              </w:tc>
              <w:tc>
                <w:tcPr>
                  <w:tcW w:w="1655" w:type="dxa"/>
                  <w:noWrap w:val="0"/>
                  <w:vAlign w:val="center"/>
                </w:tcPr>
                <w:p w14:paraId="3C33FC33">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8.7</w:t>
                  </w:r>
                </w:p>
              </w:tc>
            </w:tr>
            <w:tr w14:paraId="47AC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7AE1F834">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42周</w:t>
                  </w:r>
                </w:p>
              </w:tc>
              <w:tc>
                <w:tcPr>
                  <w:tcW w:w="1019" w:type="dxa"/>
                  <w:noWrap w:val="0"/>
                  <w:tcMar>
                    <w:top w:w="15" w:type="dxa"/>
                    <w:left w:w="15" w:type="dxa"/>
                    <w:right w:w="15" w:type="dxa"/>
                  </w:tcMar>
                  <w:vAlign w:val="center"/>
                </w:tcPr>
                <w:p w14:paraId="1253C2B4">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28.0</w:t>
                  </w:r>
                </w:p>
              </w:tc>
              <w:tc>
                <w:tcPr>
                  <w:tcW w:w="1115" w:type="dxa"/>
                  <w:noWrap w:val="0"/>
                  <w:tcMar>
                    <w:top w:w="15" w:type="dxa"/>
                    <w:left w:w="15" w:type="dxa"/>
                    <w:right w:w="15" w:type="dxa"/>
                  </w:tcMar>
                  <w:vAlign w:val="center"/>
                </w:tcPr>
                <w:p w14:paraId="1037EE6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1.350</w:t>
                  </w:r>
                </w:p>
              </w:tc>
              <w:tc>
                <w:tcPr>
                  <w:tcW w:w="1008" w:type="dxa"/>
                  <w:noWrap w:val="0"/>
                  <w:tcMar>
                    <w:top w:w="15" w:type="dxa"/>
                    <w:left w:w="15" w:type="dxa"/>
                    <w:right w:w="15" w:type="dxa"/>
                  </w:tcMar>
                  <w:vAlign w:val="center"/>
                </w:tcPr>
                <w:p w14:paraId="36230480">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0.491</w:t>
                  </w:r>
                </w:p>
              </w:tc>
              <w:tc>
                <w:tcPr>
                  <w:tcW w:w="1119" w:type="dxa"/>
                  <w:noWrap w:val="0"/>
                  <w:vAlign w:val="center"/>
                </w:tcPr>
                <w:p w14:paraId="094FC149">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9.85</w:t>
                  </w:r>
                </w:p>
              </w:tc>
              <w:tc>
                <w:tcPr>
                  <w:tcW w:w="1655" w:type="dxa"/>
                  <w:noWrap w:val="0"/>
                  <w:vAlign w:val="center"/>
                </w:tcPr>
                <w:p w14:paraId="1FB316CE">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10.2</w:t>
                  </w:r>
                </w:p>
              </w:tc>
            </w:tr>
            <w:tr w14:paraId="0DC4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62341F27">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41周</w:t>
                  </w:r>
                </w:p>
              </w:tc>
              <w:tc>
                <w:tcPr>
                  <w:tcW w:w="1019" w:type="dxa"/>
                  <w:noWrap w:val="0"/>
                  <w:tcMar>
                    <w:top w:w="15" w:type="dxa"/>
                    <w:left w:w="15" w:type="dxa"/>
                    <w:right w:w="15" w:type="dxa"/>
                  </w:tcMar>
                  <w:vAlign w:val="center"/>
                </w:tcPr>
                <w:p w14:paraId="0D371C89">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23.1</w:t>
                  </w:r>
                </w:p>
              </w:tc>
              <w:tc>
                <w:tcPr>
                  <w:tcW w:w="1115" w:type="dxa"/>
                  <w:noWrap w:val="0"/>
                  <w:tcMar>
                    <w:top w:w="15" w:type="dxa"/>
                    <w:left w:w="15" w:type="dxa"/>
                    <w:right w:w="15" w:type="dxa"/>
                  </w:tcMar>
                  <w:vAlign w:val="center"/>
                </w:tcPr>
                <w:p w14:paraId="7432ED02">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0.394</w:t>
                  </w:r>
                </w:p>
              </w:tc>
              <w:tc>
                <w:tcPr>
                  <w:tcW w:w="1008" w:type="dxa"/>
                  <w:noWrap w:val="0"/>
                  <w:tcMar>
                    <w:top w:w="15" w:type="dxa"/>
                    <w:left w:w="15" w:type="dxa"/>
                    <w:right w:w="15" w:type="dxa"/>
                  </w:tcMar>
                  <w:vAlign w:val="center"/>
                </w:tcPr>
                <w:p w14:paraId="031B4CC0">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0.244</w:t>
                  </w:r>
                </w:p>
              </w:tc>
              <w:tc>
                <w:tcPr>
                  <w:tcW w:w="1119" w:type="dxa"/>
                  <w:noWrap w:val="0"/>
                  <w:vAlign w:val="center"/>
                </w:tcPr>
                <w:p w14:paraId="1F51DD43">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8.04</w:t>
                  </w:r>
                </w:p>
              </w:tc>
              <w:tc>
                <w:tcPr>
                  <w:tcW w:w="1655" w:type="dxa"/>
                  <w:noWrap w:val="0"/>
                  <w:vAlign w:val="center"/>
                </w:tcPr>
                <w:p w14:paraId="2B86AB50">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8.8</w:t>
                  </w:r>
                </w:p>
              </w:tc>
            </w:tr>
            <w:tr w14:paraId="0029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2DFF92D1">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40周</w:t>
                  </w:r>
                </w:p>
              </w:tc>
              <w:tc>
                <w:tcPr>
                  <w:tcW w:w="1019" w:type="dxa"/>
                  <w:noWrap w:val="0"/>
                  <w:tcMar>
                    <w:top w:w="15" w:type="dxa"/>
                    <w:left w:w="15" w:type="dxa"/>
                    <w:right w:w="15" w:type="dxa"/>
                  </w:tcMar>
                  <w:vAlign w:val="center"/>
                </w:tcPr>
                <w:p w14:paraId="75B13361">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22.4</w:t>
                  </w:r>
                </w:p>
              </w:tc>
              <w:tc>
                <w:tcPr>
                  <w:tcW w:w="1115" w:type="dxa"/>
                  <w:noWrap w:val="0"/>
                  <w:tcMar>
                    <w:top w:w="15" w:type="dxa"/>
                    <w:left w:w="15" w:type="dxa"/>
                    <w:right w:w="15" w:type="dxa"/>
                  </w:tcMar>
                  <w:vAlign w:val="center"/>
                </w:tcPr>
                <w:p w14:paraId="30758140">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1.687</w:t>
                  </w:r>
                </w:p>
              </w:tc>
              <w:tc>
                <w:tcPr>
                  <w:tcW w:w="1008" w:type="dxa"/>
                  <w:noWrap w:val="0"/>
                  <w:tcMar>
                    <w:top w:w="15" w:type="dxa"/>
                    <w:left w:w="15" w:type="dxa"/>
                    <w:right w:w="15" w:type="dxa"/>
                  </w:tcMar>
                  <w:vAlign w:val="center"/>
                </w:tcPr>
                <w:p w14:paraId="402B5D25">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0.365</w:t>
                  </w:r>
                </w:p>
              </w:tc>
              <w:tc>
                <w:tcPr>
                  <w:tcW w:w="1119" w:type="dxa"/>
                  <w:noWrap w:val="0"/>
                  <w:vAlign w:val="center"/>
                </w:tcPr>
                <w:p w14:paraId="204C5437">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8.66</w:t>
                  </w:r>
                </w:p>
              </w:tc>
              <w:tc>
                <w:tcPr>
                  <w:tcW w:w="1655" w:type="dxa"/>
                  <w:noWrap w:val="0"/>
                  <w:vAlign w:val="center"/>
                </w:tcPr>
                <w:p w14:paraId="3F00F722">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8.8</w:t>
                  </w:r>
                </w:p>
              </w:tc>
            </w:tr>
            <w:tr w14:paraId="0F67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5C8D9643">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39周</w:t>
                  </w:r>
                </w:p>
              </w:tc>
              <w:tc>
                <w:tcPr>
                  <w:tcW w:w="1019" w:type="dxa"/>
                  <w:noWrap w:val="0"/>
                  <w:tcMar>
                    <w:top w:w="15" w:type="dxa"/>
                    <w:left w:w="15" w:type="dxa"/>
                    <w:right w:w="15" w:type="dxa"/>
                  </w:tcMar>
                  <w:vAlign w:val="center"/>
                </w:tcPr>
                <w:p w14:paraId="1100C196">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27.8</w:t>
                  </w:r>
                </w:p>
              </w:tc>
              <w:tc>
                <w:tcPr>
                  <w:tcW w:w="1115" w:type="dxa"/>
                  <w:noWrap w:val="0"/>
                  <w:tcMar>
                    <w:top w:w="15" w:type="dxa"/>
                    <w:left w:w="15" w:type="dxa"/>
                    <w:right w:w="15" w:type="dxa"/>
                  </w:tcMar>
                  <w:vAlign w:val="center"/>
                </w:tcPr>
                <w:p w14:paraId="1887F3A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0.790</w:t>
                  </w:r>
                </w:p>
              </w:tc>
              <w:tc>
                <w:tcPr>
                  <w:tcW w:w="1008" w:type="dxa"/>
                  <w:noWrap w:val="0"/>
                  <w:tcMar>
                    <w:top w:w="15" w:type="dxa"/>
                    <w:left w:w="15" w:type="dxa"/>
                    <w:right w:w="15" w:type="dxa"/>
                  </w:tcMar>
                  <w:vAlign w:val="center"/>
                </w:tcPr>
                <w:p w14:paraId="44BFC311">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0.352</w:t>
                  </w:r>
                </w:p>
              </w:tc>
              <w:tc>
                <w:tcPr>
                  <w:tcW w:w="1119" w:type="dxa"/>
                  <w:noWrap w:val="0"/>
                  <w:vAlign w:val="center"/>
                </w:tcPr>
                <w:p w14:paraId="5549A6A7">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8.60</w:t>
                  </w:r>
                </w:p>
              </w:tc>
              <w:tc>
                <w:tcPr>
                  <w:tcW w:w="1655" w:type="dxa"/>
                  <w:noWrap w:val="0"/>
                  <w:vAlign w:val="center"/>
                </w:tcPr>
                <w:p w14:paraId="101404E1">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10.1</w:t>
                  </w:r>
                </w:p>
              </w:tc>
            </w:tr>
            <w:tr w14:paraId="0C9F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645AEC54">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37周</w:t>
                  </w:r>
                </w:p>
              </w:tc>
              <w:tc>
                <w:tcPr>
                  <w:tcW w:w="1019" w:type="dxa"/>
                  <w:noWrap w:val="0"/>
                  <w:tcMar>
                    <w:top w:w="15" w:type="dxa"/>
                    <w:left w:w="15" w:type="dxa"/>
                    <w:right w:w="15" w:type="dxa"/>
                  </w:tcMar>
                  <w:vAlign w:val="center"/>
                </w:tcPr>
                <w:p w14:paraId="38F8929A">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30.0</w:t>
                  </w:r>
                </w:p>
              </w:tc>
              <w:tc>
                <w:tcPr>
                  <w:tcW w:w="1115" w:type="dxa"/>
                  <w:noWrap w:val="0"/>
                  <w:tcMar>
                    <w:top w:w="15" w:type="dxa"/>
                    <w:left w:w="15" w:type="dxa"/>
                    <w:right w:w="15" w:type="dxa"/>
                  </w:tcMar>
                  <w:vAlign w:val="center"/>
                </w:tcPr>
                <w:p w14:paraId="05821FCC">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1.899</w:t>
                  </w:r>
                </w:p>
              </w:tc>
              <w:tc>
                <w:tcPr>
                  <w:tcW w:w="1008" w:type="dxa"/>
                  <w:noWrap w:val="0"/>
                  <w:tcMar>
                    <w:top w:w="15" w:type="dxa"/>
                    <w:left w:w="15" w:type="dxa"/>
                    <w:right w:w="15" w:type="dxa"/>
                  </w:tcMar>
                  <w:vAlign w:val="center"/>
                </w:tcPr>
                <w:p w14:paraId="391E7F1E">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0.596</w:t>
                  </w:r>
                </w:p>
              </w:tc>
              <w:tc>
                <w:tcPr>
                  <w:tcW w:w="1119" w:type="dxa"/>
                  <w:noWrap w:val="0"/>
                  <w:vAlign w:val="center"/>
                </w:tcPr>
                <w:p w14:paraId="6C14B01A">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10.9</w:t>
                  </w:r>
                </w:p>
              </w:tc>
              <w:tc>
                <w:tcPr>
                  <w:tcW w:w="1655" w:type="dxa"/>
                  <w:noWrap w:val="0"/>
                  <w:vAlign w:val="center"/>
                </w:tcPr>
                <w:p w14:paraId="3083ACE8">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9.6</w:t>
                  </w:r>
                </w:p>
              </w:tc>
            </w:tr>
            <w:tr w14:paraId="1159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05BF687B">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36周</w:t>
                  </w:r>
                </w:p>
              </w:tc>
              <w:tc>
                <w:tcPr>
                  <w:tcW w:w="1019" w:type="dxa"/>
                  <w:noWrap w:val="0"/>
                  <w:tcMar>
                    <w:top w:w="15" w:type="dxa"/>
                    <w:left w:w="15" w:type="dxa"/>
                    <w:right w:w="15" w:type="dxa"/>
                  </w:tcMar>
                  <w:vAlign w:val="center"/>
                </w:tcPr>
                <w:p w14:paraId="61DD2A43">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28.1</w:t>
                  </w:r>
                </w:p>
              </w:tc>
              <w:tc>
                <w:tcPr>
                  <w:tcW w:w="1115" w:type="dxa"/>
                  <w:noWrap w:val="0"/>
                  <w:tcMar>
                    <w:top w:w="15" w:type="dxa"/>
                    <w:left w:w="15" w:type="dxa"/>
                    <w:right w:w="15" w:type="dxa"/>
                  </w:tcMar>
                  <w:vAlign w:val="center"/>
                </w:tcPr>
                <w:p w14:paraId="23A8A7D1">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0.288</w:t>
                  </w:r>
                </w:p>
              </w:tc>
              <w:tc>
                <w:tcPr>
                  <w:tcW w:w="1008" w:type="dxa"/>
                  <w:noWrap w:val="0"/>
                  <w:tcMar>
                    <w:top w:w="15" w:type="dxa"/>
                    <w:left w:w="15" w:type="dxa"/>
                    <w:right w:w="15" w:type="dxa"/>
                  </w:tcMar>
                  <w:vAlign w:val="center"/>
                </w:tcPr>
                <w:p w14:paraId="704E1F65">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0.407</w:t>
                  </w:r>
                </w:p>
              </w:tc>
              <w:tc>
                <w:tcPr>
                  <w:tcW w:w="1119" w:type="dxa"/>
                  <w:noWrap w:val="0"/>
                  <w:vAlign w:val="center"/>
                </w:tcPr>
                <w:p w14:paraId="342EDD8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10.2</w:t>
                  </w:r>
                </w:p>
              </w:tc>
              <w:tc>
                <w:tcPr>
                  <w:tcW w:w="1655" w:type="dxa"/>
                  <w:noWrap w:val="0"/>
                  <w:vAlign w:val="center"/>
                </w:tcPr>
                <w:p w14:paraId="33B10922">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7.2</w:t>
                  </w:r>
                </w:p>
              </w:tc>
            </w:tr>
            <w:tr w14:paraId="02205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4A3EB4AE">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35周</w:t>
                  </w:r>
                </w:p>
              </w:tc>
              <w:tc>
                <w:tcPr>
                  <w:tcW w:w="1019" w:type="dxa"/>
                  <w:noWrap w:val="0"/>
                  <w:tcMar>
                    <w:top w:w="15" w:type="dxa"/>
                    <w:left w:w="15" w:type="dxa"/>
                    <w:right w:w="15" w:type="dxa"/>
                  </w:tcMar>
                  <w:vAlign w:val="center"/>
                </w:tcPr>
                <w:p w14:paraId="6770385B">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32.0</w:t>
                  </w:r>
                </w:p>
              </w:tc>
              <w:tc>
                <w:tcPr>
                  <w:tcW w:w="1115" w:type="dxa"/>
                  <w:noWrap w:val="0"/>
                  <w:tcMar>
                    <w:top w:w="15" w:type="dxa"/>
                    <w:left w:w="15" w:type="dxa"/>
                    <w:right w:w="15" w:type="dxa"/>
                  </w:tcMar>
                  <w:vAlign w:val="center"/>
                </w:tcPr>
                <w:p w14:paraId="1744B4A0">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1.160</w:t>
                  </w:r>
                </w:p>
              </w:tc>
              <w:tc>
                <w:tcPr>
                  <w:tcW w:w="1008" w:type="dxa"/>
                  <w:noWrap w:val="0"/>
                  <w:tcMar>
                    <w:top w:w="15" w:type="dxa"/>
                    <w:left w:w="15" w:type="dxa"/>
                    <w:right w:w="15" w:type="dxa"/>
                  </w:tcMar>
                  <w:vAlign w:val="center"/>
                </w:tcPr>
                <w:p w14:paraId="575B3EF6">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0.551</w:t>
                  </w:r>
                </w:p>
              </w:tc>
              <w:tc>
                <w:tcPr>
                  <w:tcW w:w="1119" w:type="dxa"/>
                  <w:noWrap w:val="0"/>
                  <w:vAlign w:val="center"/>
                </w:tcPr>
                <w:p w14:paraId="04A14DC6">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10.5</w:t>
                  </w:r>
                </w:p>
              </w:tc>
              <w:tc>
                <w:tcPr>
                  <w:tcW w:w="1655" w:type="dxa"/>
                  <w:noWrap w:val="0"/>
                  <w:vAlign w:val="center"/>
                </w:tcPr>
                <w:p w14:paraId="48E9DEC5">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8.3</w:t>
                  </w:r>
                </w:p>
              </w:tc>
            </w:tr>
            <w:tr w14:paraId="53BA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2A5FFFAC">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34周</w:t>
                  </w:r>
                </w:p>
              </w:tc>
              <w:tc>
                <w:tcPr>
                  <w:tcW w:w="1019" w:type="dxa"/>
                  <w:noWrap w:val="0"/>
                  <w:tcMar>
                    <w:top w:w="15" w:type="dxa"/>
                    <w:left w:w="15" w:type="dxa"/>
                    <w:right w:w="15" w:type="dxa"/>
                  </w:tcMar>
                  <w:vAlign w:val="center"/>
                </w:tcPr>
                <w:p w14:paraId="5D2D5270">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31.8</w:t>
                  </w:r>
                </w:p>
              </w:tc>
              <w:tc>
                <w:tcPr>
                  <w:tcW w:w="1115" w:type="dxa"/>
                  <w:noWrap w:val="0"/>
                  <w:tcMar>
                    <w:top w:w="15" w:type="dxa"/>
                    <w:left w:w="15" w:type="dxa"/>
                    <w:right w:w="15" w:type="dxa"/>
                  </w:tcMar>
                  <w:vAlign w:val="center"/>
                </w:tcPr>
                <w:p w14:paraId="56E01DA3">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1.390</w:t>
                  </w:r>
                </w:p>
              </w:tc>
              <w:tc>
                <w:tcPr>
                  <w:tcW w:w="1008" w:type="dxa"/>
                  <w:noWrap w:val="0"/>
                  <w:tcMar>
                    <w:top w:w="15" w:type="dxa"/>
                    <w:left w:w="15" w:type="dxa"/>
                    <w:right w:w="15" w:type="dxa"/>
                  </w:tcMar>
                  <w:vAlign w:val="center"/>
                </w:tcPr>
                <w:p w14:paraId="583790A3">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0.549</w:t>
                  </w:r>
                </w:p>
              </w:tc>
              <w:tc>
                <w:tcPr>
                  <w:tcW w:w="1119" w:type="dxa"/>
                  <w:noWrap w:val="0"/>
                  <w:vAlign w:val="center"/>
                </w:tcPr>
                <w:p w14:paraId="00AB4887">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11.6</w:t>
                  </w:r>
                </w:p>
              </w:tc>
              <w:tc>
                <w:tcPr>
                  <w:tcW w:w="1655" w:type="dxa"/>
                  <w:noWrap w:val="0"/>
                  <w:vAlign w:val="center"/>
                </w:tcPr>
                <w:p w14:paraId="350DD8C3">
                  <w:pPr>
                    <w:keepNext w:val="0"/>
                    <w:keepLines w:val="0"/>
                    <w:pageBreakBefore w:val="0"/>
                    <w:widowControl/>
                    <w:kinsoku/>
                    <w:wordWrap/>
                    <w:overflowPunct/>
                    <w:topLinePunct w:val="0"/>
                    <w:autoSpaceDE/>
                    <w:autoSpaceDN/>
                    <w:bidi w:val="0"/>
                    <w:spacing w:line="320" w:lineRule="exact"/>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9.7</w:t>
                  </w:r>
                </w:p>
              </w:tc>
            </w:tr>
            <w:tr w14:paraId="6745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4D4822A5">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33周</w:t>
                  </w:r>
                </w:p>
              </w:tc>
              <w:tc>
                <w:tcPr>
                  <w:tcW w:w="1019" w:type="dxa"/>
                  <w:noWrap w:val="0"/>
                  <w:tcMar>
                    <w:top w:w="15" w:type="dxa"/>
                    <w:left w:w="15" w:type="dxa"/>
                    <w:right w:w="15" w:type="dxa"/>
                  </w:tcMar>
                  <w:vAlign w:val="center"/>
                </w:tcPr>
                <w:p w14:paraId="73A7D501">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 w:val="20"/>
                      <w:szCs w:val="20"/>
                      <w:lang w:val="en-US" w:eastAsia="zh-CN" w:bidi="ar"/>
                      <w14:textFill>
                        <w14:solidFill>
                          <w14:schemeClr w14:val="tx1"/>
                        </w14:solidFill>
                      </w14:textFill>
                    </w:rPr>
                  </w:pPr>
                  <w:r>
                    <w:rPr>
                      <w:rFonts w:hint="eastAsia"/>
                      <w:color w:val="000000" w:themeColor="text1"/>
                      <w:kern w:val="0"/>
                      <w:sz w:val="20"/>
                      <w:szCs w:val="20"/>
                      <w:lang w:val="en-US" w:eastAsia="zh-CN" w:bidi="ar"/>
                      <w14:textFill>
                        <w14:solidFill>
                          <w14:schemeClr w14:val="tx1"/>
                        </w14:solidFill>
                      </w14:textFill>
                    </w:rPr>
                    <w:t>16.9</w:t>
                  </w:r>
                </w:p>
              </w:tc>
              <w:tc>
                <w:tcPr>
                  <w:tcW w:w="1115" w:type="dxa"/>
                  <w:noWrap w:val="0"/>
                  <w:tcMar>
                    <w:top w:w="15" w:type="dxa"/>
                    <w:left w:w="15" w:type="dxa"/>
                    <w:right w:w="15" w:type="dxa"/>
                  </w:tcMar>
                  <w:vAlign w:val="center"/>
                </w:tcPr>
                <w:p w14:paraId="5386D70A">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 w:val="20"/>
                      <w:szCs w:val="20"/>
                      <w:lang w:val="en-US" w:eastAsia="zh-CN" w:bidi="ar"/>
                      <w14:textFill>
                        <w14:solidFill>
                          <w14:schemeClr w14:val="tx1"/>
                        </w14:solidFill>
                      </w14:textFill>
                    </w:rPr>
                  </w:pPr>
                  <w:r>
                    <w:rPr>
                      <w:rFonts w:hint="eastAsia"/>
                      <w:color w:val="000000" w:themeColor="text1"/>
                      <w:kern w:val="0"/>
                      <w:sz w:val="20"/>
                      <w:szCs w:val="20"/>
                      <w:lang w:val="en-US" w:eastAsia="zh-CN" w:bidi="ar"/>
                      <w14:textFill>
                        <w14:solidFill>
                          <w14:schemeClr w14:val="tx1"/>
                        </w14:solidFill>
                      </w14:textFill>
                    </w:rPr>
                    <w:t>1.934</w:t>
                  </w:r>
                </w:p>
              </w:tc>
              <w:tc>
                <w:tcPr>
                  <w:tcW w:w="1008" w:type="dxa"/>
                  <w:noWrap w:val="0"/>
                  <w:tcMar>
                    <w:top w:w="15" w:type="dxa"/>
                    <w:left w:w="15" w:type="dxa"/>
                    <w:right w:w="15" w:type="dxa"/>
                  </w:tcMar>
                  <w:vAlign w:val="center"/>
                </w:tcPr>
                <w:p w14:paraId="07935CEA">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 w:val="20"/>
                      <w:szCs w:val="20"/>
                      <w:lang w:val="en-US" w:eastAsia="zh-CN" w:bidi="ar"/>
                      <w14:textFill>
                        <w14:solidFill>
                          <w14:schemeClr w14:val="tx1"/>
                        </w14:solidFill>
                      </w14:textFill>
                    </w:rPr>
                  </w:pPr>
                  <w:r>
                    <w:rPr>
                      <w:rFonts w:hint="eastAsia"/>
                      <w:color w:val="000000" w:themeColor="text1"/>
                      <w:kern w:val="0"/>
                      <w:sz w:val="20"/>
                      <w:szCs w:val="20"/>
                      <w:lang w:val="en-US" w:eastAsia="zh-CN" w:bidi="ar"/>
                      <w14:textFill>
                        <w14:solidFill>
                          <w14:schemeClr w14:val="tx1"/>
                        </w14:solidFill>
                      </w14:textFill>
                    </w:rPr>
                    <w:t>0.456</w:t>
                  </w:r>
                </w:p>
              </w:tc>
              <w:tc>
                <w:tcPr>
                  <w:tcW w:w="1119" w:type="dxa"/>
                  <w:noWrap w:val="0"/>
                  <w:vAlign w:val="center"/>
                </w:tcPr>
                <w:p w14:paraId="7EA1C064">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 w:val="20"/>
                      <w:szCs w:val="20"/>
                      <w:lang w:val="en-US" w:eastAsia="zh-CN" w:bidi="ar"/>
                      <w14:textFill>
                        <w14:solidFill>
                          <w14:schemeClr w14:val="tx1"/>
                        </w14:solidFill>
                      </w14:textFill>
                    </w:rPr>
                  </w:pPr>
                  <w:r>
                    <w:rPr>
                      <w:rFonts w:hint="eastAsia"/>
                      <w:color w:val="000000" w:themeColor="text1"/>
                      <w:kern w:val="0"/>
                      <w:sz w:val="20"/>
                      <w:szCs w:val="20"/>
                      <w:lang w:val="en-US" w:eastAsia="zh-CN" w:bidi="ar"/>
                      <w14:textFill>
                        <w14:solidFill>
                          <w14:schemeClr w14:val="tx1"/>
                        </w14:solidFill>
                      </w14:textFill>
                    </w:rPr>
                    <w:t>11.9</w:t>
                  </w:r>
                </w:p>
              </w:tc>
              <w:tc>
                <w:tcPr>
                  <w:tcW w:w="1655" w:type="dxa"/>
                  <w:noWrap w:val="0"/>
                  <w:vAlign w:val="center"/>
                </w:tcPr>
                <w:p w14:paraId="0ABAF436">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 w:val="20"/>
                      <w:szCs w:val="20"/>
                      <w:lang w:val="en-US" w:eastAsia="zh-CN" w:bidi="ar"/>
                      <w14:textFill>
                        <w14:solidFill>
                          <w14:schemeClr w14:val="tx1"/>
                        </w14:solidFill>
                      </w14:textFill>
                    </w:rPr>
                  </w:pPr>
                  <w:r>
                    <w:rPr>
                      <w:rFonts w:hint="eastAsia"/>
                      <w:color w:val="000000" w:themeColor="text1"/>
                      <w:kern w:val="0"/>
                      <w:sz w:val="20"/>
                      <w:szCs w:val="20"/>
                      <w:lang w:val="en-US" w:eastAsia="zh-CN" w:bidi="ar"/>
                      <w14:textFill>
                        <w14:solidFill>
                          <w14:schemeClr w14:val="tx1"/>
                        </w14:solidFill>
                      </w14:textFill>
                    </w:rPr>
                    <w:t>8.2</w:t>
                  </w:r>
                </w:p>
              </w:tc>
            </w:tr>
            <w:tr w14:paraId="63CB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053972F1">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32周</w:t>
                  </w:r>
                </w:p>
              </w:tc>
              <w:tc>
                <w:tcPr>
                  <w:tcW w:w="1019" w:type="dxa"/>
                  <w:noWrap w:val="0"/>
                  <w:tcMar>
                    <w:top w:w="15" w:type="dxa"/>
                    <w:left w:w="15" w:type="dxa"/>
                    <w:right w:w="15" w:type="dxa"/>
                  </w:tcMar>
                  <w:vAlign w:val="center"/>
                </w:tcPr>
                <w:p w14:paraId="0797433D">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 w:val="20"/>
                      <w:szCs w:val="20"/>
                      <w:lang w:val="en-US" w:eastAsia="zh-CN" w:bidi="ar"/>
                      <w14:textFill>
                        <w14:solidFill>
                          <w14:schemeClr w14:val="tx1"/>
                        </w14:solidFill>
                      </w14:textFill>
                    </w:rPr>
                  </w:pPr>
                  <w:r>
                    <w:rPr>
                      <w:rFonts w:hint="eastAsia"/>
                      <w:color w:val="000000" w:themeColor="text1"/>
                      <w:kern w:val="0"/>
                      <w:sz w:val="20"/>
                      <w:szCs w:val="20"/>
                      <w:lang w:val="en-US" w:eastAsia="zh-CN" w:bidi="ar"/>
                      <w14:textFill>
                        <w14:solidFill>
                          <w14:schemeClr w14:val="tx1"/>
                        </w14:solidFill>
                      </w14:textFill>
                    </w:rPr>
                    <w:t>28.0</w:t>
                  </w:r>
                </w:p>
              </w:tc>
              <w:tc>
                <w:tcPr>
                  <w:tcW w:w="1115" w:type="dxa"/>
                  <w:noWrap w:val="0"/>
                  <w:tcMar>
                    <w:top w:w="15" w:type="dxa"/>
                    <w:left w:w="15" w:type="dxa"/>
                    <w:right w:w="15" w:type="dxa"/>
                  </w:tcMar>
                  <w:vAlign w:val="center"/>
                </w:tcPr>
                <w:p w14:paraId="027699B4">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 w:val="20"/>
                      <w:szCs w:val="20"/>
                      <w:lang w:val="en-US" w:eastAsia="zh-CN" w:bidi="ar"/>
                      <w14:textFill>
                        <w14:solidFill>
                          <w14:schemeClr w14:val="tx1"/>
                        </w14:solidFill>
                      </w14:textFill>
                    </w:rPr>
                  </w:pPr>
                  <w:r>
                    <w:rPr>
                      <w:rFonts w:hint="eastAsia"/>
                      <w:color w:val="000000" w:themeColor="text1"/>
                      <w:kern w:val="0"/>
                      <w:sz w:val="20"/>
                      <w:szCs w:val="20"/>
                      <w:lang w:val="en-US" w:eastAsia="zh-CN" w:bidi="ar"/>
                      <w14:textFill>
                        <w14:solidFill>
                          <w14:schemeClr w14:val="tx1"/>
                        </w14:solidFill>
                      </w14:textFill>
                    </w:rPr>
                    <w:t>0.775</w:t>
                  </w:r>
                </w:p>
              </w:tc>
              <w:tc>
                <w:tcPr>
                  <w:tcW w:w="1008" w:type="dxa"/>
                  <w:noWrap w:val="0"/>
                  <w:tcMar>
                    <w:top w:w="15" w:type="dxa"/>
                    <w:left w:w="15" w:type="dxa"/>
                    <w:right w:w="15" w:type="dxa"/>
                  </w:tcMar>
                  <w:vAlign w:val="center"/>
                </w:tcPr>
                <w:p w14:paraId="67002869">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 w:val="20"/>
                      <w:szCs w:val="20"/>
                      <w:lang w:val="en-US" w:eastAsia="zh-CN" w:bidi="ar"/>
                      <w14:textFill>
                        <w14:solidFill>
                          <w14:schemeClr w14:val="tx1"/>
                        </w14:solidFill>
                      </w14:textFill>
                    </w:rPr>
                  </w:pPr>
                  <w:r>
                    <w:rPr>
                      <w:rFonts w:hint="eastAsia"/>
                      <w:color w:val="000000" w:themeColor="text1"/>
                      <w:kern w:val="0"/>
                      <w:sz w:val="20"/>
                      <w:szCs w:val="20"/>
                      <w:lang w:val="en-US" w:eastAsia="zh-CN" w:bidi="ar"/>
                      <w14:textFill>
                        <w14:solidFill>
                          <w14:schemeClr w14:val="tx1"/>
                        </w14:solidFill>
                      </w14:textFill>
                    </w:rPr>
                    <w:t>0.411</w:t>
                  </w:r>
                </w:p>
              </w:tc>
              <w:tc>
                <w:tcPr>
                  <w:tcW w:w="1119" w:type="dxa"/>
                  <w:noWrap w:val="0"/>
                  <w:vAlign w:val="center"/>
                </w:tcPr>
                <w:p w14:paraId="5E5D5378">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 w:val="20"/>
                      <w:szCs w:val="20"/>
                      <w:lang w:val="en-US" w:eastAsia="zh-CN" w:bidi="ar"/>
                      <w14:textFill>
                        <w14:solidFill>
                          <w14:schemeClr w14:val="tx1"/>
                        </w14:solidFill>
                      </w14:textFill>
                    </w:rPr>
                  </w:pPr>
                  <w:r>
                    <w:rPr>
                      <w:rFonts w:hint="eastAsia"/>
                      <w:color w:val="000000" w:themeColor="text1"/>
                      <w:kern w:val="0"/>
                      <w:sz w:val="20"/>
                      <w:szCs w:val="20"/>
                      <w:lang w:val="en-US" w:eastAsia="zh-CN" w:bidi="ar"/>
                      <w14:textFill>
                        <w14:solidFill>
                          <w14:schemeClr w14:val="tx1"/>
                        </w14:solidFill>
                      </w14:textFill>
                    </w:rPr>
                    <w:t>10.0</w:t>
                  </w:r>
                </w:p>
              </w:tc>
              <w:tc>
                <w:tcPr>
                  <w:tcW w:w="1655" w:type="dxa"/>
                  <w:noWrap w:val="0"/>
                  <w:vAlign w:val="center"/>
                </w:tcPr>
                <w:p w14:paraId="0E676AAC">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 w:val="20"/>
                      <w:szCs w:val="20"/>
                      <w:lang w:val="en-US" w:eastAsia="zh-CN" w:bidi="ar"/>
                      <w14:textFill>
                        <w14:solidFill>
                          <w14:schemeClr w14:val="tx1"/>
                        </w14:solidFill>
                      </w14:textFill>
                    </w:rPr>
                  </w:pPr>
                  <w:r>
                    <w:rPr>
                      <w:rFonts w:hint="eastAsia"/>
                      <w:color w:val="000000" w:themeColor="text1"/>
                      <w:kern w:val="0"/>
                      <w:sz w:val="20"/>
                      <w:szCs w:val="20"/>
                      <w:lang w:val="en-US" w:eastAsia="zh-CN" w:bidi="ar"/>
                      <w14:textFill>
                        <w14:solidFill>
                          <w14:schemeClr w14:val="tx1"/>
                        </w14:solidFill>
                      </w14:textFill>
                    </w:rPr>
                    <w:t>8.0</w:t>
                  </w:r>
                </w:p>
              </w:tc>
            </w:tr>
            <w:tr w14:paraId="170E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2EEB1A78">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31周</w:t>
                  </w:r>
                </w:p>
              </w:tc>
              <w:tc>
                <w:tcPr>
                  <w:tcW w:w="1019" w:type="dxa"/>
                  <w:noWrap w:val="0"/>
                  <w:tcMar>
                    <w:top w:w="15" w:type="dxa"/>
                    <w:left w:w="15" w:type="dxa"/>
                    <w:right w:w="15" w:type="dxa"/>
                  </w:tcMar>
                  <w:vAlign w:val="center"/>
                </w:tcPr>
                <w:p w14:paraId="35DE56B8">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28.3</w:t>
                  </w:r>
                </w:p>
              </w:tc>
              <w:tc>
                <w:tcPr>
                  <w:tcW w:w="1115" w:type="dxa"/>
                  <w:noWrap w:val="0"/>
                  <w:tcMar>
                    <w:top w:w="15" w:type="dxa"/>
                    <w:left w:w="15" w:type="dxa"/>
                    <w:right w:w="15" w:type="dxa"/>
                  </w:tcMar>
                  <w:vAlign w:val="center"/>
                </w:tcPr>
                <w:p w14:paraId="57A7CAE8">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0.385</w:t>
                  </w:r>
                </w:p>
              </w:tc>
              <w:tc>
                <w:tcPr>
                  <w:tcW w:w="1008" w:type="dxa"/>
                  <w:noWrap w:val="0"/>
                  <w:tcMar>
                    <w:top w:w="15" w:type="dxa"/>
                    <w:left w:w="15" w:type="dxa"/>
                    <w:right w:w="15" w:type="dxa"/>
                  </w:tcMar>
                  <w:vAlign w:val="center"/>
                </w:tcPr>
                <w:p w14:paraId="726F5BE8">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0.357</w:t>
                  </w:r>
                </w:p>
              </w:tc>
              <w:tc>
                <w:tcPr>
                  <w:tcW w:w="1119" w:type="dxa"/>
                  <w:noWrap w:val="0"/>
                  <w:vAlign w:val="center"/>
                </w:tcPr>
                <w:p w14:paraId="606C9FD2">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8.99</w:t>
                  </w:r>
                </w:p>
              </w:tc>
              <w:tc>
                <w:tcPr>
                  <w:tcW w:w="1655" w:type="dxa"/>
                  <w:noWrap w:val="0"/>
                  <w:vAlign w:val="center"/>
                </w:tcPr>
                <w:p w14:paraId="14D18CC7">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7.8</w:t>
                  </w:r>
                </w:p>
              </w:tc>
            </w:tr>
            <w:tr w14:paraId="7551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22B05821">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30周</w:t>
                  </w:r>
                </w:p>
              </w:tc>
              <w:tc>
                <w:tcPr>
                  <w:tcW w:w="1019" w:type="dxa"/>
                  <w:noWrap w:val="0"/>
                  <w:tcMar>
                    <w:top w:w="15" w:type="dxa"/>
                    <w:left w:w="15" w:type="dxa"/>
                    <w:right w:w="15" w:type="dxa"/>
                  </w:tcMar>
                  <w:vAlign w:val="center"/>
                </w:tcPr>
                <w:p w14:paraId="6800AF0F">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49.2</w:t>
                  </w:r>
                </w:p>
              </w:tc>
              <w:tc>
                <w:tcPr>
                  <w:tcW w:w="1115" w:type="dxa"/>
                  <w:noWrap w:val="0"/>
                  <w:tcMar>
                    <w:top w:w="15" w:type="dxa"/>
                    <w:left w:w="15" w:type="dxa"/>
                    <w:right w:w="15" w:type="dxa"/>
                  </w:tcMar>
                  <w:vAlign w:val="center"/>
                </w:tcPr>
                <w:p w14:paraId="6473DCA6">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0.75</w:t>
                  </w:r>
                </w:p>
              </w:tc>
              <w:tc>
                <w:tcPr>
                  <w:tcW w:w="1008" w:type="dxa"/>
                  <w:noWrap w:val="0"/>
                  <w:tcMar>
                    <w:top w:w="15" w:type="dxa"/>
                    <w:left w:w="15" w:type="dxa"/>
                    <w:right w:w="15" w:type="dxa"/>
                  </w:tcMar>
                  <w:vAlign w:val="center"/>
                </w:tcPr>
                <w:p w14:paraId="2EFCBE6F">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0.573</w:t>
                  </w:r>
                </w:p>
              </w:tc>
              <w:tc>
                <w:tcPr>
                  <w:tcW w:w="1119" w:type="dxa"/>
                  <w:noWrap w:val="0"/>
                  <w:vAlign w:val="center"/>
                </w:tcPr>
                <w:p w14:paraId="423491DB">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7.68</w:t>
                  </w:r>
                </w:p>
              </w:tc>
              <w:tc>
                <w:tcPr>
                  <w:tcW w:w="1655" w:type="dxa"/>
                  <w:noWrap w:val="0"/>
                  <w:vAlign w:val="center"/>
                </w:tcPr>
                <w:p w14:paraId="21CFFF9C">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7.9</w:t>
                  </w:r>
                </w:p>
              </w:tc>
            </w:tr>
            <w:tr w14:paraId="2E69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1F46F905">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29周</w:t>
                  </w:r>
                </w:p>
              </w:tc>
              <w:tc>
                <w:tcPr>
                  <w:tcW w:w="1019" w:type="dxa"/>
                  <w:noWrap w:val="0"/>
                  <w:tcMar>
                    <w:top w:w="15" w:type="dxa"/>
                    <w:left w:w="15" w:type="dxa"/>
                    <w:right w:w="15" w:type="dxa"/>
                  </w:tcMar>
                  <w:vAlign w:val="center"/>
                </w:tcPr>
                <w:p w14:paraId="61B58E5C">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37.7</w:t>
                  </w:r>
                </w:p>
              </w:tc>
              <w:tc>
                <w:tcPr>
                  <w:tcW w:w="1115" w:type="dxa"/>
                  <w:noWrap w:val="0"/>
                  <w:tcMar>
                    <w:top w:w="15" w:type="dxa"/>
                    <w:left w:w="15" w:type="dxa"/>
                    <w:right w:w="15" w:type="dxa"/>
                  </w:tcMar>
                  <w:vAlign w:val="center"/>
                </w:tcPr>
                <w:p w14:paraId="5E0EC2D7">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1.16</w:t>
                  </w:r>
                </w:p>
              </w:tc>
              <w:tc>
                <w:tcPr>
                  <w:tcW w:w="1008" w:type="dxa"/>
                  <w:noWrap w:val="0"/>
                  <w:tcMar>
                    <w:top w:w="15" w:type="dxa"/>
                    <w:left w:w="15" w:type="dxa"/>
                    <w:right w:w="15" w:type="dxa"/>
                  </w:tcMar>
                  <w:vAlign w:val="center"/>
                </w:tcPr>
                <w:p w14:paraId="5B6A5ADD">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0.557</w:t>
                  </w:r>
                </w:p>
              </w:tc>
              <w:tc>
                <w:tcPr>
                  <w:tcW w:w="1119" w:type="dxa"/>
                  <w:noWrap w:val="0"/>
                  <w:vAlign w:val="center"/>
                </w:tcPr>
                <w:p w14:paraId="1EB8671D">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9.63</w:t>
                  </w:r>
                </w:p>
              </w:tc>
              <w:tc>
                <w:tcPr>
                  <w:tcW w:w="1655" w:type="dxa"/>
                  <w:noWrap w:val="0"/>
                  <w:vAlign w:val="center"/>
                </w:tcPr>
                <w:p w14:paraId="65CA6CB0">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10.0</w:t>
                  </w:r>
                </w:p>
              </w:tc>
            </w:tr>
            <w:tr w14:paraId="66FF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331492FE">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28周</w:t>
                  </w:r>
                </w:p>
              </w:tc>
              <w:tc>
                <w:tcPr>
                  <w:tcW w:w="1019" w:type="dxa"/>
                  <w:noWrap w:val="0"/>
                  <w:tcMar>
                    <w:top w:w="15" w:type="dxa"/>
                    <w:left w:w="15" w:type="dxa"/>
                    <w:right w:w="15" w:type="dxa"/>
                  </w:tcMar>
                  <w:vAlign w:val="center"/>
                </w:tcPr>
                <w:p w14:paraId="1CC414C6">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41.4</w:t>
                  </w:r>
                </w:p>
              </w:tc>
              <w:tc>
                <w:tcPr>
                  <w:tcW w:w="1115" w:type="dxa"/>
                  <w:noWrap w:val="0"/>
                  <w:tcMar>
                    <w:top w:w="15" w:type="dxa"/>
                    <w:left w:w="15" w:type="dxa"/>
                    <w:right w:w="15" w:type="dxa"/>
                  </w:tcMar>
                  <w:vAlign w:val="center"/>
                </w:tcPr>
                <w:p w14:paraId="1AD70122">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1.471</w:t>
                  </w:r>
                </w:p>
              </w:tc>
              <w:tc>
                <w:tcPr>
                  <w:tcW w:w="1008" w:type="dxa"/>
                  <w:noWrap w:val="0"/>
                  <w:tcMar>
                    <w:top w:w="15" w:type="dxa"/>
                    <w:left w:w="15" w:type="dxa"/>
                    <w:right w:w="15" w:type="dxa"/>
                  </w:tcMar>
                  <w:vAlign w:val="center"/>
                </w:tcPr>
                <w:p w14:paraId="00E5D4F5">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0.48</w:t>
                  </w:r>
                </w:p>
              </w:tc>
              <w:tc>
                <w:tcPr>
                  <w:tcW w:w="1119" w:type="dxa"/>
                  <w:noWrap w:val="0"/>
                  <w:vAlign w:val="center"/>
                </w:tcPr>
                <w:p w14:paraId="043D0F9B">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8.88</w:t>
                  </w:r>
                </w:p>
              </w:tc>
              <w:tc>
                <w:tcPr>
                  <w:tcW w:w="1655" w:type="dxa"/>
                  <w:noWrap w:val="0"/>
                  <w:vAlign w:val="center"/>
                </w:tcPr>
                <w:p w14:paraId="6B469FFD">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10.1</w:t>
                  </w:r>
                </w:p>
              </w:tc>
            </w:tr>
            <w:tr w14:paraId="29FF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3979C23F">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27周</w:t>
                  </w:r>
                </w:p>
              </w:tc>
              <w:tc>
                <w:tcPr>
                  <w:tcW w:w="1019" w:type="dxa"/>
                  <w:noWrap w:val="0"/>
                  <w:tcMar>
                    <w:top w:w="15" w:type="dxa"/>
                    <w:left w:w="15" w:type="dxa"/>
                    <w:right w:w="15" w:type="dxa"/>
                  </w:tcMar>
                  <w:vAlign w:val="center"/>
                </w:tcPr>
                <w:p w14:paraId="0EECBC82">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50.1</w:t>
                  </w:r>
                </w:p>
              </w:tc>
              <w:tc>
                <w:tcPr>
                  <w:tcW w:w="1115" w:type="dxa"/>
                  <w:noWrap w:val="0"/>
                  <w:tcMar>
                    <w:top w:w="15" w:type="dxa"/>
                    <w:left w:w="15" w:type="dxa"/>
                    <w:right w:w="15" w:type="dxa"/>
                  </w:tcMar>
                  <w:vAlign w:val="center"/>
                </w:tcPr>
                <w:p w14:paraId="32CBCA0D">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1.252</w:t>
                  </w:r>
                </w:p>
              </w:tc>
              <w:tc>
                <w:tcPr>
                  <w:tcW w:w="1008" w:type="dxa"/>
                  <w:noWrap w:val="0"/>
                  <w:tcMar>
                    <w:top w:w="15" w:type="dxa"/>
                    <w:left w:w="15" w:type="dxa"/>
                    <w:right w:w="15" w:type="dxa"/>
                  </w:tcMar>
                  <w:vAlign w:val="center"/>
                </w:tcPr>
                <w:p w14:paraId="7A530335">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0.37</w:t>
                  </w:r>
                </w:p>
              </w:tc>
              <w:tc>
                <w:tcPr>
                  <w:tcW w:w="1119" w:type="dxa"/>
                  <w:noWrap w:val="0"/>
                  <w:vAlign w:val="center"/>
                </w:tcPr>
                <w:p w14:paraId="60D6EDEA">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6.29</w:t>
                  </w:r>
                </w:p>
              </w:tc>
              <w:tc>
                <w:tcPr>
                  <w:tcW w:w="1655" w:type="dxa"/>
                  <w:noWrap w:val="0"/>
                  <w:vAlign w:val="center"/>
                </w:tcPr>
                <w:p w14:paraId="40EC324D">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9.4</w:t>
                  </w:r>
                </w:p>
              </w:tc>
            </w:tr>
            <w:tr w14:paraId="1067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67586D5A">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26周</w:t>
                  </w:r>
                </w:p>
              </w:tc>
              <w:tc>
                <w:tcPr>
                  <w:tcW w:w="1019" w:type="dxa"/>
                  <w:noWrap w:val="0"/>
                  <w:tcMar>
                    <w:top w:w="15" w:type="dxa"/>
                    <w:left w:w="15" w:type="dxa"/>
                    <w:right w:w="15" w:type="dxa"/>
                  </w:tcMar>
                  <w:vAlign w:val="center"/>
                </w:tcPr>
                <w:p w14:paraId="645912C0">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41.4</w:t>
                  </w:r>
                </w:p>
              </w:tc>
              <w:tc>
                <w:tcPr>
                  <w:tcW w:w="1115" w:type="dxa"/>
                  <w:noWrap w:val="0"/>
                  <w:tcMar>
                    <w:top w:w="15" w:type="dxa"/>
                    <w:left w:w="15" w:type="dxa"/>
                    <w:right w:w="15" w:type="dxa"/>
                  </w:tcMar>
                  <w:vAlign w:val="center"/>
                </w:tcPr>
                <w:p w14:paraId="2E065204">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0.35</w:t>
                  </w:r>
                </w:p>
              </w:tc>
              <w:tc>
                <w:tcPr>
                  <w:tcW w:w="1008" w:type="dxa"/>
                  <w:noWrap w:val="0"/>
                  <w:tcMar>
                    <w:top w:w="15" w:type="dxa"/>
                    <w:left w:w="15" w:type="dxa"/>
                    <w:right w:w="15" w:type="dxa"/>
                  </w:tcMar>
                  <w:vAlign w:val="center"/>
                </w:tcPr>
                <w:p w14:paraId="47D5BE15">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0.153</w:t>
                  </w:r>
                </w:p>
              </w:tc>
              <w:tc>
                <w:tcPr>
                  <w:tcW w:w="1119" w:type="dxa"/>
                  <w:noWrap w:val="0"/>
                  <w:vAlign w:val="center"/>
                </w:tcPr>
                <w:p w14:paraId="57BAC211">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6.08</w:t>
                  </w:r>
                </w:p>
              </w:tc>
              <w:tc>
                <w:tcPr>
                  <w:tcW w:w="1655" w:type="dxa"/>
                  <w:noWrap w:val="0"/>
                  <w:vAlign w:val="center"/>
                </w:tcPr>
                <w:p w14:paraId="31EF6191">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11.5</w:t>
                  </w:r>
                </w:p>
              </w:tc>
            </w:tr>
            <w:tr w14:paraId="7978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0C61ACFC">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25周</w:t>
                  </w:r>
                </w:p>
              </w:tc>
              <w:tc>
                <w:tcPr>
                  <w:tcW w:w="1019" w:type="dxa"/>
                  <w:noWrap w:val="0"/>
                  <w:tcMar>
                    <w:top w:w="15" w:type="dxa"/>
                    <w:left w:w="15" w:type="dxa"/>
                    <w:right w:w="15" w:type="dxa"/>
                  </w:tcMar>
                  <w:vAlign w:val="center"/>
                </w:tcPr>
                <w:p w14:paraId="690A1B59">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38.4</w:t>
                  </w:r>
                </w:p>
              </w:tc>
              <w:tc>
                <w:tcPr>
                  <w:tcW w:w="1115" w:type="dxa"/>
                  <w:noWrap w:val="0"/>
                  <w:tcMar>
                    <w:top w:w="15" w:type="dxa"/>
                    <w:left w:w="15" w:type="dxa"/>
                    <w:right w:w="15" w:type="dxa"/>
                  </w:tcMar>
                  <w:vAlign w:val="center"/>
                </w:tcPr>
                <w:p w14:paraId="0954B2D1">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0.39</w:t>
                  </w:r>
                </w:p>
              </w:tc>
              <w:tc>
                <w:tcPr>
                  <w:tcW w:w="1008" w:type="dxa"/>
                  <w:noWrap w:val="0"/>
                  <w:tcMar>
                    <w:top w:w="15" w:type="dxa"/>
                    <w:left w:w="15" w:type="dxa"/>
                    <w:right w:w="15" w:type="dxa"/>
                  </w:tcMar>
                  <w:vAlign w:val="center"/>
                </w:tcPr>
                <w:p w14:paraId="288936A6">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0.217</w:t>
                  </w:r>
                </w:p>
              </w:tc>
              <w:tc>
                <w:tcPr>
                  <w:tcW w:w="1119" w:type="dxa"/>
                  <w:noWrap w:val="0"/>
                  <w:vAlign w:val="center"/>
                </w:tcPr>
                <w:p w14:paraId="5AE15B2E">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4.6</w:t>
                  </w:r>
                </w:p>
              </w:tc>
              <w:tc>
                <w:tcPr>
                  <w:tcW w:w="1655" w:type="dxa"/>
                  <w:noWrap w:val="0"/>
                  <w:vAlign w:val="center"/>
                </w:tcPr>
                <w:p w14:paraId="1920B6CF">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9.7</w:t>
                  </w:r>
                </w:p>
              </w:tc>
            </w:tr>
            <w:tr w14:paraId="5ECF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393CED76">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24周</w:t>
                  </w:r>
                </w:p>
              </w:tc>
              <w:tc>
                <w:tcPr>
                  <w:tcW w:w="1019" w:type="dxa"/>
                  <w:noWrap w:val="0"/>
                  <w:tcMar>
                    <w:top w:w="15" w:type="dxa"/>
                    <w:left w:w="15" w:type="dxa"/>
                    <w:right w:w="15" w:type="dxa"/>
                  </w:tcMar>
                  <w:vAlign w:val="center"/>
                </w:tcPr>
                <w:p w14:paraId="3C5B3E99">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33.6</w:t>
                  </w:r>
                </w:p>
              </w:tc>
              <w:tc>
                <w:tcPr>
                  <w:tcW w:w="1115" w:type="dxa"/>
                  <w:noWrap w:val="0"/>
                  <w:tcMar>
                    <w:top w:w="15" w:type="dxa"/>
                    <w:left w:w="15" w:type="dxa"/>
                    <w:right w:w="15" w:type="dxa"/>
                  </w:tcMar>
                  <w:vAlign w:val="center"/>
                </w:tcPr>
                <w:p w14:paraId="102C2934">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0.06</w:t>
                  </w:r>
                </w:p>
              </w:tc>
              <w:tc>
                <w:tcPr>
                  <w:tcW w:w="1008" w:type="dxa"/>
                  <w:noWrap w:val="0"/>
                  <w:tcMar>
                    <w:top w:w="15" w:type="dxa"/>
                    <w:left w:w="15" w:type="dxa"/>
                    <w:right w:w="15" w:type="dxa"/>
                  </w:tcMar>
                  <w:vAlign w:val="center"/>
                </w:tcPr>
                <w:p w14:paraId="52BA3BAB">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0.176</w:t>
                  </w:r>
                </w:p>
              </w:tc>
              <w:tc>
                <w:tcPr>
                  <w:tcW w:w="1119" w:type="dxa"/>
                  <w:noWrap w:val="0"/>
                  <w:vAlign w:val="center"/>
                </w:tcPr>
                <w:p w14:paraId="3DE2D51F">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5.0</w:t>
                  </w:r>
                </w:p>
              </w:tc>
              <w:tc>
                <w:tcPr>
                  <w:tcW w:w="1655" w:type="dxa"/>
                  <w:noWrap w:val="0"/>
                  <w:vAlign w:val="center"/>
                </w:tcPr>
                <w:p w14:paraId="341E3391">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7.9</w:t>
                  </w:r>
                </w:p>
              </w:tc>
            </w:tr>
            <w:tr w14:paraId="7B2E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03319AA7">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23周</w:t>
                  </w:r>
                </w:p>
              </w:tc>
              <w:tc>
                <w:tcPr>
                  <w:tcW w:w="1019" w:type="dxa"/>
                  <w:noWrap w:val="0"/>
                  <w:tcMar>
                    <w:top w:w="15" w:type="dxa"/>
                    <w:left w:w="15" w:type="dxa"/>
                    <w:right w:w="15" w:type="dxa"/>
                  </w:tcMar>
                  <w:vAlign w:val="center"/>
                </w:tcPr>
                <w:p w14:paraId="73111938">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26.9</w:t>
                  </w:r>
                </w:p>
              </w:tc>
              <w:tc>
                <w:tcPr>
                  <w:tcW w:w="1115" w:type="dxa"/>
                  <w:noWrap w:val="0"/>
                  <w:tcMar>
                    <w:top w:w="15" w:type="dxa"/>
                    <w:left w:w="15" w:type="dxa"/>
                    <w:right w:w="15" w:type="dxa"/>
                  </w:tcMar>
                  <w:vAlign w:val="center"/>
                </w:tcPr>
                <w:p w14:paraId="0F49BEC9">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0.07</w:t>
                  </w:r>
                </w:p>
              </w:tc>
              <w:tc>
                <w:tcPr>
                  <w:tcW w:w="1008" w:type="dxa"/>
                  <w:noWrap w:val="0"/>
                  <w:tcMar>
                    <w:top w:w="15" w:type="dxa"/>
                    <w:left w:w="15" w:type="dxa"/>
                    <w:right w:w="15" w:type="dxa"/>
                  </w:tcMar>
                  <w:vAlign w:val="center"/>
                </w:tcPr>
                <w:p w14:paraId="1D6D6DBB">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0.142</w:t>
                  </w:r>
                </w:p>
              </w:tc>
              <w:tc>
                <w:tcPr>
                  <w:tcW w:w="1119" w:type="dxa"/>
                  <w:noWrap w:val="0"/>
                  <w:vAlign w:val="center"/>
                </w:tcPr>
                <w:p w14:paraId="686F1EC6">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5.9</w:t>
                  </w:r>
                </w:p>
              </w:tc>
              <w:tc>
                <w:tcPr>
                  <w:tcW w:w="1655" w:type="dxa"/>
                  <w:noWrap w:val="0"/>
                  <w:vAlign w:val="center"/>
                </w:tcPr>
                <w:p w14:paraId="03532C46">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7.5</w:t>
                  </w:r>
                </w:p>
              </w:tc>
            </w:tr>
            <w:tr w14:paraId="2CE0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794526C5">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22周</w:t>
                  </w:r>
                </w:p>
              </w:tc>
              <w:tc>
                <w:tcPr>
                  <w:tcW w:w="1019" w:type="dxa"/>
                  <w:noWrap w:val="0"/>
                  <w:tcMar>
                    <w:top w:w="15" w:type="dxa"/>
                    <w:left w:w="15" w:type="dxa"/>
                    <w:right w:w="15" w:type="dxa"/>
                  </w:tcMar>
                  <w:vAlign w:val="center"/>
                </w:tcPr>
                <w:p w14:paraId="6DB1CF7B">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40.9</w:t>
                  </w:r>
                </w:p>
              </w:tc>
              <w:tc>
                <w:tcPr>
                  <w:tcW w:w="1115" w:type="dxa"/>
                  <w:noWrap w:val="0"/>
                  <w:tcMar>
                    <w:top w:w="15" w:type="dxa"/>
                    <w:left w:w="15" w:type="dxa"/>
                    <w:right w:w="15" w:type="dxa"/>
                  </w:tcMar>
                  <w:vAlign w:val="center"/>
                </w:tcPr>
                <w:p w14:paraId="404F4565">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0.05</w:t>
                  </w:r>
                </w:p>
              </w:tc>
              <w:tc>
                <w:tcPr>
                  <w:tcW w:w="1008" w:type="dxa"/>
                  <w:noWrap w:val="0"/>
                  <w:tcMar>
                    <w:top w:w="15" w:type="dxa"/>
                    <w:left w:w="15" w:type="dxa"/>
                    <w:right w:w="15" w:type="dxa"/>
                  </w:tcMar>
                  <w:vAlign w:val="center"/>
                </w:tcPr>
                <w:p w14:paraId="57D83B31">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0.237</w:t>
                  </w:r>
                </w:p>
              </w:tc>
              <w:tc>
                <w:tcPr>
                  <w:tcW w:w="1119" w:type="dxa"/>
                  <w:noWrap w:val="0"/>
                  <w:vAlign w:val="center"/>
                </w:tcPr>
                <w:p w14:paraId="7E7DDC92">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5.5</w:t>
                  </w:r>
                </w:p>
              </w:tc>
              <w:tc>
                <w:tcPr>
                  <w:tcW w:w="1655" w:type="dxa"/>
                  <w:noWrap w:val="0"/>
                  <w:vAlign w:val="center"/>
                </w:tcPr>
                <w:p w14:paraId="279611E9">
                  <w:pPr>
                    <w:keepNext w:val="0"/>
                    <w:keepLines w:val="0"/>
                    <w:pageBreakBefore w:val="0"/>
                    <w:widowControl/>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10.1</w:t>
                  </w:r>
                </w:p>
              </w:tc>
            </w:tr>
            <w:tr w14:paraId="587C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74C39092">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20周</w:t>
                  </w:r>
                </w:p>
              </w:tc>
              <w:tc>
                <w:tcPr>
                  <w:tcW w:w="1019" w:type="dxa"/>
                  <w:noWrap w:val="0"/>
                  <w:tcMar>
                    <w:top w:w="15" w:type="dxa"/>
                    <w:left w:w="15" w:type="dxa"/>
                    <w:right w:w="15" w:type="dxa"/>
                  </w:tcMar>
                  <w:vAlign w:val="center"/>
                </w:tcPr>
                <w:p w14:paraId="4A86A80E">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26.3</w:t>
                  </w:r>
                </w:p>
              </w:tc>
              <w:tc>
                <w:tcPr>
                  <w:tcW w:w="1115" w:type="dxa"/>
                  <w:noWrap w:val="0"/>
                  <w:tcMar>
                    <w:top w:w="15" w:type="dxa"/>
                    <w:left w:w="15" w:type="dxa"/>
                    <w:right w:w="15" w:type="dxa"/>
                  </w:tcMar>
                  <w:vAlign w:val="center"/>
                </w:tcPr>
                <w:p w14:paraId="3087D9CB">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0.04</w:t>
                  </w:r>
                </w:p>
              </w:tc>
              <w:tc>
                <w:tcPr>
                  <w:tcW w:w="1008" w:type="dxa"/>
                  <w:noWrap w:val="0"/>
                  <w:tcMar>
                    <w:top w:w="15" w:type="dxa"/>
                    <w:left w:w="15" w:type="dxa"/>
                    <w:right w:w="15" w:type="dxa"/>
                  </w:tcMar>
                  <w:vAlign w:val="center"/>
                </w:tcPr>
                <w:p w14:paraId="5FFF5CF4">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0.124</w:t>
                  </w:r>
                </w:p>
              </w:tc>
              <w:tc>
                <w:tcPr>
                  <w:tcW w:w="1119" w:type="dxa"/>
                  <w:noWrap w:val="0"/>
                  <w:vAlign w:val="center"/>
                </w:tcPr>
                <w:p w14:paraId="52BB7AB7">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7.3</w:t>
                  </w:r>
                </w:p>
              </w:tc>
              <w:tc>
                <w:tcPr>
                  <w:tcW w:w="1655" w:type="dxa"/>
                  <w:noWrap w:val="0"/>
                  <w:vAlign w:val="center"/>
                </w:tcPr>
                <w:p w14:paraId="06349E0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8.2</w:t>
                  </w:r>
                </w:p>
              </w:tc>
            </w:tr>
            <w:tr w14:paraId="73A4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16057F52">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19周</w:t>
                  </w:r>
                </w:p>
              </w:tc>
              <w:tc>
                <w:tcPr>
                  <w:tcW w:w="1019" w:type="dxa"/>
                  <w:noWrap w:val="0"/>
                  <w:tcMar>
                    <w:top w:w="15" w:type="dxa"/>
                    <w:left w:w="15" w:type="dxa"/>
                    <w:right w:w="15" w:type="dxa"/>
                  </w:tcMar>
                  <w:vAlign w:val="center"/>
                </w:tcPr>
                <w:p w14:paraId="1497AA58">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30.3</w:t>
                  </w:r>
                </w:p>
              </w:tc>
              <w:tc>
                <w:tcPr>
                  <w:tcW w:w="1115" w:type="dxa"/>
                  <w:noWrap w:val="0"/>
                  <w:tcMar>
                    <w:top w:w="15" w:type="dxa"/>
                    <w:left w:w="15" w:type="dxa"/>
                    <w:right w:w="15" w:type="dxa"/>
                  </w:tcMar>
                  <w:vAlign w:val="center"/>
                </w:tcPr>
                <w:p w14:paraId="6A789D2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0.04</w:t>
                  </w:r>
                </w:p>
              </w:tc>
              <w:tc>
                <w:tcPr>
                  <w:tcW w:w="1008" w:type="dxa"/>
                  <w:noWrap w:val="0"/>
                  <w:tcMar>
                    <w:top w:w="15" w:type="dxa"/>
                    <w:left w:w="15" w:type="dxa"/>
                    <w:right w:w="15" w:type="dxa"/>
                  </w:tcMar>
                  <w:vAlign w:val="center"/>
                </w:tcPr>
                <w:p w14:paraId="1F751FB9">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0.178</w:t>
                  </w:r>
                </w:p>
              </w:tc>
              <w:tc>
                <w:tcPr>
                  <w:tcW w:w="1119" w:type="dxa"/>
                  <w:noWrap w:val="0"/>
                  <w:vAlign w:val="center"/>
                </w:tcPr>
                <w:p w14:paraId="0E320932">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8.5</w:t>
                  </w:r>
                </w:p>
              </w:tc>
              <w:tc>
                <w:tcPr>
                  <w:tcW w:w="1655" w:type="dxa"/>
                  <w:noWrap w:val="0"/>
                  <w:vAlign w:val="center"/>
                </w:tcPr>
                <w:p w14:paraId="637AAE08">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8.3</w:t>
                  </w:r>
                </w:p>
              </w:tc>
            </w:tr>
            <w:tr w14:paraId="19B8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5D3E22BE">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18周</w:t>
                  </w:r>
                </w:p>
              </w:tc>
              <w:tc>
                <w:tcPr>
                  <w:tcW w:w="1019" w:type="dxa"/>
                  <w:noWrap w:val="0"/>
                  <w:tcMar>
                    <w:top w:w="15" w:type="dxa"/>
                    <w:left w:w="15" w:type="dxa"/>
                    <w:right w:w="15" w:type="dxa"/>
                  </w:tcMar>
                  <w:vAlign w:val="center"/>
                </w:tcPr>
                <w:p w14:paraId="32B77D99">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45.8</w:t>
                  </w:r>
                </w:p>
              </w:tc>
              <w:tc>
                <w:tcPr>
                  <w:tcW w:w="1115" w:type="dxa"/>
                  <w:noWrap w:val="0"/>
                  <w:tcMar>
                    <w:top w:w="15" w:type="dxa"/>
                    <w:left w:w="15" w:type="dxa"/>
                    <w:right w:w="15" w:type="dxa"/>
                  </w:tcMar>
                  <w:vAlign w:val="center"/>
                </w:tcPr>
                <w:p w14:paraId="5E481676">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0.27</w:t>
                  </w:r>
                </w:p>
              </w:tc>
              <w:tc>
                <w:tcPr>
                  <w:tcW w:w="1008" w:type="dxa"/>
                  <w:noWrap w:val="0"/>
                  <w:tcMar>
                    <w:top w:w="15" w:type="dxa"/>
                    <w:left w:w="15" w:type="dxa"/>
                    <w:right w:w="15" w:type="dxa"/>
                  </w:tcMar>
                  <w:vAlign w:val="center"/>
                </w:tcPr>
                <w:p w14:paraId="74FAC4E2">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0.332</w:t>
                  </w:r>
                </w:p>
              </w:tc>
              <w:tc>
                <w:tcPr>
                  <w:tcW w:w="1119" w:type="dxa"/>
                  <w:noWrap w:val="0"/>
                  <w:vAlign w:val="center"/>
                </w:tcPr>
                <w:p w14:paraId="364071A2">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8.8</w:t>
                  </w:r>
                </w:p>
              </w:tc>
              <w:tc>
                <w:tcPr>
                  <w:tcW w:w="1655" w:type="dxa"/>
                  <w:noWrap w:val="0"/>
                  <w:vAlign w:val="center"/>
                </w:tcPr>
                <w:p w14:paraId="666B68ED">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10.5</w:t>
                  </w:r>
                </w:p>
              </w:tc>
            </w:tr>
            <w:tr w14:paraId="2253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33346676">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17周</w:t>
                  </w:r>
                </w:p>
              </w:tc>
              <w:tc>
                <w:tcPr>
                  <w:tcW w:w="1019" w:type="dxa"/>
                  <w:noWrap w:val="0"/>
                  <w:tcMar>
                    <w:top w:w="15" w:type="dxa"/>
                    <w:left w:w="15" w:type="dxa"/>
                    <w:right w:w="15" w:type="dxa"/>
                  </w:tcMar>
                  <w:vAlign w:val="center"/>
                </w:tcPr>
                <w:p w14:paraId="5D68F693">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35.2</w:t>
                  </w:r>
                </w:p>
              </w:tc>
              <w:tc>
                <w:tcPr>
                  <w:tcW w:w="1115" w:type="dxa"/>
                  <w:noWrap w:val="0"/>
                  <w:tcMar>
                    <w:top w:w="15" w:type="dxa"/>
                    <w:left w:w="15" w:type="dxa"/>
                    <w:right w:w="15" w:type="dxa"/>
                  </w:tcMar>
                  <w:vAlign w:val="center"/>
                </w:tcPr>
                <w:p w14:paraId="31BF435F">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0.36</w:t>
                  </w:r>
                </w:p>
              </w:tc>
              <w:tc>
                <w:tcPr>
                  <w:tcW w:w="1008" w:type="dxa"/>
                  <w:noWrap w:val="0"/>
                  <w:tcMar>
                    <w:top w:w="15" w:type="dxa"/>
                    <w:left w:w="15" w:type="dxa"/>
                    <w:right w:w="15" w:type="dxa"/>
                  </w:tcMar>
                  <w:vAlign w:val="center"/>
                </w:tcPr>
                <w:p w14:paraId="0771D3A3">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0.196</w:t>
                  </w:r>
                </w:p>
              </w:tc>
              <w:tc>
                <w:tcPr>
                  <w:tcW w:w="1119" w:type="dxa"/>
                  <w:noWrap w:val="0"/>
                  <w:vAlign w:val="center"/>
                </w:tcPr>
                <w:p w14:paraId="1801363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10.1</w:t>
                  </w:r>
                </w:p>
              </w:tc>
              <w:tc>
                <w:tcPr>
                  <w:tcW w:w="1655" w:type="dxa"/>
                  <w:noWrap w:val="0"/>
                  <w:vAlign w:val="center"/>
                </w:tcPr>
                <w:p w14:paraId="4AF78F03">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11.1</w:t>
                  </w:r>
                </w:p>
              </w:tc>
            </w:tr>
            <w:tr w14:paraId="0F22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61F6BAC4">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16周</w:t>
                  </w:r>
                </w:p>
              </w:tc>
              <w:tc>
                <w:tcPr>
                  <w:tcW w:w="1019" w:type="dxa"/>
                  <w:noWrap w:val="0"/>
                  <w:tcMar>
                    <w:top w:w="15" w:type="dxa"/>
                    <w:left w:w="15" w:type="dxa"/>
                    <w:right w:w="15" w:type="dxa"/>
                  </w:tcMar>
                  <w:vAlign w:val="center"/>
                </w:tcPr>
                <w:p w14:paraId="65763BE7">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29.7</w:t>
                  </w:r>
                </w:p>
              </w:tc>
              <w:tc>
                <w:tcPr>
                  <w:tcW w:w="1115" w:type="dxa"/>
                  <w:noWrap w:val="0"/>
                  <w:tcMar>
                    <w:top w:w="15" w:type="dxa"/>
                    <w:left w:w="15" w:type="dxa"/>
                    <w:right w:w="15" w:type="dxa"/>
                  </w:tcMar>
                  <w:vAlign w:val="center"/>
                </w:tcPr>
                <w:p w14:paraId="09561F79">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0.122</w:t>
                  </w:r>
                </w:p>
              </w:tc>
              <w:tc>
                <w:tcPr>
                  <w:tcW w:w="1008" w:type="dxa"/>
                  <w:noWrap w:val="0"/>
                  <w:tcMar>
                    <w:top w:w="15" w:type="dxa"/>
                    <w:left w:w="15" w:type="dxa"/>
                    <w:right w:w="15" w:type="dxa"/>
                  </w:tcMar>
                  <w:vAlign w:val="center"/>
                </w:tcPr>
                <w:p w14:paraId="708D272A">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0.176</w:t>
                  </w:r>
                </w:p>
              </w:tc>
              <w:tc>
                <w:tcPr>
                  <w:tcW w:w="1119" w:type="dxa"/>
                  <w:noWrap w:val="0"/>
                  <w:vAlign w:val="center"/>
                </w:tcPr>
                <w:p w14:paraId="436E1548">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10.4</w:t>
                  </w:r>
                </w:p>
              </w:tc>
              <w:tc>
                <w:tcPr>
                  <w:tcW w:w="1655" w:type="dxa"/>
                  <w:noWrap w:val="0"/>
                  <w:vAlign w:val="center"/>
                </w:tcPr>
                <w:p w14:paraId="1DB6C112">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9.4</w:t>
                  </w:r>
                </w:p>
              </w:tc>
            </w:tr>
            <w:tr w14:paraId="6777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12BC69F6">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15周</w:t>
                  </w:r>
                </w:p>
              </w:tc>
              <w:tc>
                <w:tcPr>
                  <w:tcW w:w="1019" w:type="dxa"/>
                  <w:noWrap w:val="0"/>
                  <w:tcMar>
                    <w:top w:w="15" w:type="dxa"/>
                    <w:left w:w="15" w:type="dxa"/>
                    <w:right w:w="15" w:type="dxa"/>
                  </w:tcMar>
                  <w:vAlign w:val="center"/>
                </w:tcPr>
                <w:p w14:paraId="3736C7EE">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31.8</w:t>
                  </w:r>
                </w:p>
              </w:tc>
              <w:tc>
                <w:tcPr>
                  <w:tcW w:w="1115" w:type="dxa"/>
                  <w:noWrap w:val="0"/>
                  <w:tcMar>
                    <w:top w:w="15" w:type="dxa"/>
                    <w:left w:w="15" w:type="dxa"/>
                    <w:right w:w="15" w:type="dxa"/>
                  </w:tcMar>
                  <w:vAlign w:val="center"/>
                </w:tcPr>
                <w:p w14:paraId="0F934059">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0.036</w:t>
                  </w:r>
                </w:p>
              </w:tc>
              <w:tc>
                <w:tcPr>
                  <w:tcW w:w="1008" w:type="dxa"/>
                  <w:noWrap w:val="0"/>
                  <w:tcMar>
                    <w:top w:w="15" w:type="dxa"/>
                    <w:left w:w="15" w:type="dxa"/>
                    <w:right w:w="15" w:type="dxa"/>
                  </w:tcMar>
                  <w:vAlign w:val="center"/>
                </w:tcPr>
                <w:p w14:paraId="4648F1A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0.163</w:t>
                  </w:r>
                </w:p>
              </w:tc>
              <w:tc>
                <w:tcPr>
                  <w:tcW w:w="1119" w:type="dxa"/>
                  <w:noWrap w:val="0"/>
                  <w:vAlign w:val="center"/>
                </w:tcPr>
                <w:p w14:paraId="532000A5">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11.0</w:t>
                  </w:r>
                </w:p>
              </w:tc>
              <w:tc>
                <w:tcPr>
                  <w:tcW w:w="1655" w:type="dxa"/>
                  <w:noWrap w:val="0"/>
                  <w:vAlign w:val="center"/>
                </w:tcPr>
                <w:p w14:paraId="6213E100">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10.1</w:t>
                  </w:r>
                </w:p>
              </w:tc>
            </w:tr>
            <w:tr w14:paraId="45CF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2C77F548">
                  <w:pPr>
                    <w:keepNext w:val="0"/>
                    <w:keepLines w:val="0"/>
                    <w:pageBreakBefore w:val="0"/>
                    <w:kinsoku/>
                    <w:wordWrap/>
                    <w:overflowPunct/>
                    <w:topLinePunct w:val="0"/>
                    <w:autoSpaceDE/>
                    <w:autoSpaceDN/>
                    <w:bidi w:val="0"/>
                    <w:adjustRightInd w:val="0"/>
                    <w:snapToGrid w:val="0"/>
                    <w:spacing w:line="320" w:lineRule="exact"/>
                    <w:jc w:val="center"/>
                    <w:rPr>
                      <w:rFonts w:hint="eastAsia"/>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w:t>
                  </w:r>
                  <w:r>
                    <w:rPr>
                      <w:rFonts w:hint="eastAsia"/>
                      <w:color w:val="000000" w:themeColor="text1"/>
                      <w:kern w:val="0"/>
                      <w:szCs w:val="21"/>
                      <w:lang w:val="en-US" w:eastAsia="zh-CN"/>
                      <w14:textFill>
                        <w14:solidFill>
                          <w14:schemeClr w14:val="tx1"/>
                        </w14:solidFill>
                      </w14:textFill>
                    </w:rPr>
                    <w:t>4</w:t>
                  </w:r>
                  <w:r>
                    <w:rPr>
                      <w:color w:val="000000" w:themeColor="text1"/>
                      <w:kern w:val="0"/>
                      <w:szCs w:val="21"/>
                      <w14:textFill>
                        <w14:solidFill>
                          <w14:schemeClr w14:val="tx1"/>
                        </w14:solidFill>
                      </w14:textFill>
                    </w:rPr>
                    <w:t>周</w:t>
                  </w:r>
                </w:p>
              </w:tc>
              <w:tc>
                <w:tcPr>
                  <w:tcW w:w="1019" w:type="dxa"/>
                  <w:noWrap w:val="0"/>
                  <w:tcMar>
                    <w:top w:w="15" w:type="dxa"/>
                    <w:left w:w="15" w:type="dxa"/>
                    <w:right w:w="15" w:type="dxa"/>
                  </w:tcMar>
                  <w:vAlign w:val="center"/>
                </w:tcPr>
                <w:p w14:paraId="6E1366D3">
                  <w:pPr>
                    <w:keepNext w:val="0"/>
                    <w:keepLines w:val="0"/>
                    <w:pageBreakBefore w:val="0"/>
                    <w:kinsoku/>
                    <w:wordWrap/>
                    <w:overflowPunct/>
                    <w:topLinePunct w:val="0"/>
                    <w:autoSpaceDE/>
                    <w:autoSpaceDN/>
                    <w:bidi w:val="0"/>
                    <w:adjustRightInd w:val="0"/>
                    <w:snapToGrid w:val="0"/>
                    <w:spacing w:line="320" w:lineRule="exact"/>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25.6</w:t>
                  </w:r>
                </w:p>
              </w:tc>
              <w:tc>
                <w:tcPr>
                  <w:tcW w:w="1115" w:type="dxa"/>
                  <w:noWrap w:val="0"/>
                  <w:tcMar>
                    <w:top w:w="15" w:type="dxa"/>
                    <w:left w:w="15" w:type="dxa"/>
                    <w:right w:w="15" w:type="dxa"/>
                  </w:tcMar>
                  <w:vAlign w:val="center"/>
                </w:tcPr>
                <w:p w14:paraId="52867532">
                  <w:pPr>
                    <w:keepNext w:val="0"/>
                    <w:keepLines w:val="0"/>
                    <w:pageBreakBefore w:val="0"/>
                    <w:kinsoku/>
                    <w:wordWrap/>
                    <w:overflowPunct/>
                    <w:topLinePunct w:val="0"/>
                    <w:autoSpaceDE/>
                    <w:autoSpaceDN/>
                    <w:bidi w:val="0"/>
                    <w:adjustRightInd w:val="0"/>
                    <w:snapToGrid w:val="0"/>
                    <w:spacing w:line="320" w:lineRule="exact"/>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0.22</w:t>
                  </w:r>
                </w:p>
              </w:tc>
              <w:tc>
                <w:tcPr>
                  <w:tcW w:w="1008" w:type="dxa"/>
                  <w:noWrap w:val="0"/>
                  <w:tcMar>
                    <w:top w:w="15" w:type="dxa"/>
                    <w:left w:w="15" w:type="dxa"/>
                    <w:right w:w="15" w:type="dxa"/>
                  </w:tcMar>
                  <w:vAlign w:val="center"/>
                </w:tcPr>
                <w:p w14:paraId="1FC54146">
                  <w:pPr>
                    <w:keepNext w:val="0"/>
                    <w:keepLines w:val="0"/>
                    <w:pageBreakBefore w:val="0"/>
                    <w:kinsoku/>
                    <w:wordWrap/>
                    <w:overflowPunct/>
                    <w:topLinePunct w:val="0"/>
                    <w:autoSpaceDE/>
                    <w:autoSpaceDN/>
                    <w:bidi w:val="0"/>
                    <w:adjustRightInd w:val="0"/>
                    <w:snapToGrid w:val="0"/>
                    <w:spacing w:line="320" w:lineRule="exact"/>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0.199</w:t>
                  </w:r>
                </w:p>
              </w:tc>
              <w:tc>
                <w:tcPr>
                  <w:tcW w:w="1119" w:type="dxa"/>
                  <w:noWrap w:val="0"/>
                  <w:vAlign w:val="center"/>
                </w:tcPr>
                <w:p w14:paraId="6656BD06">
                  <w:pPr>
                    <w:keepNext w:val="0"/>
                    <w:keepLines w:val="0"/>
                    <w:pageBreakBefore w:val="0"/>
                    <w:kinsoku/>
                    <w:wordWrap/>
                    <w:overflowPunct/>
                    <w:topLinePunct w:val="0"/>
                    <w:autoSpaceDE/>
                    <w:autoSpaceDN/>
                    <w:bidi w:val="0"/>
                    <w:adjustRightInd w:val="0"/>
                    <w:snapToGrid w:val="0"/>
                    <w:spacing w:line="320" w:lineRule="exact"/>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11.6</w:t>
                  </w:r>
                </w:p>
              </w:tc>
              <w:tc>
                <w:tcPr>
                  <w:tcW w:w="1655" w:type="dxa"/>
                  <w:noWrap w:val="0"/>
                  <w:vAlign w:val="center"/>
                </w:tcPr>
                <w:p w14:paraId="3C3FFE09">
                  <w:pPr>
                    <w:keepNext w:val="0"/>
                    <w:keepLines w:val="0"/>
                    <w:pageBreakBefore w:val="0"/>
                    <w:kinsoku/>
                    <w:wordWrap/>
                    <w:overflowPunct/>
                    <w:topLinePunct w:val="0"/>
                    <w:autoSpaceDE/>
                    <w:autoSpaceDN/>
                    <w:bidi w:val="0"/>
                    <w:adjustRightInd w:val="0"/>
                    <w:snapToGrid w:val="0"/>
                    <w:spacing w:line="320" w:lineRule="exact"/>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7.9</w:t>
                  </w:r>
                </w:p>
              </w:tc>
            </w:tr>
            <w:tr w14:paraId="1B6D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33124423">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13周</w:t>
                  </w:r>
                </w:p>
              </w:tc>
              <w:tc>
                <w:tcPr>
                  <w:tcW w:w="1019" w:type="dxa"/>
                  <w:noWrap w:val="0"/>
                  <w:tcMar>
                    <w:top w:w="15" w:type="dxa"/>
                    <w:left w:w="15" w:type="dxa"/>
                    <w:right w:w="15" w:type="dxa"/>
                  </w:tcMar>
                  <w:vAlign w:val="center"/>
                </w:tcPr>
                <w:p w14:paraId="12220406">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33.2</w:t>
                  </w:r>
                </w:p>
              </w:tc>
              <w:tc>
                <w:tcPr>
                  <w:tcW w:w="1115" w:type="dxa"/>
                  <w:noWrap w:val="0"/>
                  <w:tcMar>
                    <w:top w:w="15" w:type="dxa"/>
                    <w:left w:w="15" w:type="dxa"/>
                    <w:right w:w="15" w:type="dxa"/>
                  </w:tcMar>
                  <w:vAlign w:val="center"/>
                </w:tcPr>
                <w:p w14:paraId="2E7695C0">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1.04</w:t>
                  </w:r>
                </w:p>
              </w:tc>
              <w:tc>
                <w:tcPr>
                  <w:tcW w:w="1008" w:type="dxa"/>
                  <w:noWrap w:val="0"/>
                  <w:tcMar>
                    <w:top w:w="15" w:type="dxa"/>
                    <w:left w:w="15" w:type="dxa"/>
                    <w:right w:w="15" w:type="dxa"/>
                  </w:tcMar>
                  <w:vAlign w:val="center"/>
                </w:tcPr>
                <w:p w14:paraId="006E682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0.354</w:t>
                  </w:r>
                </w:p>
              </w:tc>
              <w:tc>
                <w:tcPr>
                  <w:tcW w:w="1119" w:type="dxa"/>
                  <w:noWrap w:val="0"/>
                  <w:vAlign w:val="center"/>
                </w:tcPr>
                <w:p w14:paraId="1B264057">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12.3</w:t>
                  </w:r>
                </w:p>
              </w:tc>
              <w:tc>
                <w:tcPr>
                  <w:tcW w:w="1655" w:type="dxa"/>
                  <w:noWrap w:val="0"/>
                  <w:vAlign w:val="center"/>
                </w:tcPr>
                <w:p w14:paraId="127162F7">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11.0</w:t>
                  </w:r>
                </w:p>
              </w:tc>
            </w:tr>
            <w:tr w14:paraId="45D0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1B4C9A0C">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12周</w:t>
                  </w:r>
                </w:p>
              </w:tc>
              <w:tc>
                <w:tcPr>
                  <w:tcW w:w="1019" w:type="dxa"/>
                  <w:noWrap w:val="0"/>
                  <w:tcMar>
                    <w:top w:w="15" w:type="dxa"/>
                    <w:left w:w="15" w:type="dxa"/>
                    <w:right w:w="15" w:type="dxa"/>
                  </w:tcMar>
                  <w:vAlign w:val="center"/>
                </w:tcPr>
                <w:p w14:paraId="0344637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37.1</w:t>
                  </w:r>
                </w:p>
              </w:tc>
              <w:tc>
                <w:tcPr>
                  <w:tcW w:w="1115" w:type="dxa"/>
                  <w:noWrap w:val="0"/>
                  <w:tcMar>
                    <w:top w:w="15" w:type="dxa"/>
                    <w:left w:w="15" w:type="dxa"/>
                    <w:right w:w="15" w:type="dxa"/>
                  </w:tcMar>
                  <w:vAlign w:val="center"/>
                </w:tcPr>
                <w:p w14:paraId="6113B9DF">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0.231</w:t>
                  </w:r>
                </w:p>
              </w:tc>
              <w:tc>
                <w:tcPr>
                  <w:tcW w:w="1008" w:type="dxa"/>
                  <w:noWrap w:val="0"/>
                  <w:tcMar>
                    <w:top w:w="15" w:type="dxa"/>
                    <w:left w:w="15" w:type="dxa"/>
                    <w:right w:w="15" w:type="dxa"/>
                  </w:tcMar>
                  <w:vAlign w:val="center"/>
                </w:tcPr>
                <w:p w14:paraId="203DC7D6">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0.243</w:t>
                  </w:r>
                </w:p>
              </w:tc>
              <w:tc>
                <w:tcPr>
                  <w:tcW w:w="1119" w:type="dxa"/>
                  <w:noWrap w:val="0"/>
                  <w:vAlign w:val="center"/>
                </w:tcPr>
                <w:p w14:paraId="5A1E2C53">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14.8</w:t>
                  </w:r>
                </w:p>
              </w:tc>
              <w:tc>
                <w:tcPr>
                  <w:tcW w:w="1655" w:type="dxa"/>
                  <w:noWrap w:val="0"/>
                  <w:vAlign w:val="center"/>
                </w:tcPr>
                <w:p w14:paraId="25A16FA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13.3</w:t>
                  </w:r>
                </w:p>
              </w:tc>
            </w:tr>
            <w:tr w14:paraId="6F72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544FA79E">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11周</w:t>
                  </w:r>
                </w:p>
              </w:tc>
              <w:tc>
                <w:tcPr>
                  <w:tcW w:w="1019" w:type="dxa"/>
                  <w:noWrap w:val="0"/>
                  <w:tcMar>
                    <w:top w:w="15" w:type="dxa"/>
                    <w:left w:w="15" w:type="dxa"/>
                    <w:right w:w="15" w:type="dxa"/>
                  </w:tcMar>
                  <w:vAlign w:val="center"/>
                </w:tcPr>
                <w:p w14:paraId="4CA699BA">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25.6</w:t>
                  </w:r>
                </w:p>
              </w:tc>
              <w:tc>
                <w:tcPr>
                  <w:tcW w:w="1115" w:type="dxa"/>
                  <w:noWrap w:val="0"/>
                  <w:tcMar>
                    <w:top w:w="15" w:type="dxa"/>
                    <w:left w:w="15" w:type="dxa"/>
                    <w:right w:w="15" w:type="dxa"/>
                  </w:tcMar>
                  <w:vAlign w:val="center"/>
                </w:tcPr>
                <w:p w14:paraId="7F7DC18A">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1.142</w:t>
                  </w:r>
                </w:p>
              </w:tc>
              <w:tc>
                <w:tcPr>
                  <w:tcW w:w="1008" w:type="dxa"/>
                  <w:noWrap w:val="0"/>
                  <w:tcMar>
                    <w:top w:w="15" w:type="dxa"/>
                    <w:left w:w="15" w:type="dxa"/>
                    <w:right w:w="15" w:type="dxa"/>
                  </w:tcMar>
                  <w:vAlign w:val="center"/>
                </w:tcPr>
                <w:p w14:paraId="483ECB43">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0.244</w:t>
                  </w:r>
                </w:p>
              </w:tc>
              <w:tc>
                <w:tcPr>
                  <w:tcW w:w="1119" w:type="dxa"/>
                  <w:noWrap w:val="0"/>
                  <w:vAlign w:val="center"/>
                </w:tcPr>
                <w:p w14:paraId="23F069C6">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14.6</w:t>
                  </w:r>
                </w:p>
              </w:tc>
              <w:tc>
                <w:tcPr>
                  <w:tcW w:w="1655" w:type="dxa"/>
                  <w:noWrap w:val="0"/>
                  <w:vAlign w:val="center"/>
                </w:tcPr>
                <w:p w14:paraId="22A67CDF">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8.8</w:t>
                  </w:r>
                </w:p>
              </w:tc>
            </w:tr>
            <w:tr w14:paraId="3567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55592F92">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10周</w:t>
                  </w:r>
                </w:p>
              </w:tc>
              <w:tc>
                <w:tcPr>
                  <w:tcW w:w="1019" w:type="dxa"/>
                  <w:noWrap w:val="0"/>
                  <w:tcMar>
                    <w:top w:w="15" w:type="dxa"/>
                    <w:left w:w="15" w:type="dxa"/>
                    <w:right w:w="15" w:type="dxa"/>
                  </w:tcMar>
                  <w:vAlign w:val="center"/>
                </w:tcPr>
                <w:p w14:paraId="24AD7833">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17.6</w:t>
                  </w:r>
                </w:p>
              </w:tc>
              <w:tc>
                <w:tcPr>
                  <w:tcW w:w="1115" w:type="dxa"/>
                  <w:noWrap w:val="0"/>
                  <w:tcMar>
                    <w:top w:w="15" w:type="dxa"/>
                    <w:left w:w="15" w:type="dxa"/>
                    <w:right w:w="15" w:type="dxa"/>
                  </w:tcMar>
                  <w:vAlign w:val="center"/>
                </w:tcPr>
                <w:p w14:paraId="2F7F1D5B">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1.37</w:t>
                  </w:r>
                </w:p>
              </w:tc>
              <w:tc>
                <w:tcPr>
                  <w:tcW w:w="1008" w:type="dxa"/>
                  <w:noWrap w:val="0"/>
                  <w:tcMar>
                    <w:top w:w="15" w:type="dxa"/>
                    <w:left w:w="15" w:type="dxa"/>
                    <w:right w:w="15" w:type="dxa"/>
                  </w:tcMar>
                  <w:vAlign w:val="center"/>
                </w:tcPr>
                <w:p w14:paraId="08C21420">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0.225</w:t>
                  </w:r>
                </w:p>
              </w:tc>
              <w:tc>
                <w:tcPr>
                  <w:tcW w:w="1119" w:type="dxa"/>
                  <w:noWrap w:val="0"/>
                  <w:vAlign w:val="center"/>
                </w:tcPr>
                <w:p w14:paraId="2F6834C6">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14.3</w:t>
                  </w:r>
                </w:p>
              </w:tc>
              <w:tc>
                <w:tcPr>
                  <w:tcW w:w="1655" w:type="dxa"/>
                  <w:noWrap w:val="0"/>
                  <w:vAlign w:val="center"/>
                </w:tcPr>
                <w:p w14:paraId="1B78E06D">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7.3</w:t>
                  </w:r>
                </w:p>
              </w:tc>
            </w:tr>
            <w:tr w14:paraId="6C5D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4A7AA80B">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9周</w:t>
                  </w:r>
                </w:p>
              </w:tc>
              <w:tc>
                <w:tcPr>
                  <w:tcW w:w="1019" w:type="dxa"/>
                  <w:noWrap w:val="0"/>
                  <w:tcMar>
                    <w:top w:w="15" w:type="dxa"/>
                    <w:left w:w="15" w:type="dxa"/>
                    <w:right w:w="15" w:type="dxa"/>
                  </w:tcMar>
                  <w:vAlign w:val="center"/>
                </w:tcPr>
                <w:p w14:paraId="63CD9B2F">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17.2</w:t>
                  </w:r>
                </w:p>
              </w:tc>
              <w:tc>
                <w:tcPr>
                  <w:tcW w:w="1115" w:type="dxa"/>
                  <w:noWrap w:val="0"/>
                  <w:tcMar>
                    <w:top w:w="15" w:type="dxa"/>
                    <w:left w:w="15" w:type="dxa"/>
                    <w:right w:w="15" w:type="dxa"/>
                  </w:tcMar>
                  <w:vAlign w:val="center"/>
                </w:tcPr>
                <w:p w14:paraId="54F1A092">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1.562</w:t>
                  </w:r>
                </w:p>
              </w:tc>
              <w:tc>
                <w:tcPr>
                  <w:tcW w:w="1008" w:type="dxa"/>
                  <w:noWrap w:val="0"/>
                  <w:tcMar>
                    <w:top w:w="15" w:type="dxa"/>
                    <w:left w:w="15" w:type="dxa"/>
                    <w:right w:w="15" w:type="dxa"/>
                  </w:tcMar>
                  <w:vAlign w:val="center"/>
                </w:tcPr>
                <w:p w14:paraId="27E56AC4">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0.229</w:t>
                  </w:r>
                </w:p>
              </w:tc>
              <w:tc>
                <w:tcPr>
                  <w:tcW w:w="1119" w:type="dxa"/>
                  <w:noWrap w:val="0"/>
                  <w:vAlign w:val="center"/>
                </w:tcPr>
                <w:p w14:paraId="1A4CF45D">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15.0</w:t>
                  </w:r>
                </w:p>
              </w:tc>
              <w:tc>
                <w:tcPr>
                  <w:tcW w:w="1655" w:type="dxa"/>
                  <w:noWrap w:val="0"/>
                  <w:vAlign w:val="center"/>
                </w:tcPr>
                <w:p w14:paraId="32EC5E41">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6.9</w:t>
                  </w:r>
                </w:p>
              </w:tc>
            </w:tr>
            <w:tr w14:paraId="4991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42E86858">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8周</w:t>
                  </w:r>
                </w:p>
              </w:tc>
              <w:tc>
                <w:tcPr>
                  <w:tcW w:w="1019" w:type="dxa"/>
                  <w:noWrap w:val="0"/>
                  <w:tcMar>
                    <w:top w:w="15" w:type="dxa"/>
                    <w:left w:w="15" w:type="dxa"/>
                    <w:right w:w="15" w:type="dxa"/>
                  </w:tcMar>
                  <w:vAlign w:val="center"/>
                </w:tcPr>
                <w:p w14:paraId="351E0FC2">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16.3</w:t>
                  </w:r>
                </w:p>
              </w:tc>
              <w:tc>
                <w:tcPr>
                  <w:tcW w:w="1115" w:type="dxa"/>
                  <w:noWrap w:val="0"/>
                  <w:tcMar>
                    <w:top w:w="15" w:type="dxa"/>
                    <w:left w:w="15" w:type="dxa"/>
                    <w:right w:w="15" w:type="dxa"/>
                  </w:tcMar>
                  <w:vAlign w:val="center"/>
                </w:tcPr>
                <w:p w14:paraId="628517DE">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1.77</w:t>
                  </w:r>
                </w:p>
              </w:tc>
              <w:tc>
                <w:tcPr>
                  <w:tcW w:w="1008" w:type="dxa"/>
                  <w:noWrap w:val="0"/>
                  <w:tcMar>
                    <w:top w:w="15" w:type="dxa"/>
                    <w:left w:w="15" w:type="dxa"/>
                    <w:right w:w="15" w:type="dxa"/>
                  </w:tcMar>
                  <w:vAlign w:val="center"/>
                </w:tcPr>
                <w:p w14:paraId="48099FA4">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0.253</w:t>
                  </w:r>
                </w:p>
              </w:tc>
              <w:tc>
                <w:tcPr>
                  <w:tcW w:w="1119" w:type="dxa"/>
                  <w:noWrap w:val="0"/>
                  <w:vAlign w:val="center"/>
                </w:tcPr>
                <w:p w14:paraId="02ADC6D2">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14.9</w:t>
                  </w:r>
                </w:p>
              </w:tc>
              <w:tc>
                <w:tcPr>
                  <w:tcW w:w="1655" w:type="dxa"/>
                  <w:noWrap w:val="0"/>
                  <w:vAlign w:val="center"/>
                </w:tcPr>
                <w:p w14:paraId="2B65F8C3">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6.2</w:t>
                  </w:r>
                </w:p>
              </w:tc>
            </w:tr>
            <w:tr w14:paraId="60FB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960" w:type="dxa"/>
                  <w:noWrap w:val="0"/>
                  <w:tcMar>
                    <w:top w:w="15" w:type="dxa"/>
                    <w:left w:w="15" w:type="dxa"/>
                    <w:right w:w="15" w:type="dxa"/>
                  </w:tcMar>
                  <w:vAlign w:val="center"/>
                </w:tcPr>
                <w:p w14:paraId="069C8DBC">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7周</w:t>
                  </w:r>
                </w:p>
              </w:tc>
              <w:tc>
                <w:tcPr>
                  <w:tcW w:w="1019" w:type="dxa"/>
                  <w:noWrap w:val="0"/>
                  <w:tcMar>
                    <w:top w:w="15" w:type="dxa"/>
                    <w:left w:w="15" w:type="dxa"/>
                    <w:right w:w="15" w:type="dxa"/>
                  </w:tcMar>
                  <w:vAlign w:val="center"/>
                </w:tcPr>
                <w:p w14:paraId="46F93C8D">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14.7</w:t>
                  </w:r>
                </w:p>
              </w:tc>
              <w:tc>
                <w:tcPr>
                  <w:tcW w:w="1115" w:type="dxa"/>
                  <w:noWrap w:val="0"/>
                  <w:tcMar>
                    <w:top w:w="15" w:type="dxa"/>
                    <w:left w:w="15" w:type="dxa"/>
                    <w:right w:w="15" w:type="dxa"/>
                  </w:tcMar>
                  <w:vAlign w:val="center"/>
                </w:tcPr>
                <w:p w14:paraId="6C95C46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1.73</w:t>
                  </w:r>
                </w:p>
              </w:tc>
              <w:tc>
                <w:tcPr>
                  <w:tcW w:w="1008" w:type="dxa"/>
                  <w:noWrap w:val="0"/>
                  <w:tcMar>
                    <w:top w:w="15" w:type="dxa"/>
                    <w:left w:w="15" w:type="dxa"/>
                    <w:right w:w="15" w:type="dxa"/>
                  </w:tcMar>
                  <w:vAlign w:val="center"/>
                </w:tcPr>
                <w:p w14:paraId="77DCB44A">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0.22</w:t>
                  </w:r>
                </w:p>
              </w:tc>
              <w:tc>
                <w:tcPr>
                  <w:tcW w:w="1119" w:type="dxa"/>
                  <w:noWrap w:val="0"/>
                  <w:vAlign w:val="center"/>
                </w:tcPr>
                <w:p w14:paraId="112C22A9">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15.0</w:t>
                  </w:r>
                </w:p>
              </w:tc>
              <w:tc>
                <w:tcPr>
                  <w:tcW w:w="1655" w:type="dxa"/>
                  <w:noWrap w:val="0"/>
                  <w:vAlign w:val="center"/>
                </w:tcPr>
                <w:p w14:paraId="3506A3D1">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5.7</w:t>
                  </w:r>
                </w:p>
              </w:tc>
            </w:tr>
            <w:tr w14:paraId="590C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521A36EA">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6周</w:t>
                  </w:r>
                </w:p>
              </w:tc>
              <w:tc>
                <w:tcPr>
                  <w:tcW w:w="1019" w:type="dxa"/>
                  <w:noWrap w:val="0"/>
                  <w:tcMar>
                    <w:top w:w="15" w:type="dxa"/>
                    <w:left w:w="15" w:type="dxa"/>
                    <w:right w:w="15" w:type="dxa"/>
                  </w:tcMar>
                  <w:vAlign w:val="center"/>
                </w:tcPr>
                <w:p w14:paraId="1924FBCD">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16.7</w:t>
                  </w:r>
                </w:p>
              </w:tc>
              <w:tc>
                <w:tcPr>
                  <w:tcW w:w="1115" w:type="dxa"/>
                  <w:noWrap w:val="0"/>
                  <w:tcMar>
                    <w:top w:w="15" w:type="dxa"/>
                    <w:left w:w="15" w:type="dxa"/>
                    <w:right w:w="15" w:type="dxa"/>
                  </w:tcMar>
                  <w:vAlign w:val="center"/>
                </w:tcPr>
                <w:p w14:paraId="56FB81F1">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1.374</w:t>
                  </w:r>
                </w:p>
              </w:tc>
              <w:tc>
                <w:tcPr>
                  <w:tcW w:w="1008" w:type="dxa"/>
                  <w:noWrap w:val="0"/>
                  <w:tcMar>
                    <w:top w:w="15" w:type="dxa"/>
                    <w:left w:w="15" w:type="dxa"/>
                    <w:right w:w="15" w:type="dxa"/>
                  </w:tcMar>
                  <w:vAlign w:val="center"/>
                </w:tcPr>
                <w:p w14:paraId="3648CC3E">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0.197</w:t>
                  </w:r>
                </w:p>
              </w:tc>
              <w:tc>
                <w:tcPr>
                  <w:tcW w:w="1119" w:type="dxa"/>
                  <w:noWrap w:val="0"/>
                  <w:vAlign w:val="center"/>
                </w:tcPr>
                <w:p w14:paraId="6C4A0577">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14.7</w:t>
                  </w:r>
                </w:p>
              </w:tc>
              <w:tc>
                <w:tcPr>
                  <w:tcW w:w="1655" w:type="dxa"/>
                  <w:noWrap w:val="0"/>
                  <w:vAlign w:val="center"/>
                </w:tcPr>
                <w:p w14:paraId="50A52B2F">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6.3</w:t>
                  </w:r>
                </w:p>
              </w:tc>
            </w:tr>
            <w:tr w14:paraId="0C81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0DAD1E0D">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5周</w:t>
                  </w:r>
                </w:p>
              </w:tc>
              <w:tc>
                <w:tcPr>
                  <w:tcW w:w="1019" w:type="dxa"/>
                  <w:noWrap w:val="0"/>
                  <w:tcMar>
                    <w:top w:w="15" w:type="dxa"/>
                    <w:left w:w="15" w:type="dxa"/>
                    <w:right w:w="15" w:type="dxa"/>
                  </w:tcMar>
                  <w:vAlign w:val="center"/>
                </w:tcPr>
                <w:p w14:paraId="06191D22">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19.1</w:t>
                  </w:r>
                </w:p>
              </w:tc>
              <w:tc>
                <w:tcPr>
                  <w:tcW w:w="1115" w:type="dxa"/>
                  <w:noWrap w:val="0"/>
                  <w:tcMar>
                    <w:top w:w="15" w:type="dxa"/>
                    <w:left w:w="15" w:type="dxa"/>
                    <w:right w:w="15" w:type="dxa"/>
                  </w:tcMar>
                  <w:vAlign w:val="center"/>
                </w:tcPr>
                <w:p w14:paraId="7D7A56EF">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0.79</w:t>
                  </w:r>
                </w:p>
              </w:tc>
              <w:tc>
                <w:tcPr>
                  <w:tcW w:w="1008" w:type="dxa"/>
                  <w:noWrap w:val="0"/>
                  <w:tcMar>
                    <w:top w:w="15" w:type="dxa"/>
                    <w:left w:w="15" w:type="dxa"/>
                    <w:right w:w="15" w:type="dxa"/>
                  </w:tcMar>
                  <w:vAlign w:val="center"/>
                </w:tcPr>
                <w:p w14:paraId="33367899">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0.178</w:t>
                  </w:r>
                </w:p>
              </w:tc>
              <w:tc>
                <w:tcPr>
                  <w:tcW w:w="1119" w:type="dxa"/>
                  <w:noWrap w:val="0"/>
                  <w:vAlign w:val="center"/>
                </w:tcPr>
                <w:p w14:paraId="508B1AFA">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13.2</w:t>
                  </w:r>
                </w:p>
              </w:tc>
              <w:tc>
                <w:tcPr>
                  <w:tcW w:w="1655" w:type="dxa"/>
                  <w:noWrap w:val="0"/>
                  <w:vAlign w:val="center"/>
                </w:tcPr>
                <w:p w14:paraId="654DDFD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6.0</w:t>
                  </w:r>
                </w:p>
              </w:tc>
            </w:tr>
            <w:tr w14:paraId="5571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6CB9F297">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4周</w:t>
                  </w:r>
                </w:p>
              </w:tc>
              <w:tc>
                <w:tcPr>
                  <w:tcW w:w="1019" w:type="dxa"/>
                  <w:noWrap w:val="0"/>
                  <w:tcMar>
                    <w:top w:w="15" w:type="dxa"/>
                    <w:left w:w="15" w:type="dxa"/>
                    <w:right w:w="15" w:type="dxa"/>
                  </w:tcMar>
                  <w:vAlign w:val="center"/>
                </w:tcPr>
                <w:p w14:paraId="2B3B2FB1">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16.9</w:t>
                  </w:r>
                </w:p>
              </w:tc>
              <w:tc>
                <w:tcPr>
                  <w:tcW w:w="1115" w:type="dxa"/>
                  <w:noWrap w:val="0"/>
                  <w:tcMar>
                    <w:top w:w="15" w:type="dxa"/>
                    <w:left w:w="15" w:type="dxa"/>
                    <w:right w:w="15" w:type="dxa"/>
                  </w:tcMar>
                  <w:vAlign w:val="center"/>
                </w:tcPr>
                <w:p w14:paraId="78CA74BB">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1.12</w:t>
                  </w:r>
                </w:p>
              </w:tc>
              <w:tc>
                <w:tcPr>
                  <w:tcW w:w="1008" w:type="dxa"/>
                  <w:noWrap w:val="0"/>
                  <w:tcMar>
                    <w:top w:w="15" w:type="dxa"/>
                    <w:left w:w="15" w:type="dxa"/>
                    <w:right w:w="15" w:type="dxa"/>
                  </w:tcMar>
                  <w:vAlign w:val="center"/>
                </w:tcPr>
                <w:p w14:paraId="48FC6F53">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0.205</w:t>
                  </w:r>
                </w:p>
              </w:tc>
              <w:tc>
                <w:tcPr>
                  <w:tcW w:w="1119" w:type="dxa"/>
                  <w:noWrap w:val="0"/>
                  <w:vAlign w:val="center"/>
                </w:tcPr>
                <w:p w14:paraId="742A29CD">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13.7</w:t>
                  </w:r>
                </w:p>
              </w:tc>
              <w:tc>
                <w:tcPr>
                  <w:tcW w:w="1655" w:type="dxa"/>
                  <w:noWrap w:val="0"/>
                  <w:vAlign w:val="center"/>
                </w:tcPr>
                <w:p w14:paraId="4A0F2F0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6.8</w:t>
                  </w:r>
                </w:p>
              </w:tc>
            </w:tr>
            <w:tr w14:paraId="4264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1A74EA2D">
                  <w:pPr>
                    <w:keepNext w:val="0"/>
                    <w:keepLines w:val="0"/>
                    <w:pageBreakBefore w:val="0"/>
                    <w:kinsoku/>
                    <w:wordWrap/>
                    <w:overflowPunct/>
                    <w:topLinePunct w:val="0"/>
                    <w:autoSpaceDE/>
                    <w:autoSpaceDN/>
                    <w:bidi w:val="0"/>
                    <w:adjustRightInd w:val="0"/>
                    <w:snapToGrid w:val="0"/>
                    <w:spacing w:line="320" w:lineRule="exact"/>
                    <w:jc w:val="center"/>
                    <w:rPr>
                      <w:rFonts w:hint="eastAsia"/>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rFonts w:hint="eastAsia"/>
                      <w:color w:val="000000" w:themeColor="text1"/>
                      <w:kern w:val="0"/>
                      <w:szCs w:val="21"/>
                      <w:lang w:val="en-US" w:eastAsia="zh-CN"/>
                      <w14:textFill>
                        <w14:solidFill>
                          <w14:schemeClr w14:val="tx1"/>
                        </w14:solidFill>
                      </w14:textFill>
                    </w:rPr>
                    <w:t>3</w:t>
                  </w:r>
                  <w:r>
                    <w:rPr>
                      <w:color w:val="000000" w:themeColor="text1"/>
                      <w:kern w:val="0"/>
                      <w:szCs w:val="21"/>
                      <w14:textFill>
                        <w14:solidFill>
                          <w14:schemeClr w14:val="tx1"/>
                        </w14:solidFill>
                      </w14:textFill>
                    </w:rPr>
                    <w:t>周</w:t>
                  </w:r>
                </w:p>
              </w:tc>
              <w:tc>
                <w:tcPr>
                  <w:tcW w:w="1019" w:type="dxa"/>
                  <w:noWrap w:val="0"/>
                  <w:tcMar>
                    <w:top w:w="15" w:type="dxa"/>
                    <w:left w:w="15" w:type="dxa"/>
                    <w:right w:w="15" w:type="dxa"/>
                  </w:tcMar>
                  <w:vAlign w:val="center"/>
                </w:tcPr>
                <w:p w14:paraId="26C2E39F">
                  <w:pPr>
                    <w:keepNext w:val="0"/>
                    <w:keepLines w:val="0"/>
                    <w:pageBreakBefore w:val="0"/>
                    <w:kinsoku/>
                    <w:wordWrap/>
                    <w:overflowPunct/>
                    <w:topLinePunct w:val="0"/>
                    <w:autoSpaceDE/>
                    <w:autoSpaceDN/>
                    <w:bidi w:val="0"/>
                    <w:adjustRightInd w:val="0"/>
                    <w:snapToGrid w:val="0"/>
                    <w:spacing w:line="320" w:lineRule="exact"/>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18.9</w:t>
                  </w:r>
                </w:p>
              </w:tc>
              <w:tc>
                <w:tcPr>
                  <w:tcW w:w="1115" w:type="dxa"/>
                  <w:noWrap w:val="0"/>
                  <w:tcMar>
                    <w:top w:w="15" w:type="dxa"/>
                    <w:left w:w="15" w:type="dxa"/>
                    <w:right w:w="15" w:type="dxa"/>
                  </w:tcMar>
                  <w:vAlign w:val="center"/>
                </w:tcPr>
                <w:p w14:paraId="577866D9">
                  <w:pPr>
                    <w:keepNext w:val="0"/>
                    <w:keepLines w:val="0"/>
                    <w:pageBreakBefore w:val="0"/>
                    <w:kinsoku/>
                    <w:wordWrap/>
                    <w:overflowPunct/>
                    <w:topLinePunct w:val="0"/>
                    <w:autoSpaceDE/>
                    <w:autoSpaceDN/>
                    <w:bidi w:val="0"/>
                    <w:adjustRightInd w:val="0"/>
                    <w:snapToGrid w:val="0"/>
                    <w:spacing w:line="320" w:lineRule="exact"/>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1.69</w:t>
                  </w:r>
                </w:p>
              </w:tc>
              <w:tc>
                <w:tcPr>
                  <w:tcW w:w="1008" w:type="dxa"/>
                  <w:noWrap w:val="0"/>
                  <w:tcMar>
                    <w:top w:w="15" w:type="dxa"/>
                    <w:left w:w="15" w:type="dxa"/>
                    <w:right w:w="15" w:type="dxa"/>
                  </w:tcMar>
                  <w:vAlign w:val="center"/>
                </w:tcPr>
                <w:p w14:paraId="15CFE82B">
                  <w:pPr>
                    <w:keepNext w:val="0"/>
                    <w:keepLines w:val="0"/>
                    <w:pageBreakBefore w:val="0"/>
                    <w:kinsoku/>
                    <w:wordWrap/>
                    <w:overflowPunct/>
                    <w:topLinePunct w:val="0"/>
                    <w:autoSpaceDE/>
                    <w:autoSpaceDN/>
                    <w:bidi w:val="0"/>
                    <w:adjustRightInd w:val="0"/>
                    <w:snapToGrid w:val="0"/>
                    <w:spacing w:line="320" w:lineRule="exact"/>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0.22</w:t>
                  </w:r>
                </w:p>
              </w:tc>
              <w:tc>
                <w:tcPr>
                  <w:tcW w:w="1119" w:type="dxa"/>
                  <w:noWrap w:val="0"/>
                  <w:vAlign w:val="center"/>
                </w:tcPr>
                <w:p w14:paraId="23014755">
                  <w:pPr>
                    <w:keepNext w:val="0"/>
                    <w:keepLines w:val="0"/>
                    <w:pageBreakBefore w:val="0"/>
                    <w:kinsoku/>
                    <w:wordWrap/>
                    <w:overflowPunct/>
                    <w:topLinePunct w:val="0"/>
                    <w:autoSpaceDE/>
                    <w:autoSpaceDN/>
                    <w:bidi w:val="0"/>
                    <w:adjustRightInd w:val="0"/>
                    <w:snapToGrid w:val="0"/>
                    <w:spacing w:line="320" w:lineRule="exact"/>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14.2</w:t>
                  </w:r>
                </w:p>
              </w:tc>
              <w:tc>
                <w:tcPr>
                  <w:tcW w:w="1655" w:type="dxa"/>
                  <w:noWrap w:val="0"/>
                  <w:vAlign w:val="center"/>
                </w:tcPr>
                <w:p w14:paraId="11F05773">
                  <w:pPr>
                    <w:keepNext w:val="0"/>
                    <w:keepLines w:val="0"/>
                    <w:pageBreakBefore w:val="0"/>
                    <w:kinsoku/>
                    <w:wordWrap/>
                    <w:overflowPunct/>
                    <w:topLinePunct w:val="0"/>
                    <w:autoSpaceDE/>
                    <w:autoSpaceDN/>
                    <w:bidi w:val="0"/>
                    <w:adjustRightInd w:val="0"/>
                    <w:snapToGrid w:val="0"/>
                    <w:spacing w:line="320" w:lineRule="exact"/>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6.9</w:t>
                  </w:r>
                </w:p>
              </w:tc>
            </w:tr>
            <w:tr w14:paraId="0204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26A51FFF">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2周</w:t>
                  </w:r>
                </w:p>
              </w:tc>
              <w:tc>
                <w:tcPr>
                  <w:tcW w:w="1019" w:type="dxa"/>
                  <w:noWrap w:val="0"/>
                  <w:tcMar>
                    <w:top w:w="15" w:type="dxa"/>
                    <w:left w:w="15" w:type="dxa"/>
                    <w:right w:w="15" w:type="dxa"/>
                  </w:tcMar>
                  <w:vAlign w:val="center"/>
                </w:tcPr>
                <w:p w14:paraId="46E5CB45">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20.3</w:t>
                  </w:r>
                </w:p>
              </w:tc>
              <w:tc>
                <w:tcPr>
                  <w:tcW w:w="1115" w:type="dxa"/>
                  <w:noWrap w:val="0"/>
                  <w:tcMar>
                    <w:top w:w="15" w:type="dxa"/>
                    <w:left w:w="15" w:type="dxa"/>
                    <w:right w:w="15" w:type="dxa"/>
                  </w:tcMar>
                  <w:vAlign w:val="center"/>
                </w:tcPr>
                <w:p w14:paraId="381A0FDF">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1.74</w:t>
                  </w:r>
                </w:p>
              </w:tc>
              <w:tc>
                <w:tcPr>
                  <w:tcW w:w="1008" w:type="dxa"/>
                  <w:noWrap w:val="0"/>
                  <w:tcMar>
                    <w:top w:w="15" w:type="dxa"/>
                    <w:left w:w="15" w:type="dxa"/>
                    <w:right w:w="15" w:type="dxa"/>
                  </w:tcMar>
                  <w:vAlign w:val="center"/>
                </w:tcPr>
                <w:p w14:paraId="52BCDF6F">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0.193</w:t>
                  </w:r>
                </w:p>
              </w:tc>
              <w:tc>
                <w:tcPr>
                  <w:tcW w:w="1119" w:type="dxa"/>
                  <w:noWrap w:val="0"/>
                  <w:vAlign w:val="center"/>
                </w:tcPr>
                <w:p w14:paraId="6641EA2C">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14.1</w:t>
                  </w:r>
                </w:p>
              </w:tc>
              <w:tc>
                <w:tcPr>
                  <w:tcW w:w="1655" w:type="dxa"/>
                  <w:noWrap w:val="0"/>
                  <w:vAlign w:val="center"/>
                </w:tcPr>
                <w:p w14:paraId="0603FE37">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7.2</w:t>
                  </w:r>
                </w:p>
              </w:tc>
            </w:tr>
            <w:tr w14:paraId="4076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167D0B47">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rFonts w:hint="eastAsia"/>
                      <w:color w:val="000000" w:themeColor="text1"/>
                      <w:kern w:val="0"/>
                      <w:szCs w:val="21"/>
                      <w:lang w:eastAsia="zh-CN"/>
                      <w14:textFill>
                        <w14:solidFill>
                          <w14:schemeClr w14:val="tx1"/>
                        </w14:solidFill>
                      </w14:textFill>
                    </w:rPr>
                    <w:t>2024年</w:t>
                  </w:r>
                  <w:r>
                    <w:rPr>
                      <w:color w:val="000000" w:themeColor="text1"/>
                      <w:kern w:val="0"/>
                      <w:szCs w:val="21"/>
                      <w14:textFill>
                        <w14:solidFill>
                          <w14:schemeClr w14:val="tx1"/>
                        </w14:solidFill>
                      </w14:textFill>
                    </w:rPr>
                    <w:t>1周</w:t>
                  </w:r>
                </w:p>
              </w:tc>
              <w:tc>
                <w:tcPr>
                  <w:tcW w:w="1019" w:type="dxa"/>
                  <w:noWrap w:val="0"/>
                  <w:tcMar>
                    <w:top w:w="15" w:type="dxa"/>
                    <w:left w:w="15" w:type="dxa"/>
                    <w:right w:w="15" w:type="dxa"/>
                  </w:tcMar>
                  <w:vAlign w:val="center"/>
                </w:tcPr>
                <w:p w14:paraId="5C05FD2F">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16.5</w:t>
                  </w:r>
                </w:p>
              </w:tc>
              <w:tc>
                <w:tcPr>
                  <w:tcW w:w="1115" w:type="dxa"/>
                  <w:noWrap w:val="0"/>
                  <w:tcMar>
                    <w:top w:w="15" w:type="dxa"/>
                    <w:left w:w="15" w:type="dxa"/>
                    <w:right w:w="15" w:type="dxa"/>
                  </w:tcMar>
                  <w:vAlign w:val="center"/>
                </w:tcPr>
                <w:p w14:paraId="0F5D990E">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1.278</w:t>
                  </w:r>
                </w:p>
              </w:tc>
              <w:tc>
                <w:tcPr>
                  <w:tcW w:w="1008" w:type="dxa"/>
                  <w:noWrap w:val="0"/>
                  <w:tcMar>
                    <w:top w:w="15" w:type="dxa"/>
                    <w:left w:w="15" w:type="dxa"/>
                    <w:right w:w="15" w:type="dxa"/>
                  </w:tcMar>
                  <w:vAlign w:val="center"/>
                </w:tcPr>
                <w:p w14:paraId="181E7073">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0.142</w:t>
                  </w:r>
                </w:p>
              </w:tc>
              <w:tc>
                <w:tcPr>
                  <w:tcW w:w="1119" w:type="dxa"/>
                  <w:noWrap w:val="0"/>
                  <w:vAlign w:val="center"/>
                </w:tcPr>
                <w:p w14:paraId="73E92CCE">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12.5</w:t>
                  </w:r>
                </w:p>
              </w:tc>
              <w:tc>
                <w:tcPr>
                  <w:tcW w:w="1655" w:type="dxa"/>
                  <w:noWrap w:val="0"/>
                  <w:vAlign w:val="center"/>
                </w:tcPr>
                <w:p w14:paraId="068A1A2B">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6.6</w:t>
                  </w:r>
                </w:p>
              </w:tc>
            </w:tr>
            <w:tr w14:paraId="4D88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03EA14BF">
                  <w:pPr>
                    <w:keepNext w:val="0"/>
                    <w:keepLines w:val="0"/>
                    <w:pageBreakBefore w:val="0"/>
                    <w:kinsoku/>
                    <w:wordWrap/>
                    <w:overflowPunct/>
                    <w:topLinePunct w:val="0"/>
                    <w:autoSpaceDE/>
                    <w:autoSpaceDN/>
                    <w:bidi w:val="0"/>
                    <w:adjustRightInd w:val="0"/>
                    <w:snapToGrid w:val="0"/>
                    <w:spacing w:line="32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年均值</w:t>
                  </w:r>
                </w:p>
              </w:tc>
              <w:tc>
                <w:tcPr>
                  <w:tcW w:w="1019" w:type="dxa"/>
                  <w:noWrap w:val="0"/>
                  <w:tcMar>
                    <w:top w:w="15" w:type="dxa"/>
                    <w:left w:w="15" w:type="dxa"/>
                    <w:right w:w="15" w:type="dxa"/>
                  </w:tcMar>
                  <w:vAlign w:val="center"/>
                </w:tcPr>
                <w:p w14:paraId="67321C97">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26.8</w:t>
                  </w:r>
                </w:p>
              </w:tc>
              <w:tc>
                <w:tcPr>
                  <w:tcW w:w="1115" w:type="dxa"/>
                  <w:noWrap w:val="0"/>
                  <w:vAlign w:val="center"/>
                </w:tcPr>
                <w:p w14:paraId="4035F230">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0.937</w:t>
                  </w:r>
                </w:p>
              </w:tc>
              <w:tc>
                <w:tcPr>
                  <w:tcW w:w="1008" w:type="dxa"/>
                  <w:noWrap w:val="0"/>
                  <w:vAlign w:val="center"/>
                </w:tcPr>
                <w:p w14:paraId="6EA5BDE5">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0.308</w:t>
                  </w:r>
                </w:p>
              </w:tc>
              <w:tc>
                <w:tcPr>
                  <w:tcW w:w="1119" w:type="dxa"/>
                  <w:noWrap w:val="0"/>
                  <w:vAlign w:val="center"/>
                </w:tcPr>
                <w:p w14:paraId="7CD67278">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10.3</w:t>
                  </w:r>
                </w:p>
              </w:tc>
              <w:tc>
                <w:tcPr>
                  <w:tcW w:w="1655" w:type="dxa"/>
                  <w:noWrap w:val="0"/>
                  <w:vAlign w:val="center"/>
                </w:tcPr>
                <w:p w14:paraId="770C1976">
                  <w:pPr>
                    <w:keepNext w:val="0"/>
                    <w:keepLines w:val="0"/>
                    <w:pageBreakBefore w:val="0"/>
                    <w:kinsoku/>
                    <w:wordWrap/>
                    <w:overflowPunct/>
                    <w:topLinePunct w:val="0"/>
                    <w:autoSpaceDE/>
                    <w:autoSpaceDN/>
                    <w:bidi w:val="0"/>
                    <w:adjustRightInd w:val="0"/>
                    <w:snapToGrid w:val="0"/>
                    <w:spacing w:line="320" w:lineRule="exact"/>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8.0</w:t>
                  </w:r>
                </w:p>
              </w:tc>
            </w:tr>
            <w:tr w14:paraId="4206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109C0E3D">
                  <w:pPr>
                    <w:keepNext w:val="0"/>
                    <w:keepLines w:val="0"/>
                    <w:pageBreakBefore w:val="0"/>
                    <w:kinsoku/>
                    <w:wordWrap/>
                    <w:overflowPunct/>
                    <w:topLinePunct w:val="0"/>
                    <w:autoSpaceDE/>
                    <w:autoSpaceDN/>
                    <w:bidi w:val="0"/>
                    <w:snapToGrid w:val="0"/>
                    <w:spacing w:line="320" w:lineRule="exact"/>
                    <w:contextualSpacing/>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Ⅲ</w:t>
                  </w:r>
                  <w:r>
                    <w:rPr>
                      <w:color w:val="000000" w:themeColor="text1"/>
                      <w:szCs w:val="21"/>
                      <w:highlight w:val="none"/>
                      <w14:textFill>
                        <w14:solidFill>
                          <w14:schemeClr w14:val="tx1"/>
                        </w14:solidFill>
                      </w14:textFill>
                    </w:rPr>
                    <w:t>类水质指标</w:t>
                  </w:r>
                </w:p>
              </w:tc>
              <w:tc>
                <w:tcPr>
                  <w:tcW w:w="1019" w:type="dxa"/>
                  <w:noWrap w:val="0"/>
                  <w:tcMar>
                    <w:top w:w="15" w:type="dxa"/>
                    <w:left w:w="15" w:type="dxa"/>
                    <w:right w:w="15" w:type="dxa"/>
                  </w:tcMar>
                  <w:vAlign w:val="center"/>
                </w:tcPr>
                <w:p w14:paraId="30B204BA">
                  <w:pPr>
                    <w:keepNext w:val="0"/>
                    <w:keepLines w:val="0"/>
                    <w:pageBreakBefore w:val="0"/>
                    <w:kinsoku/>
                    <w:wordWrap/>
                    <w:overflowPunct/>
                    <w:topLinePunct w:val="0"/>
                    <w:autoSpaceDE/>
                    <w:autoSpaceDN/>
                    <w:bidi w:val="0"/>
                    <w:snapToGrid w:val="0"/>
                    <w:spacing w:line="320" w:lineRule="exact"/>
                    <w:contextualSpacing/>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20</w:t>
                  </w:r>
                </w:p>
              </w:tc>
              <w:tc>
                <w:tcPr>
                  <w:tcW w:w="1115" w:type="dxa"/>
                  <w:noWrap w:val="0"/>
                  <w:tcMar>
                    <w:top w:w="15" w:type="dxa"/>
                    <w:left w:w="15" w:type="dxa"/>
                    <w:right w:w="15" w:type="dxa"/>
                  </w:tcMar>
                  <w:vAlign w:val="center"/>
                </w:tcPr>
                <w:p w14:paraId="4E71CB67">
                  <w:pPr>
                    <w:keepNext w:val="0"/>
                    <w:keepLines w:val="0"/>
                    <w:pageBreakBefore w:val="0"/>
                    <w:kinsoku/>
                    <w:wordWrap/>
                    <w:overflowPunct/>
                    <w:topLinePunct w:val="0"/>
                    <w:autoSpaceDE/>
                    <w:autoSpaceDN/>
                    <w:bidi w:val="0"/>
                    <w:snapToGrid w:val="0"/>
                    <w:spacing w:line="320" w:lineRule="exact"/>
                    <w:contextualSpacing/>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w:t>
                  </w:r>
                </w:p>
              </w:tc>
              <w:tc>
                <w:tcPr>
                  <w:tcW w:w="1008" w:type="dxa"/>
                  <w:noWrap w:val="0"/>
                  <w:tcMar>
                    <w:top w:w="15" w:type="dxa"/>
                    <w:left w:w="15" w:type="dxa"/>
                    <w:right w:w="15" w:type="dxa"/>
                  </w:tcMar>
                  <w:vAlign w:val="center"/>
                </w:tcPr>
                <w:p w14:paraId="6105174A">
                  <w:pPr>
                    <w:keepNext w:val="0"/>
                    <w:keepLines w:val="0"/>
                    <w:pageBreakBefore w:val="0"/>
                    <w:kinsoku/>
                    <w:wordWrap/>
                    <w:overflowPunct/>
                    <w:topLinePunct w:val="0"/>
                    <w:autoSpaceDE/>
                    <w:autoSpaceDN/>
                    <w:bidi w:val="0"/>
                    <w:snapToGrid w:val="0"/>
                    <w:spacing w:line="320" w:lineRule="exact"/>
                    <w:contextualSpacing/>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0.2</w:t>
                  </w:r>
                </w:p>
              </w:tc>
              <w:tc>
                <w:tcPr>
                  <w:tcW w:w="1119" w:type="dxa"/>
                  <w:noWrap w:val="0"/>
                  <w:vAlign w:val="center"/>
                </w:tcPr>
                <w:p w14:paraId="2E68DF6A">
                  <w:pPr>
                    <w:keepNext w:val="0"/>
                    <w:keepLines w:val="0"/>
                    <w:pageBreakBefore w:val="0"/>
                    <w:kinsoku/>
                    <w:wordWrap/>
                    <w:overflowPunct/>
                    <w:topLinePunct w:val="0"/>
                    <w:autoSpaceDE/>
                    <w:autoSpaceDN/>
                    <w:bidi w:val="0"/>
                    <w:snapToGrid w:val="0"/>
                    <w:spacing w:line="320" w:lineRule="exact"/>
                    <w:contextualSpacing/>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w:t>
                  </w:r>
                </w:p>
              </w:tc>
              <w:tc>
                <w:tcPr>
                  <w:tcW w:w="1655" w:type="dxa"/>
                  <w:noWrap w:val="0"/>
                  <w:vAlign w:val="center"/>
                </w:tcPr>
                <w:p w14:paraId="3C592D53">
                  <w:pPr>
                    <w:keepNext w:val="0"/>
                    <w:keepLines w:val="0"/>
                    <w:pageBreakBefore w:val="0"/>
                    <w:kinsoku/>
                    <w:wordWrap/>
                    <w:overflowPunct/>
                    <w:topLinePunct w:val="0"/>
                    <w:autoSpaceDE/>
                    <w:autoSpaceDN/>
                    <w:bidi w:val="0"/>
                    <w:snapToGrid w:val="0"/>
                    <w:spacing w:line="320" w:lineRule="exact"/>
                    <w:contextualSpacing/>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w:t>
                  </w:r>
                </w:p>
              </w:tc>
            </w:tr>
            <w:tr w14:paraId="6B160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1960" w:type="dxa"/>
                  <w:noWrap w:val="0"/>
                  <w:tcMar>
                    <w:top w:w="15" w:type="dxa"/>
                    <w:left w:w="15" w:type="dxa"/>
                    <w:right w:w="15" w:type="dxa"/>
                  </w:tcMar>
                  <w:vAlign w:val="center"/>
                </w:tcPr>
                <w:p w14:paraId="7FB652C6">
                  <w:pPr>
                    <w:keepNext w:val="0"/>
                    <w:keepLines w:val="0"/>
                    <w:pageBreakBefore w:val="0"/>
                    <w:kinsoku/>
                    <w:wordWrap/>
                    <w:overflowPunct/>
                    <w:topLinePunct w:val="0"/>
                    <w:autoSpaceDE/>
                    <w:autoSpaceDN/>
                    <w:bidi w:val="0"/>
                    <w:snapToGrid w:val="0"/>
                    <w:spacing w:line="320" w:lineRule="exact"/>
                    <w:contextualSpacing/>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是否达标</w:t>
                  </w:r>
                </w:p>
              </w:tc>
              <w:tc>
                <w:tcPr>
                  <w:tcW w:w="1019" w:type="dxa"/>
                  <w:noWrap w:val="0"/>
                  <w:tcMar>
                    <w:top w:w="15" w:type="dxa"/>
                    <w:left w:w="15" w:type="dxa"/>
                    <w:right w:w="15" w:type="dxa"/>
                  </w:tcMar>
                  <w:vAlign w:val="center"/>
                </w:tcPr>
                <w:p w14:paraId="7B547DDB">
                  <w:pPr>
                    <w:keepNext w:val="0"/>
                    <w:keepLines w:val="0"/>
                    <w:pageBreakBefore w:val="0"/>
                    <w:kinsoku/>
                    <w:wordWrap/>
                    <w:overflowPunct/>
                    <w:topLinePunct w:val="0"/>
                    <w:autoSpaceDE/>
                    <w:autoSpaceDN/>
                    <w:bidi w:val="0"/>
                    <w:snapToGrid w:val="0"/>
                    <w:spacing w:line="320" w:lineRule="exact"/>
                    <w:contextualSpacing/>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超标</w:t>
                  </w:r>
                </w:p>
              </w:tc>
              <w:tc>
                <w:tcPr>
                  <w:tcW w:w="1115" w:type="dxa"/>
                  <w:noWrap w:val="0"/>
                  <w:tcMar>
                    <w:top w:w="15" w:type="dxa"/>
                    <w:left w:w="15" w:type="dxa"/>
                    <w:right w:w="15" w:type="dxa"/>
                  </w:tcMar>
                  <w:vAlign w:val="center"/>
                </w:tcPr>
                <w:p w14:paraId="3BCB6CA9">
                  <w:pPr>
                    <w:keepNext w:val="0"/>
                    <w:keepLines w:val="0"/>
                    <w:pageBreakBefore w:val="0"/>
                    <w:kinsoku/>
                    <w:wordWrap/>
                    <w:overflowPunct/>
                    <w:topLinePunct w:val="0"/>
                    <w:autoSpaceDE/>
                    <w:autoSpaceDN/>
                    <w:bidi w:val="0"/>
                    <w:snapToGrid w:val="0"/>
                    <w:spacing w:line="320" w:lineRule="exact"/>
                    <w:contextualSpacing/>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达标</w:t>
                  </w:r>
                </w:p>
              </w:tc>
              <w:tc>
                <w:tcPr>
                  <w:tcW w:w="1008" w:type="dxa"/>
                  <w:noWrap w:val="0"/>
                  <w:tcMar>
                    <w:top w:w="15" w:type="dxa"/>
                    <w:left w:w="15" w:type="dxa"/>
                    <w:right w:w="15" w:type="dxa"/>
                  </w:tcMar>
                  <w:vAlign w:val="center"/>
                </w:tcPr>
                <w:p w14:paraId="13146E89">
                  <w:pPr>
                    <w:keepNext w:val="0"/>
                    <w:keepLines w:val="0"/>
                    <w:pageBreakBefore w:val="0"/>
                    <w:kinsoku/>
                    <w:wordWrap/>
                    <w:overflowPunct/>
                    <w:topLinePunct w:val="0"/>
                    <w:autoSpaceDE/>
                    <w:autoSpaceDN/>
                    <w:bidi w:val="0"/>
                    <w:snapToGrid w:val="0"/>
                    <w:spacing w:line="320" w:lineRule="exact"/>
                    <w:contextualSpacing/>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超标</w:t>
                  </w:r>
                </w:p>
              </w:tc>
              <w:tc>
                <w:tcPr>
                  <w:tcW w:w="1119" w:type="dxa"/>
                  <w:noWrap w:val="0"/>
                  <w:vAlign w:val="center"/>
                </w:tcPr>
                <w:p w14:paraId="39F6041A">
                  <w:pPr>
                    <w:keepNext w:val="0"/>
                    <w:keepLines w:val="0"/>
                    <w:pageBreakBefore w:val="0"/>
                    <w:kinsoku/>
                    <w:wordWrap/>
                    <w:overflowPunct/>
                    <w:topLinePunct w:val="0"/>
                    <w:autoSpaceDE/>
                    <w:autoSpaceDN/>
                    <w:bidi w:val="0"/>
                    <w:snapToGrid w:val="0"/>
                    <w:spacing w:line="320" w:lineRule="exact"/>
                    <w:contextualSpacing/>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超标</w:t>
                  </w:r>
                </w:p>
              </w:tc>
              <w:tc>
                <w:tcPr>
                  <w:tcW w:w="1655" w:type="dxa"/>
                  <w:noWrap w:val="0"/>
                  <w:vAlign w:val="center"/>
                </w:tcPr>
                <w:p w14:paraId="2C35B150">
                  <w:pPr>
                    <w:keepNext w:val="0"/>
                    <w:keepLines w:val="0"/>
                    <w:pageBreakBefore w:val="0"/>
                    <w:kinsoku/>
                    <w:wordWrap/>
                    <w:overflowPunct/>
                    <w:topLinePunct w:val="0"/>
                    <w:autoSpaceDE/>
                    <w:autoSpaceDN/>
                    <w:bidi w:val="0"/>
                    <w:snapToGrid w:val="0"/>
                    <w:spacing w:line="320" w:lineRule="exact"/>
                    <w:contextualSpacing/>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超标</w:t>
                  </w:r>
                </w:p>
              </w:tc>
            </w:tr>
          </w:tbl>
          <w:p w14:paraId="29AA9518">
            <w:pPr>
              <w:keepNext w:val="0"/>
              <w:keepLines w:val="0"/>
              <w:suppressLineNumbers w:val="0"/>
              <w:snapToGrid w:val="0"/>
              <w:spacing w:before="0" w:beforeAutospacing="0" w:after="0" w:afterAutospacing="0"/>
              <w:ind w:left="0" w:right="0"/>
              <w:jc w:val="left"/>
              <w:rPr>
                <w:rFonts w:hint="default"/>
                <w:color w:val="000000" w:themeColor="text1"/>
                <w:szCs w:val="21"/>
                <w14:textFill>
                  <w14:solidFill>
                    <w14:schemeClr w14:val="tx1"/>
                  </w14:solidFill>
                </w14:textFill>
              </w:rPr>
            </w:pPr>
          </w:p>
          <w:p w14:paraId="5DE8835F">
            <w:pPr>
              <w:keepNext w:val="0"/>
              <w:keepLines w:val="0"/>
              <w:suppressLineNumbers w:val="0"/>
              <w:spacing w:before="0" w:beforeAutospacing="0" w:after="0" w:afterAutospacing="0" w:line="360" w:lineRule="auto"/>
              <w:ind w:left="0" w:right="0" w:firstLine="480" w:firstLineChars="200"/>
              <w:jc w:val="left"/>
              <w:rPr>
                <w:rFonts w:hint="default"/>
                <w:color w:val="000000" w:themeColor="text1"/>
                <w:sz w:val="24"/>
                <w:szCs w:val="24"/>
                <w:lang w:val="en-US"/>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可见</w:t>
            </w:r>
            <w:r>
              <w:rPr>
                <w:rFonts w:hint="default"/>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汤河石辛庄水质断面COD、总磷、总氮、高锰酸钾指数年均值不</w:t>
            </w:r>
            <w:r>
              <w:rPr>
                <w:rFonts w:hint="default"/>
                <w:color w:val="000000" w:themeColor="text1"/>
                <w:sz w:val="24"/>
                <w:szCs w:val="24"/>
                <w14:textFill>
                  <w14:solidFill>
                    <w14:schemeClr w14:val="tx1"/>
                  </w14:solidFill>
                </w14:textFill>
              </w:rPr>
              <w:t>能够满足《地表水环境质量标准》（GB3838-2002）中</w:t>
            </w:r>
            <w:r>
              <w:rPr>
                <w:rFonts w:hint="eastAsia"/>
                <w:color w:val="000000" w:themeColor="text1"/>
                <w:sz w:val="24"/>
                <w:szCs w:val="24"/>
                <w:lang w:val="en-US" w:eastAsia="zh-CN"/>
                <w14:textFill>
                  <w14:solidFill>
                    <w14:schemeClr w14:val="tx1"/>
                  </w14:solidFill>
                </w14:textFill>
              </w:rPr>
              <w:t>III</w:t>
            </w:r>
            <w:r>
              <w:rPr>
                <w:rFonts w:hint="default"/>
                <w:color w:val="000000" w:themeColor="text1"/>
                <w:sz w:val="24"/>
                <w:szCs w:val="24"/>
                <w14:textFill>
                  <w14:solidFill>
                    <w14:schemeClr w14:val="tx1"/>
                  </w14:solidFill>
                </w14:textFill>
              </w:rPr>
              <w:t>类标准</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氨氮</w:t>
            </w:r>
            <w:r>
              <w:rPr>
                <w:rFonts w:hint="default"/>
                <w:color w:val="000000" w:themeColor="text1"/>
                <w:sz w:val="24"/>
                <w:szCs w:val="24"/>
                <w14:textFill>
                  <w14:solidFill>
                    <w14:schemeClr w14:val="tx1"/>
                  </w14:solidFill>
                </w14:textFill>
              </w:rPr>
              <w:t>能够满足《地表水环境质量标准》（GB3838-2002）中</w:t>
            </w:r>
            <w:r>
              <w:rPr>
                <w:rFonts w:hint="eastAsia"/>
                <w:color w:val="000000" w:themeColor="text1"/>
                <w:sz w:val="24"/>
                <w:szCs w:val="24"/>
                <w:lang w:val="en-US" w:eastAsia="zh-CN"/>
                <w14:textFill>
                  <w14:solidFill>
                    <w14:schemeClr w14:val="tx1"/>
                  </w14:solidFill>
                </w14:textFill>
              </w:rPr>
              <w:t>III</w:t>
            </w:r>
            <w:r>
              <w:rPr>
                <w:rFonts w:hint="default"/>
                <w:color w:val="000000" w:themeColor="text1"/>
                <w:sz w:val="24"/>
                <w:szCs w:val="24"/>
                <w14:textFill>
                  <w14:solidFill>
                    <w14:schemeClr w14:val="tx1"/>
                  </w14:solidFill>
                </w14:textFill>
              </w:rPr>
              <w:t>类标准</w:t>
            </w:r>
            <w:r>
              <w:rPr>
                <w:rFonts w:hint="eastAsia"/>
                <w:color w:val="000000" w:themeColor="text1"/>
                <w:sz w:val="24"/>
                <w:szCs w:val="24"/>
                <w:lang w:val="en-US" w:eastAsia="zh-CN"/>
                <w14:textFill>
                  <w14:solidFill>
                    <w14:schemeClr w14:val="tx1"/>
                  </w14:solidFill>
                </w14:textFill>
              </w:rPr>
              <w:t>。分析水质超标原因主要为汤河无自然径流，是区域主要纳污河流，上游来水主要为污水处理厂的排水及沿途排放的生活污水。</w:t>
            </w:r>
          </w:p>
          <w:p w14:paraId="3070558D">
            <w:pPr>
              <w:keepNext w:val="0"/>
              <w:keepLines w:val="0"/>
              <w:pageBreakBefore w:val="0"/>
              <w:widowControl w:val="0"/>
              <w:kinsoku/>
              <w:wordWrap/>
              <w:overflowPunct/>
              <w:topLinePunct w:val="0"/>
              <w:autoSpaceDE/>
              <w:autoSpaceDN/>
              <w:bidi w:val="0"/>
              <w:adjustRightInd w:val="0"/>
              <w:snapToGrid w:val="0"/>
              <w:spacing w:beforeLines="0" w:line="360" w:lineRule="auto"/>
              <w:ind w:firstLine="0"/>
              <w:textAlignment w:val="auto"/>
              <w:rPr>
                <w:rFonts w:hint="eastAsia" w:ascii="Times New Roman" w:hAnsi="Times New Roman" w:eastAsia="宋体" w:cs="Times New Roman"/>
                <w:b w:val="0"/>
                <w:color w:val="000000" w:themeColor="text1"/>
                <w:spacing w:val="0"/>
                <w:sz w:val="24"/>
                <w:szCs w:val="24"/>
                <w14:textFill>
                  <w14:solidFill>
                    <w14:schemeClr w14:val="tx1"/>
                  </w14:solidFill>
                </w14:textFill>
              </w:rPr>
            </w:pPr>
            <w:r>
              <w:rPr>
                <w:rFonts w:hint="eastAsia" w:cs="Times New Roman"/>
                <w:b w:val="0"/>
                <w:color w:val="000000" w:themeColor="text1"/>
                <w:spacing w:val="0"/>
                <w:sz w:val="24"/>
                <w:szCs w:val="24"/>
                <w:lang w:val="en-US" w:eastAsia="zh-CN"/>
                <w14:textFill>
                  <w14:solidFill>
                    <w14:schemeClr w14:val="tx1"/>
                  </w14:solidFill>
                </w14:textFill>
              </w:rPr>
              <w:t>三</w:t>
            </w:r>
            <w:r>
              <w:rPr>
                <w:rFonts w:hint="eastAsia" w:ascii="Times New Roman" w:hAnsi="Times New Roman" w:eastAsia="宋体" w:cs="Times New Roman"/>
                <w:b w:val="0"/>
                <w:color w:val="000000" w:themeColor="text1"/>
                <w:spacing w:val="0"/>
                <w:sz w:val="24"/>
                <w:szCs w:val="24"/>
                <w14:textFill>
                  <w14:solidFill>
                    <w14:schemeClr w14:val="tx1"/>
                  </w14:solidFill>
                </w14:textFill>
              </w:rPr>
              <w:t>、声环境</w:t>
            </w:r>
          </w:p>
          <w:p w14:paraId="721E2A28">
            <w:pPr>
              <w:pStyle w:val="7"/>
              <w:keepNext w:val="0"/>
              <w:keepLines w:val="0"/>
              <w:pageBreakBefore w:val="0"/>
              <w:widowControl w:val="0"/>
              <w:kinsoku/>
              <w:wordWrap/>
              <w:overflowPunct/>
              <w:topLinePunct w:val="0"/>
              <w:autoSpaceDE/>
              <w:autoSpaceDN/>
              <w:bidi w:val="0"/>
              <w:adjustRightInd w:val="0"/>
              <w:snapToGrid w:val="0"/>
              <w:spacing w:line="360" w:lineRule="auto"/>
              <w:ind w:firstLine="496" w:firstLineChars="200"/>
              <w:textAlignment w:val="auto"/>
              <w:rPr>
                <w:rFonts w:hint="eastAsia"/>
                <w:color w:val="000000" w:themeColor="text1"/>
                <w:lang w:val="en-US" w:eastAsia="zh-CN"/>
                <w14:textFill>
                  <w14:solidFill>
                    <w14:schemeClr w14:val="tx1"/>
                  </w14:solidFill>
                </w14:textFill>
              </w:rPr>
            </w:pPr>
            <w:r>
              <w:rPr>
                <w:rFonts w:hint="default" w:ascii="Times New Roman" w:hAnsi="Times New Roman" w:cs="Times New Roman"/>
                <w:color w:val="000000" w:themeColor="text1"/>
                <w:spacing w:val="4"/>
                <w:sz w:val="24"/>
                <w:szCs w:val="24"/>
                <w14:textFill>
                  <w14:solidFill>
                    <w14:schemeClr w14:val="tx1"/>
                  </w14:solidFill>
                </w14:textFill>
              </w:rPr>
              <w:t>根据声环境功能区域划分</w:t>
            </w:r>
            <w:r>
              <w:rPr>
                <w:rFonts w:hint="eastAsia" w:ascii="Times New Roman" w:hAnsi="Times New Roman" w:cs="Times New Roman"/>
                <w:color w:val="000000" w:themeColor="text1"/>
                <w:spacing w:val="4"/>
                <w:sz w:val="24"/>
                <w:szCs w:val="24"/>
                <w:lang w:val="en-US" w:eastAsia="zh-CN"/>
                <w14:textFill>
                  <w14:solidFill>
                    <w14:schemeClr w14:val="tx1"/>
                  </w14:solidFill>
                </w14:textFill>
              </w:rPr>
              <w:t>要求</w:t>
            </w:r>
            <w:r>
              <w:rPr>
                <w:rFonts w:hint="default" w:ascii="Times New Roman" w:hAnsi="Times New Roman" w:cs="Times New Roman"/>
                <w:color w:val="000000" w:themeColor="text1"/>
                <w:spacing w:val="4"/>
                <w:sz w:val="24"/>
                <w:szCs w:val="24"/>
                <w14:textFill>
                  <w14:solidFill>
                    <w14:schemeClr w14:val="tx1"/>
                  </w14:solidFill>
                </w14:textFill>
              </w:rPr>
              <w:t>，</w:t>
            </w:r>
            <w:r>
              <w:rPr>
                <w:rFonts w:hint="default" w:ascii="Times New Roman" w:hAnsi="Times New Roman" w:cs="Times New Roman"/>
                <w:color w:val="000000" w:themeColor="text1"/>
                <w:spacing w:val="4"/>
                <w:sz w:val="24"/>
                <w:szCs w:val="24"/>
                <w:highlight w:val="none"/>
                <w14:textFill>
                  <w14:solidFill>
                    <w14:schemeClr w14:val="tx1"/>
                  </w14:solidFill>
                </w14:textFill>
              </w:rPr>
              <w:t>本项目所在区域声环境属</w:t>
            </w:r>
            <w:r>
              <w:rPr>
                <w:rFonts w:hint="eastAsia" w:cs="Times New Roman"/>
                <w:color w:val="000000" w:themeColor="text1"/>
                <w:spacing w:val="4"/>
                <w:sz w:val="24"/>
                <w:szCs w:val="24"/>
                <w:highlight w:val="none"/>
                <w:lang w:val="en-US" w:eastAsia="zh-CN"/>
                <w14:textFill>
                  <w14:solidFill>
                    <w14:schemeClr w14:val="tx1"/>
                  </w14:solidFill>
                </w14:textFill>
              </w:rPr>
              <w:t>3</w:t>
            </w:r>
            <w:r>
              <w:rPr>
                <w:rFonts w:hint="default" w:ascii="Times New Roman" w:hAnsi="Times New Roman" w:cs="Times New Roman"/>
                <w:color w:val="000000" w:themeColor="text1"/>
                <w:spacing w:val="4"/>
                <w:sz w:val="24"/>
                <w:szCs w:val="24"/>
                <w:highlight w:val="none"/>
                <w14:textFill>
                  <w14:solidFill>
                    <w14:schemeClr w14:val="tx1"/>
                  </w14:solidFill>
                </w14:textFill>
              </w:rPr>
              <w:t>类区，环境噪声执行《声环境质量标准》（GB3096-2008）</w:t>
            </w:r>
            <w:r>
              <w:rPr>
                <w:rFonts w:hint="eastAsia" w:cs="Times New Roman"/>
                <w:color w:val="000000" w:themeColor="text1"/>
                <w:spacing w:val="4"/>
                <w:sz w:val="24"/>
                <w:szCs w:val="24"/>
                <w:highlight w:val="none"/>
                <w:lang w:val="en-US" w:eastAsia="zh-CN"/>
                <w14:textFill>
                  <w14:solidFill>
                    <w14:schemeClr w14:val="tx1"/>
                  </w14:solidFill>
                </w14:textFill>
              </w:rPr>
              <w:t>3</w:t>
            </w:r>
            <w:r>
              <w:rPr>
                <w:rFonts w:hint="default" w:ascii="Times New Roman" w:hAnsi="Times New Roman" w:cs="Times New Roman"/>
                <w:color w:val="000000" w:themeColor="text1"/>
                <w:spacing w:val="4"/>
                <w:sz w:val="24"/>
                <w:szCs w:val="24"/>
                <w:highlight w:val="none"/>
                <w14:textFill>
                  <w14:solidFill>
                    <w14:schemeClr w14:val="tx1"/>
                  </w14:solidFill>
                </w14:textFill>
              </w:rPr>
              <w:t>类标准的要求</w:t>
            </w:r>
            <w:r>
              <w:rPr>
                <w:rFonts w:hint="eastAsia" w:ascii="Times New Roman" w:hAnsi="Times New Roman" w:cs="Times New Roman"/>
                <w:color w:val="000000" w:themeColor="text1"/>
                <w:spacing w:val="4"/>
                <w:sz w:val="24"/>
                <w:szCs w:val="24"/>
                <w:highlight w:val="none"/>
                <w:lang w:eastAsia="zh-CN"/>
                <w14:textFill>
                  <w14:solidFill>
                    <w14:schemeClr w14:val="tx1"/>
                  </w14:solidFill>
                </w14:textFill>
              </w:rPr>
              <w:t>。本项目周边</w:t>
            </w:r>
            <w:r>
              <w:rPr>
                <w:rFonts w:hint="eastAsia" w:ascii="Times New Roman" w:hAnsi="Times New Roman" w:cs="Times New Roman"/>
                <w:color w:val="000000" w:themeColor="text1"/>
                <w:spacing w:val="4"/>
                <w:sz w:val="24"/>
                <w:szCs w:val="24"/>
                <w:highlight w:val="none"/>
                <w:lang w:val="en-US" w:eastAsia="zh-CN"/>
                <w14:textFill>
                  <w14:solidFill>
                    <w14:schemeClr w14:val="tx1"/>
                  </w14:solidFill>
                </w14:textFill>
              </w:rPr>
              <w:t>50米范围内不存在声环境保护目标，无需对</w:t>
            </w:r>
            <w:r>
              <w:rPr>
                <w:rFonts w:hint="eastAsia" w:cs="Times New Roman"/>
                <w:color w:val="000000" w:themeColor="text1"/>
                <w:spacing w:val="4"/>
                <w:sz w:val="24"/>
                <w:szCs w:val="24"/>
                <w:highlight w:val="none"/>
                <w:lang w:val="en-US" w:eastAsia="zh-CN"/>
                <w14:textFill>
                  <w14:solidFill>
                    <w14:schemeClr w14:val="tx1"/>
                  </w14:solidFill>
                </w14:textFill>
              </w:rPr>
              <w:t>声</w:t>
            </w:r>
            <w:r>
              <w:rPr>
                <w:rFonts w:hint="eastAsia" w:ascii="Times New Roman" w:hAnsi="Times New Roman" w:cs="Times New Roman"/>
                <w:color w:val="000000" w:themeColor="text1"/>
                <w:spacing w:val="4"/>
                <w:sz w:val="24"/>
                <w:szCs w:val="24"/>
                <w:highlight w:val="none"/>
                <w:lang w:val="en-US" w:eastAsia="zh-CN"/>
                <w14:textFill>
                  <w14:solidFill>
                    <w14:schemeClr w14:val="tx1"/>
                  </w14:solidFill>
                </w14:textFill>
              </w:rPr>
              <w:t>环境保护目标进行监测。</w:t>
            </w:r>
          </w:p>
          <w:p w14:paraId="49A17EA9">
            <w:pPr>
              <w:keepNext w:val="0"/>
              <w:keepLines w:val="0"/>
              <w:pageBreakBefore w:val="0"/>
              <w:widowControl w:val="0"/>
              <w:kinsoku/>
              <w:wordWrap/>
              <w:overflowPunct/>
              <w:topLinePunct w:val="0"/>
              <w:autoSpaceDE/>
              <w:autoSpaceDN/>
              <w:bidi w:val="0"/>
              <w:adjustRightInd w:val="0"/>
              <w:snapToGrid w:val="0"/>
              <w:spacing w:beforeLines="0" w:line="360" w:lineRule="auto"/>
              <w:ind w:firstLine="0"/>
              <w:textAlignment w:val="auto"/>
              <w:rPr>
                <w:rFonts w:hint="eastAsia" w:ascii="Times New Roman" w:hAnsi="Times New Roman" w:eastAsia="宋体" w:cs="Times New Roman"/>
                <w:b w:val="0"/>
                <w:color w:val="000000" w:themeColor="text1"/>
                <w:spacing w:val="0"/>
                <w:sz w:val="24"/>
                <w:szCs w:val="24"/>
                <w:lang w:eastAsia="zh-CN"/>
                <w14:textFill>
                  <w14:solidFill>
                    <w14:schemeClr w14:val="tx1"/>
                  </w14:solidFill>
                </w14:textFill>
              </w:rPr>
            </w:pPr>
            <w:r>
              <w:rPr>
                <w:rFonts w:hint="eastAsia" w:cs="Times New Roman"/>
                <w:b w:val="0"/>
                <w:color w:val="000000" w:themeColor="text1"/>
                <w:spacing w:val="0"/>
                <w:sz w:val="24"/>
                <w:szCs w:val="24"/>
                <w:lang w:val="en-US" w:eastAsia="zh-CN"/>
                <w14:textFill>
                  <w14:solidFill>
                    <w14:schemeClr w14:val="tx1"/>
                  </w14:solidFill>
                </w14:textFill>
              </w:rPr>
              <w:t>四</w:t>
            </w:r>
            <w:r>
              <w:rPr>
                <w:rFonts w:hint="eastAsia" w:ascii="Times New Roman" w:hAnsi="Times New Roman" w:eastAsia="宋体" w:cs="Times New Roman"/>
                <w:b w:val="0"/>
                <w:color w:val="000000" w:themeColor="text1"/>
                <w:spacing w:val="0"/>
                <w:sz w:val="24"/>
                <w:szCs w:val="24"/>
                <w14:textFill>
                  <w14:solidFill>
                    <w14:schemeClr w14:val="tx1"/>
                  </w14:solidFill>
                </w14:textFill>
              </w:rPr>
              <w:t>、</w:t>
            </w:r>
            <w:r>
              <w:rPr>
                <w:rFonts w:hint="eastAsia" w:ascii="Times New Roman" w:hAnsi="Times New Roman" w:eastAsia="宋体" w:cs="Times New Roman"/>
                <w:b w:val="0"/>
                <w:color w:val="000000" w:themeColor="text1"/>
                <w:spacing w:val="0"/>
                <w:sz w:val="24"/>
                <w:szCs w:val="24"/>
                <w:lang w:val="en-US" w:eastAsia="zh-CN"/>
                <w14:textFill>
                  <w14:solidFill>
                    <w14:schemeClr w14:val="tx1"/>
                  </w14:solidFill>
                </w14:textFill>
              </w:rPr>
              <w:t>生态环境</w:t>
            </w:r>
          </w:p>
          <w:p w14:paraId="168F890C">
            <w:pPr>
              <w:pStyle w:val="7"/>
              <w:widowControl w:val="0"/>
              <w:adjustRightInd w:val="0"/>
              <w:spacing w:line="360" w:lineRule="auto"/>
              <w:ind w:firstLine="496" w:firstLineChars="200"/>
              <w:rPr>
                <w:rFonts w:hint="eastAsia" w:cs="Times New Roman"/>
                <w:color w:val="000000" w:themeColor="text1"/>
                <w:spacing w:val="4"/>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本项目</w:t>
            </w:r>
            <w:r>
              <w:rPr>
                <w:rFonts w:hint="eastAsia" w:cs="Times New Roman"/>
                <w:color w:val="000000" w:themeColor="text1"/>
                <w:spacing w:val="4"/>
                <w:sz w:val="24"/>
                <w:szCs w:val="24"/>
                <w:lang w:val="en-US" w:eastAsia="zh-CN"/>
                <w14:textFill>
                  <w14:solidFill>
                    <w14:schemeClr w14:val="tx1"/>
                  </w14:solidFill>
                </w14:textFill>
              </w:rPr>
              <w:t>新增用地为汤阴县产业集聚区规划范围内建设用地</w:t>
            </w:r>
            <w:r>
              <w:rPr>
                <w:rFonts w:hint="eastAsia" w:ascii="Times New Roman" w:hAnsi="Times New Roman" w:eastAsia="宋体" w:cs="Times New Roman"/>
                <w:color w:val="000000" w:themeColor="text1"/>
                <w:spacing w:val="4"/>
                <w:sz w:val="24"/>
                <w:szCs w:val="24"/>
                <w:lang w:eastAsia="zh-CN"/>
                <w14:textFill>
                  <w14:solidFill>
                    <w14:schemeClr w14:val="tx1"/>
                  </w14:solidFill>
                </w14:textFill>
              </w:rPr>
              <w:t>，</w:t>
            </w:r>
            <w:r>
              <w:rPr>
                <w:rFonts w:hint="eastAsia" w:cs="Times New Roman"/>
                <w:color w:val="000000" w:themeColor="text1"/>
                <w:spacing w:val="4"/>
                <w:sz w:val="24"/>
                <w:szCs w:val="24"/>
                <w:lang w:val="en-US" w:eastAsia="zh-CN"/>
                <w14:textFill>
                  <w14:solidFill>
                    <w14:schemeClr w14:val="tx1"/>
                  </w14:solidFill>
                </w14:textFill>
              </w:rPr>
              <w:t>且用地范围内不含生态环境保护目标，因此</w:t>
            </w:r>
            <w:r>
              <w:rPr>
                <w:rFonts w:hint="eastAsia" w:ascii="Times New Roman" w:hAnsi="Times New Roman" w:eastAsia="宋体" w:cs="Times New Roman"/>
                <w:color w:val="000000" w:themeColor="text1"/>
                <w:spacing w:val="4"/>
                <w:sz w:val="24"/>
                <w:szCs w:val="24"/>
                <w:lang w:val="en-US" w:eastAsia="zh-CN"/>
                <w14:textFill>
                  <w14:solidFill>
                    <w14:schemeClr w14:val="tx1"/>
                  </w14:solidFill>
                </w14:textFill>
              </w:rPr>
              <w:t>本项目无需进行生态现状调查</w:t>
            </w:r>
            <w:r>
              <w:rPr>
                <w:rFonts w:hint="eastAsia" w:cs="Times New Roman"/>
                <w:color w:val="000000" w:themeColor="text1"/>
                <w:spacing w:val="4"/>
                <w:sz w:val="24"/>
                <w:szCs w:val="24"/>
                <w:lang w:val="en-US" w:eastAsia="zh-CN"/>
                <w14:textFill>
                  <w14:solidFill>
                    <w14:schemeClr w14:val="tx1"/>
                  </w14:solidFill>
                </w14:textFill>
              </w:rPr>
              <w:t>。</w:t>
            </w:r>
          </w:p>
          <w:p w14:paraId="6A61D332">
            <w:pPr>
              <w:pStyle w:val="8"/>
              <w:keepNext w:val="0"/>
              <w:keepLines w:val="0"/>
              <w:pageBreakBefore w:val="0"/>
              <w:kinsoku/>
              <w:wordWrap/>
              <w:overflowPunct/>
              <w:topLinePunct w:val="0"/>
              <w:autoSpaceDE/>
              <w:autoSpaceDN/>
              <w:bidi w:val="0"/>
              <w:adjustRightInd/>
              <w:spacing w:line="240" w:lineRule="auto"/>
              <w:textAlignment w:val="auto"/>
              <w:rPr>
                <w:rFonts w:hint="eastAsia" w:cs="Times New Roman"/>
                <w:color w:val="000000" w:themeColor="text1"/>
                <w:spacing w:val="4"/>
                <w:sz w:val="24"/>
                <w:szCs w:val="24"/>
                <w:lang w:val="en-US" w:eastAsia="zh-CN"/>
                <w14:textFill>
                  <w14:solidFill>
                    <w14:schemeClr w14:val="tx1"/>
                  </w14:solidFill>
                </w14:textFill>
              </w:rPr>
            </w:pPr>
          </w:p>
          <w:p w14:paraId="6EE374AD">
            <w:pPr>
              <w:pStyle w:val="9"/>
              <w:rPr>
                <w:rFonts w:hint="eastAsia" w:cs="Times New Roman"/>
                <w:color w:val="000000" w:themeColor="text1"/>
                <w:spacing w:val="4"/>
                <w:sz w:val="24"/>
                <w:szCs w:val="24"/>
                <w:lang w:val="en-US" w:eastAsia="zh-CN"/>
                <w14:textFill>
                  <w14:solidFill>
                    <w14:schemeClr w14:val="tx1"/>
                  </w14:solidFill>
                </w14:textFill>
              </w:rPr>
            </w:pPr>
          </w:p>
        </w:tc>
      </w:tr>
      <w:tr w14:paraId="0BA3F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91" w:hRule="atLeast"/>
          <w:jc w:val="center"/>
        </w:trPr>
        <w:tc>
          <w:tcPr>
            <w:tcW w:w="762" w:type="dxa"/>
            <w:noWrap w:val="0"/>
            <w:vAlign w:val="center"/>
          </w:tcPr>
          <w:p w14:paraId="5197C7E3">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环境</w:t>
            </w:r>
          </w:p>
          <w:p w14:paraId="36EE2383">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保护</w:t>
            </w:r>
          </w:p>
          <w:p w14:paraId="3C2E13CA">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目标</w:t>
            </w:r>
          </w:p>
        </w:tc>
        <w:tc>
          <w:tcPr>
            <w:tcW w:w="8096" w:type="dxa"/>
            <w:noWrap w:val="0"/>
            <w:vAlign w:val="top"/>
          </w:tcPr>
          <w:p w14:paraId="18BE105D">
            <w:pPr>
              <w:keepNext w:val="0"/>
              <w:keepLines w:val="0"/>
              <w:pageBreakBefore w:val="0"/>
              <w:widowControl w:val="0"/>
              <w:kinsoku/>
              <w:wordWrap/>
              <w:overflowPunct/>
              <w:topLinePunct w:val="0"/>
              <w:autoSpaceDE/>
              <w:autoSpaceDN/>
              <w:bidi w:val="0"/>
              <w:adjustRightInd w:val="0"/>
              <w:snapToGrid/>
              <w:spacing w:line="480" w:lineRule="exact"/>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w:t>
            </w:r>
            <w:r>
              <w:rPr>
                <w:rFonts w:hint="default"/>
                <w:color w:val="000000" w:themeColor="text1"/>
                <w:sz w:val="24"/>
                <w:lang w:val="en-US" w:eastAsia="zh-CN"/>
                <w14:textFill>
                  <w14:solidFill>
                    <w14:schemeClr w14:val="tx1"/>
                  </w14:solidFill>
                </w14:textFill>
              </w:rPr>
              <w:t>大气环境</w:t>
            </w:r>
          </w:p>
          <w:p w14:paraId="58FD693F">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本项目</w:t>
            </w:r>
            <w:r>
              <w:rPr>
                <w:rFonts w:hint="eastAsia"/>
                <w:color w:val="000000" w:themeColor="text1"/>
                <w:sz w:val="24"/>
                <w14:textFill>
                  <w14:solidFill>
                    <w14:schemeClr w14:val="tx1"/>
                  </w14:solidFill>
                </w14:textFill>
              </w:rPr>
              <w:t>厂界外500米范围内</w:t>
            </w:r>
            <w:r>
              <w:rPr>
                <w:rFonts w:hint="eastAsia"/>
                <w:color w:val="000000" w:themeColor="text1"/>
                <w:sz w:val="24"/>
                <w:lang w:val="en-US" w:eastAsia="zh-CN"/>
                <w14:textFill>
                  <w14:solidFill>
                    <w14:schemeClr w14:val="tx1"/>
                  </w14:solidFill>
                </w14:textFill>
              </w:rPr>
              <w:t>大气敏感点为东南侧480米的伏道镇，大气环境执行</w:t>
            </w:r>
            <w:r>
              <w:rPr>
                <w:rFonts w:hint="default" w:ascii="Times New Roman" w:hAnsi="Times New Roman" w:eastAsia="宋体" w:cs="Times New Roman"/>
                <w:color w:val="000000" w:themeColor="text1"/>
                <w:kern w:val="0"/>
                <w:sz w:val="24"/>
                <w:szCs w:val="24"/>
                <w:highlight w:val="none"/>
                <w:u w:val="none"/>
                <w14:textFill>
                  <w14:solidFill>
                    <w14:schemeClr w14:val="tx1"/>
                  </w14:solidFill>
                </w14:textFill>
              </w:rPr>
              <w:t>《环境空气质量标准》（GB3095-20</w:t>
            </w:r>
            <w:r>
              <w:rPr>
                <w:rFonts w:hint="eastAsia" w:cs="Times New Roman"/>
                <w:color w:val="000000" w:themeColor="text1"/>
                <w:kern w:val="0"/>
                <w:sz w:val="24"/>
                <w:szCs w:val="24"/>
                <w:highlight w:val="none"/>
                <w:u w:val="none"/>
                <w:lang w:val="en-US" w:eastAsia="zh-CN"/>
                <w14:textFill>
                  <w14:solidFill>
                    <w14:schemeClr w14:val="tx1"/>
                  </w14:solidFill>
                </w14:textFill>
              </w:rPr>
              <w:t>26</w:t>
            </w:r>
            <w:r>
              <w:rPr>
                <w:rFonts w:hint="default" w:ascii="Times New Roman" w:hAnsi="Times New Roman" w:eastAsia="宋体" w:cs="Times New Roman"/>
                <w:color w:val="000000" w:themeColor="text1"/>
                <w:kern w:val="0"/>
                <w:sz w:val="24"/>
                <w:szCs w:val="24"/>
                <w:highlight w:val="none"/>
                <w:u w:val="none"/>
                <w14:textFill>
                  <w14:solidFill>
                    <w14:schemeClr w14:val="tx1"/>
                  </w14:solidFill>
                </w14:textFill>
              </w:rPr>
              <w:t>）二级标准要求</w:t>
            </w:r>
            <w:r>
              <w:rPr>
                <w:rFonts w:hint="eastAsia"/>
                <w:color w:val="000000" w:themeColor="text1"/>
                <w:sz w:val="24"/>
                <w:lang w:val="en-US" w:eastAsia="zh-CN"/>
                <w14:textFill>
                  <w14:solidFill>
                    <w14:schemeClr w14:val="tx1"/>
                  </w14:solidFill>
                </w14:textFill>
              </w:rPr>
              <w:t>。</w:t>
            </w:r>
          </w:p>
          <w:p w14:paraId="2E3153C2">
            <w:pPr>
              <w:keepNext w:val="0"/>
              <w:keepLines w:val="0"/>
              <w:pageBreakBefore w:val="0"/>
              <w:widowControl w:val="0"/>
              <w:kinsoku/>
              <w:wordWrap/>
              <w:overflowPunct/>
              <w:topLinePunct w:val="0"/>
              <w:autoSpaceDE/>
              <w:autoSpaceDN/>
              <w:bidi w:val="0"/>
              <w:adjustRightInd w:val="0"/>
              <w:snapToGrid/>
              <w:spacing w:line="480" w:lineRule="exact"/>
              <w:ind w:firstLine="0"/>
              <w:textAlignment w:val="auto"/>
              <w:rPr>
                <w:rFonts w:hint="eastAsia"/>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2、</w:t>
            </w:r>
            <w:r>
              <w:rPr>
                <w:rFonts w:hint="default"/>
                <w:color w:val="000000" w:themeColor="text1"/>
                <w:sz w:val="24"/>
                <w:lang w:val="en-US" w:eastAsia="zh-CN"/>
                <w14:textFill>
                  <w14:solidFill>
                    <w14:schemeClr w14:val="tx1"/>
                  </w14:solidFill>
                </w14:textFill>
              </w:rPr>
              <w:t>声环境</w:t>
            </w:r>
          </w:p>
          <w:p w14:paraId="54D42E36">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textAlignment w:val="auto"/>
              <w:rPr>
                <w:rFonts w:hint="eastAsia"/>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本项目</w:t>
            </w:r>
            <w:r>
              <w:rPr>
                <w:rFonts w:hint="eastAsia"/>
                <w:color w:val="000000" w:themeColor="text1"/>
                <w:sz w:val="24"/>
                <w14:textFill>
                  <w14:solidFill>
                    <w14:schemeClr w14:val="tx1"/>
                  </w14:solidFill>
                </w14:textFill>
              </w:rPr>
              <w:t>厂界外50米范围内</w:t>
            </w:r>
            <w:r>
              <w:rPr>
                <w:rFonts w:hint="eastAsia"/>
                <w:color w:val="000000" w:themeColor="text1"/>
                <w:sz w:val="24"/>
                <w:lang w:val="en-US" w:eastAsia="zh-CN"/>
                <w14:textFill>
                  <w14:solidFill>
                    <w14:schemeClr w14:val="tx1"/>
                  </w14:solidFill>
                </w14:textFill>
              </w:rPr>
              <w:t>无</w:t>
            </w:r>
            <w:r>
              <w:rPr>
                <w:rFonts w:hint="eastAsia"/>
                <w:color w:val="000000" w:themeColor="text1"/>
                <w:sz w:val="24"/>
                <w14:textFill>
                  <w14:solidFill>
                    <w14:schemeClr w14:val="tx1"/>
                  </w14:solidFill>
                </w14:textFill>
              </w:rPr>
              <w:t>声环境保护目标。</w:t>
            </w:r>
          </w:p>
          <w:p w14:paraId="4B450116">
            <w:pPr>
              <w:keepNext w:val="0"/>
              <w:keepLines w:val="0"/>
              <w:pageBreakBefore w:val="0"/>
              <w:widowControl w:val="0"/>
              <w:numPr>
                <w:ilvl w:val="0"/>
                <w:numId w:val="0"/>
              </w:numPr>
              <w:kinsoku/>
              <w:wordWrap/>
              <w:overflowPunct/>
              <w:topLinePunct w:val="0"/>
              <w:autoSpaceDE/>
              <w:autoSpaceDN/>
              <w:bidi w:val="0"/>
              <w:adjustRightInd w:val="0"/>
              <w:snapToGrid/>
              <w:spacing w:line="480" w:lineRule="exact"/>
              <w:ind w:leftChars="0"/>
              <w:textAlignment w:val="auto"/>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3、地表水环境</w:t>
            </w:r>
          </w:p>
          <w:p w14:paraId="3F4251CF">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本项目废水</w:t>
            </w:r>
            <w:r>
              <w:rPr>
                <w:rFonts w:hint="default"/>
                <w:color w:val="000000" w:themeColor="text1"/>
                <w:sz w:val="24"/>
                <w:szCs w:val="24"/>
                <w14:textFill>
                  <w14:solidFill>
                    <w14:schemeClr w14:val="tx1"/>
                  </w14:solidFill>
                </w14:textFill>
              </w:rPr>
              <w:t>排入厂区污水处理站处理达标后排入园区污水管网，</w:t>
            </w:r>
            <w:r>
              <w:rPr>
                <w:rFonts w:hint="eastAsia"/>
                <w:color w:val="000000" w:themeColor="text1"/>
                <w:sz w:val="24"/>
                <w:szCs w:val="24"/>
                <w:lang w:val="en-US" w:eastAsia="zh-CN"/>
                <w14:textFill>
                  <w14:solidFill>
                    <w14:schemeClr w14:val="tx1"/>
                  </w14:solidFill>
                </w14:textFill>
              </w:rPr>
              <w:t>然后</w:t>
            </w:r>
            <w:r>
              <w:rPr>
                <w:rFonts w:hint="default"/>
                <w:color w:val="000000" w:themeColor="text1"/>
                <w:sz w:val="24"/>
                <w:szCs w:val="24"/>
                <w14:textFill>
                  <w14:solidFill>
                    <w14:schemeClr w14:val="tx1"/>
                  </w14:solidFill>
                </w14:textFill>
              </w:rPr>
              <w:t>进入汤阴县产业集聚区</w:t>
            </w:r>
            <w:r>
              <w:rPr>
                <w:rFonts w:hint="eastAsia"/>
                <w:color w:val="000000" w:themeColor="text1"/>
                <w:sz w:val="24"/>
                <w:szCs w:val="24"/>
                <w:lang w:val="en-US" w:eastAsia="zh-CN"/>
                <w14:textFill>
                  <w14:solidFill>
                    <w14:schemeClr w14:val="tx1"/>
                  </w14:solidFill>
                </w14:textFill>
              </w:rPr>
              <w:t>工业</w:t>
            </w:r>
            <w:r>
              <w:rPr>
                <w:rFonts w:hint="default"/>
                <w:color w:val="000000" w:themeColor="text1"/>
                <w:sz w:val="24"/>
                <w:szCs w:val="24"/>
                <w14:textFill>
                  <w14:solidFill>
                    <w14:schemeClr w14:val="tx1"/>
                  </w14:solidFill>
                </w14:textFill>
              </w:rPr>
              <w:t>污水处理厂深度处理后排入附近永通河，最后汇入汤河</w:t>
            </w:r>
            <w:r>
              <w:rPr>
                <w:rFonts w:hint="eastAsia"/>
                <w:color w:val="000000" w:themeColor="text1"/>
                <w:sz w:val="24"/>
                <w:lang w:val="en-US" w:eastAsia="zh-CN"/>
                <w14:textFill>
                  <w14:solidFill>
                    <w14:schemeClr w14:val="tx1"/>
                  </w14:solidFill>
                </w14:textFill>
              </w:rPr>
              <w:t>。经调查，厂址附近的地表水体为永通河，执行</w:t>
            </w:r>
            <w:r>
              <w:rPr>
                <w:rFonts w:hint="default"/>
                <w:color w:val="000000" w:themeColor="text1"/>
                <w:sz w:val="24"/>
                <w:szCs w:val="24"/>
                <w14:textFill>
                  <w14:solidFill>
                    <w14:schemeClr w14:val="tx1"/>
                  </w14:solidFill>
                </w14:textFill>
              </w:rPr>
              <w:t>《地表水环境质量标准》（GB</w:t>
            </w:r>
            <w:r>
              <w:rPr>
                <w:rFonts w:hint="eastAsia"/>
                <w:color w:val="000000" w:themeColor="text1"/>
                <w:sz w:val="24"/>
                <w:szCs w:val="24"/>
                <w:lang w:val="en-US" w:eastAsia="zh-CN"/>
                <w14:textFill>
                  <w14:solidFill>
                    <w14:schemeClr w14:val="tx1"/>
                  </w14:solidFill>
                </w14:textFill>
              </w:rPr>
              <w:t xml:space="preserve"> </w:t>
            </w:r>
            <w:r>
              <w:rPr>
                <w:rFonts w:hint="default"/>
                <w:color w:val="000000" w:themeColor="text1"/>
                <w:sz w:val="24"/>
                <w:szCs w:val="24"/>
                <w14:textFill>
                  <w14:solidFill>
                    <w14:schemeClr w14:val="tx1"/>
                  </w14:solidFill>
                </w14:textFill>
              </w:rPr>
              <w:t>3838-</w:t>
            </w:r>
            <w:r>
              <w:rPr>
                <w:rFonts w:hint="eastAsia"/>
                <w:color w:val="000000" w:themeColor="text1"/>
                <w:sz w:val="24"/>
                <w:szCs w:val="24"/>
                <w:lang w:val="en-US" w:eastAsia="zh-CN"/>
                <w14:textFill>
                  <w14:solidFill>
                    <w14:schemeClr w14:val="tx1"/>
                  </w14:solidFill>
                </w14:textFill>
              </w:rPr>
              <w:t xml:space="preserve"> </w:t>
            </w:r>
            <w:r>
              <w:rPr>
                <w:rFonts w:hint="default"/>
                <w:color w:val="000000" w:themeColor="text1"/>
                <w:sz w:val="24"/>
                <w:szCs w:val="24"/>
                <w14:textFill>
                  <w14:solidFill>
                    <w14:schemeClr w14:val="tx1"/>
                  </w14:solidFill>
                </w14:textFill>
              </w:rPr>
              <w:t>2002）中</w:t>
            </w:r>
            <w:r>
              <w:rPr>
                <w:rFonts w:hint="eastAsia"/>
                <w:color w:val="000000" w:themeColor="text1"/>
                <w:sz w:val="24"/>
                <w:szCs w:val="24"/>
                <w:lang w:val="en-US" w:eastAsia="zh-CN"/>
                <w14:textFill>
                  <w14:solidFill>
                    <w14:schemeClr w14:val="tx1"/>
                  </w14:solidFill>
                </w14:textFill>
              </w:rPr>
              <w:t>III</w:t>
            </w:r>
            <w:r>
              <w:rPr>
                <w:rFonts w:hint="default"/>
                <w:color w:val="000000" w:themeColor="text1"/>
                <w:sz w:val="24"/>
                <w:szCs w:val="24"/>
                <w14:textFill>
                  <w14:solidFill>
                    <w14:schemeClr w14:val="tx1"/>
                  </w14:solidFill>
                </w14:textFill>
              </w:rPr>
              <w:t>类标准</w:t>
            </w:r>
            <w:r>
              <w:rPr>
                <w:rFonts w:hint="eastAsia"/>
                <w:color w:val="000000" w:themeColor="text1"/>
                <w:sz w:val="24"/>
                <w:szCs w:val="24"/>
                <w:lang w:val="en-US" w:eastAsia="zh-CN"/>
                <w14:textFill>
                  <w14:solidFill>
                    <w14:schemeClr w14:val="tx1"/>
                  </w14:solidFill>
                </w14:textFill>
              </w:rPr>
              <w:t>要求</w:t>
            </w:r>
            <w:r>
              <w:rPr>
                <w:rFonts w:hint="eastAsia"/>
                <w:color w:val="000000" w:themeColor="text1"/>
                <w:sz w:val="24"/>
                <w:lang w:val="en-US" w:eastAsia="zh-CN"/>
                <w14:textFill>
                  <w14:solidFill>
                    <w14:schemeClr w14:val="tx1"/>
                  </w14:solidFill>
                </w14:textFill>
              </w:rPr>
              <w:t>。</w:t>
            </w:r>
          </w:p>
          <w:p w14:paraId="4D6B294C">
            <w:pPr>
              <w:keepNext w:val="0"/>
              <w:keepLines w:val="0"/>
              <w:pageBreakBefore w:val="0"/>
              <w:widowControl w:val="0"/>
              <w:kinsoku/>
              <w:wordWrap/>
              <w:overflowPunct/>
              <w:topLinePunct w:val="0"/>
              <w:autoSpaceDE/>
              <w:autoSpaceDN/>
              <w:bidi w:val="0"/>
              <w:adjustRightInd w:val="0"/>
              <w:snapToGrid/>
              <w:spacing w:line="480" w:lineRule="exact"/>
              <w:ind w:firstLine="0"/>
              <w:textAlignment w:val="auto"/>
              <w:rPr>
                <w:rFonts w:hint="eastAsia"/>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4、</w:t>
            </w:r>
            <w:r>
              <w:rPr>
                <w:rFonts w:hint="default"/>
                <w:color w:val="000000" w:themeColor="text1"/>
                <w:sz w:val="24"/>
                <w:lang w:val="en-US" w:eastAsia="zh-CN"/>
                <w14:textFill>
                  <w14:solidFill>
                    <w14:schemeClr w14:val="tx1"/>
                  </w14:solidFill>
                </w14:textFill>
              </w:rPr>
              <w:t>地下水环境</w:t>
            </w:r>
          </w:p>
          <w:p w14:paraId="3C5EBE00">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textAlignment w:val="auto"/>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本项目厂界外500米范围内无热水、矿泉水、温泉等特殊地下水资源，地下水集中式饮用水水源有项目东侧5米处伏道乡伏道镇集中式饮用水源，根据汤阴县产业集聚区及伏道镇规划，计划取消伏道镇集中式饮用水源，伏道三街村民用水改为使用集聚区供水管网统一供水。</w:t>
            </w:r>
          </w:p>
          <w:p w14:paraId="28D2A350">
            <w:pPr>
              <w:keepNext w:val="0"/>
              <w:keepLines w:val="0"/>
              <w:pageBreakBefore w:val="0"/>
              <w:widowControl w:val="0"/>
              <w:numPr>
                <w:ilvl w:val="0"/>
                <w:numId w:val="0"/>
              </w:numPr>
              <w:kinsoku/>
              <w:wordWrap/>
              <w:overflowPunct/>
              <w:topLinePunct w:val="0"/>
              <w:autoSpaceDE/>
              <w:autoSpaceDN/>
              <w:bidi w:val="0"/>
              <w:adjustRightInd w:val="0"/>
              <w:snapToGrid/>
              <w:spacing w:line="480" w:lineRule="exact"/>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5、</w:t>
            </w:r>
            <w:r>
              <w:rPr>
                <w:rFonts w:hint="default"/>
                <w:color w:val="000000" w:themeColor="text1"/>
                <w:sz w:val="24"/>
                <w:lang w:val="en-US" w:eastAsia="zh-CN"/>
                <w14:textFill>
                  <w14:solidFill>
                    <w14:schemeClr w14:val="tx1"/>
                  </w14:solidFill>
                </w14:textFill>
              </w:rPr>
              <w:t>生态环境</w:t>
            </w:r>
          </w:p>
          <w:p w14:paraId="28A0EBFC">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textAlignment w:val="auto"/>
              <w:rPr>
                <w:rFonts w:hint="eastAsia" w:eastAsia="宋体"/>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本项目</w:t>
            </w:r>
            <w:r>
              <w:rPr>
                <w:rFonts w:hint="eastAsia" w:cs="Times New Roman"/>
                <w:color w:val="000000" w:themeColor="text1"/>
                <w:spacing w:val="4"/>
                <w:sz w:val="24"/>
                <w:szCs w:val="24"/>
                <w:lang w:val="en-US" w:eastAsia="zh-CN"/>
                <w14:textFill>
                  <w14:solidFill>
                    <w14:schemeClr w14:val="tx1"/>
                  </w14:solidFill>
                </w14:textFill>
              </w:rPr>
              <w:t>新增用地为建设用地</w:t>
            </w:r>
            <w:r>
              <w:rPr>
                <w:rFonts w:hint="eastAsia" w:ascii="Times New Roman" w:hAnsi="Times New Roman" w:eastAsia="宋体" w:cs="Times New Roman"/>
                <w:color w:val="000000" w:themeColor="text1"/>
                <w:spacing w:val="4"/>
                <w:sz w:val="24"/>
                <w:szCs w:val="24"/>
                <w:lang w:eastAsia="zh-CN"/>
                <w14:textFill>
                  <w14:solidFill>
                    <w14:schemeClr w14:val="tx1"/>
                  </w14:solidFill>
                </w14:textFill>
              </w:rPr>
              <w:t>，</w:t>
            </w:r>
            <w:r>
              <w:rPr>
                <w:rFonts w:hint="eastAsia" w:cs="Times New Roman"/>
                <w:color w:val="000000" w:themeColor="text1"/>
                <w:spacing w:val="4"/>
                <w:sz w:val="24"/>
                <w:szCs w:val="24"/>
                <w:lang w:val="en-US" w:eastAsia="zh-CN"/>
                <w14:textFill>
                  <w14:solidFill>
                    <w14:schemeClr w14:val="tx1"/>
                  </w14:solidFill>
                </w14:textFill>
              </w:rPr>
              <w:t>且用地范围内</w:t>
            </w:r>
            <w:r>
              <w:rPr>
                <w:rFonts w:hint="eastAsia" w:ascii="Times New Roman" w:hAnsi="Times New Roman" w:eastAsia="宋体" w:cs="Times New Roman"/>
                <w:color w:val="000000" w:themeColor="text1"/>
                <w:sz w:val="24"/>
                <w:lang w:val="en-US" w:eastAsia="zh-CN"/>
                <w14:textFill>
                  <w14:solidFill>
                    <w14:schemeClr w14:val="tx1"/>
                  </w14:solidFill>
                </w14:textFill>
              </w:rPr>
              <w:t>无</w:t>
            </w:r>
            <w:r>
              <w:rPr>
                <w:rFonts w:hint="eastAsia" w:ascii="Times New Roman" w:hAnsi="Times New Roman" w:eastAsia="宋体" w:cs="Times New Roman"/>
                <w:color w:val="000000" w:themeColor="text1"/>
                <w:sz w:val="24"/>
                <w14:textFill>
                  <w14:solidFill>
                    <w14:schemeClr w14:val="tx1"/>
                  </w14:solidFill>
                </w14:textFill>
              </w:rPr>
              <w:t>生态环境保护目标。</w:t>
            </w:r>
          </w:p>
        </w:tc>
      </w:tr>
      <w:tr w14:paraId="268C59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2" w:type="dxa"/>
            <w:noWrap w:val="0"/>
            <w:tcMar>
              <w:left w:w="28" w:type="dxa"/>
              <w:right w:w="28" w:type="dxa"/>
            </w:tcMar>
            <w:vAlign w:val="center"/>
          </w:tcPr>
          <w:p w14:paraId="0F0B5B11">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污染</w:t>
            </w:r>
          </w:p>
          <w:p w14:paraId="4D403359">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物排</w:t>
            </w:r>
          </w:p>
          <w:p w14:paraId="52F8409D">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放控</w:t>
            </w:r>
          </w:p>
          <w:p w14:paraId="609DB82D">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制标</w:t>
            </w:r>
          </w:p>
          <w:p w14:paraId="3014F663">
            <w:pPr>
              <w:adjustRightInd w:val="0"/>
              <w:snapToGrid w:val="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准</w:t>
            </w:r>
          </w:p>
        </w:tc>
        <w:tc>
          <w:tcPr>
            <w:tcW w:w="8096" w:type="dxa"/>
            <w:noWrap w:val="0"/>
            <w:vAlign w:val="top"/>
          </w:tcPr>
          <w:p w14:paraId="61FBFA70">
            <w:pPr>
              <w:keepNext w:val="0"/>
              <w:keepLines w:val="0"/>
              <w:pageBreakBefore w:val="0"/>
              <w:widowControl w:val="0"/>
              <w:numPr>
                <w:ilvl w:val="0"/>
                <w:numId w:val="4"/>
              </w:numPr>
              <w:kinsoku/>
              <w:wordWrap/>
              <w:overflowPunct/>
              <w:topLinePunct w:val="0"/>
              <w:autoSpaceDE/>
              <w:autoSpaceDN/>
              <w:bidi w:val="0"/>
              <w:adjustRightInd w:val="0"/>
              <w:snapToGrid/>
              <w:spacing w:before="157" w:beforeLines="50" w:line="360" w:lineRule="auto"/>
              <w:ind w:left="0" w:leftChars="0" w:firstLine="0" w:firstLineChars="0"/>
              <w:jc w:val="both"/>
              <w:textAlignment w:val="auto"/>
              <w:rPr>
                <w:rFonts w:hint="default"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废气</w:t>
            </w:r>
          </w:p>
          <w:p w14:paraId="66FBB079">
            <w:pPr>
              <w:keepNext w:val="0"/>
              <w:keepLines w:val="0"/>
              <w:suppressLineNumbers w:val="0"/>
              <w:spacing w:before="0" w:beforeAutospacing="0" w:after="0" w:afterAutospacing="0" w:line="360" w:lineRule="auto"/>
              <w:ind w:left="0" w:right="0" w:firstLine="480" w:firstLineChars="200"/>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具体</w:t>
            </w:r>
            <w:r>
              <w:rPr>
                <w:rFonts w:hint="default"/>
                <w:color w:val="000000" w:themeColor="text1"/>
                <w:sz w:val="24"/>
                <w:szCs w:val="24"/>
                <w14:textFill>
                  <w14:solidFill>
                    <w14:schemeClr w14:val="tx1"/>
                  </w14:solidFill>
                </w14:textFill>
              </w:rPr>
              <w:t>标准限值见下表。</w:t>
            </w:r>
          </w:p>
          <w:p w14:paraId="636CD9BC">
            <w:pPr>
              <w:pStyle w:val="7"/>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cs="Times New Roman"/>
                <w:color w:val="000000" w:themeColor="text1"/>
                <w:spacing w:val="4"/>
                <w:sz w:val="24"/>
                <w:szCs w:val="24"/>
                <w:lang w:val="en-US" w:eastAsia="zh-CN"/>
                <w14:textFill>
                  <w14:solidFill>
                    <w14:schemeClr w14:val="tx1"/>
                  </w14:solidFill>
                </w14:textFill>
              </w:rPr>
            </w:pPr>
            <w:r>
              <w:rPr>
                <w:rFonts w:hint="default" w:cs="Times New Roman"/>
                <w:color w:val="000000" w:themeColor="text1"/>
                <w:spacing w:val="4"/>
                <w:sz w:val="24"/>
                <w:szCs w:val="24"/>
                <w:lang w:val="en-US" w:eastAsia="zh-CN"/>
                <w14:textFill>
                  <w14:solidFill>
                    <w14:schemeClr w14:val="tx1"/>
                  </w14:solidFill>
                </w14:textFill>
              </w:rPr>
              <w:t>表</w:t>
            </w:r>
            <w:r>
              <w:rPr>
                <w:rFonts w:hint="eastAsia" w:cs="Times New Roman"/>
                <w:color w:val="000000" w:themeColor="text1"/>
                <w:spacing w:val="4"/>
                <w:sz w:val="24"/>
                <w:szCs w:val="24"/>
                <w:lang w:val="en-US" w:eastAsia="zh-CN"/>
                <w14:textFill>
                  <w14:solidFill>
                    <w14:schemeClr w14:val="tx1"/>
                  </w14:solidFill>
                </w14:textFill>
              </w:rPr>
              <w:t>25</w:t>
            </w:r>
            <w:r>
              <w:rPr>
                <w:rFonts w:hint="default" w:cs="Times New Roman"/>
                <w:color w:val="000000" w:themeColor="text1"/>
                <w:spacing w:val="4"/>
                <w:sz w:val="24"/>
                <w:szCs w:val="24"/>
                <w:lang w:val="en-US" w:eastAsia="zh-CN"/>
                <w14:textFill>
                  <w14:solidFill>
                    <w14:schemeClr w14:val="tx1"/>
                  </w14:solidFill>
                </w14:textFill>
              </w:rPr>
              <w:t xml:space="preserve"> 废气污染物排放标准一览表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2801"/>
              <w:gridCol w:w="1329"/>
              <w:gridCol w:w="1142"/>
              <w:gridCol w:w="1118"/>
              <w:gridCol w:w="770"/>
            </w:tblGrid>
            <w:tr w14:paraId="56E4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Align w:val="center"/>
                </w:tcPr>
                <w:p w14:paraId="524ABBBD">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类别</w:t>
                  </w:r>
                </w:p>
              </w:tc>
              <w:tc>
                <w:tcPr>
                  <w:tcW w:w="2801" w:type="dxa"/>
                  <w:vAlign w:val="center"/>
                </w:tcPr>
                <w:p w14:paraId="785124EF">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标准名称</w:t>
                  </w:r>
                </w:p>
              </w:tc>
              <w:tc>
                <w:tcPr>
                  <w:tcW w:w="1329" w:type="dxa"/>
                  <w:vAlign w:val="center"/>
                </w:tcPr>
                <w:p w14:paraId="530E1660">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污染因子</w:t>
                  </w:r>
                </w:p>
              </w:tc>
              <w:tc>
                <w:tcPr>
                  <w:tcW w:w="1142" w:type="dxa"/>
                  <w:vAlign w:val="center"/>
                </w:tcPr>
                <w:p w14:paraId="6CD54C6B">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排放浓度</w:t>
                  </w:r>
                </w:p>
              </w:tc>
              <w:tc>
                <w:tcPr>
                  <w:tcW w:w="1118" w:type="dxa"/>
                  <w:vAlign w:val="center"/>
                </w:tcPr>
                <w:p w14:paraId="71F43DEC">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排放速率</w:t>
                  </w:r>
                </w:p>
              </w:tc>
              <w:tc>
                <w:tcPr>
                  <w:tcW w:w="770" w:type="dxa"/>
                  <w:vAlign w:val="center"/>
                </w:tcPr>
                <w:p w14:paraId="20CBF805">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高度</w:t>
                  </w:r>
                </w:p>
              </w:tc>
            </w:tr>
            <w:tr w14:paraId="6302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restart"/>
                  <w:vAlign w:val="center"/>
                </w:tcPr>
                <w:p w14:paraId="458ACE82">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有组织废气</w:t>
                  </w:r>
                </w:p>
              </w:tc>
              <w:tc>
                <w:tcPr>
                  <w:tcW w:w="2801" w:type="dxa"/>
                  <w:vMerge w:val="restart"/>
                  <w:vAlign w:val="center"/>
                </w:tcPr>
                <w:p w14:paraId="7F7AFD75">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default" w:cs="Times New Roman"/>
                      <w:color w:val="000000" w:themeColor="text1"/>
                      <w:spacing w:val="4"/>
                      <w:sz w:val="21"/>
                      <w:szCs w:val="21"/>
                      <w:vertAlign w:val="baseline"/>
                      <w:lang w:val="en-US" w:eastAsia="zh-CN"/>
                      <w14:textFill>
                        <w14:solidFill>
                          <w14:schemeClr w14:val="tx1"/>
                        </w14:solidFill>
                      </w14:textFill>
                    </w:rPr>
                    <w:t>制药工业大气污染物排放标准GB37823-2019</w:t>
                  </w:r>
                </w:p>
              </w:tc>
              <w:tc>
                <w:tcPr>
                  <w:tcW w:w="1329" w:type="dxa"/>
                  <w:vAlign w:val="center"/>
                </w:tcPr>
                <w:p w14:paraId="32C957A8">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颗粒物</w:t>
                  </w:r>
                </w:p>
              </w:tc>
              <w:tc>
                <w:tcPr>
                  <w:tcW w:w="1142" w:type="dxa"/>
                  <w:vAlign w:val="center"/>
                </w:tcPr>
                <w:p w14:paraId="4133C847">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vAlign w:val="center"/>
                </w:tcPr>
                <w:p w14:paraId="51713E47">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shd w:val="clear" w:color="auto" w:fill="auto"/>
                  <w:vAlign w:val="center"/>
                </w:tcPr>
                <w:p w14:paraId="070B0E2F">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default"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1DAB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53AF44AE">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vAlign w:val="center"/>
                </w:tcPr>
                <w:p w14:paraId="73BB7796">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329" w:type="dxa"/>
                  <w:vAlign w:val="center"/>
                </w:tcPr>
                <w:p w14:paraId="2C3395F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非甲烷总烃</w:t>
                  </w:r>
                </w:p>
              </w:tc>
              <w:tc>
                <w:tcPr>
                  <w:tcW w:w="1142" w:type="dxa"/>
                  <w:vAlign w:val="center"/>
                </w:tcPr>
                <w:p w14:paraId="702D1E31">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60</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vAlign w:val="center"/>
                </w:tcPr>
                <w:p w14:paraId="1AC3AD75">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shd w:val="clear" w:color="auto" w:fill="auto"/>
                  <w:vAlign w:val="center"/>
                </w:tcPr>
                <w:p w14:paraId="0140756C">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default"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2CA3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77D1CE98">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vAlign w:val="center"/>
                </w:tcPr>
                <w:p w14:paraId="4B4E9A14">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329" w:type="dxa"/>
                  <w:vAlign w:val="center"/>
                </w:tcPr>
                <w:p w14:paraId="1FEBEEBA">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TVOC</w:t>
                  </w:r>
                </w:p>
              </w:tc>
              <w:tc>
                <w:tcPr>
                  <w:tcW w:w="1142" w:type="dxa"/>
                  <w:vAlign w:val="center"/>
                </w:tcPr>
                <w:p w14:paraId="33B0EDB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100</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vAlign w:val="center"/>
                </w:tcPr>
                <w:p w14:paraId="1ABCA9D2">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shd w:val="clear" w:color="auto" w:fill="auto"/>
                  <w:vAlign w:val="center"/>
                </w:tcPr>
                <w:p w14:paraId="22CD2581">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default"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78DD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562FE560">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vAlign w:val="center"/>
                </w:tcPr>
                <w:p w14:paraId="2DA5D2A1">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329" w:type="dxa"/>
                  <w:vAlign w:val="center"/>
                </w:tcPr>
                <w:p w14:paraId="6352A97D">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硫化氢</w:t>
                  </w:r>
                </w:p>
              </w:tc>
              <w:tc>
                <w:tcPr>
                  <w:tcW w:w="1142" w:type="dxa"/>
                  <w:shd w:val="clear" w:color="auto" w:fill="auto"/>
                  <w:vAlign w:val="center"/>
                </w:tcPr>
                <w:p w14:paraId="730F852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5</w:t>
                  </w:r>
                  <w:r>
                    <w:rPr>
                      <w:rFonts w:hint="default"/>
                      <w:color w:val="000000" w:themeColor="text1"/>
                      <w:szCs w:val="21"/>
                      <w14:textFill>
                        <w14:solidFill>
                          <w14:schemeClr w14:val="tx1"/>
                        </w14:solidFill>
                      </w14:textFill>
                    </w:rPr>
                    <w:t>mg/m</w:t>
                  </w:r>
                  <w:r>
                    <w:rPr>
                      <w:rFonts w:hint="default"/>
                      <w:color w:val="000000" w:themeColor="text1"/>
                      <w:szCs w:val="21"/>
                      <w:vertAlign w:val="superscript"/>
                      <w14:textFill>
                        <w14:solidFill>
                          <w14:schemeClr w14:val="tx1"/>
                        </w14:solidFill>
                      </w14:textFill>
                    </w:rPr>
                    <w:t>3</w:t>
                  </w:r>
                </w:p>
              </w:tc>
              <w:tc>
                <w:tcPr>
                  <w:tcW w:w="1118" w:type="dxa"/>
                  <w:vAlign w:val="center"/>
                </w:tcPr>
                <w:p w14:paraId="21C38704">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Align w:val="center"/>
                </w:tcPr>
                <w:p w14:paraId="472087FD">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5941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5B96772D">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vAlign w:val="center"/>
                </w:tcPr>
                <w:p w14:paraId="0021E597">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329" w:type="dxa"/>
                  <w:vAlign w:val="center"/>
                </w:tcPr>
                <w:p w14:paraId="5207178B">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氨</w:t>
                  </w:r>
                </w:p>
              </w:tc>
              <w:tc>
                <w:tcPr>
                  <w:tcW w:w="1142" w:type="dxa"/>
                  <w:shd w:val="clear" w:color="auto" w:fill="auto"/>
                  <w:vAlign w:val="center"/>
                </w:tcPr>
                <w:p w14:paraId="61C3450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20</w:t>
                  </w:r>
                  <w:r>
                    <w:rPr>
                      <w:rFonts w:hint="default"/>
                      <w:color w:val="000000" w:themeColor="text1"/>
                      <w:szCs w:val="21"/>
                      <w14:textFill>
                        <w14:solidFill>
                          <w14:schemeClr w14:val="tx1"/>
                        </w14:solidFill>
                      </w14:textFill>
                    </w:rPr>
                    <w:t>mg/m</w:t>
                  </w:r>
                  <w:r>
                    <w:rPr>
                      <w:rFonts w:hint="default"/>
                      <w:color w:val="000000" w:themeColor="text1"/>
                      <w:szCs w:val="21"/>
                      <w:vertAlign w:val="superscript"/>
                      <w14:textFill>
                        <w14:solidFill>
                          <w14:schemeClr w14:val="tx1"/>
                        </w14:solidFill>
                      </w14:textFill>
                    </w:rPr>
                    <w:t>3</w:t>
                  </w:r>
                </w:p>
              </w:tc>
              <w:tc>
                <w:tcPr>
                  <w:tcW w:w="1118" w:type="dxa"/>
                  <w:vAlign w:val="center"/>
                </w:tcPr>
                <w:p w14:paraId="16CCD631">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Align w:val="center"/>
                </w:tcPr>
                <w:p w14:paraId="2C1DF5ED">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2DDE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0DCBF49C">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restart"/>
                  <w:vAlign w:val="center"/>
                </w:tcPr>
                <w:p w14:paraId="6523578C">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恶臭污染物排放标准GB14554-93</w:t>
                  </w:r>
                </w:p>
              </w:tc>
              <w:tc>
                <w:tcPr>
                  <w:tcW w:w="1329" w:type="dxa"/>
                  <w:shd w:val="clear" w:color="auto" w:fill="auto"/>
                  <w:vAlign w:val="center"/>
                </w:tcPr>
                <w:p w14:paraId="7B91E5C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硫化氢</w:t>
                  </w:r>
                </w:p>
              </w:tc>
              <w:tc>
                <w:tcPr>
                  <w:tcW w:w="1142" w:type="dxa"/>
                  <w:vAlign w:val="center"/>
                </w:tcPr>
                <w:p w14:paraId="570570A1">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1118" w:type="dxa"/>
                  <w:shd w:val="clear" w:color="auto" w:fill="auto"/>
                  <w:vAlign w:val="center"/>
                </w:tcPr>
                <w:p w14:paraId="250335D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0.33kg/h</w:t>
                  </w:r>
                </w:p>
              </w:tc>
              <w:tc>
                <w:tcPr>
                  <w:tcW w:w="770" w:type="dxa"/>
                  <w:vAlign w:val="center"/>
                </w:tcPr>
                <w:p w14:paraId="65F7912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1FC3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4280CC56">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vAlign w:val="center"/>
                </w:tcPr>
                <w:p w14:paraId="6DFC534B">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329" w:type="dxa"/>
                  <w:shd w:val="clear" w:color="auto" w:fill="auto"/>
                  <w:vAlign w:val="center"/>
                </w:tcPr>
                <w:p w14:paraId="49A585F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氨</w:t>
                  </w:r>
                </w:p>
              </w:tc>
              <w:tc>
                <w:tcPr>
                  <w:tcW w:w="1142" w:type="dxa"/>
                  <w:vAlign w:val="center"/>
                </w:tcPr>
                <w:p w14:paraId="1A72F750">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1118" w:type="dxa"/>
                  <w:shd w:val="clear" w:color="auto" w:fill="auto"/>
                  <w:vAlign w:val="center"/>
                </w:tcPr>
                <w:p w14:paraId="4A8702E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4.9kg/h</w:t>
                  </w:r>
                </w:p>
              </w:tc>
              <w:tc>
                <w:tcPr>
                  <w:tcW w:w="770" w:type="dxa"/>
                  <w:vAlign w:val="center"/>
                </w:tcPr>
                <w:p w14:paraId="26125CA7">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128D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254BE59A">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vAlign w:val="center"/>
                </w:tcPr>
                <w:p w14:paraId="2BD64DFC">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329" w:type="dxa"/>
                  <w:shd w:val="clear" w:color="auto" w:fill="auto"/>
                  <w:vAlign w:val="center"/>
                </w:tcPr>
                <w:p w14:paraId="3986F45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臭气浓度</w:t>
                  </w:r>
                </w:p>
              </w:tc>
              <w:tc>
                <w:tcPr>
                  <w:tcW w:w="1142" w:type="dxa"/>
                  <w:vAlign w:val="center"/>
                </w:tcPr>
                <w:p w14:paraId="51F0326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2000</w:t>
                  </w:r>
                </w:p>
                <w:p w14:paraId="05E3EB88">
                  <w:pPr>
                    <w:pStyle w:val="8"/>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(无量纲)</w:t>
                  </w:r>
                </w:p>
              </w:tc>
              <w:tc>
                <w:tcPr>
                  <w:tcW w:w="1118" w:type="dxa"/>
                  <w:vAlign w:val="center"/>
                </w:tcPr>
                <w:p w14:paraId="53A37E2A">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Align w:val="center"/>
                </w:tcPr>
                <w:p w14:paraId="046C1283">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73F8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2472FB5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Align w:val="center"/>
                </w:tcPr>
                <w:p w14:paraId="4B2A3EA7">
                  <w:pPr>
                    <w:pStyle w:val="8"/>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default" w:cs="Times New Roman"/>
                      <w:color w:val="000000" w:themeColor="text1"/>
                      <w:spacing w:val="4"/>
                      <w:sz w:val="21"/>
                      <w:szCs w:val="21"/>
                      <w:vertAlign w:val="baseline"/>
                      <w:lang w:val="en-US" w:eastAsia="zh-CN"/>
                      <w14:textFill>
                        <w14:solidFill>
                          <w14:schemeClr w14:val="tx1"/>
                        </w14:solidFill>
                      </w14:textFill>
                    </w:rPr>
                    <w:t>《安阳市环境污染防治攻坚战指挥部办公室关于印发&lt;安阳市2019年工业大气污染治理5个专项实施方案&gt;的通知》（安环攻坚办〔2019〕196号）</w:t>
                  </w:r>
                </w:p>
              </w:tc>
              <w:tc>
                <w:tcPr>
                  <w:tcW w:w="1329" w:type="dxa"/>
                  <w:shd w:val="clear" w:color="auto" w:fill="auto"/>
                  <w:vAlign w:val="center"/>
                </w:tcPr>
                <w:p w14:paraId="1A14F30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142" w:type="dxa"/>
                  <w:shd w:val="clear" w:color="auto" w:fill="auto"/>
                  <w:vAlign w:val="center"/>
                </w:tcPr>
                <w:p w14:paraId="61E6B11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10</w:t>
                  </w:r>
                  <w:r>
                    <w:rPr>
                      <w:rFonts w:hint="default"/>
                      <w:color w:val="000000" w:themeColor="text1"/>
                      <w:szCs w:val="21"/>
                      <w14:textFill>
                        <w14:solidFill>
                          <w14:schemeClr w14:val="tx1"/>
                        </w14:solidFill>
                      </w14:textFill>
                    </w:rPr>
                    <w:t>mg/m</w:t>
                  </w:r>
                  <w:r>
                    <w:rPr>
                      <w:rFonts w:hint="default"/>
                      <w:color w:val="000000" w:themeColor="text1"/>
                      <w:szCs w:val="21"/>
                      <w:vertAlign w:val="superscript"/>
                      <w14:textFill>
                        <w14:solidFill>
                          <w14:schemeClr w14:val="tx1"/>
                        </w14:solidFill>
                      </w14:textFill>
                    </w:rPr>
                    <w:t>3</w:t>
                  </w:r>
                </w:p>
              </w:tc>
              <w:tc>
                <w:tcPr>
                  <w:tcW w:w="1118" w:type="dxa"/>
                  <w:vAlign w:val="center"/>
                </w:tcPr>
                <w:p w14:paraId="666A9C02">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Align w:val="center"/>
                </w:tcPr>
                <w:p w14:paraId="5E7E5E80">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11A7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150C79AA">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restart"/>
                  <w:vAlign w:val="center"/>
                </w:tcPr>
                <w:p w14:paraId="4C6EF21F">
                  <w:pPr>
                    <w:pStyle w:val="8"/>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2024年河南省绩效分级通用涉PM、VOCs企业管控要求</w:t>
                  </w:r>
                </w:p>
              </w:tc>
              <w:tc>
                <w:tcPr>
                  <w:tcW w:w="1329" w:type="dxa"/>
                  <w:shd w:val="clear" w:color="auto" w:fill="auto"/>
                  <w:vAlign w:val="center"/>
                </w:tcPr>
                <w:p w14:paraId="2BB379B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142" w:type="dxa"/>
                  <w:shd w:val="clear" w:color="auto" w:fill="auto"/>
                  <w:vAlign w:val="center"/>
                </w:tcPr>
                <w:p w14:paraId="259B41F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10</w:t>
                  </w:r>
                  <w:r>
                    <w:rPr>
                      <w:rFonts w:hint="default"/>
                      <w:color w:val="000000" w:themeColor="text1"/>
                      <w:szCs w:val="21"/>
                      <w14:textFill>
                        <w14:solidFill>
                          <w14:schemeClr w14:val="tx1"/>
                        </w14:solidFill>
                      </w14:textFill>
                    </w:rPr>
                    <w:t>mg/m</w:t>
                  </w:r>
                  <w:r>
                    <w:rPr>
                      <w:rFonts w:hint="default"/>
                      <w:color w:val="000000" w:themeColor="text1"/>
                      <w:szCs w:val="21"/>
                      <w:vertAlign w:val="superscript"/>
                      <w14:textFill>
                        <w14:solidFill>
                          <w14:schemeClr w14:val="tx1"/>
                        </w14:solidFill>
                      </w14:textFill>
                    </w:rPr>
                    <w:t>3</w:t>
                  </w:r>
                </w:p>
              </w:tc>
              <w:tc>
                <w:tcPr>
                  <w:tcW w:w="1118" w:type="dxa"/>
                  <w:shd w:val="clear" w:color="auto" w:fill="auto"/>
                  <w:vAlign w:val="center"/>
                </w:tcPr>
                <w:p w14:paraId="491FD0F0">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eastAsia"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shd w:val="clear" w:color="auto" w:fill="auto"/>
                  <w:vAlign w:val="center"/>
                </w:tcPr>
                <w:p w14:paraId="30299567">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eastAsia"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3B20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369BC08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vAlign w:val="center"/>
                </w:tcPr>
                <w:p w14:paraId="3C43B9E0">
                  <w:pPr>
                    <w:pStyle w:val="8"/>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329" w:type="dxa"/>
                  <w:vAlign w:val="center"/>
                </w:tcPr>
                <w:p w14:paraId="1D7AB835">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非甲烷总烃</w:t>
                  </w:r>
                </w:p>
              </w:tc>
              <w:tc>
                <w:tcPr>
                  <w:tcW w:w="1142" w:type="dxa"/>
                  <w:vAlign w:val="center"/>
                </w:tcPr>
                <w:p w14:paraId="0206ACD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vAlign w:val="center"/>
                </w:tcPr>
                <w:p w14:paraId="56177596">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Align w:val="center"/>
                </w:tcPr>
                <w:p w14:paraId="33656CBC">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15m</w:t>
                  </w:r>
                </w:p>
              </w:tc>
            </w:tr>
            <w:tr w14:paraId="1FF8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restart"/>
                  <w:vAlign w:val="center"/>
                </w:tcPr>
                <w:p w14:paraId="46A967E3">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无组织废气</w:t>
                  </w:r>
                </w:p>
              </w:tc>
              <w:tc>
                <w:tcPr>
                  <w:tcW w:w="2801" w:type="dxa"/>
                  <w:vMerge w:val="restart"/>
                  <w:vAlign w:val="center"/>
                </w:tcPr>
                <w:p w14:paraId="7B223682">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default" w:cs="Times New Roman"/>
                      <w:color w:val="000000" w:themeColor="text1"/>
                      <w:spacing w:val="4"/>
                      <w:sz w:val="21"/>
                      <w:szCs w:val="21"/>
                      <w:vertAlign w:val="baseline"/>
                      <w:lang w:val="en-US" w:eastAsia="zh-CN"/>
                      <w14:textFill>
                        <w14:solidFill>
                          <w14:schemeClr w14:val="tx1"/>
                        </w14:solidFill>
                      </w14:textFill>
                    </w:rPr>
                    <w:t>制药工业大气污染物排放标准GB37823-2019</w:t>
                  </w:r>
                </w:p>
              </w:tc>
              <w:tc>
                <w:tcPr>
                  <w:tcW w:w="1329" w:type="dxa"/>
                  <w:vMerge w:val="restart"/>
                  <w:vAlign w:val="center"/>
                </w:tcPr>
                <w:p w14:paraId="21C34510">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非甲烷总烃</w:t>
                  </w:r>
                </w:p>
              </w:tc>
              <w:tc>
                <w:tcPr>
                  <w:tcW w:w="1142" w:type="dxa"/>
                  <w:vAlign w:val="center"/>
                </w:tcPr>
                <w:p w14:paraId="4FD3D880">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vAlign w:val="center"/>
                </w:tcPr>
                <w:p w14:paraId="5BD69605">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Merge w:val="restart"/>
                  <w:vAlign w:val="center"/>
                </w:tcPr>
                <w:p w14:paraId="50B0FA6C">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厂区</w:t>
                  </w:r>
                </w:p>
              </w:tc>
            </w:tr>
            <w:tr w14:paraId="3255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12C98186">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vAlign w:val="center"/>
                </w:tcPr>
                <w:p w14:paraId="4C1B6494">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329" w:type="dxa"/>
                  <w:vMerge w:val="continue"/>
                  <w:vAlign w:val="center"/>
                </w:tcPr>
                <w:p w14:paraId="55EA408F">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142" w:type="dxa"/>
                  <w:vAlign w:val="center"/>
                </w:tcPr>
                <w:p w14:paraId="6BC6D474">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vAlign w:val="center"/>
                </w:tcPr>
                <w:p w14:paraId="0CD8BFCC">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Merge w:val="continue"/>
                  <w:vAlign w:val="center"/>
                </w:tcPr>
                <w:p w14:paraId="1752E111">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r>
            <w:tr w14:paraId="05AC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1CAD4648">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restart"/>
                  <w:shd w:val="clear" w:color="auto" w:fill="auto"/>
                  <w:vAlign w:val="center"/>
                </w:tcPr>
                <w:p w14:paraId="2F52D294">
                  <w:pPr>
                    <w:pStyle w:val="8"/>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大气污染物综合排放标准GB16297-1996</w:t>
                  </w:r>
                </w:p>
              </w:tc>
              <w:tc>
                <w:tcPr>
                  <w:tcW w:w="1329" w:type="dxa"/>
                  <w:shd w:val="clear" w:color="auto" w:fill="auto"/>
                  <w:vAlign w:val="center"/>
                </w:tcPr>
                <w:p w14:paraId="0BF045B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142" w:type="dxa"/>
                  <w:shd w:val="clear" w:color="auto" w:fill="auto"/>
                  <w:vAlign w:val="center"/>
                </w:tcPr>
                <w:p w14:paraId="1B994AD7">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eastAsia"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0.5</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shd w:val="clear" w:color="auto" w:fill="auto"/>
                  <w:vAlign w:val="center"/>
                </w:tcPr>
                <w:p w14:paraId="19AB48AA">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eastAsia"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Merge w:val="restart"/>
                  <w:shd w:val="clear" w:color="auto" w:fill="auto"/>
                  <w:vAlign w:val="center"/>
                </w:tcPr>
                <w:p w14:paraId="34998F2F">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default"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厂界</w:t>
                  </w:r>
                </w:p>
              </w:tc>
            </w:tr>
            <w:tr w14:paraId="3038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70B37955">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shd w:val="clear" w:color="auto" w:fill="auto"/>
                  <w:vAlign w:val="center"/>
                </w:tcPr>
                <w:p w14:paraId="09C31C09">
                  <w:pPr>
                    <w:pStyle w:val="8"/>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eastAsia" w:cs="Times New Roman"/>
                      <w:color w:val="000000" w:themeColor="text1"/>
                      <w:spacing w:val="4"/>
                      <w:sz w:val="21"/>
                      <w:szCs w:val="21"/>
                      <w:vertAlign w:val="baseline"/>
                      <w:lang w:val="en-US" w:eastAsia="zh-CN"/>
                      <w14:textFill>
                        <w14:solidFill>
                          <w14:schemeClr w14:val="tx1"/>
                        </w14:solidFill>
                      </w14:textFill>
                    </w:rPr>
                  </w:pPr>
                </w:p>
              </w:tc>
              <w:tc>
                <w:tcPr>
                  <w:tcW w:w="1329" w:type="dxa"/>
                  <w:shd w:val="clear" w:color="auto" w:fill="auto"/>
                  <w:vAlign w:val="center"/>
                </w:tcPr>
                <w:p w14:paraId="4570A9AA">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eastAsia"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非甲烷总烃</w:t>
                  </w:r>
                </w:p>
              </w:tc>
              <w:tc>
                <w:tcPr>
                  <w:tcW w:w="1142" w:type="dxa"/>
                  <w:shd w:val="clear" w:color="auto" w:fill="auto"/>
                  <w:vAlign w:val="center"/>
                </w:tcPr>
                <w:p w14:paraId="7F7CB65D">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4.0</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shd w:val="clear" w:color="auto" w:fill="auto"/>
                  <w:vAlign w:val="center"/>
                </w:tcPr>
                <w:p w14:paraId="22B6AD63">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Merge w:val="continue"/>
                  <w:shd w:val="clear" w:color="auto" w:fill="auto"/>
                  <w:vAlign w:val="center"/>
                </w:tcPr>
                <w:p w14:paraId="653A7C8A">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eastAsia" w:cs="Times New Roman"/>
                      <w:color w:val="000000" w:themeColor="text1"/>
                      <w:spacing w:val="4"/>
                      <w:sz w:val="21"/>
                      <w:szCs w:val="21"/>
                      <w:vertAlign w:val="baseline"/>
                      <w:lang w:val="en-US" w:eastAsia="zh-CN"/>
                      <w14:textFill>
                        <w14:solidFill>
                          <w14:schemeClr w14:val="tx1"/>
                        </w14:solidFill>
                      </w14:textFill>
                    </w:rPr>
                  </w:pPr>
                </w:p>
              </w:tc>
            </w:tr>
            <w:tr w14:paraId="5C90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16F33E62">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restart"/>
                  <w:vAlign w:val="center"/>
                </w:tcPr>
                <w:p w14:paraId="7C67888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恶臭污染物排放标准GB14554-93</w:t>
                  </w:r>
                </w:p>
              </w:tc>
              <w:tc>
                <w:tcPr>
                  <w:tcW w:w="1329" w:type="dxa"/>
                  <w:shd w:val="clear" w:color="auto" w:fill="auto"/>
                  <w:vAlign w:val="center"/>
                </w:tcPr>
                <w:p w14:paraId="552939A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硫化氢</w:t>
                  </w:r>
                </w:p>
              </w:tc>
              <w:tc>
                <w:tcPr>
                  <w:tcW w:w="1142" w:type="dxa"/>
                  <w:vAlign w:val="center"/>
                </w:tcPr>
                <w:p w14:paraId="459437BA">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0.06</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vAlign w:val="center"/>
                </w:tcPr>
                <w:p w14:paraId="307A7F6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Merge w:val="restart"/>
                  <w:vAlign w:val="center"/>
                </w:tcPr>
                <w:p w14:paraId="0F45B56F">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厂界</w:t>
                  </w:r>
                </w:p>
              </w:tc>
            </w:tr>
            <w:tr w14:paraId="1B7C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31C76DED">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vAlign w:val="center"/>
                </w:tcPr>
                <w:p w14:paraId="084BD707">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329" w:type="dxa"/>
                  <w:shd w:val="clear" w:color="auto" w:fill="auto"/>
                  <w:vAlign w:val="center"/>
                </w:tcPr>
                <w:p w14:paraId="03B6CAB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氨</w:t>
                  </w:r>
                </w:p>
              </w:tc>
              <w:tc>
                <w:tcPr>
                  <w:tcW w:w="1142" w:type="dxa"/>
                  <w:vAlign w:val="center"/>
                </w:tcPr>
                <w:p w14:paraId="172CF9A7">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vAlign w:val="center"/>
                </w:tcPr>
                <w:p w14:paraId="373C6A47">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Merge w:val="continue"/>
                  <w:vAlign w:val="center"/>
                </w:tcPr>
                <w:p w14:paraId="69A6F73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r>
            <w:tr w14:paraId="2233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4B484988">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vMerge w:val="continue"/>
                  <w:vAlign w:val="center"/>
                </w:tcPr>
                <w:p w14:paraId="1980BFA0">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1329" w:type="dxa"/>
                  <w:shd w:val="clear" w:color="auto" w:fill="auto"/>
                  <w:vAlign w:val="center"/>
                </w:tcPr>
                <w:p w14:paraId="774842B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臭气浓度</w:t>
                  </w:r>
                </w:p>
              </w:tc>
              <w:tc>
                <w:tcPr>
                  <w:tcW w:w="1142" w:type="dxa"/>
                  <w:vAlign w:val="center"/>
                </w:tcPr>
                <w:p w14:paraId="08DA670A">
                  <w:pPr>
                    <w:pStyle w:val="8"/>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20</w:t>
                  </w:r>
                </w:p>
                <w:p w14:paraId="62A29694">
                  <w:pPr>
                    <w:pStyle w:val="8"/>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(无量纲)</w:t>
                  </w:r>
                </w:p>
              </w:tc>
              <w:tc>
                <w:tcPr>
                  <w:tcW w:w="1118" w:type="dxa"/>
                  <w:vAlign w:val="center"/>
                </w:tcPr>
                <w:p w14:paraId="5E0C869F">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Merge w:val="continue"/>
                  <w:vAlign w:val="center"/>
                </w:tcPr>
                <w:p w14:paraId="37F53454">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r>
            <w:tr w14:paraId="4E99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4A09B09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shd w:val="clear" w:color="auto" w:fill="auto"/>
                  <w:vAlign w:val="center"/>
                </w:tcPr>
                <w:p w14:paraId="0A9EDA22">
                  <w:pPr>
                    <w:pStyle w:val="8"/>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default" w:cs="Times New Roman"/>
                      <w:color w:val="000000" w:themeColor="text1"/>
                      <w:spacing w:val="4"/>
                      <w:sz w:val="21"/>
                      <w:szCs w:val="21"/>
                      <w:vertAlign w:val="baseline"/>
                      <w:lang w:val="en-US" w:eastAsia="zh-CN"/>
                      <w14:textFill>
                        <w14:solidFill>
                          <w14:schemeClr w14:val="tx1"/>
                        </w14:solidFill>
                      </w14:textFill>
                    </w:rPr>
                    <w:t>《安阳市环境污染防治攻坚战指挥部办公室关于印发&lt;安阳市2019年工业大气污染治理5个专项实施方案&gt;的通知》（安环攻坚办〔2019〕196号）</w:t>
                  </w:r>
                </w:p>
              </w:tc>
              <w:tc>
                <w:tcPr>
                  <w:tcW w:w="1329" w:type="dxa"/>
                  <w:shd w:val="clear" w:color="auto" w:fill="auto"/>
                  <w:vAlign w:val="center"/>
                </w:tcPr>
                <w:p w14:paraId="4F61231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142" w:type="dxa"/>
                  <w:vAlign w:val="center"/>
                </w:tcPr>
                <w:p w14:paraId="52ABBE5F">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0.5</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vAlign w:val="center"/>
                </w:tcPr>
                <w:p w14:paraId="6D7D5E45">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Align w:val="center"/>
                </w:tcPr>
                <w:p w14:paraId="40BD50CA">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厂界</w:t>
                  </w:r>
                </w:p>
              </w:tc>
            </w:tr>
            <w:tr w14:paraId="4106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vAlign w:val="center"/>
                </w:tcPr>
                <w:p w14:paraId="7EE6C7DC">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p>
              </w:tc>
              <w:tc>
                <w:tcPr>
                  <w:tcW w:w="2801" w:type="dxa"/>
                  <w:shd w:val="clear" w:color="auto" w:fill="auto"/>
                  <w:vAlign w:val="center"/>
                </w:tcPr>
                <w:p w14:paraId="418E0D61">
                  <w:pPr>
                    <w:pStyle w:val="8"/>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2024年河南省绩效分级通用涉VOCs企业管控要求</w:t>
                  </w:r>
                </w:p>
              </w:tc>
              <w:tc>
                <w:tcPr>
                  <w:tcW w:w="1329" w:type="dxa"/>
                  <w:shd w:val="clear" w:color="auto" w:fill="auto"/>
                  <w:vAlign w:val="center"/>
                </w:tcPr>
                <w:p w14:paraId="67F6DC57">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rightChars="0"/>
                    <w:jc w:val="center"/>
                    <w:textAlignment w:val="auto"/>
                    <w:rPr>
                      <w:rFonts w:hint="default" w:ascii="Times New Roman" w:hAnsi="Times New Roman" w:eastAsia="宋体" w:cs="Times New Roman"/>
                      <w:color w:val="000000" w:themeColor="text1"/>
                      <w:spacing w:val="4"/>
                      <w:kern w:val="0"/>
                      <w:sz w:val="21"/>
                      <w:szCs w:val="21"/>
                      <w:vertAlign w:val="baseline"/>
                      <w:lang w:val="en-US" w:eastAsia="zh-CN" w:bidi="ar-SA"/>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非甲烷总烃</w:t>
                  </w:r>
                </w:p>
              </w:tc>
              <w:tc>
                <w:tcPr>
                  <w:tcW w:w="1142" w:type="dxa"/>
                  <w:vAlign w:val="center"/>
                </w:tcPr>
                <w:p w14:paraId="1C4131CE">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w:t>
                  </w:r>
                  <w:r>
                    <w:rPr>
                      <w:rFonts w:hint="default"/>
                      <w:color w:val="000000" w:themeColor="text1"/>
                      <w:sz w:val="21"/>
                      <w:szCs w:val="21"/>
                      <w14:textFill>
                        <w14:solidFill>
                          <w14:schemeClr w14:val="tx1"/>
                        </w14:solidFill>
                      </w14:textFill>
                    </w:rPr>
                    <w:t>mg/m</w:t>
                  </w:r>
                  <w:r>
                    <w:rPr>
                      <w:rFonts w:hint="default"/>
                      <w:color w:val="000000" w:themeColor="text1"/>
                      <w:sz w:val="21"/>
                      <w:szCs w:val="21"/>
                      <w:vertAlign w:val="superscript"/>
                      <w14:textFill>
                        <w14:solidFill>
                          <w14:schemeClr w14:val="tx1"/>
                        </w14:solidFill>
                      </w14:textFill>
                    </w:rPr>
                    <w:t>3</w:t>
                  </w:r>
                </w:p>
              </w:tc>
              <w:tc>
                <w:tcPr>
                  <w:tcW w:w="1118" w:type="dxa"/>
                  <w:vAlign w:val="center"/>
                </w:tcPr>
                <w:p w14:paraId="10AC6C29">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w:t>
                  </w:r>
                </w:p>
              </w:tc>
              <w:tc>
                <w:tcPr>
                  <w:tcW w:w="770" w:type="dxa"/>
                  <w:vAlign w:val="center"/>
                </w:tcPr>
                <w:p w14:paraId="189B426A">
                  <w:pPr>
                    <w:pStyle w:val="8"/>
                    <w:keepNext w:val="0"/>
                    <w:keepLines w:val="0"/>
                    <w:pageBreakBefore w:val="0"/>
                    <w:widowControl/>
                    <w:kinsoku/>
                    <w:wordWrap/>
                    <w:overflowPunct/>
                    <w:topLinePunct w:val="0"/>
                    <w:autoSpaceDE/>
                    <w:autoSpaceDN/>
                    <w:bidi w:val="0"/>
                    <w:adjustRightInd/>
                    <w:snapToGrid w:val="0"/>
                    <w:spacing w:before="0" w:after="0" w:line="320" w:lineRule="exact"/>
                    <w:ind w:right="0"/>
                    <w:jc w:val="center"/>
                    <w:textAlignment w:val="auto"/>
                    <w:rPr>
                      <w:rFonts w:hint="default" w:cs="Times New Roman"/>
                      <w:color w:val="000000" w:themeColor="text1"/>
                      <w:spacing w:val="4"/>
                      <w:sz w:val="21"/>
                      <w:szCs w:val="21"/>
                      <w:vertAlign w:val="baseline"/>
                      <w:lang w:val="en-US" w:eastAsia="zh-CN"/>
                      <w14:textFill>
                        <w14:solidFill>
                          <w14:schemeClr w14:val="tx1"/>
                        </w14:solidFill>
                      </w14:textFill>
                    </w:rPr>
                  </w:pPr>
                  <w:r>
                    <w:rPr>
                      <w:rFonts w:hint="eastAsia" w:cs="Times New Roman"/>
                      <w:color w:val="000000" w:themeColor="text1"/>
                      <w:spacing w:val="4"/>
                      <w:sz w:val="21"/>
                      <w:szCs w:val="21"/>
                      <w:vertAlign w:val="baseline"/>
                      <w:lang w:val="en-US" w:eastAsia="zh-CN"/>
                      <w14:textFill>
                        <w14:solidFill>
                          <w14:schemeClr w14:val="tx1"/>
                        </w14:solidFill>
                      </w14:textFill>
                    </w:rPr>
                    <w:t>厂界</w:t>
                  </w:r>
                </w:p>
              </w:tc>
            </w:tr>
          </w:tbl>
          <w:p w14:paraId="41ADF645">
            <w:pPr>
              <w:keepNext w:val="0"/>
              <w:keepLines w:val="0"/>
              <w:pageBreakBefore w:val="0"/>
              <w:widowControl w:val="0"/>
              <w:numPr>
                <w:ilvl w:val="0"/>
                <w:numId w:val="4"/>
              </w:numPr>
              <w:kinsoku/>
              <w:wordWrap/>
              <w:overflowPunct/>
              <w:topLinePunct w:val="0"/>
              <w:autoSpaceDE/>
              <w:autoSpaceDN/>
              <w:bidi w:val="0"/>
              <w:adjustRightInd w:val="0"/>
              <w:snapToGrid/>
              <w:spacing w:before="157" w:beforeLines="50" w:line="360" w:lineRule="auto"/>
              <w:ind w:left="0" w:leftChars="0" w:firstLine="0" w:firstLineChars="0"/>
              <w:jc w:val="both"/>
              <w:textAlignment w:val="auto"/>
              <w:rPr>
                <w:rFonts w:hint="eastAsia"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废水</w:t>
            </w:r>
          </w:p>
          <w:p w14:paraId="38F98B8D">
            <w:pPr>
              <w:adjustRightInd w:val="0"/>
              <w:spacing w:beforeLines="0" w:line="360" w:lineRule="auto"/>
              <w:ind w:firstLine="480" w:firstLineChars="200"/>
              <w:jc w:val="both"/>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本项目废水经厂内污水治理站处理后经市政管网进入汤阴县产业集聚区工业污水处理厂深度处理后排放至永通河，最终汇入汤河。项目废水排放执行中药类制药工业水污染物排放标准GB21906-2008表2浓度限值，同时应满足汤阴县产业集聚区工业污水处理厂（汤阴天雨污水净化有限公司）收水标准，具体标准值见下表</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w:t>
            </w:r>
          </w:p>
          <w:p w14:paraId="0DA8134C">
            <w:pPr>
              <w:pStyle w:val="7"/>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cs="Times New Roman"/>
                <w:color w:val="000000" w:themeColor="text1"/>
                <w:spacing w:val="4"/>
                <w:sz w:val="24"/>
                <w:szCs w:val="24"/>
                <w:lang w:val="en-US" w:eastAsia="zh-CN"/>
                <w14:textFill>
                  <w14:solidFill>
                    <w14:schemeClr w14:val="tx1"/>
                  </w14:solidFill>
                </w14:textFill>
              </w:rPr>
            </w:pPr>
            <w:r>
              <w:rPr>
                <w:rFonts w:hint="default" w:cs="Times New Roman"/>
                <w:color w:val="000000" w:themeColor="text1"/>
                <w:spacing w:val="4"/>
                <w:sz w:val="24"/>
                <w:szCs w:val="24"/>
                <w:lang w:val="en-US" w:eastAsia="zh-CN"/>
                <w14:textFill>
                  <w14:solidFill>
                    <w14:schemeClr w14:val="tx1"/>
                  </w14:solidFill>
                </w14:textFill>
              </w:rPr>
              <w:t>表</w:t>
            </w:r>
            <w:r>
              <w:rPr>
                <w:rFonts w:hint="eastAsia" w:cs="Times New Roman"/>
                <w:color w:val="000000" w:themeColor="text1"/>
                <w:spacing w:val="4"/>
                <w:sz w:val="24"/>
                <w:szCs w:val="24"/>
                <w:lang w:val="en-US" w:eastAsia="zh-CN"/>
                <w14:textFill>
                  <w14:solidFill>
                    <w14:schemeClr w14:val="tx1"/>
                  </w14:solidFill>
                </w14:textFill>
              </w:rPr>
              <w:t>26</w:t>
            </w:r>
            <w:r>
              <w:rPr>
                <w:rFonts w:hint="default" w:cs="Times New Roman"/>
                <w:color w:val="000000" w:themeColor="text1"/>
                <w:spacing w:val="4"/>
                <w:sz w:val="24"/>
                <w:szCs w:val="24"/>
                <w:lang w:val="en-US" w:eastAsia="zh-CN"/>
                <w14:textFill>
                  <w14:solidFill>
                    <w14:schemeClr w14:val="tx1"/>
                  </w14:solidFill>
                </w14:textFill>
              </w:rPr>
              <w:t xml:space="preserve"> 废</w:t>
            </w:r>
            <w:r>
              <w:rPr>
                <w:rFonts w:hint="eastAsia" w:cs="Times New Roman"/>
                <w:color w:val="000000" w:themeColor="text1"/>
                <w:spacing w:val="4"/>
                <w:sz w:val="24"/>
                <w:szCs w:val="24"/>
                <w:lang w:val="en-US" w:eastAsia="zh-CN"/>
                <w14:textFill>
                  <w14:solidFill>
                    <w14:schemeClr w14:val="tx1"/>
                  </w14:solidFill>
                </w14:textFill>
              </w:rPr>
              <w:t>水</w:t>
            </w:r>
            <w:r>
              <w:rPr>
                <w:rFonts w:hint="default" w:cs="Times New Roman"/>
                <w:color w:val="000000" w:themeColor="text1"/>
                <w:spacing w:val="4"/>
                <w:sz w:val="24"/>
                <w:szCs w:val="24"/>
                <w:lang w:val="en-US" w:eastAsia="zh-CN"/>
                <w14:textFill>
                  <w14:solidFill>
                    <w14:schemeClr w14:val="tx1"/>
                  </w14:solidFill>
                </w14:textFill>
              </w:rPr>
              <w:t>污染物排放标准一览表</w:t>
            </w:r>
            <w:r>
              <w:rPr>
                <w:rFonts w:hint="default" w:ascii="Times New Roman" w:hAnsi="Times New Roman" w:cs="Times New Roman"/>
                <w:color w:val="000000" w:themeColor="text1"/>
                <w:sz w:val="21"/>
                <w:szCs w:val="21"/>
                <w14:textFill>
                  <w14:solidFill>
                    <w14:schemeClr w14:val="tx1"/>
                  </w14:solidFill>
                </w14:textFill>
              </w:rPr>
              <w:t>（mg/L，pH</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色度</w:t>
            </w:r>
            <w:r>
              <w:rPr>
                <w:rFonts w:hint="default" w:ascii="Times New Roman" w:hAnsi="Times New Roman" w:cs="Times New Roman"/>
                <w:color w:val="000000" w:themeColor="text1"/>
                <w:sz w:val="21"/>
                <w:szCs w:val="21"/>
                <w14:textFill>
                  <w14:solidFill>
                    <w14:schemeClr w14:val="tx1"/>
                  </w14:solidFill>
                </w14:textFill>
              </w:rPr>
              <w:t>除外）</w:t>
            </w:r>
          </w:p>
          <w:tbl>
            <w:tblPr>
              <w:tblStyle w:val="26"/>
              <w:tblW w:w="4982"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57" w:type="dxa"/>
                <w:left w:w="51" w:type="dxa"/>
                <w:bottom w:w="57" w:type="dxa"/>
                <w:right w:w="51" w:type="dxa"/>
              </w:tblCellMar>
            </w:tblPr>
            <w:tblGrid>
              <w:gridCol w:w="617"/>
              <w:gridCol w:w="1814"/>
              <w:gridCol w:w="1888"/>
              <w:gridCol w:w="2487"/>
              <w:gridCol w:w="1037"/>
            </w:tblGrid>
            <w:tr w14:paraId="528F51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74B94A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序号</w:t>
                  </w:r>
                </w:p>
              </w:tc>
              <w:tc>
                <w:tcPr>
                  <w:tcW w:w="1156" w:type="pct"/>
                  <w:tcBorders>
                    <w:tl2br w:val="nil"/>
                    <w:tr2bl w:val="nil"/>
                  </w:tcBorders>
                  <w:vAlign w:val="center"/>
                </w:tcPr>
                <w:p w14:paraId="5491BC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污染物</w:t>
                  </w:r>
                </w:p>
              </w:tc>
              <w:tc>
                <w:tcPr>
                  <w:tcW w:w="1203" w:type="pct"/>
                  <w:tcBorders>
                    <w:tl2br w:val="nil"/>
                    <w:tr2bl w:val="nil"/>
                  </w:tcBorders>
                  <w:vAlign w:val="center"/>
                </w:tcPr>
                <w:p w14:paraId="153E910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eastAsia="宋体"/>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GB21906-2008表2</w:t>
                  </w:r>
                </w:p>
              </w:tc>
              <w:tc>
                <w:tcPr>
                  <w:tcW w:w="1585" w:type="pct"/>
                  <w:tcBorders>
                    <w:tl2br w:val="nil"/>
                    <w:tr2bl w:val="nil"/>
                  </w:tcBorders>
                  <w:vAlign w:val="center"/>
                </w:tcPr>
                <w:p w14:paraId="64D14C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工业污水处理厂收水标准</w:t>
                  </w:r>
                </w:p>
              </w:tc>
              <w:tc>
                <w:tcPr>
                  <w:tcW w:w="661" w:type="pct"/>
                  <w:tcBorders>
                    <w:tl2br w:val="nil"/>
                    <w:tr2bl w:val="nil"/>
                  </w:tcBorders>
                  <w:vAlign w:val="center"/>
                </w:tcPr>
                <w:p w14:paraId="31950F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从严执行</w:t>
                  </w:r>
                </w:p>
              </w:tc>
            </w:tr>
            <w:tr w14:paraId="717B77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3F44ADB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w:t>
                  </w:r>
                </w:p>
              </w:tc>
              <w:tc>
                <w:tcPr>
                  <w:tcW w:w="1156" w:type="pct"/>
                  <w:tcBorders>
                    <w:tl2br w:val="nil"/>
                    <w:tr2bl w:val="nil"/>
                  </w:tcBorders>
                  <w:vAlign w:val="center"/>
                </w:tcPr>
                <w:p w14:paraId="2424A6B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pH（无量纲）</w:t>
                  </w:r>
                </w:p>
              </w:tc>
              <w:tc>
                <w:tcPr>
                  <w:tcW w:w="1203" w:type="pct"/>
                  <w:tcBorders>
                    <w:tl2br w:val="nil"/>
                    <w:tr2bl w:val="nil"/>
                  </w:tcBorders>
                  <w:vAlign w:val="center"/>
                </w:tcPr>
                <w:p w14:paraId="4DB44BD6">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6~9</w:t>
                  </w:r>
                </w:p>
              </w:tc>
              <w:tc>
                <w:tcPr>
                  <w:tcW w:w="1585" w:type="pct"/>
                  <w:tcBorders>
                    <w:tl2br w:val="nil"/>
                    <w:tr2bl w:val="nil"/>
                  </w:tcBorders>
                  <w:vAlign w:val="center"/>
                </w:tcPr>
                <w:p w14:paraId="399BF7ED">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6.5~9.5</w:t>
                  </w:r>
                </w:p>
              </w:tc>
              <w:tc>
                <w:tcPr>
                  <w:tcW w:w="661" w:type="pct"/>
                  <w:tcBorders>
                    <w:tl2br w:val="nil"/>
                    <w:tr2bl w:val="nil"/>
                  </w:tcBorders>
                  <w:shd w:val="clear" w:color="auto" w:fill="auto"/>
                  <w:vAlign w:val="center"/>
                </w:tcPr>
                <w:p w14:paraId="31C65F70">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6~9</w:t>
                  </w:r>
                </w:p>
              </w:tc>
            </w:tr>
            <w:tr w14:paraId="3018B20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544FF0A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w:t>
                  </w:r>
                </w:p>
              </w:tc>
              <w:tc>
                <w:tcPr>
                  <w:tcW w:w="1156" w:type="pct"/>
                  <w:tcBorders>
                    <w:tl2br w:val="nil"/>
                    <w:tr2bl w:val="nil"/>
                  </w:tcBorders>
                  <w:vAlign w:val="center"/>
                </w:tcPr>
                <w:p w14:paraId="666FA4F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COD</w:t>
                  </w:r>
                </w:p>
              </w:tc>
              <w:tc>
                <w:tcPr>
                  <w:tcW w:w="1203" w:type="pct"/>
                  <w:tcBorders>
                    <w:tl2br w:val="nil"/>
                    <w:tr2bl w:val="nil"/>
                  </w:tcBorders>
                  <w:vAlign w:val="center"/>
                </w:tcPr>
                <w:p w14:paraId="57B8DBEF">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100</w:t>
                  </w:r>
                </w:p>
              </w:tc>
              <w:tc>
                <w:tcPr>
                  <w:tcW w:w="1585" w:type="pct"/>
                  <w:tcBorders>
                    <w:tl2br w:val="nil"/>
                    <w:tr2bl w:val="nil"/>
                  </w:tcBorders>
                  <w:vAlign w:val="center"/>
                </w:tcPr>
                <w:p w14:paraId="07DE3640">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450</w:t>
                  </w:r>
                </w:p>
              </w:tc>
              <w:tc>
                <w:tcPr>
                  <w:tcW w:w="661" w:type="pct"/>
                  <w:tcBorders>
                    <w:tl2br w:val="nil"/>
                    <w:tr2bl w:val="nil"/>
                  </w:tcBorders>
                  <w:shd w:val="clear" w:color="auto" w:fill="auto"/>
                  <w:vAlign w:val="center"/>
                </w:tcPr>
                <w:p w14:paraId="0F3DFCEB">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100</w:t>
                  </w:r>
                </w:p>
              </w:tc>
            </w:tr>
            <w:tr w14:paraId="35F5E4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1DDF755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1156" w:type="pct"/>
                  <w:tcBorders>
                    <w:tl2br w:val="nil"/>
                    <w:tr2bl w:val="nil"/>
                  </w:tcBorders>
                  <w:vAlign w:val="center"/>
                </w:tcPr>
                <w:p w14:paraId="18D1C9A5">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BOD</w:t>
                  </w:r>
                  <w:r>
                    <w:rPr>
                      <w:rFonts w:hint="eastAsia"/>
                      <w:color w:val="000000" w:themeColor="text1"/>
                      <w:szCs w:val="21"/>
                      <w:vertAlign w:val="subscript"/>
                      <w:lang w:val="en-US" w:eastAsia="zh-CN"/>
                      <w14:textFill>
                        <w14:solidFill>
                          <w14:schemeClr w14:val="tx1"/>
                        </w14:solidFill>
                      </w14:textFill>
                    </w:rPr>
                    <w:t>5</w:t>
                  </w:r>
                </w:p>
              </w:tc>
              <w:tc>
                <w:tcPr>
                  <w:tcW w:w="1203" w:type="pct"/>
                  <w:tcBorders>
                    <w:tl2br w:val="nil"/>
                    <w:tr2bl w:val="nil"/>
                  </w:tcBorders>
                  <w:vAlign w:val="center"/>
                </w:tcPr>
                <w:p w14:paraId="1038DCBD">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w:t>
                  </w:r>
                </w:p>
              </w:tc>
              <w:tc>
                <w:tcPr>
                  <w:tcW w:w="1585" w:type="pct"/>
                  <w:tcBorders>
                    <w:tl2br w:val="nil"/>
                    <w:tr2bl w:val="nil"/>
                  </w:tcBorders>
                  <w:vAlign w:val="center"/>
                </w:tcPr>
                <w:p w14:paraId="66469ADF">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200</w:t>
                  </w:r>
                </w:p>
              </w:tc>
              <w:tc>
                <w:tcPr>
                  <w:tcW w:w="661" w:type="pct"/>
                  <w:tcBorders>
                    <w:tl2br w:val="nil"/>
                    <w:tr2bl w:val="nil"/>
                  </w:tcBorders>
                  <w:shd w:val="clear" w:color="auto" w:fill="auto"/>
                  <w:vAlign w:val="center"/>
                </w:tcPr>
                <w:p w14:paraId="70335D07">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w:t>
                  </w:r>
                </w:p>
              </w:tc>
            </w:tr>
            <w:tr w14:paraId="430959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7AE622A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w:t>
                  </w:r>
                </w:p>
              </w:tc>
              <w:tc>
                <w:tcPr>
                  <w:tcW w:w="1156" w:type="pct"/>
                  <w:tcBorders>
                    <w:tl2br w:val="nil"/>
                    <w:tr2bl w:val="nil"/>
                  </w:tcBorders>
                  <w:vAlign w:val="center"/>
                </w:tcPr>
                <w:p w14:paraId="71157C3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SS</w:t>
                  </w:r>
                </w:p>
              </w:tc>
              <w:tc>
                <w:tcPr>
                  <w:tcW w:w="1203" w:type="pct"/>
                  <w:tcBorders>
                    <w:tl2br w:val="nil"/>
                    <w:tr2bl w:val="nil"/>
                  </w:tcBorders>
                  <w:vAlign w:val="center"/>
                </w:tcPr>
                <w:p w14:paraId="424E439E">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50</w:t>
                  </w:r>
                </w:p>
              </w:tc>
              <w:tc>
                <w:tcPr>
                  <w:tcW w:w="1585" w:type="pct"/>
                  <w:tcBorders>
                    <w:tl2br w:val="nil"/>
                    <w:tr2bl w:val="nil"/>
                  </w:tcBorders>
                  <w:vAlign w:val="center"/>
                </w:tcPr>
                <w:p w14:paraId="20236743">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200</w:t>
                  </w:r>
                </w:p>
              </w:tc>
              <w:tc>
                <w:tcPr>
                  <w:tcW w:w="661" w:type="pct"/>
                  <w:tcBorders>
                    <w:tl2br w:val="nil"/>
                    <w:tr2bl w:val="nil"/>
                  </w:tcBorders>
                  <w:shd w:val="clear" w:color="auto" w:fill="auto"/>
                  <w:vAlign w:val="center"/>
                </w:tcPr>
                <w:p w14:paraId="6DB4CC15">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50</w:t>
                  </w:r>
                </w:p>
              </w:tc>
            </w:tr>
            <w:tr w14:paraId="65FBFA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484CBB0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w:t>
                  </w:r>
                </w:p>
              </w:tc>
              <w:tc>
                <w:tcPr>
                  <w:tcW w:w="1156" w:type="pct"/>
                  <w:tcBorders>
                    <w:tl2br w:val="nil"/>
                    <w:tr2bl w:val="nil"/>
                  </w:tcBorders>
                  <w:vAlign w:val="center"/>
                </w:tcPr>
                <w:p w14:paraId="1269B27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氨氮</w:t>
                  </w:r>
                </w:p>
              </w:tc>
              <w:tc>
                <w:tcPr>
                  <w:tcW w:w="1203" w:type="pct"/>
                  <w:tcBorders>
                    <w:tl2br w:val="nil"/>
                    <w:tr2bl w:val="nil"/>
                  </w:tcBorders>
                  <w:vAlign w:val="center"/>
                </w:tcPr>
                <w:p w14:paraId="182B8946">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w:t>
                  </w:r>
                </w:p>
              </w:tc>
              <w:tc>
                <w:tcPr>
                  <w:tcW w:w="1585" w:type="pct"/>
                  <w:tcBorders>
                    <w:tl2br w:val="nil"/>
                    <w:tr2bl w:val="nil"/>
                  </w:tcBorders>
                  <w:vAlign w:val="center"/>
                </w:tcPr>
                <w:p w14:paraId="4BDDBC38">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40</w:t>
                  </w:r>
                </w:p>
              </w:tc>
              <w:tc>
                <w:tcPr>
                  <w:tcW w:w="661" w:type="pct"/>
                  <w:tcBorders>
                    <w:tl2br w:val="nil"/>
                    <w:tr2bl w:val="nil"/>
                  </w:tcBorders>
                  <w:shd w:val="clear" w:color="auto" w:fill="auto"/>
                  <w:vAlign w:val="center"/>
                </w:tcPr>
                <w:p w14:paraId="7FFF2DD8">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w:t>
                  </w:r>
                </w:p>
              </w:tc>
            </w:tr>
            <w:tr w14:paraId="73FD387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647ED53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w:t>
                  </w:r>
                </w:p>
              </w:tc>
              <w:tc>
                <w:tcPr>
                  <w:tcW w:w="1156" w:type="pct"/>
                  <w:tcBorders>
                    <w:tl2br w:val="nil"/>
                    <w:tr2bl w:val="nil"/>
                  </w:tcBorders>
                  <w:vAlign w:val="center"/>
                </w:tcPr>
                <w:p w14:paraId="23CEE8A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总氮</w:t>
                  </w:r>
                </w:p>
              </w:tc>
              <w:tc>
                <w:tcPr>
                  <w:tcW w:w="1203" w:type="pct"/>
                  <w:tcBorders>
                    <w:tl2br w:val="nil"/>
                    <w:tr2bl w:val="nil"/>
                  </w:tcBorders>
                  <w:vAlign w:val="center"/>
                </w:tcPr>
                <w:p w14:paraId="4466D473">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w:t>
                  </w:r>
                </w:p>
              </w:tc>
              <w:tc>
                <w:tcPr>
                  <w:tcW w:w="1585" w:type="pct"/>
                  <w:tcBorders>
                    <w:tl2br w:val="nil"/>
                    <w:tr2bl w:val="nil"/>
                  </w:tcBorders>
                  <w:vAlign w:val="center"/>
                </w:tcPr>
                <w:p w14:paraId="459A7F63">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60</w:t>
                  </w:r>
                </w:p>
              </w:tc>
              <w:tc>
                <w:tcPr>
                  <w:tcW w:w="661" w:type="pct"/>
                  <w:tcBorders>
                    <w:tl2br w:val="nil"/>
                    <w:tr2bl w:val="nil"/>
                  </w:tcBorders>
                  <w:shd w:val="clear" w:color="auto" w:fill="auto"/>
                  <w:vAlign w:val="center"/>
                </w:tcPr>
                <w:p w14:paraId="3CACBD1A">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w:t>
                  </w:r>
                </w:p>
              </w:tc>
            </w:tr>
            <w:tr w14:paraId="5009A54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080456B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7</w:t>
                  </w:r>
                </w:p>
              </w:tc>
              <w:tc>
                <w:tcPr>
                  <w:tcW w:w="1156" w:type="pct"/>
                  <w:tcBorders>
                    <w:tl2br w:val="nil"/>
                    <w:tr2bl w:val="nil"/>
                  </w:tcBorders>
                  <w:vAlign w:val="center"/>
                </w:tcPr>
                <w:p w14:paraId="42734B7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总磷</w:t>
                  </w:r>
                </w:p>
              </w:tc>
              <w:tc>
                <w:tcPr>
                  <w:tcW w:w="1203" w:type="pct"/>
                  <w:tcBorders>
                    <w:tl2br w:val="nil"/>
                    <w:tr2bl w:val="nil"/>
                  </w:tcBorders>
                  <w:vAlign w:val="center"/>
                </w:tcPr>
                <w:p w14:paraId="7E586ED9">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0.5</w:t>
                  </w:r>
                </w:p>
              </w:tc>
              <w:tc>
                <w:tcPr>
                  <w:tcW w:w="1585" w:type="pct"/>
                  <w:tcBorders>
                    <w:tl2br w:val="nil"/>
                    <w:tr2bl w:val="nil"/>
                  </w:tcBorders>
                  <w:vAlign w:val="center"/>
                </w:tcPr>
                <w:p w14:paraId="60F7497B">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4.5</w:t>
                  </w:r>
                </w:p>
              </w:tc>
              <w:tc>
                <w:tcPr>
                  <w:tcW w:w="661" w:type="pct"/>
                  <w:tcBorders>
                    <w:tl2br w:val="nil"/>
                    <w:tr2bl w:val="nil"/>
                  </w:tcBorders>
                  <w:shd w:val="clear" w:color="auto" w:fill="auto"/>
                  <w:vAlign w:val="center"/>
                </w:tcPr>
                <w:p w14:paraId="05F9F95E">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0.5</w:t>
                  </w:r>
                </w:p>
              </w:tc>
            </w:tr>
            <w:tr w14:paraId="68BFCDD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90" w:hRule="atLeast"/>
                <w:tblHeader/>
              </w:trPr>
              <w:tc>
                <w:tcPr>
                  <w:tcW w:w="393" w:type="pct"/>
                  <w:tcBorders>
                    <w:tl2br w:val="nil"/>
                    <w:tr2bl w:val="nil"/>
                  </w:tcBorders>
                  <w:vAlign w:val="center"/>
                </w:tcPr>
                <w:p w14:paraId="4D8EC2F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w:t>
                  </w:r>
                </w:p>
              </w:tc>
              <w:tc>
                <w:tcPr>
                  <w:tcW w:w="1156" w:type="pct"/>
                  <w:tcBorders>
                    <w:tl2br w:val="nil"/>
                    <w:tr2bl w:val="nil"/>
                  </w:tcBorders>
                  <w:vAlign w:val="center"/>
                </w:tcPr>
                <w:p w14:paraId="31575DA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色度（稀释倍数）</w:t>
                  </w:r>
                </w:p>
              </w:tc>
              <w:tc>
                <w:tcPr>
                  <w:tcW w:w="1203" w:type="pct"/>
                  <w:tcBorders>
                    <w:tl2br w:val="nil"/>
                    <w:tr2bl w:val="nil"/>
                  </w:tcBorders>
                  <w:vAlign w:val="center"/>
                </w:tcPr>
                <w:p w14:paraId="71BED0F0">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50</w:t>
                  </w:r>
                </w:p>
              </w:tc>
              <w:tc>
                <w:tcPr>
                  <w:tcW w:w="1585" w:type="pct"/>
                  <w:tcBorders>
                    <w:tl2br w:val="nil"/>
                    <w:tr2bl w:val="nil"/>
                  </w:tcBorders>
                  <w:vAlign w:val="center"/>
                </w:tcPr>
                <w:p w14:paraId="19FBF5E6">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661" w:type="pct"/>
                  <w:tcBorders>
                    <w:tl2br w:val="nil"/>
                    <w:tr2bl w:val="nil"/>
                  </w:tcBorders>
                  <w:shd w:val="clear" w:color="auto" w:fill="auto"/>
                  <w:vAlign w:val="center"/>
                </w:tcPr>
                <w:p w14:paraId="2441E0F7">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50</w:t>
                  </w:r>
                </w:p>
              </w:tc>
            </w:tr>
            <w:tr w14:paraId="6D529C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40FF831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9</w:t>
                  </w:r>
                </w:p>
              </w:tc>
              <w:tc>
                <w:tcPr>
                  <w:tcW w:w="1156" w:type="pct"/>
                  <w:tcBorders>
                    <w:tl2br w:val="nil"/>
                    <w:tr2bl w:val="nil"/>
                  </w:tcBorders>
                  <w:vAlign w:val="center"/>
                </w:tcPr>
                <w:p w14:paraId="12C0778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动植物油</w:t>
                  </w:r>
                </w:p>
              </w:tc>
              <w:tc>
                <w:tcPr>
                  <w:tcW w:w="1203" w:type="pct"/>
                  <w:tcBorders>
                    <w:tl2br w:val="nil"/>
                    <w:tr2bl w:val="nil"/>
                  </w:tcBorders>
                  <w:vAlign w:val="center"/>
                </w:tcPr>
                <w:p w14:paraId="1CCB50C6">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w:t>
                  </w:r>
                </w:p>
              </w:tc>
              <w:tc>
                <w:tcPr>
                  <w:tcW w:w="1585" w:type="pct"/>
                  <w:tcBorders>
                    <w:tl2br w:val="nil"/>
                    <w:tr2bl w:val="nil"/>
                  </w:tcBorders>
                  <w:vAlign w:val="center"/>
                </w:tcPr>
                <w:p w14:paraId="1B4DB35F">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661" w:type="pct"/>
                  <w:tcBorders>
                    <w:tl2br w:val="nil"/>
                    <w:tr2bl w:val="nil"/>
                  </w:tcBorders>
                  <w:shd w:val="clear" w:color="auto" w:fill="auto"/>
                  <w:vAlign w:val="center"/>
                </w:tcPr>
                <w:p w14:paraId="1BC9D34D">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w:t>
                  </w:r>
                </w:p>
              </w:tc>
            </w:tr>
            <w:tr w14:paraId="472773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2E13401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w:t>
                  </w:r>
                </w:p>
              </w:tc>
              <w:tc>
                <w:tcPr>
                  <w:tcW w:w="1156" w:type="pct"/>
                  <w:tcBorders>
                    <w:tl2br w:val="nil"/>
                    <w:tr2bl w:val="nil"/>
                  </w:tcBorders>
                  <w:vAlign w:val="center"/>
                </w:tcPr>
                <w:p w14:paraId="0035ECF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总有机碳</w:t>
                  </w:r>
                </w:p>
              </w:tc>
              <w:tc>
                <w:tcPr>
                  <w:tcW w:w="1203" w:type="pct"/>
                  <w:tcBorders>
                    <w:tl2br w:val="nil"/>
                    <w:tr2bl w:val="nil"/>
                  </w:tcBorders>
                  <w:vAlign w:val="center"/>
                </w:tcPr>
                <w:p w14:paraId="24CA0182">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w:t>
                  </w:r>
                </w:p>
              </w:tc>
              <w:tc>
                <w:tcPr>
                  <w:tcW w:w="1585" w:type="pct"/>
                  <w:tcBorders>
                    <w:tl2br w:val="nil"/>
                    <w:tr2bl w:val="nil"/>
                  </w:tcBorders>
                  <w:vAlign w:val="center"/>
                </w:tcPr>
                <w:p w14:paraId="2AFCB266">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661" w:type="pct"/>
                  <w:tcBorders>
                    <w:tl2br w:val="nil"/>
                    <w:tr2bl w:val="nil"/>
                  </w:tcBorders>
                  <w:shd w:val="clear" w:color="auto" w:fill="auto"/>
                  <w:vAlign w:val="center"/>
                </w:tcPr>
                <w:p w14:paraId="49AAD834">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w:t>
                  </w:r>
                </w:p>
              </w:tc>
            </w:tr>
            <w:tr w14:paraId="0060C63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7BE2EC5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11</w:t>
                  </w:r>
                </w:p>
              </w:tc>
              <w:tc>
                <w:tcPr>
                  <w:tcW w:w="1156" w:type="pct"/>
                  <w:tcBorders>
                    <w:tl2br w:val="nil"/>
                    <w:tr2bl w:val="nil"/>
                  </w:tcBorders>
                  <w:vAlign w:val="center"/>
                </w:tcPr>
                <w:p w14:paraId="6D32DDB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总氰化物</w:t>
                  </w:r>
                </w:p>
              </w:tc>
              <w:tc>
                <w:tcPr>
                  <w:tcW w:w="1203" w:type="pct"/>
                  <w:tcBorders>
                    <w:tl2br w:val="nil"/>
                    <w:tr2bl w:val="nil"/>
                  </w:tcBorders>
                  <w:vAlign w:val="center"/>
                </w:tcPr>
                <w:p w14:paraId="1A11584D">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0.5</w:t>
                  </w:r>
                </w:p>
              </w:tc>
              <w:tc>
                <w:tcPr>
                  <w:tcW w:w="1585" w:type="pct"/>
                  <w:tcBorders>
                    <w:tl2br w:val="nil"/>
                    <w:tr2bl w:val="nil"/>
                  </w:tcBorders>
                  <w:vAlign w:val="center"/>
                </w:tcPr>
                <w:p w14:paraId="302630AE">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661" w:type="pct"/>
                  <w:tcBorders>
                    <w:tl2br w:val="nil"/>
                    <w:tr2bl w:val="nil"/>
                  </w:tcBorders>
                  <w:shd w:val="clear" w:color="auto" w:fill="auto"/>
                  <w:vAlign w:val="center"/>
                </w:tcPr>
                <w:p w14:paraId="394FFCC0">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0.5</w:t>
                  </w:r>
                </w:p>
              </w:tc>
            </w:tr>
            <w:tr w14:paraId="16F4C9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51" w:type="dxa"/>
                  <w:bottom w:w="57" w:type="dxa"/>
                  <w:right w:w="51" w:type="dxa"/>
                </w:tblCellMar>
              </w:tblPrEx>
              <w:trPr>
                <w:trHeight w:val="0" w:hRule="atLeast"/>
                <w:tblHeader/>
              </w:trPr>
              <w:tc>
                <w:tcPr>
                  <w:tcW w:w="393" w:type="pct"/>
                  <w:tcBorders>
                    <w:tl2br w:val="nil"/>
                    <w:tr2bl w:val="nil"/>
                  </w:tcBorders>
                  <w:vAlign w:val="center"/>
                </w:tcPr>
                <w:p w14:paraId="0B7F0F8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12</w:t>
                  </w:r>
                </w:p>
              </w:tc>
              <w:tc>
                <w:tcPr>
                  <w:tcW w:w="1156" w:type="pct"/>
                  <w:tcBorders>
                    <w:tl2br w:val="nil"/>
                    <w:tr2bl w:val="nil"/>
                  </w:tcBorders>
                  <w:vAlign w:val="center"/>
                </w:tcPr>
                <w:p w14:paraId="0836EF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急性毒性</w:t>
                  </w:r>
                </w:p>
                <w:p w14:paraId="09D188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（HgCl</w:t>
                  </w:r>
                  <w:r>
                    <w:rPr>
                      <w:rFonts w:hint="eastAsia"/>
                      <w:color w:val="000000" w:themeColor="text1"/>
                      <w:szCs w:val="21"/>
                      <w:vertAlign w:val="subscript"/>
                      <w:lang w:val="en-US" w:eastAsia="zh-CN"/>
                      <w14:textFill>
                        <w14:solidFill>
                          <w14:schemeClr w14:val="tx1"/>
                        </w14:solidFill>
                      </w14:textFill>
                    </w:rPr>
                    <w:t>2</w:t>
                  </w:r>
                  <w:r>
                    <w:rPr>
                      <w:rFonts w:hint="eastAsia"/>
                      <w:color w:val="000000" w:themeColor="text1"/>
                      <w:szCs w:val="21"/>
                      <w:lang w:val="en-US" w:eastAsia="zh-CN"/>
                      <w14:textFill>
                        <w14:solidFill>
                          <w14:schemeClr w14:val="tx1"/>
                        </w14:solidFill>
                      </w14:textFill>
                    </w:rPr>
                    <w:t>毒性当量）</w:t>
                  </w:r>
                </w:p>
              </w:tc>
              <w:tc>
                <w:tcPr>
                  <w:tcW w:w="1203" w:type="pct"/>
                  <w:tcBorders>
                    <w:tl2br w:val="nil"/>
                    <w:tr2bl w:val="nil"/>
                  </w:tcBorders>
                  <w:vAlign w:val="center"/>
                </w:tcPr>
                <w:p w14:paraId="74B854EF">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0.07</w:t>
                  </w:r>
                </w:p>
              </w:tc>
              <w:tc>
                <w:tcPr>
                  <w:tcW w:w="1585" w:type="pct"/>
                  <w:tcBorders>
                    <w:tl2br w:val="nil"/>
                    <w:tr2bl w:val="nil"/>
                  </w:tcBorders>
                  <w:vAlign w:val="center"/>
                </w:tcPr>
                <w:p w14:paraId="35A256ED">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661" w:type="pct"/>
                  <w:tcBorders>
                    <w:tl2br w:val="nil"/>
                    <w:tr2bl w:val="nil"/>
                  </w:tcBorders>
                  <w:shd w:val="clear" w:color="auto" w:fill="auto"/>
                  <w:vAlign w:val="center"/>
                </w:tcPr>
                <w:p w14:paraId="08A4CE79">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0.07</w:t>
                  </w:r>
                </w:p>
              </w:tc>
            </w:tr>
          </w:tbl>
          <w:p w14:paraId="348BB626">
            <w:pPr>
              <w:keepNext w:val="0"/>
              <w:keepLines w:val="0"/>
              <w:pageBreakBefore w:val="0"/>
              <w:widowControl w:val="0"/>
              <w:numPr>
                <w:ilvl w:val="0"/>
                <w:numId w:val="4"/>
              </w:numPr>
              <w:kinsoku/>
              <w:wordWrap/>
              <w:overflowPunct/>
              <w:topLinePunct w:val="0"/>
              <w:autoSpaceDE/>
              <w:autoSpaceDN/>
              <w:bidi w:val="0"/>
              <w:adjustRightInd w:val="0"/>
              <w:snapToGrid/>
              <w:spacing w:before="157" w:beforeLines="50" w:line="360" w:lineRule="auto"/>
              <w:ind w:left="0" w:leftChars="0" w:firstLine="0" w:firstLineChars="0"/>
              <w:jc w:val="both"/>
              <w:textAlignment w:val="auto"/>
              <w:rPr>
                <w:rFonts w:hint="eastAsia"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噪声</w:t>
            </w:r>
          </w:p>
          <w:p w14:paraId="49A672FE">
            <w:pPr>
              <w:adjustRightInd w:val="0"/>
              <w:spacing w:beforeLines="0" w:line="360" w:lineRule="auto"/>
              <w:ind w:firstLine="480" w:firstLineChars="200"/>
              <w:jc w:val="both"/>
              <w:rPr>
                <w:rFonts w:hint="eastAsia"/>
                <w:color w:val="000000" w:themeColor="text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施工期执行《建筑施工场界环境噪声排放标准》（GB12523-2011）环境噪声排放限值标准：昼间70dB(A)；夜间55dB(A)；运营期执行《工业企业厂界环境噪声排放标准》（GB12348-2008）表1 中3类声环境功能区环境噪声排放限值：昼间65dB(A)；夜间55dB(A)。</w:t>
            </w:r>
          </w:p>
          <w:p w14:paraId="44B9D52D">
            <w:pPr>
              <w:numPr>
                <w:ilvl w:val="0"/>
                <w:numId w:val="4"/>
              </w:numPr>
              <w:adjustRightInd w:val="0"/>
              <w:spacing w:beforeLines="0" w:line="360" w:lineRule="auto"/>
              <w:ind w:left="0" w:leftChars="0" w:firstLine="0" w:firstLineChars="0"/>
              <w:jc w:val="both"/>
              <w:rPr>
                <w:rFonts w:hint="eastAsia"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固废</w:t>
            </w:r>
          </w:p>
          <w:p w14:paraId="0C2A3BD5">
            <w:pPr>
              <w:adjustRightInd w:val="0"/>
              <w:spacing w:beforeLines="0" w:line="360" w:lineRule="auto"/>
              <w:ind w:firstLine="480" w:firstLineChars="200"/>
              <w:jc w:val="both"/>
              <w:rPr>
                <w:rFonts w:hint="eastAsia"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b w:val="0"/>
                <w:bCs w:val="0"/>
                <w:color w:val="000000" w:themeColor="text1"/>
                <w:kern w:val="2"/>
                <w:sz w:val="24"/>
                <w:szCs w:val="24"/>
                <w:lang w:val="en-US" w:eastAsia="zh-CN" w:bidi="ar-SA"/>
                <w14:textFill>
                  <w14:solidFill>
                    <w14:schemeClr w14:val="tx1"/>
                  </w14:solidFill>
                </w14:textFill>
              </w:rPr>
              <w:t>项目一般固废及生活垃圾执行《一般工业固体废物贮存和填埋污染控制标准》（GB18599-2020）中的相关标准。危险废物执行《危险废物贮存污染控制标准》（GB18597-2025）。</w:t>
            </w:r>
          </w:p>
          <w:p w14:paraId="657139B0">
            <w:pPr>
              <w:adjustRightInd w:val="0"/>
              <w:spacing w:beforeLines="0" w:line="360" w:lineRule="auto"/>
              <w:ind w:firstLine="480" w:firstLineChars="200"/>
              <w:jc w:val="both"/>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p>
          <w:p w14:paraId="7E27E183">
            <w:pPr>
              <w:adjustRightInd w:val="0"/>
              <w:spacing w:beforeLines="0" w:line="360" w:lineRule="auto"/>
              <w:ind w:firstLine="480" w:firstLineChars="200"/>
              <w:jc w:val="both"/>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p>
          <w:p w14:paraId="5AE54979">
            <w:pPr>
              <w:adjustRightInd w:val="0"/>
              <w:spacing w:beforeLines="0" w:line="360" w:lineRule="auto"/>
              <w:ind w:firstLine="480" w:firstLineChars="200"/>
              <w:jc w:val="both"/>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p>
          <w:p w14:paraId="0961EAE9">
            <w:pPr>
              <w:adjustRightInd w:val="0"/>
              <w:spacing w:beforeLines="0" w:line="360" w:lineRule="auto"/>
              <w:ind w:firstLine="480" w:firstLineChars="200"/>
              <w:jc w:val="both"/>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p>
          <w:p w14:paraId="0BC4CE60">
            <w:pPr>
              <w:adjustRightInd w:val="0"/>
              <w:spacing w:beforeLines="0" w:line="360" w:lineRule="auto"/>
              <w:ind w:firstLine="480" w:firstLineChars="200"/>
              <w:jc w:val="both"/>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p>
          <w:p w14:paraId="77A10070">
            <w:pPr>
              <w:adjustRightInd w:val="0"/>
              <w:spacing w:beforeLines="0" w:line="360" w:lineRule="auto"/>
              <w:ind w:firstLine="480" w:firstLineChars="200"/>
              <w:jc w:val="both"/>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p>
          <w:p w14:paraId="03778BAE">
            <w:pPr>
              <w:adjustRightInd w:val="0"/>
              <w:spacing w:beforeLines="0" w:line="360" w:lineRule="auto"/>
              <w:ind w:firstLine="480" w:firstLineChars="200"/>
              <w:jc w:val="both"/>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p>
          <w:p w14:paraId="4F39F442">
            <w:pPr>
              <w:adjustRightInd w:val="0"/>
              <w:spacing w:beforeLines="0" w:line="360" w:lineRule="auto"/>
              <w:ind w:firstLine="420" w:firstLineChars="200"/>
              <w:jc w:val="both"/>
              <w:rPr>
                <w:rFonts w:hint="eastAsia"/>
                <w:color w:val="000000" w:themeColor="text1"/>
                <w:lang w:val="en-US" w:eastAsia="zh-CN"/>
                <w14:textFill>
                  <w14:solidFill>
                    <w14:schemeClr w14:val="tx1"/>
                  </w14:solidFill>
                </w14:textFill>
              </w:rPr>
            </w:pPr>
          </w:p>
          <w:p w14:paraId="7F689BF4">
            <w:pPr>
              <w:adjustRightInd w:val="0"/>
              <w:spacing w:beforeLines="0" w:line="360" w:lineRule="auto"/>
              <w:ind w:firstLine="420" w:firstLineChars="200"/>
              <w:jc w:val="both"/>
              <w:rPr>
                <w:rFonts w:hint="eastAsia"/>
                <w:color w:val="000000" w:themeColor="text1"/>
                <w:lang w:val="en-US" w:eastAsia="zh-CN"/>
                <w14:textFill>
                  <w14:solidFill>
                    <w14:schemeClr w14:val="tx1"/>
                  </w14:solidFill>
                </w14:textFill>
              </w:rPr>
            </w:pPr>
          </w:p>
          <w:p w14:paraId="26F630B4">
            <w:pPr>
              <w:adjustRightInd w:val="0"/>
              <w:spacing w:beforeLines="0" w:line="360" w:lineRule="auto"/>
              <w:ind w:firstLine="420" w:firstLineChars="200"/>
              <w:jc w:val="both"/>
              <w:rPr>
                <w:rFonts w:hint="eastAsia" w:eastAsia="宋体"/>
                <w:color w:val="000000" w:themeColor="text1"/>
                <w:lang w:val="en-US" w:eastAsia="zh-CN"/>
                <w14:textFill>
                  <w14:solidFill>
                    <w14:schemeClr w14:val="tx1"/>
                  </w14:solidFill>
                </w14:textFill>
              </w:rPr>
            </w:pPr>
          </w:p>
        </w:tc>
      </w:tr>
      <w:tr w14:paraId="086A4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8" w:hRule="atLeast"/>
          <w:jc w:val="center"/>
        </w:trPr>
        <w:tc>
          <w:tcPr>
            <w:tcW w:w="762" w:type="dxa"/>
            <w:noWrap w:val="0"/>
            <w:vAlign w:val="center"/>
          </w:tcPr>
          <w:p w14:paraId="5611072C">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总量</w:t>
            </w:r>
          </w:p>
          <w:p w14:paraId="43D91A99">
            <w:pPr>
              <w:adjustRightInd w:val="0"/>
              <w:snapToGrid w:val="0"/>
              <w:jc w:val="center"/>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控制</w:t>
            </w:r>
          </w:p>
          <w:p w14:paraId="1A08D339">
            <w:pPr>
              <w:adjustRightInd w:val="0"/>
              <w:snapToGrid w:val="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指标</w:t>
            </w:r>
          </w:p>
        </w:tc>
        <w:tc>
          <w:tcPr>
            <w:tcW w:w="8096" w:type="dxa"/>
            <w:noWrap w:val="0"/>
            <w:vAlign w:val="top"/>
          </w:tcPr>
          <w:p w14:paraId="5764FD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1、废气</w:t>
            </w:r>
          </w:p>
          <w:p w14:paraId="3D6733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根据工程分析中对扩建项目废气污染物排放的核算结果，扩建项目废气污染物排放量为：</w:t>
            </w:r>
            <w:r>
              <w:rPr>
                <w:rFonts w:hint="eastAsia" w:hAnsi="宋体" w:eastAsia="宋体"/>
                <w:b w:val="0"/>
                <w:bCs w:val="0"/>
                <w:snapToGrid/>
                <w:color w:val="000000" w:themeColor="text1"/>
                <w:sz w:val="24"/>
                <w:szCs w:val="24"/>
                <w:highlight w:val="none"/>
                <w:lang w:val="en-US" w:eastAsia="zh-CN"/>
                <w14:textFill>
                  <w14:solidFill>
                    <w14:schemeClr w14:val="tx1"/>
                  </w14:solidFill>
                </w14:textFill>
              </w:rPr>
              <w:t>颗粒物</w:t>
            </w:r>
            <w:r>
              <w:rPr>
                <w:rFonts w:hint="eastAsia" w:hAnsi="宋体"/>
                <w:b w:val="0"/>
                <w:bCs w:val="0"/>
                <w:snapToGrid/>
                <w:color w:val="000000" w:themeColor="text1"/>
                <w:sz w:val="24"/>
                <w:szCs w:val="24"/>
                <w:highlight w:val="none"/>
                <w:lang w:val="en-US" w:eastAsia="zh-CN"/>
                <w14:textFill>
                  <w14:solidFill>
                    <w14:schemeClr w14:val="tx1"/>
                  </w14:solidFill>
                </w14:textFill>
              </w:rPr>
              <w:t>1.3285</w:t>
            </w:r>
            <w:r>
              <w:rPr>
                <w:rFonts w:hint="eastAsia" w:hAnsi="宋体" w:eastAsia="宋体"/>
                <w:b w:val="0"/>
                <w:bCs w:val="0"/>
                <w:snapToGrid/>
                <w:color w:val="000000" w:themeColor="text1"/>
                <w:sz w:val="24"/>
                <w:szCs w:val="24"/>
                <w:highlight w:val="none"/>
                <w:lang w:val="en-US" w:eastAsia="zh-CN"/>
                <w14:textFill>
                  <w14:solidFill>
                    <w14:schemeClr w14:val="tx1"/>
                  </w14:solidFill>
                </w14:textFill>
              </w:rPr>
              <w:t>t/a，</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二氧化硫</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t/a，氮氧化物</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，挥发性有机物1.417t/a；</w:t>
            </w:r>
          </w:p>
          <w:p w14:paraId="2572C7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原有项目废气污染物排放量为：</w:t>
            </w:r>
            <w:r>
              <w:rPr>
                <w:rFonts w:hint="eastAsia" w:hAnsi="宋体" w:eastAsia="宋体"/>
                <w:b w:val="0"/>
                <w:bCs w:val="0"/>
                <w:snapToGrid/>
                <w:color w:val="000000" w:themeColor="text1"/>
                <w:sz w:val="24"/>
                <w:szCs w:val="24"/>
                <w:highlight w:val="none"/>
                <w:lang w:val="en-US" w:eastAsia="zh-CN"/>
                <w14:textFill>
                  <w14:solidFill>
                    <w14:schemeClr w14:val="tx1"/>
                  </w14:solidFill>
                </w14:textFill>
              </w:rPr>
              <w:t>颗粒物</w:t>
            </w:r>
            <w:r>
              <w:rPr>
                <w:rFonts w:hint="eastAsia" w:hAnsi="宋体"/>
                <w:b w:val="0"/>
                <w:bCs w:val="0"/>
                <w:snapToGrid/>
                <w:color w:val="000000" w:themeColor="text1"/>
                <w:sz w:val="24"/>
                <w:szCs w:val="24"/>
                <w:highlight w:val="none"/>
                <w:lang w:val="en-US" w:eastAsia="zh-CN"/>
                <w14:textFill>
                  <w14:solidFill>
                    <w14:schemeClr w14:val="tx1"/>
                  </w14:solidFill>
                </w14:textFill>
              </w:rPr>
              <w:t>0.549</w:t>
            </w:r>
            <w:r>
              <w:rPr>
                <w:rFonts w:hint="eastAsia" w:hAnsi="宋体" w:eastAsia="宋体"/>
                <w:b w:val="0"/>
                <w:bCs w:val="0"/>
                <w:snapToGrid/>
                <w:color w:val="000000" w:themeColor="text1"/>
                <w:sz w:val="24"/>
                <w:szCs w:val="24"/>
                <w:highlight w:val="none"/>
                <w:lang w:val="en-US" w:eastAsia="zh-CN"/>
                <w14:textFill>
                  <w14:solidFill>
                    <w14:schemeClr w14:val="tx1"/>
                  </w14:solidFill>
                </w14:textFill>
              </w:rPr>
              <w:t>t/a，</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二氧化硫</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t/a，氮氧化物</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，挥发性有机物0.676t/a；</w:t>
            </w:r>
          </w:p>
          <w:p w14:paraId="58360E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本项目扩建后全厂为：</w:t>
            </w:r>
            <w:r>
              <w:rPr>
                <w:rFonts w:hint="eastAsia" w:hAnsi="宋体" w:eastAsia="宋体"/>
                <w:b w:val="0"/>
                <w:bCs w:val="0"/>
                <w:snapToGrid/>
                <w:color w:val="000000" w:themeColor="text1"/>
                <w:sz w:val="24"/>
                <w:szCs w:val="24"/>
                <w:highlight w:val="none"/>
                <w:lang w:val="en-US" w:eastAsia="zh-CN"/>
                <w14:textFill>
                  <w14:solidFill>
                    <w14:schemeClr w14:val="tx1"/>
                  </w14:solidFill>
                </w14:textFill>
              </w:rPr>
              <w:t>颗粒物</w:t>
            </w:r>
            <w:r>
              <w:rPr>
                <w:rFonts w:hint="eastAsia" w:hAnsi="宋体"/>
                <w:b w:val="0"/>
                <w:bCs w:val="0"/>
                <w:snapToGrid/>
                <w:color w:val="000000" w:themeColor="text1"/>
                <w:sz w:val="24"/>
                <w:szCs w:val="24"/>
                <w:highlight w:val="none"/>
                <w:lang w:val="en-US" w:eastAsia="zh-CN"/>
                <w14:textFill>
                  <w14:solidFill>
                    <w14:schemeClr w14:val="tx1"/>
                  </w14:solidFill>
                </w14:textFill>
              </w:rPr>
              <w:t>1.8775</w:t>
            </w:r>
            <w:r>
              <w:rPr>
                <w:rFonts w:hint="eastAsia" w:hAnsi="宋体" w:eastAsia="宋体"/>
                <w:b w:val="0"/>
                <w:bCs w:val="0"/>
                <w:snapToGrid/>
                <w:color w:val="000000" w:themeColor="text1"/>
                <w:sz w:val="24"/>
                <w:szCs w:val="24"/>
                <w:highlight w:val="none"/>
                <w:lang w:val="en-US" w:eastAsia="zh-CN"/>
                <w14:textFill>
                  <w14:solidFill>
                    <w14:schemeClr w14:val="tx1"/>
                  </w14:solidFill>
                </w14:textFill>
              </w:rPr>
              <w:t>t/a，</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二氧化硫</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t/a，氮氧化物</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，挥发性有机物2.093t/a。</w:t>
            </w:r>
          </w:p>
          <w:p w14:paraId="2F756F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2、废水</w:t>
            </w:r>
          </w:p>
          <w:p w14:paraId="4B1937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根据工程分析中对扩建项目废水污染物排放的核算结果，扩建项目废水污染物排放量为：</w:t>
            </w:r>
          </w:p>
          <w:p w14:paraId="261AB41C">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厂污水处理站出口：</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化学需氧量</w:t>
            </w:r>
            <w:r>
              <w:rPr>
                <w:rFonts w:hint="eastAsia"/>
                <w:color w:val="000000" w:themeColor="text1"/>
                <w:sz w:val="24"/>
                <w:szCs w:val="24"/>
                <w:lang w:val="en-US" w:eastAsia="zh-CN"/>
                <w14:textFill>
                  <w14:solidFill>
                    <w14:schemeClr w14:val="tx1"/>
                  </w14:solidFill>
                </w14:textFill>
              </w:rPr>
              <w:t xml:space="preserve"> 8.056t/a、氨氮0.51t/a、总磷0.0362t/a；</w:t>
            </w:r>
          </w:p>
          <w:p w14:paraId="283219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集聚区污水厂出口：</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化学需氧量</w:t>
            </w:r>
            <w:r>
              <w:rPr>
                <w:rFonts w:hint="eastAsia"/>
                <w:color w:val="000000" w:themeColor="text1"/>
                <w:sz w:val="24"/>
                <w:szCs w:val="24"/>
                <w:lang w:val="en-US" w:eastAsia="zh-CN"/>
                <w14:textFill>
                  <w14:solidFill>
                    <w14:schemeClr w14:val="tx1"/>
                  </w14:solidFill>
                </w14:textFill>
              </w:rPr>
              <w:t xml:space="preserve"> 5.385t/a、氨氮0.394t/a、总磷0.0362t/a</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w:t>
            </w:r>
          </w:p>
          <w:p w14:paraId="32D903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原有项目废水污染物排放量为：</w:t>
            </w:r>
          </w:p>
          <w:p w14:paraId="68C546E4">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厂污水处理站出口：</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化学需氧量</w:t>
            </w:r>
            <w:r>
              <w:rPr>
                <w:rFonts w:hint="eastAsia"/>
                <w:color w:val="000000" w:themeColor="text1"/>
                <w:sz w:val="24"/>
                <w:szCs w:val="24"/>
                <w:lang w:val="en-US" w:eastAsia="zh-CN"/>
                <w14:textFill>
                  <w14:solidFill>
                    <w14:schemeClr w14:val="tx1"/>
                  </w14:solidFill>
                </w14:textFill>
              </w:rPr>
              <w:t xml:space="preserve"> 1.011t/a、氨氮0.084t/a、总磷0.0017t/a；</w:t>
            </w:r>
          </w:p>
          <w:p w14:paraId="027789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集聚区污水厂出口：</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化学需氧量</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0.84</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t/a、氨氮0.0</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84</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a、总磷0.0017t/a；</w:t>
            </w:r>
          </w:p>
          <w:p w14:paraId="5FE976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本项目扩建后全厂为：</w:t>
            </w:r>
          </w:p>
          <w:p w14:paraId="32E07280">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厂污水处理站出口：</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化学需氧量</w:t>
            </w:r>
            <w:r>
              <w:rPr>
                <w:rFonts w:hint="eastAsia"/>
                <w:color w:val="000000" w:themeColor="text1"/>
                <w:sz w:val="24"/>
                <w:szCs w:val="24"/>
                <w:lang w:val="en-US" w:eastAsia="zh-CN"/>
                <w14:textFill>
                  <w14:solidFill>
                    <w14:schemeClr w14:val="tx1"/>
                  </w14:solidFill>
                </w14:textFill>
              </w:rPr>
              <w:t xml:space="preserve"> 9.067t/a、氨氮0.594t/a、总磷0.0379t/a；</w:t>
            </w:r>
          </w:p>
          <w:p w14:paraId="420A7C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集聚区污水厂出口：</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化学需氧量</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6.225</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t/a、氨氮0.</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478</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a、总磷0.0379t/a</w:t>
            </w:r>
          </w:p>
          <w:p w14:paraId="38E6F6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因此，本项目环评建议新增总量控制指标为：</w:t>
            </w:r>
            <w:r>
              <w:rPr>
                <w:rFonts w:hint="eastAsia" w:hAnsi="宋体" w:eastAsia="宋体"/>
                <w:b w:val="0"/>
                <w:bCs w:val="0"/>
                <w:snapToGrid/>
                <w:color w:val="000000" w:themeColor="text1"/>
                <w:sz w:val="24"/>
                <w:szCs w:val="24"/>
                <w:highlight w:val="none"/>
                <w:lang w:val="en-US" w:eastAsia="zh-CN"/>
                <w14:textFill>
                  <w14:solidFill>
                    <w14:schemeClr w14:val="tx1"/>
                  </w14:solidFill>
                </w14:textFill>
              </w:rPr>
              <w:t>颗粒物1.3285t/a，挥发性有机物1.</w:t>
            </w:r>
            <w:r>
              <w:rPr>
                <w:rFonts w:hint="eastAsia" w:hAnsi="宋体"/>
                <w:b w:val="0"/>
                <w:bCs w:val="0"/>
                <w:snapToGrid/>
                <w:color w:val="000000" w:themeColor="text1"/>
                <w:sz w:val="24"/>
                <w:szCs w:val="24"/>
                <w:highlight w:val="none"/>
                <w:lang w:val="en-US" w:eastAsia="zh-CN"/>
                <w14:textFill>
                  <w14:solidFill>
                    <w14:schemeClr w14:val="tx1"/>
                  </w14:solidFill>
                </w14:textFill>
              </w:rPr>
              <w:t>417</w:t>
            </w:r>
            <w:r>
              <w:rPr>
                <w:rFonts w:hint="eastAsia" w:hAnsi="宋体" w:eastAsia="宋体"/>
                <w:b w:val="0"/>
                <w:bCs w:val="0"/>
                <w:snapToGrid/>
                <w:color w:val="000000" w:themeColor="text1"/>
                <w:sz w:val="24"/>
                <w:szCs w:val="24"/>
                <w:highlight w:val="none"/>
                <w:lang w:val="en-US" w:eastAsia="zh-CN"/>
                <w14:textFill>
                  <w14:solidFill>
                    <w14:schemeClr w14:val="tx1"/>
                  </w14:solidFill>
                </w14:textFill>
              </w:rPr>
              <w:t>t/a，</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化学需氧量</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5.385</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t/a、氨氮0.</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394</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a、</w:t>
            </w:r>
            <w:r>
              <w:rPr>
                <w:rFonts w:hint="eastAsia"/>
                <w:color w:val="000000" w:themeColor="text1"/>
                <w:sz w:val="24"/>
                <w:szCs w:val="24"/>
                <w:lang w:val="en-US" w:eastAsia="zh-CN"/>
                <w14:textFill>
                  <w14:solidFill>
                    <w14:schemeClr w14:val="tx1"/>
                  </w14:solidFill>
                </w14:textFill>
              </w:rPr>
              <w:t>总磷0.0362t/a</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w:t>
            </w:r>
          </w:p>
          <w:p w14:paraId="6C794A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3、总量替代方案</w:t>
            </w:r>
          </w:p>
          <w:p w14:paraId="34DD3F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color w:val="000000" w:themeColor="text1"/>
                <w:lang w:val="en-US" w:eastAsia="zh-CN"/>
                <w14:textFill>
                  <w14:solidFill>
                    <w14:schemeClr w14:val="tx1"/>
                  </w14:solidFill>
                </w14:textFill>
              </w:rPr>
            </w:pP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白云山汤阴东泰药业有限责任公司年产中药制剂13.5亿粒/片/瓶/袋药品生产项目使用安阳正诚建材有限责任公司颗粒物减排削减量、汤阴县色非家具厂关闭项目VOCs减排削减量，安阳市华洋针织有限责任公司年加工25000吨针织染整项目COD、总磷减排削减量。以上减排削减量满足本项目替代要求。</w:t>
            </w:r>
          </w:p>
        </w:tc>
      </w:tr>
    </w:tbl>
    <w:p w14:paraId="027BF0EF">
      <w:pPr>
        <w:pStyle w:val="22"/>
        <w:jc w:val="both"/>
        <w:outlineLvl w:val="0"/>
        <w:rPr>
          <w:rFonts w:ascii="黑体" w:hAnsi="黑体" w:eastAsia="黑体"/>
          <w:snapToGrid w:val="0"/>
          <w:color w:val="000000" w:themeColor="text1"/>
          <w:sz w:val="21"/>
          <w:szCs w:val="21"/>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9649CB5">
      <w:pPr>
        <w:pStyle w:val="22"/>
        <w:jc w:val="center"/>
        <w:outlineLvl w:val="0"/>
        <w:rPr>
          <w:rFonts w:hint="eastAsia" w:ascii="黑体" w:hAnsi="黑体" w:eastAsia="黑体" w:cs="Times New Roman"/>
          <w:snapToGrid w:val="0"/>
          <w:color w:val="000000" w:themeColor="text1"/>
          <w:sz w:val="30"/>
          <w:szCs w:val="30"/>
          <w14:textFill>
            <w14:solidFill>
              <w14:schemeClr w14:val="tx1"/>
            </w14:solidFill>
          </w14:textFill>
        </w:rPr>
      </w:pPr>
      <w:r>
        <w:rPr>
          <w:rFonts w:hint="eastAsia" w:ascii="黑体" w:hAnsi="黑体" w:eastAsia="黑体" w:cs="Times New Roman"/>
          <w:snapToGrid w:val="0"/>
          <w:color w:val="000000" w:themeColor="text1"/>
          <w:sz w:val="30"/>
          <w:szCs w:val="30"/>
          <w14:textFill>
            <w14:solidFill>
              <w14:schemeClr w14:val="tx1"/>
            </w14:solidFill>
          </w14:textFill>
        </w:rPr>
        <w:t>四、主要环境影响和保护措施</w:t>
      </w:r>
    </w:p>
    <w:tbl>
      <w:tblPr>
        <w:tblStyle w:val="26"/>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83"/>
        <w:gridCol w:w="8198"/>
      </w:tblGrid>
      <w:tr w14:paraId="4F7DAB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40" w:hRule="atLeast"/>
          <w:jc w:val="center"/>
        </w:trPr>
        <w:tc>
          <w:tcPr>
            <w:tcW w:w="783" w:type="dxa"/>
            <w:noWrap w:val="0"/>
            <w:tcMar>
              <w:left w:w="28" w:type="dxa"/>
              <w:right w:w="28" w:type="dxa"/>
            </w:tcMar>
            <w:vAlign w:val="center"/>
          </w:tcPr>
          <w:p w14:paraId="67C2B54D">
            <w:pPr>
              <w:pStyle w:val="22"/>
              <w:adjustRightInd w:val="0"/>
              <w:snapToGrid w:val="0"/>
              <w:spacing w:before="0" w:beforeAutospacing="0" w:after="0" w:afterAutospacing="0"/>
              <w:jc w:val="center"/>
              <w:rPr>
                <w:rFonts w:hint="eastAsia"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施工</w:t>
            </w:r>
          </w:p>
          <w:p w14:paraId="24465EF0">
            <w:pPr>
              <w:pStyle w:val="22"/>
              <w:adjustRightInd w:val="0"/>
              <w:snapToGrid w:val="0"/>
              <w:spacing w:before="0" w:beforeAutospacing="0" w:after="0" w:afterAutospacing="0"/>
              <w:jc w:val="center"/>
              <w:rPr>
                <w:rFonts w:hint="eastAsia"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期环</w:t>
            </w:r>
          </w:p>
          <w:p w14:paraId="3F810158">
            <w:pPr>
              <w:pStyle w:val="22"/>
              <w:adjustRightInd w:val="0"/>
              <w:snapToGrid w:val="0"/>
              <w:spacing w:before="0" w:beforeAutospacing="0" w:after="0" w:afterAutospacing="0"/>
              <w:jc w:val="center"/>
              <w:rPr>
                <w:rFonts w:hint="eastAsia"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境保</w:t>
            </w:r>
          </w:p>
          <w:p w14:paraId="1C1A50A9">
            <w:pPr>
              <w:pStyle w:val="22"/>
              <w:adjustRightInd w:val="0"/>
              <w:snapToGrid w:val="0"/>
              <w:spacing w:before="0" w:beforeAutospacing="0" w:after="0" w:afterAutospacing="0"/>
              <w:jc w:val="center"/>
              <w:rPr>
                <w:rFonts w:hint="eastAsia"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护措</w:t>
            </w:r>
          </w:p>
          <w:p w14:paraId="34E13572">
            <w:pPr>
              <w:pStyle w:val="22"/>
              <w:adjustRightInd w:val="0"/>
              <w:snapToGrid w:val="0"/>
              <w:spacing w:before="0" w:beforeAutospacing="0" w:after="0" w:afterAutospacing="0"/>
              <w:jc w:val="center"/>
              <w:rPr>
                <w:rFonts w:hint="eastAsia" w:cs="宋体"/>
                <w:bCs/>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施</w:t>
            </w:r>
          </w:p>
        </w:tc>
        <w:tc>
          <w:tcPr>
            <w:tcW w:w="8198" w:type="dxa"/>
            <w:noWrap w:val="0"/>
            <w:vAlign w:val="top"/>
          </w:tcPr>
          <w:p w14:paraId="10BB1F52">
            <w:pPr>
              <w:keepNext w:val="0"/>
              <w:keepLines w:val="0"/>
              <w:pageBreakBefore w:val="0"/>
              <w:widowControl w:val="0"/>
              <w:kinsoku/>
              <w:wordWrap/>
              <w:overflowPunct/>
              <w:topLinePunct w:val="0"/>
              <w:autoSpaceDE/>
              <w:autoSpaceDN/>
              <w:bidi w:val="0"/>
              <w:adjustRightInd w:val="0"/>
              <w:snapToGrid w:val="0"/>
              <w:spacing w:before="313" w:beforeLines="100" w:line="360" w:lineRule="auto"/>
              <w:ind w:firstLine="480" w:firstLineChars="200"/>
              <w:textAlignment w:val="auto"/>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项目建设一般可分为土石方、打桩、建筑结构、设备安装调试4个阶段，各阶段施工活动可能对周围环境产生一定影响，主要包括废气和粉尘、噪声、固体废物、废水等，其中尤以粉尘和施工噪声影响较为明显。</w:t>
            </w:r>
          </w:p>
          <w:p w14:paraId="52538B21">
            <w:pPr>
              <w:keepNext w:val="0"/>
              <w:keepLines w:val="0"/>
              <w:pageBreakBefore w:val="0"/>
              <w:widowControl w:val="0"/>
              <w:kinsoku/>
              <w:wordWrap/>
              <w:overflowPunct/>
              <w:topLinePunct w:val="0"/>
              <w:autoSpaceDE/>
              <w:autoSpaceDN/>
              <w:bidi w:val="0"/>
              <w:adjustRightInd w:val="0"/>
              <w:snapToGrid w:val="0"/>
              <w:spacing w:line="360" w:lineRule="auto"/>
              <w:textAlignment w:val="auto"/>
              <w:rPr>
                <w:b w:val="0"/>
                <w:bCs w:val="0"/>
                <w:color w:val="000000" w:themeColor="text1"/>
                <w:kern w:val="0"/>
                <w:sz w:val="24"/>
                <w14:textFill>
                  <w14:solidFill>
                    <w14:schemeClr w14:val="tx1"/>
                  </w14:solidFill>
                </w14:textFill>
              </w:rPr>
            </w:pPr>
            <w:r>
              <w:rPr>
                <w:rFonts w:hint="eastAsia"/>
                <w:b w:val="0"/>
                <w:bCs w:val="0"/>
                <w:color w:val="000000" w:themeColor="text1"/>
                <w:kern w:val="0"/>
                <w:sz w:val="24"/>
                <w:lang w:val="en-US" w:eastAsia="zh-CN"/>
                <w14:textFill>
                  <w14:solidFill>
                    <w14:schemeClr w14:val="tx1"/>
                  </w14:solidFill>
                </w14:textFill>
              </w:rPr>
              <w:t>一</w:t>
            </w:r>
            <w:r>
              <w:rPr>
                <w:rFonts w:hint="eastAsia"/>
                <w:b w:val="0"/>
                <w:bCs w:val="0"/>
                <w:color w:val="000000" w:themeColor="text1"/>
                <w:kern w:val="0"/>
                <w:sz w:val="24"/>
                <w:lang w:eastAsia="zh-CN"/>
                <w14:textFill>
                  <w14:solidFill>
                    <w14:schemeClr w14:val="tx1"/>
                  </w14:solidFill>
                </w14:textFill>
              </w:rPr>
              <w:t>、</w:t>
            </w:r>
            <w:r>
              <w:rPr>
                <w:b w:val="0"/>
                <w:bCs w:val="0"/>
                <w:color w:val="000000" w:themeColor="text1"/>
                <w:kern w:val="0"/>
                <w:sz w:val="24"/>
                <w14:textFill>
                  <w14:solidFill>
                    <w14:schemeClr w14:val="tx1"/>
                  </w14:solidFill>
                </w14:textFill>
              </w:rPr>
              <w:t>施工期环境空气污染防治措施</w:t>
            </w:r>
          </w:p>
          <w:p w14:paraId="54CA2D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按照安阳市大气攻坚、河南省《城市房屋建筑和市政基础设施工程及道路扬尘污染防治标准》（DBJ41/T174-2020），严格落实建筑、市政、道路等各类施工工地“</w:t>
            </w:r>
            <w:r>
              <w:rPr>
                <w:rFonts w:hint="eastAsia"/>
                <w:color w:val="000000" w:themeColor="text1"/>
                <w:kern w:val="0"/>
                <w:sz w:val="24"/>
                <w:lang w:val="en-US" w:eastAsia="zh-CN"/>
                <w14:textFill>
                  <w14:solidFill>
                    <w14:schemeClr w14:val="tx1"/>
                  </w14:solidFill>
                </w14:textFill>
              </w:rPr>
              <w:t>八</w:t>
            </w:r>
            <w:r>
              <w:rPr>
                <w:color w:val="000000" w:themeColor="text1"/>
                <w:kern w:val="0"/>
                <w:sz w:val="24"/>
                <w14:textFill>
                  <w14:solidFill>
                    <w14:schemeClr w14:val="tx1"/>
                  </w14:solidFill>
                </w14:textFill>
              </w:rPr>
              <w:t>个百分之百”、开复工验收、“三员”管理等制度。推动扬尘污染防治守信联合激励、失信联合惩戒信用体系建设，对出现扬尘污染问题的建设、施工、监理等单位，采取挂牌督办、媒体曝光、列入“黑名单”等综合措施，并依法严厉处罚。推进建筑工地精细化管理，加大科技控尘力度。严格落实城市建成区和县城内“两个禁止”（禁止现场搅拌混凝土和禁止现场配置砂浆）要求，加快“两个禁止”综合信息监管平台建设，实施动态监管；对全市商砼站开展星级评定，推动商砼站绿色达标生产。</w:t>
            </w:r>
          </w:p>
          <w:p w14:paraId="60C97C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施工期大气环境污染防治措施详见下表。</w:t>
            </w:r>
          </w:p>
          <w:p w14:paraId="621C9A48">
            <w:pPr>
              <w:pStyle w:val="7"/>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cs="Times New Roman"/>
                <w:color w:val="000000" w:themeColor="text1"/>
                <w:spacing w:val="4"/>
                <w:sz w:val="24"/>
                <w:szCs w:val="24"/>
                <w:lang w:val="en-US" w:eastAsia="zh-CN"/>
                <w14:textFill>
                  <w14:solidFill>
                    <w14:schemeClr w14:val="tx1"/>
                  </w14:solidFill>
                </w14:textFill>
              </w:rPr>
            </w:pPr>
            <w:r>
              <w:rPr>
                <w:rFonts w:hint="eastAsia" w:cs="Times New Roman"/>
                <w:color w:val="000000" w:themeColor="text1"/>
                <w:spacing w:val="4"/>
                <w:sz w:val="24"/>
                <w:szCs w:val="24"/>
                <w:lang w:val="en-US" w:eastAsia="zh-CN"/>
                <w14:textFill>
                  <w14:solidFill>
                    <w14:schemeClr w14:val="tx1"/>
                  </w14:solidFill>
                </w14:textFill>
              </w:rPr>
              <w:t xml:space="preserve">表27  </w:t>
            </w:r>
            <w:r>
              <w:rPr>
                <w:rFonts w:hint="default" w:cs="Times New Roman"/>
                <w:color w:val="000000" w:themeColor="text1"/>
                <w:spacing w:val="4"/>
                <w:sz w:val="24"/>
                <w:szCs w:val="24"/>
                <w:lang w:val="en-US" w:eastAsia="zh-CN"/>
                <w14:textFill>
                  <w14:solidFill>
                    <w14:schemeClr w14:val="tx1"/>
                  </w14:solidFill>
                </w14:textFill>
              </w:rPr>
              <w:t>施工期大气环境污染防治措施一览表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87"/>
              <w:gridCol w:w="1569"/>
              <w:gridCol w:w="4464"/>
              <w:gridCol w:w="1352"/>
            </w:tblGrid>
            <w:tr w14:paraId="1583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68" w:type="pct"/>
                  <w:noWrap w:val="0"/>
                  <w:vAlign w:val="center"/>
                </w:tcPr>
                <w:p w14:paraId="07F0C934">
                  <w:pPr>
                    <w:adjustRightInd w:val="0"/>
                    <w:snapToGrid w:val="0"/>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序号</w:t>
                  </w:r>
                </w:p>
              </w:tc>
              <w:tc>
                <w:tcPr>
                  <w:tcW w:w="984" w:type="pct"/>
                  <w:noWrap w:val="0"/>
                  <w:vAlign w:val="center"/>
                </w:tcPr>
                <w:p w14:paraId="4DC1E0A9">
                  <w:pPr>
                    <w:adjustRightInd w:val="0"/>
                    <w:snapToGrid w:val="0"/>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主要环境影响</w:t>
                  </w:r>
                </w:p>
              </w:tc>
              <w:tc>
                <w:tcPr>
                  <w:tcW w:w="2799" w:type="pct"/>
                  <w:noWrap w:val="0"/>
                  <w:vAlign w:val="center"/>
                </w:tcPr>
                <w:p w14:paraId="40C043A8">
                  <w:pPr>
                    <w:adjustRightInd w:val="0"/>
                    <w:snapToGrid w:val="0"/>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防治措施</w:t>
                  </w:r>
                </w:p>
              </w:tc>
              <w:tc>
                <w:tcPr>
                  <w:tcW w:w="847" w:type="pct"/>
                  <w:noWrap w:val="0"/>
                  <w:vAlign w:val="center"/>
                </w:tcPr>
                <w:p w14:paraId="6C05C0C6">
                  <w:pPr>
                    <w:adjustRightInd w:val="0"/>
                    <w:snapToGrid w:val="0"/>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效益</w:t>
                  </w:r>
                </w:p>
              </w:tc>
            </w:tr>
            <w:tr w14:paraId="69AC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68" w:type="pct"/>
                  <w:noWrap w:val="0"/>
                  <w:vAlign w:val="center"/>
                </w:tcPr>
                <w:p w14:paraId="00862EF4">
                  <w:pPr>
                    <w:adjustRightInd w:val="0"/>
                    <w:snapToGrid w:val="0"/>
                    <w:spacing w:line="320" w:lineRule="exact"/>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1</w:t>
                  </w:r>
                </w:p>
              </w:tc>
              <w:tc>
                <w:tcPr>
                  <w:tcW w:w="984" w:type="pct"/>
                  <w:noWrap w:val="0"/>
                  <w:vAlign w:val="center"/>
                </w:tcPr>
                <w:p w14:paraId="093C123F">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运输车辆行驶产生扬尘</w:t>
                  </w:r>
                </w:p>
              </w:tc>
              <w:tc>
                <w:tcPr>
                  <w:tcW w:w="2799" w:type="pct"/>
                  <w:noWrap w:val="0"/>
                  <w:vAlign w:val="center"/>
                </w:tcPr>
                <w:p w14:paraId="45F95379">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道路定时洒水抑尘；施工场地出入口设车辆冲洗系统及沉淀池。</w:t>
                  </w:r>
                </w:p>
              </w:tc>
              <w:tc>
                <w:tcPr>
                  <w:tcW w:w="847" w:type="pct"/>
                  <w:noWrap w:val="0"/>
                  <w:vAlign w:val="center"/>
                </w:tcPr>
                <w:p w14:paraId="3B984EE6">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减少汽车运输扬尘</w:t>
                  </w:r>
                </w:p>
              </w:tc>
            </w:tr>
            <w:tr w14:paraId="58C8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68" w:type="pct"/>
                  <w:noWrap w:val="0"/>
                  <w:vAlign w:val="center"/>
                </w:tcPr>
                <w:p w14:paraId="16BFDFEF">
                  <w:pPr>
                    <w:adjustRightInd w:val="0"/>
                    <w:snapToGrid w:val="0"/>
                    <w:spacing w:line="320" w:lineRule="exact"/>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2</w:t>
                  </w:r>
                </w:p>
              </w:tc>
              <w:tc>
                <w:tcPr>
                  <w:tcW w:w="984" w:type="pct"/>
                  <w:noWrap w:val="0"/>
                  <w:vAlign w:val="center"/>
                </w:tcPr>
                <w:p w14:paraId="5EBFED33">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临时物料堆场扬尘</w:t>
                  </w:r>
                </w:p>
              </w:tc>
              <w:tc>
                <w:tcPr>
                  <w:tcW w:w="2799" w:type="pct"/>
                  <w:noWrap w:val="0"/>
                  <w:vAlign w:val="center"/>
                </w:tcPr>
                <w:p w14:paraId="7E9A3AE6">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设置简易材料棚贮存各类建筑材料，对可能散发粉尘的物料堆场采取覆盖或洒水等防护措施。</w:t>
                  </w:r>
                </w:p>
              </w:tc>
              <w:tc>
                <w:tcPr>
                  <w:tcW w:w="847" w:type="pct"/>
                  <w:noWrap w:val="0"/>
                  <w:vAlign w:val="center"/>
                </w:tcPr>
                <w:p w14:paraId="6EDFB55D">
                  <w:pPr>
                    <w:adjustRightInd w:val="0"/>
                    <w:snapToGrid w:val="0"/>
                    <w:spacing w:line="320" w:lineRule="exact"/>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减少扬尘</w:t>
                  </w:r>
                </w:p>
              </w:tc>
            </w:tr>
            <w:tr w14:paraId="2FB3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68" w:type="pct"/>
                  <w:noWrap w:val="0"/>
                  <w:vAlign w:val="center"/>
                </w:tcPr>
                <w:p w14:paraId="1C72DC10">
                  <w:pPr>
                    <w:adjustRightInd w:val="0"/>
                    <w:snapToGrid w:val="0"/>
                    <w:spacing w:line="320" w:lineRule="exact"/>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3</w:t>
                  </w:r>
                </w:p>
              </w:tc>
              <w:tc>
                <w:tcPr>
                  <w:tcW w:w="984" w:type="pct"/>
                  <w:noWrap w:val="0"/>
                  <w:vAlign w:val="center"/>
                </w:tcPr>
                <w:p w14:paraId="332A2759">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运输过程中撒落砂石、土等材料，产生二次扬尘</w:t>
                  </w:r>
                </w:p>
              </w:tc>
              <w:tc>
                <w:tcPr>
                  <w:tcW w:w="2799" w:type="pct"/>
                  <w:noWrap w:val="0"/>
                  <w:vAlign w:val="center"/>
                </w:tcPr>
                <w:p w14:paraId="27F0B185">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谨防运输车辆超载超高，采取遮盖、密闭措施，减少其沿途抛洒，并及时清扫散落在路面的泥土和灰尘，冲洗轮胎，减少运输过程中的扬尘。</w:t>
                  </w:r>
                </w:p>
              </w:tc>
              <w:tc>
                <w:tcPr>
                  <w:tcW w:w="847" w:type="pct"/>
                  <w:noWrap w:val="0"/>
                  <w:vAlign w:val="center"/>
                </w:tcPr>
                <w:p w14:paraId="67340F3E">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减少二次污染</w:t>
                  </w:r>
                </w:p>
              </w:tc>
            </w:tr>
            <w:tr w14:paraId="2624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68" w:type="pct"/>
                  <w:noWrap w:val="0"/>
                  <w:vAlign w:val="center"/>
                </w:tcPr>
                <w:p w14:paraId="501D586B">
                  <w:pPr>
                    <w:adjustRightInd w:val="0"/>
                    <w:snapToGrid w:val="0"/>
                    <w:spacing w:line="320" w:lineRule="exact"/>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4</w:t>
                  </w:r>
                </w:p>
              </w:tc>
              <w:tc>
                <w:tcPr>
                  <w:tcW w:w="984" w:type="pct"/>
                  <w:noWrap w:val="0"/>
                  <w:vAlign w:val="center"/>
                </w:tcPr>
                <w:p w14:paraId="0B22ACB5">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建筑材料装卸扬尘</w:t>
                  </w:r>
                </w:p>
              </w:tc>
              <w:tc>
                <w:tcPr>
                  <w:tcW w:w="2799" w:type="pct"/>
                  <w:noWrap w:val="0"/>
                  <w:vAlign w:val="center"/>
                </w:tcPr>
                <w:p w14:paraId="52A4420D">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应避免野蛮装卸，并尽量降低高度，以减少粉尘的散发。</w:t>
                  </w:r>
                </w:p>
              </w:tc>
              <w:tc>
                <w:tcPr>
                  <w:tcW w:w="847" w:type="pct"/>
                  <w:noWrap w:val="0"/>
                  <w:vAlign w:val="center"/>
                </w:tcPr>
                <w:p w14:paraId="176522E3">
                  <w:pPr>
                    <w:adjustRightInd w:val="0"/>
                    <w:snapToGrid w:val="0"/>
                    <w:spacing w:line="320" w:lineRule="exact"/>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减少扬尘</w:t>
                  </w:r>
                </w:p>
              </w:tc>
            </w:tr>
            <w:tr w14:paraId="3A09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68" w:type="pct"/>
                  <w:noWrap w:val="0"/>
                  <w:vAlign w:val="center"/>
                </w:tcPr>
                <w:p w14:paraId="1BD18CC2">
                  <w:pPr>
                    <w:adjustRightInd w:val="0"/>
                    <w:snapToGrid w:val="0"/>
                    <w:spacing w:line="320" w:lineRule="exact"/>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5</w:t>
                  </w:r>
                </w:p>
              </w:tc>
              <w:tc>
                <w:tcPr>
                  <w:tcW w:w="984" w:type="pct"/>
                  <w:noWrap w:val="0"/>
                  <w:vAlign w:val="center"/>
                </w:tcPr>
                <w:p w14:paraId="4739EA71">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施工机械和运输车辆所排放的废气影响</w:t>
                  </w:r>
                </w:p>
              </w:tc>
              <w:tc>
                <w:tcPr>
                  <w:tcW w:w="2799" w:type="pct"/>
                  <w:noWrap w:val="0"/>
                  <w:vAlign w:val="center"/>
                </w:tcPr>
                <w:p w14:paraId="5BC136E3">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施工现场运输车辆应控制车速，车辆和施工机械做好维护保养，使用无铅汽油或柴油，禁止出现冒黑烟现象。</w:t>
                  </w:r>
                </w:p>
              </w:tc>
              <w:tc>
                <w:tcPr>
                  <w:tcW w:w="847" w:type="pct"/>
                  <w:noWrap w:val="0"/>
                  <w:vAlign w:val="center"/>
                </w:tcPr>
                <w:p w14:paraId="1B952CEC">
                  <w:pPr>
                    <w:adjustRightInd w:val="0"/>
                    <w:snapToGrid w:val="0"/>
                    <w:spacing w:line="320" w:lineRule="exact"/>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减少废气排放</w:t>
                  </w:r>
                </w:p>
              </w:tc>
            </w:tr>
            <w:tr w14:paraId="58A7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68" w:type="pct"/>
                  <w:noWrap w:val="0"/>
                  <w:vAlign w:val="center"/>
                </w:tcPr>
                <w:p w14:paraId="3550F079">
                  <w:pPr>
                    <w:adjustRightInd w:val="0"/>
                    <w:snapToGrid w:val="0"/>
                    <w:spacing w:line="320" w:lineRule="exact"/>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6</w:t>
                  </w:r>
                </w:p>
              </w:tc>
              <w:tc>
                <w:tcPr>
                  <w:tcW w:w="984" w:type="pct"/>
                  <w:noWrap w:val="0"/>
                  <w:vAlign w:val="center"/>
                </w:tcPr>
                <w:p w14:paraId="511A328B">
                  <w:pPr>
                    <w:adjustRightInd w:val="0"/>
                    <w:snapToGrid w:val="0"/>
                    <w:spacing w:line="320" w:lineRule="exact"/>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其它</w:t>
                  </w:r>
                </w:p>
              </w:tc>
              <w:tc>
                <w:tcPr>
                  <w:tcW w:w="2799" w:type="pct"/>
                  <w:noWrap w:val="0"/>
                  <w:vAlign w:val="center"/>
                </w:tcPr>
                <w:p w14:paraId="232C52B1">
                  <w:pPr>
                    <w:adjustRightInd w:val="0"/>
                    <w:snapToGrid w:val="0"/>
                    <w:spacing w:line="320" w:lineRule="exact"/>
                    <w:rPr>
                      <w:b w:val="0"/>
                      <w:bCs w:val="0"/>
                      <w:color w:val="000000" w:themeColor="text1"/>
                      <w:kern w:val="0"/>
                      <w:szCs w:val="21"/>
                      <w14:textFill>
                        <w14:solidFill>
                          <w14:schemeClr w14:val="tx1"/>
                        </w14:solidFill>
                      </w14:textFill>
                    </w:rPr>
                  </w:pPr>
                  <w:r>
                    <w:rPr>
                      <w:rFonts w:hint="eastAsia" w:ascii="宋体" w:hAnsi="宋体" w:cs="宋体"/>
                      <w:b w:val="0"/>
                      <w:bCs w:val="0"/>
                      <w:color w:val="000000" w:themeColor="text1"/>
                      <w:kern w:val="0"/>
                      <w:szCs w:val="21"/>
                      <w14:textFill>
                        <w14:solidFill>
                          <w14:schemeClr w14:val="tx1"/>
                        </w14:solidFill>
                      </w14:textFill>
                    </w:rPr>
                    <w:t>①</w:t>
                  </w:r>
                  <w:r>
                    <w:rPr>
                      <w:b w:val="0"/>
                      <w:bCs w:val="0"/>
                      <w:color w:val="000000" w:themeColor="text1"/>
                      <w:kern w:val="0"/>
                      <w:szCs w:val="21"/>
                      <w14:textFill>
                        <w14:solidFill>
                          <w14:schemeClr w14:val="tx1"/>
                        </w14:solidFill>
                      </w14:textFill>
                    </w:rPr>
                    <w:t>使用商品混凝土，禁止现场搅拌混凝土和砂浆。</w:t>
                  </w:r>
                </w:p>
                <w:p w14:paraId="723619CC">
                  <w:pPr>
                    <w:adjustRightInd w:val="0"/>
                    <w:snapToGrid w:val="0"/>
                    <w:spacing w:line="320" w:lineRule="exact"/>
                    <w:rPr>
                      <w:b w:val="0"/>
                      <w:bCs w:val="0"/>
                      <w:color w:val="000000" w:themeColor="text1"/>
                      <w:kern w:val="0"/>
                      <w:szCs w:val="21"/>
                      <w14:textFill>
                        <w14:solidFill>
                          <w14:schemeClr w14:val="tx1"/>
                        </w14:solidFill>
                      </w14:textFill>
                    </w:rPr>
                  </w:pPr>
                  <w:r>
                    <w:rPr>
                      <w:rFonts w:hint="eastAsia" w:ascii="宋体" w:hAnsi="宋体" w:cs="宋体"/>
                      <w:b w:val="0"/>
                      <w:bCs w:val="0"/>
                      <w:color w:val="000000" w:themeColor="text1"/>
                      <w:kern w:val="0"/>
                      <w:szCs w:val="21"/>
                      <w14:textFill>
                        <w14:solidFill>
                          <w14:schemeClr w14:val="tx1"/>
                        </w14:solidFill>
                      </w14:textFill>
                    </w:rPr>
                    <w:t>②</w:t>
                  </w:r>
                  <w:r>
                    <w:rPr>
                      <w:b w:val="0"/>
                      <w:bCs w:val="0"/>
                      <w:color w:val="000000" w:themeColor="text1"/>
                      <w:kern w:val="0"/>
                      <w:szCs w:val="21"/>
                      <w14:textFill>
                        <w14:solidFill>
                          <w14:schemeClr w14:val="tx1"/>
                        </w14:solidFill>
                      </w14:textFill>
                    </w:rPr>
                    <w:t>在施工场地应采取围挡、遮盖等防尘措施，所有在建主体工程都要使用防尘网。</w:t>
                  </w:r>
                </w:p>
                <w:p w14:paraId="34272705">
                  <w:pPr>
                    <w:adjustRightInd w:val="0"/>
                    <w:snapToGrid w:val="0"/>
                    <w:spacing w:line="320" w:lineRule="exact"/>
                    <w:rPr>
                      <w:b w:val="0"/>
                      <w:bCs w:val="0"/>
                      <w:color w:val="000000" w:themeColor="text1"/>
                      <w:kern w:val="0"/>
                      <w:szCs w:val="21"/>
                      <w14:textFill>
                        <w14:solidFill>
                          <w14:schemeClr w14:val="tx1"/>
                        </w14:solidFill>
                      </w14:textFill>
                    </w:rPr>
                  </w:pPr>
                  <w:r>
                    <w:rPr>
                      <w:rFonts w:hint="eastAsia" w:ascii="宋体" w:hAnsi="宋体" w:cs="宋体"/>
                      <w:b w:val="0"/>
                      <w:bCs w:val="0"/>
                      <w:color w:val="000000" w:themeColor="text1"/>
                      <w:kern w:val="0"/>
                      <w:szCs w:val="21"/>
                      <w14:textFill>
                        <w14:solidFill>
                          <w14:schemeClr w14:val="tx1"/>
                        </w14:solidFill>
                      </w14:textFill>
                    </w:rPr>
                    <w:t>③</w:t>
                  </w:r>
                  <w:r>
                    <w:rPr>
                      <w:b w:val="0"/>
                      <w:bCs w:val="0"/>
                      <w:color w:val="000000" w:themeColor="text1"/>
                      <w:kern w:val="0"/>
                      <w:szCs w:val="21"/>
                      <w14:textFill>
                        <w14:solidFill>
                          <w14:schemeClr w14:val="tx1"/>
                        </w14:solidFill>
                      </w14:textFill>
                    </w:rPr>
                    <w:t>对建筑工地现场地面进行硬化、定期洒水。</w:t>
                  </w:r>
                </w:p>
                <w:p w14:paraId="079CE6AF">
                  <w:pPr>
                    <w:adjustRightInd w:val="0"/>
                    <w:snapToGrid w:val="0"/>
                    <w:spacing w:line="320" w:lineRule="exact"/>
                    <w:rPr>
                      <w:b w:val="0"/>
                      <w:bCs w:val="0"/>
                      <w:color w:val="000000" w:themeColor="text1"/>
                      <w:kern w:val="0"/>
                      <w:szCs w:val="21"/>
                      <w14:textFill>
                        <w14:solidFill>
                          <w14:schemeClr w14:val="tx1"/>
                        </w14:solidFill>
                      </w14:textFill>
                    </w:rPr>
                  </w:pPr>
                  <w:r>
                    <w:rPr>
                      <w:rFonts w:hint="eastAsia" w:ascii="宋体" w:hAnsi="宋体" w:cs="宋体"/>
                      <w:b w:val="0"/>
                      <w:bCs w:val="0"/>
                      <w:color w:val="000000" w:themeColor="text1"/>
                      <w:kern w:val="0"/>
                      <w:szCs w:val="21"/>
                      <w14:textFill>
                        <w14:solidFill>
                          <w14:schemeClr w14:val="tx1"/>
                        </w14:solidFill>
                      </w14:textFill>
                    </w:rPr>
                    <w:t>④</w:t>
                  </w:r>
                  <w:r>
                    <w:rPr>
                      <w:b w:val="0"/>
                      <w:bCs w:val="0"/>
                      <w:color w:val="000000" w:themeColor="text1"/>
                      <w:kern w:val="0"/>
                      <w:szCs w:val="21"/>
                      <w14:textFill>
                        <w14:solidFill>
                          <w14:schemeClr w14:val="tx1"/>
                        </w14:solidFill>
                      </w14:textFill>
                    </w:rPr>
                    <w:t>所有散装物料运输必须密闭封盖，并划定运输专用路线。</w:t>
                  </w:r>
                </w:p>
              </w:tc>
              <w:tc>
                <w:tcPr>
                  <w:tcW w:w="847" w:type="pct"/>
                  <w:noWrap w:val="0"/>
                  <w:vAlign w:val="center"/>
                </w:tcPr>
                <w:p w14:paraId="60106790">
                  <w:pPr>
                    <w:adjustRightInd w:val="0"/>
                    <w:snapToGrid w:val="0"/>
                    <w:spacing w:line="320" w:lineRule="exact"/>
                    <w:jc w:val="center"/>
                    <w:rPr>
                      <w:b w:val="0"/>
                      <w:bCs w:val="0"/>
                      <w:color w:val="000000" w:themeColor="text1"/>
                      <w:kern w:val="0"/>
                      <w:szCs w:val="21"/>
                      <w14:textFill>
                        <w14:solidFill>
                          <w14:schemeClr w14:val="tx1"/>
                        </w14:solidFill>
                      </w14:textFill>
                    </w:rPr>
                  </w:pPr>
                  <w:r>
                    <w:rPr>
                      <w:b w:val="0"/>
                      <w:bCs w:val="0"/>
                      <w:color w:val="000000" w:themeColor="text1"/>
                      <w:kern w:val="0"/>
                      <w:szCs w:val="21"/>
                      <w14:textFill>
                        <w14:solidFill>
                          <w14:schemeClr w14:val="tx1"/>
                        </w14:solidFill>
                      </w14:textFill>
                    </w:rPr>
                    <w:t>减少扬尘</w:t>
                  </w:r>
                </w:p>
              </w:tc>
            </w:tr>
          </w:tbl>
          <w:p w14:paraId="321082A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b w:val="0"/>
                <w:bCs w:val="0"/>
                <w:color w:val="000000" w:themeColor="text1"/>
                <w:kern w:val="0"/>
                <w:sz w:val="24"/>
                <w14:textFill>
                  <w14:solidFill>
                    <w14:schemeClr w14:val="tx1"/>
                  </w14:solidFill>
                </w14:textFill>
              </w:rPr>
            </w:pPr>
          </w:p>
          <w:p w14:paraId="48026A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经采取上述措施后，预计本工程施工期废气对环境空气质量影响较小。</w:t>
            </w:r>
          </w:p>
          <w:p w14:paraId="23172E2D">
            <w:pPr>
              <w:keepNext w:val="0"/>
              <w:keepLines w:val="0"/>
              <w:pageBreakBefore w:val="0"/>
              <w:widowControl w:val="0"/>
              <w:kinsoku/>
              <w:wordWrap/>
              <w:overflowPunct/>
              <w:topLinePunct w:val="0"/>
              <w:autoSpaceDE/>
              <w:autoSpaceDN/>
              <w:bidi w:val="0"/>
              <w:adjustRightInd w:val="0"/>
              <w:snapToGrid w:val="0"/>
              <w:spacing w:line="360" w:lineRule="auto"/>
              <w:textAlignment w:val="auto"/>
              <w:rPr>
                <w:b w:val="0"/>
                <w:bCs w:val="0"/>
                <w:color w:val="000000" w:themeColor="text1"/>
                <w:kern w:val="0"/>
                <w:sz w:val="24"/>
                <w14:textFill>
                  <w14:solidFill>
                    <w14:schemeClr w14:val="tx1"/>
                  </w14:solidFill>
                </w14:textFill>
              </w:rPr>
            </w:pPr>
            <w:r>
              <w:rPr>
                <w:rFonts w:hint="eastAsia"/>
                <w:b w:val="0"/>
                <w:bCs w:val="0"/>
                <w:color w:val="000000" w:themeColor="text1"/>
                <w:kern w:val="0"/>
                <w:sz w:val="24"/>
                <w:lang w:val="en-US" w:eastAsia="zh-CN"/>
                <w14:textFill>
                  <w14:solidFill>
                    <w14:schemeClr w14:val="tx1"/>
                  </w14:solidFill>
                </w14:textFill>
              </w:rPr>
              <w:t>二、</w:t>
            </w:r>
            <w:r>
              <w:rPr>
                <w:b w:val="0"/>
                <w:bCs w:val="0"/>
                <w:color w:val="000000" w:themeColor="text1"/>
                <w:kern w:val="0"/>
                <w:sz w:val="24"/>
                <w14:textFill>
                  <w14:solidFill>
                    <w14:schemeClr w14:val="tx1"/>
                  </w14:solidFill>
                </w14:textFill>
              </w:rPr>
              <w:t>施工期废水污染防治措施</w:t>
            </w:r>
          </w:p>
          <w:p w14:paraId="7EAD9F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施工单位在进行设备及车辆冲洗维修时应固定地点，不允许将冲洗水随地排放，可采取隔油、沉淀处理，达到排放标准后回用于施工洒水降尘、清洗运输车辆轮胎等，提倡节约用水。</w:t>
            </w:r>
          </w:p>
          <w:p w14:paraId="1A2A71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施工时产生的泥浆水及冲孔钻孔桩产生的泥浆未经处理不得随意排放。在施工场地应设置临时沉淀池，将含泥雨水、泥浆水预处理后回用于施工场地洒水降尘、清洗运输车辆等。</w:t>
            </w:r>
          </w:p>
          <w:p w14:paraId="6D9561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在施工场地建设临时蓄水池，将开挖基础产生的地下排水收集储存，并回用于施工场地裸地和土方的洒水扬尘。</w:t>
            </w:r>
          </w:p>
          <w:p w14:paraId="3AA87C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在施工现场设置临时导流沟，将暴雨径流引至雨水管网排放，避免雨水横流现象。</w:t>
            </w:r>
          </w:p>
          <w:p w14:paraId="11ED2E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应采取先进的施工方法减少废水排放，加强管理杜绝施工机械在运行、清洗过程中油料的跑、冒、滴、漏。</w:t>
            </w:r>
          </w:p>
          <w:p w14:paraId="07755B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沉淀池产生的废渣与建筑垃圾一起运往指定的建筑垃圾厂进行填埋处理。临时沉淀池在施工结束后，按工程需要填平作为厂区设施用地或覆土绿化。</w:t>
            </w:r>
          </w:p>
          <w:p w14:paraId="46B30D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由于排水量小，工程施工时不设集中的排水设施，项目施工人员均不在施工现场食宿，施工区生活污水主要为生活冲洗水，经收集池收集后用于路面喷洒，不会形成径流进入地表河流。</w:t>
            </w:r>
          </w:p>
          <w:p w14:paraId="096688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经采取上述措施后，预计本工程施工期废水不会对地表水造成污染影响。</w:t>
            </w:r>
          </w:p>
          <w:p w14:paraId="65A09092">
            <w:pPr>
              <w:keepNext w:val="0"/>
              <w:keepLines w:val="0"/>
              <w:pageBreakBefore w:val="0"/>
              <w:widowControl w:val="0"/>
              <w:kinsoku/>
              <w:wordWrap/>
              <w:overflowPunct/>
              <w:topLinePunct w:val="0"/>
              <w:autoSpaceDE/>
              <w:autoSpaceDN/>
              <w:bidi w:val="0"/>
              <w:adjustRightInd w:val="0"/>
              <w:snapToGrid w:val="0"/>
              <w:spacing w:line="360" w:lineRule="auto"/>
              <w:textAlignment w:val="auto"/>
              <w:rPr>
                <w:b w:val="0"/>
                <w:bCs w:val="0"/>
                <w:color w:val="000000" w:themeColor="text1"/>
                <w:kern w:val="0"/>
                <w:sz w:val="24"/>
                <w14:textFill>
                  <w14:solidFill>
                    <w14:schemeClr w14:val="tx1"/>
                  </w14:solidFill>
                </w14:textFill>
              </w:rPr>
            </w:pPr>
            <w:r>
              <w:rPr>
                <w:rFonts w:hint="eastAsia"/>
                <w:b w:val="0"/>
                <w:bCs w:val="0"/>
                <w:color w:val="000000" w:themeColor="text1"/>
                <w:kern w:val="0"/>
                <w:sz w:val="24"/>
                <w:lang w:val="en-US" w:eastAsia="zh-CN"/>
                <w14:textFill>
                  <w14:solidFill>
                    <w14:schemeClr w14:val="tx1"/>
                  </w14:solidFill>
                </w14:textFill>
              </w:rPr>
              <w:t>三、</w:t>
            </w:r>
            <w:r>
              <w:rPr>
                <w:b w:val="0"/>
                <w:bCs w:val="0"/>
                <w:color w:val="000000" w:themeColor="text1"/>
                <w:kern w:val="0"/>
                <w:sz w:val="24"/>
                <w14:textFill>
                  <w14:solidFill>
                    <w14:schemeClr w14:val="tx1"/>
                  </w14:solidFill>
                </w14:textFill>
              </w:rPr>
              <w:t>施工期噪声影响防治措施</w:t>
            </w:r>
          </w:p>
          <w:p w14:paraId="55D509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本工程施工期中主要噪声污染源为施工机械和运输车辆，施工机械的单体声级一般均在80dB（A）以上，且是间歇或阵发性的，并具有流动性。因此环评建议施工期应采取以下防噪措施：</w:t>
            </w:r>
          </w:p>
          <w:p w14:paraId="2FE020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fldChar w:fldCharType="begin"/>
            </w:r>
            <w:r>
              <w:rPr>
                <w:b w:val="0"/>
                <w:bCs w:val="0"/>
                <w:color w:val="000000" w:themeColor="text1"/>
                <w:kern w:val="0"/>
                <w:sz w:val="24"/>
                <w14:textFill>
                  <w14:solidFill>
                    <w14:schemeClr w14:val="tx1"/>
                  </w14:solidFill>
                </w14:textFill>
              </w:rPr>
              <w:instrText xml:space="preserve"> = 1 \* GB2 </w:instrText>
            </w:r>
            <w:r>
              <w:rPr>
                <w:b w:val="0"/>
                <w:bCs w:val="0"/>
                <w:color w:val="000000" w:themeColor="text1"/>
                <w:kern w:val="0"/>
                <w:sz w:val="24"/>
                <w14:textFill>
                  <w14:solidFill>
                    <w14:schemeClr w14:val="tx1"/>
                  </w14:solidFill>
                </w14:textFill>
              </w:rPr>
              <w:fldChar w:fldCharType="separate"/>
            </w:r>
            <w:r>
              <w:rPr>
                <w:rFonts w:hint="eastAsia" w:ascii="宋体" w:hAnsi="宋体" w:cs="宋体"/>
                <w:b w:val="0"/>
                <w:bCs w:val="0"/>
                <w:color w:val="000000" w:themeColor="text1"/>
                <w:kern w:val="0"/>
                <w:sz w:val="24"/>
                <w14:textFill>
                  <w14:solidFill>
                    <w14:schemeClr w14:val="tx1"/>
                  </w14:solidFill>
                </w14:textFill>
              </w:rPr>
              <w:t>⑴</w:t>
            </w:r>
            <w:r>
              <w:rPr>
                <w:b w:val="0"/>
                <w:bCs w:val="0"/>
                <w:color w:val="000000" w:themeColor="text1"/>
                <w:kern w:val="0"/>
                <w:sz w:val="24"/>
                <w14:textFill>
                  <w14:solidFill>
                    <w14:schemeClr w14:val="tx1"/>
                  </w14:solidFill>
                </w14:textFill>
              </w:rPr>
              <w:fldChar w:fldCharType="end"/>
            </w:r>
            <w:r>
              <w:rPr>
                <w:b w:val="0"/>
                <w:bCs w:val="0"/>
                <w:color w:val="000000" w:themeColor="text1"/>
                <w:kern w:val="0"/>
                <w:sz w:val="24"/>
                <w14:textFill>
                  <w14:solidFill>
                    <w14:schemeClr w14:val="tx1"/>
                  </w14:solidFill>
                </w14:textFill>
              </w:rPr>
              <w:t xml:space="preserve"> 尽量选用低噪声施工机械设备；</w:t>
            </w:r>
          </w:p>
          <w:p w14:paraId="08862E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rFonts w:hint="eastAsia" w:ascii="宋体" w:hAnsi="宋体" w:cs="宋体"/>
                <w:b w:val="0"/>
                <w:bCs w:val="0"/>
                <w:color w:val="000000" w:themeColor="text1"/>
                <w:kern w:val="0"/>
                <w:sz w:val="24"/>
                <w14:textFill>
                  <w14:solidFill>
                    <w14:schemeClr w14:val="tx1"/>
                  </w14:solidFill>
                </w14:textFill>
              </w:rPr>
              <w:t>⑵</w:t>
            </w:r>
            <w:r>
              <w:rPr>
                <w:b w:val="0"/>
                <w:bCs w:val="0"/>
                <w:color w:val="000000" w:themeColor="text1"/>
                <w:kern w:val="0"/>
                <w:sz w:val="24"/>
                <w14:textFill>
                  <w14:solidFill>
                    <w14:schemeClr w14:val="tx1"/>
                  </w14:solidFill>
                </w14:textFill>
              </w:rPr>
              <w:t xml:space="preserve"> 打桩机等高噪声机械在午间休息时间（12:00~14:00）内禁止施工；</w:t>
            </w:r>
          </w:p>
          <w:p w14:paraId="517F7F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fldChar w:fldCharType="begin"/>
            </w:r>
            <w:r>
              <w:rPr>
                <w:b w:val="0"/>
                <w:bCs w:val="0"/>
                <w:color w:val="000000" w:themeColor="text1"/>
                <w:kern w:val="0"/>
                <w:sz w:val="24"/>
                <w14:textFill>
                  <w14:solidFill>
                    <w14:schemeClr w14:val="tx1"/>
                  </w14:solidFill>
                </w14:textFill>
              </w:rPr>
              <w:instrText xml:space="preserve"> = 3 \* GB2 </w:instrText>
            </w:r>
            <w:r>
              <w:rPr>
                <w:b w:val="0"/>
                <w:bCs w:val="0"/>
                <w:color w:val="000000" w:themeColor="text1"/>
                <w:kern w:val="0"/>
                <w:sz w:val="24"/>
                <w14:textFill>
                  <w14:solidFill>
                    <w14:schemeClr w14:val="tx1"/>
                  </w14:solidFill>
                </w14:textFill>
              </w:rPr>
              <w:fldChar w:fldCharType="separate"/>
            </w:r>
            <w:r>
              <w:rPr>
                <w:rFonts w:hint="eastAsia" w:ascii="宋体" w:hAnsi="宋体" w:cs="宋体"/>
                <w:b w:val="0"/>
                <w:bCs w:val="0"/>
                <w:color w:val="000000" w:themeColor="text1"/>
                <w:kern w:val="0"/>
                <w:sz w:val="24"/>
                <w14:textFill>
                  <w14:solidFill>
                    <w14:schemeClr w14:val="tx1"/>
                  </w14:solidFill>
                </w14:textFill>
              </w:rPr>
              <w:t>⑶</w:t>
            </w:r>
            <w:r>
              <w:rPr>
                <w:b w:val="0"/>
                <w:bCs w:val="0"/>
                <w:color w:val="000000" w:themeColor="text1"/>
                <w:kern w:val="0"/>
                <w:sz w:val="24"/>
                <w14:textFill>
                  <w14:solidFill>
                    <w14:schemeClr w14:val="tx1"/>
                  </w14:solidFill>
                </w14:textFill>
              </w:rPr>
              <w:fldChar w:fldCharType="end"/>
            </w:r>
            <w:r>
              <w:rPr>
                <w:b w:val="0"/>
                <w:bCs w:val="0"/>
                <w:color w:val="000000" w:themeColor="text1"/>
                <w:kern w:val="0"/>
                <w:sz w:val="24"/>
                <w14:textFill>
                  <w14:solidFill>
                    <w14:schemeClr w14:val="tx1"/>
                  </w14:solidFill>
                </w14:textFill>
              </w:rPr>
              <w:t xml:space="preserve"> 运输材料的车辆进出施工现场，严禁鸣笛，装卸材料应做到轻拿轻放，并防止人为噪声影响周围安静环境。</w:t>
            </w:r>
          </w:p>
          <w:p w14:paraId="109812B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通过采取以上措施，施工期噪声对周围敏感点的影响将减小到最小，施工期对周围声环境的影响只是暂时的，随着施工期的结束，该类污染将随之消除。</w:t>
            </w:r>
          </w:p>
          <w:p w14:paraId="52400E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为进一步降低施工噪声对周围居民的影响，环评建议合理安排施工时间，严格按照《建筑施工场界环境噪声排放标准》（GB12535-2011）安排施工，夜间禁止施工；如因连续作业确需夜间施工的，应提前办理相关手续，报当地环保部门批准，并公告可能受影响的居民，以取得谅解。</w:t>
            </w:r>
          </w:p>
          <w:p w14:paraId="5FFA0EE7">
            <w:pPr>
              <w:keepNext w:val="0"/>
              <w:keepLines w:val="0"/>
              <w:pageBreakBefore w:val="0"/>
              <w:widowControl w:val="0"/>
              <w:kinsoku/>
              <w:wordWrap/>
              <w:overflowPunct/>
              <w:topLinePunct w:val="0"/>
              <w:autoSpaceDE/>
              <w:autoSpaceDN/>
              <w:bidi w:val="0"/>
              <w:adjustRightInd w:val="0"/>
              <w:snapToGrid w:val="0"/>
              <w:spacing w:line="360" w:lineRule="auto"/>
              <w:textAlignment w:val="auto"/>
              <w:rPr>
                <w:b w:val="0"/>
                <w:bCs w:val="0"/>
                <w:color w:val="000000" w:themeColor="text1"/>
                <w:kern w:val="0"/>
                <w:sz w:val="24"/>
                <w14:textFill>
                  <w14:solidFill>
                    <w14:schemeClr w14:val="tx1"/>
                  </w14:solidFill>
                </w14:textFill>
              </w:rPr>
            </w:pPr>
            <w:r>
              <w:rPr>
                <w:rFonts w:hint="eastAsia"/>
                <w:b w:val="0"/>
                <w:bCs w:val="0"/>
                <w:color w:val="000000" w:themeColor="text1"/>
                <w:kern w:val="0"/>
                <w:sz w:val="24"/>
                <w:lang w:val="en-US" w:eastAsia="zh-CN"/>
                <w14:textFill>
                  <w14:solidFill>
                    <w14:schemeClr w14:val="tx1"/>
                  </w14:solidFill>
                </w14:textFill>
              </w:rPr>
              <w:t>四、</w:t>
            </w:r>
            <w:r>
              <w:rPr>
                <w:b w:val="0"/>
                <w:bCs w:val="0"/>
                <w:color w:val="000000" w:themeColor="text1"/>
                <w:kern w:val="0"/>
                <w:sz w:val="24"/>
                <w14:textFill>
                  <w14:solidFill>
                    <w14:schemeClr w14:val="tx1"/>
                  </w14:solidFill>
                </w14:textFill>
              </w:rPr>
              <w:t>施工期固体废物防治措施</w:t>
            </w:r>
          </w:p>
          <w:p w14:paraId="3E7D1E2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施工期固体废物主要包括施工废渣土、废弃的各种建筑装饰材料及施工人员的生活垃圾。</w:t>
            </w:r>
          </w:p>
          <w:p w14:paraId="033ED3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val="0"/>
                <w:bCs w:val="0"/>
                <w:color w:val="000000" w:themeColor="text1"/>
                <w:kern w:val="0"/>
                <w:sz w:val="24"/>
                <w14:textFill>
                  <w14:solidFill>
                    <w14:schemeClr w14:val="tx1"/>
                  </w14:solidFill>
                </w14:textFill>
              </w:rPr>
            </w:pPr>
            <w:r>
              <w:rPr>
                <w:b w:val="0"/>
                <w:bCs w:val="0"/>
                <w:color w:val="000000" w:themeColor="text1"/>
                <w:kern w:val="0"/>
                <w:sz w:val="24"/>
                <w14:textFill>
                  <w14:solidFill>
                    <w14:schemeClr w14:val="tx1"/>
                  </w14:solidFill>
                </w14:textFill>
              </w:rPr>
              <w:t>建筑施工过程中将产生一定量的建筑废弃物，同时在建设施工期间需要挖土、运输弃土，运输各种建筑材料如砂石、水泥、砖瓦、木料等，工程完成后，会残留部分废弃的建筑材料，若处置不当，遇暴雨会被冲刷流失到水环境中造成水体污染。本项目建设用地地势较平坦，根据建设单位提供资料，土方石基本做到挖填平衡。建设单位应要求施工单位规范运输，不能随路撒落，不能随意倾倒和堆放建筑垃圾，施工结束后，应及时清运多余或废弃的建筑材料和建筑垃圾，送垃圾场填埋。</w:t>
            </w:r>
          </w:p>
          <w:p w14:paraId="39FBA08B">
            <w:pPr>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b w:val="0"/>
                <w:bCs w:val="0"/>
                <w:color w:val="000000" w:themeColor="text1"/>
                <w:kern w:val="0"/>
                <w:sz w:val="24"/>
                <w14:textFill>
                  <w14:solidFill>
                    <w14:schemeClr w14:val="tx1"/>
                  </w14:solidFill>
                </w14:textFill>
              </w:rPr>
              <w:t>按本项目施工人员</w:t>
            </w:r>
            <w:r>
              <w:rPr>
                <w:rFonts w:hint="eastAsia"/>
                <w:b w:val="0"/>
                <w:bCs w:val="0"/>
                <w:color w:val="000000" w:themeColor="text1"/>
                <w:kern w:val="0"/>
                <w:sz w:val="24"/>
                <w:lang w:val="en-US" w:eastAsia="zh-CN"/>
                <w14:textFill>
                  <w14:solidFill>
                    <w14:schemeClr w14:val="tx1"/>
                  </w14:solidFill>
                </w14:textFill>
              </w:rPr>
              <w:t>平均50</w:t>
            </w:r>
            <w:r>
              <w:rPr>
                <w:b w:val="0"/>
                <w:bCs w:val="0"/>
                <w:color w:val="000000" w:themeColor="text1"/>
                <w:kern w:val="0"/>
                <w:sz w:val="24"/>
                <w14:textFill>
                  <w14:solidFill>
                    <w14:schemeClr w14:val="tx1"/>
                  </w14:solidFill>
                </w14:textFill>
              </w:rPr>
              <w:t>人，每人产生生活垃圾量取0.5kg/d，预计本项目施工期为</w:t>
            </w:r>
            <w:r>
              <w:rPr>
                <w:rFonts w:hint="eastAsia"/>
                <w:b w:val="0"/>
                <w:bCs w:val="0"/>
                <w:color w:val="000000" w:themeColor="text1"/>
                <w:kern w:val="0"/>
                <w:sz w:val="24"/>
                <w:lang w:val="en-US" w:eastAsia="zh-CN"/>
                <w14:textFill>
                  <w14:solidFill>
                    <w14:schemeClr w14:val="tx1"/>
                  </w14:solidFill>
                </w14:textFill>
              </w:rPr>
              <w:t>一</w:t>
            </w:r>
            <w:r>
              <w:rPr>
                <w:b w:val="0"/>
                <w:bCs w:val="0"/>
                <w:color w:val="000000" w:themeColor="text1"/>
                <w:kern w:val="0"/>
                <w:sz w:val="24"/>
                <w14:textFill>
                  <w14:solidFill>
                    <w14:schemeClr w14:val="tx1"/>
                  </w14:solidFill>
                </w14:textFill>
              </w:rPr>
              <w:t>年，本项目施工期产生的生活垃圾总量为</w:t>
            </w:r>
            <w:r>
              <w:rPr>
                <w:rFonts w:hint="eastAsia"/>
                <w:b w:val="0"/>
                <w:bCs w:val="0"/>
                <w:color w:val="000000" w:themeColor="text1"/>
                <w:kern w:val="0"/>
                <w:sz w:val="24"/>
                <w:lang w:val="en-US" w:eastAsia="zh-CN"/>
                <w14:textFill>
                  <w14:solidFill>
                    <w14:schemeClr w14:val="tx1"/>
                  </w14:solidFill>
                </w14:textFill>
              </w:rPr>
              <w:t>9</w:t>
            </w:r>
            <w:r>
              <w:rPr>
                <w:b w:val="0"/>
                <w:bCs w:val="0"/>
                <w:color w:val="000000" w:themeColor="text1"/>
                <w:kern w:val="0"/>
                <w:sz w:val="24"/>
                <w14:textFill>
                  <w14:solidFill>
                    <w14:schemeClr w14:val="tx1"/>
                  </w14:solidFill>
                </w14:textFill>
              </w:rPr>
              <w:t>t，经收集后送垃圾填埋场处理</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p>
          <w:p w14:paraId="22B4AC09">
            <w:pPr>
              <w:keepNext w:val="0"/>
              <w:keepLines w:val="0"/>
              <w:pageBreakBefore w:val="0"/>
              <w:widowControl w:val="0"/>
              <w:kinsoku/>
              <w:wordWrap/>
              <w:overflowPunct/>
              <w:topLinePunct w:val="0"/>
              <w:autoSpaceDE/>
              <w:autoSpaceDN/>
              <w:bidi w:val="0"/>
              <w:adjustRightInd w:val="0"/>
              <w:snapToGrid w:val="0"/>
              <w:spacing w:before="0" w:line="360" w:lineRule="auto"/>
              <w:ind w:firstLine="440" w:firstLineChars="200"/>
              <w:textAlignment w:val="auto"/>
              <w:rPr>
                <w:rFonts w:hint="default" w:ascii="宋体" w:hAnsi="宋体" w:cs="宋体"/>
                <w:bCs/>
                <w:color w:val="000000" w:themeColor="text1"/>
                <w:spacing w:val="-10"/>
                <w:sz w:val="24"/>
                <w:szCs w:val="24"/>
                <w:lang w:val="en-US"/>
                <w14:textFill>
                  <w14:solidFill>
                    <w14:schemeClr w14:val="tx1"/>
                  </w14:solidFill>
                </w14:textFill>
              </w:rPr>
            </w:pPr>
          </w:p>
        </w:tc>
      </w:tr>
      <w:tr w14:paraId="19152E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73" w:hRule="atLeast"/>
          <w:jc w:val="center"/>
        </w:trPr>
        <w:tc>
          <w:tcPr>
            <w:tcW w:w="783" w:type="dxa"/>
            <w:noWrap w:val="0"/>
            <w:tcMar>
              <w:left w:w="28" w:type="dxa"/>
              <w:right w:w="28" w:type="dxa"/>
            </w:tcMar>
            <w:vAlign w:val="center"/>
          </w:tcPr>
          <w:p w14:paraId="2298825F">
            <w:pPr>
              <w:adjustRightInd w:val="0"/>
              <w:snapToGrid w:val="0"/>
              <w:jc w:val="center"/>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运营</w:t>
            </w:r>
          </w:p>
          <w:p w14:paraId="5CA1296E">
            <w:pPr>
              <w:adjustRightInd w:val="0"/>
              <w:snapToGrid w:val="0"/>
              <w:jc w:val="center"/>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期环</w:t>
            </w:r>
          </w:p>
          <w:p w14:paraId="2D4CC24A">
            <w:pPr>
              <w:adjustRightInd w:val="0"/>
              <w:snapToGrid w:val="0"/>
              <w:jc w:val="center"/>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境影</w:t>
            </w:r>
          </w:p>
          <w:p w14:paraId="5C77F1E3">
            <w:pPr>
              <w:adjustRightInd w:val="0"/>
              <w:snapToGrid w:val="0"/>
              <w:jc w:val="center"/>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响和</w:t>
            </w:r>
          </w:p>
          <w:p w14:paraId="46410399">
            <w:pPr>
              <w:adjustRightInd w:val="0"/>
              <w:snapToGrid w:val="0"/>
              <w:jc w:val="center"/>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保护</w:t>
            </w:r>
          </w:p>
          <w:p w14:paraId="63B55806">
            <w:pPr>
              <w:adjustRightInd w:val="0"/>
              <w:snapToGrid w:val="0"/>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措施</w:t>
            </w:r>
          </w:p>
        </w:tc>
        <w:tc>
          <w:tcPr>
            <w:tcW w:w="8198" w:type="dxa"/>
            <w:noWrap w:val="0"/>
            <w:vAlign w:val="center"/>
          </w:tcPr>
          <w:p w14:paraId="5CFC6765">
            <w:pPr>
              <w:keepNext w:val="0"/>
              <w:keepLines w:val="0"/>
              <w:pageBreakBefore w:val="0"/>
              <w:widowControl w:val="0"/>
              <w:shd w:val="clear"/>
              <w:kinsoku/>
              <w:wordWrap/>
              <w:overflowPunct/>
              <w:topLinePunct w:val="0"/>
              <w:autoSpaceDE/>
              <w:autoSpaceDN/>
              <w:bidi w:val="0"/>
              <w:adjustRightInd w:val="0"/>
              <w:snapToGrid w:val="0"/>
              <w:spacing w:before="157" w:beforeLines="50" w:line="360" w:lineRule="auto"/>
              <w:ind w:firstLine="0" w:firstLineChars="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一</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color w:val="000000" w:themeColor="text1"/>
                <w:sz w:val="24"/>
                <w:highlight w:val="none"/>
                <w:lang w:val="en-US" w:eastAsia="zh-CN"/>
                <w14:textFill>
                  <w14:solidFill>
                    <w14:schemeClr w14:val="tx1"/>
                  </w14:solidFill>
                </w14:textFill>
              </w:rPr>
              <w:t>废气</w:t>
            </w:r>
          </w:p>
          <w:p w14:paraId="27F401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本项目废气主要来源于提取车间、制剂车间、乙醇罐区，具体如下：</w:t>
            </w:r>
          </w:p>
          <w:p w14:paraId="446D8E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1.1、提取车间废气</w:t>
            </w:r>
          </w:p>
          <w:p w14:paraId="6D4264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zh-CN" w:eastAsia="zh-CN"/>
                <w14:textFill>
                  <w14:solidFill>
                    <w14:schemeClr w14:val="tx1"/>
                  </w14:solidFill>
                </w14:textFill>
              </w:rPr>
              <w:t>本项目</w:t>
            </w:r>
            <w:r>
              <w:rPr>
                <w:rFonts w:hint="eastAsia" w:cs="Times New Roman"/>
                <w:color w:val="000000" w:themeColor="text1"/>
                <w:sz w:val="24"/>
                <w:szCs w:val="24"/>
                <w:lang w:val="en-US" w:eastAsia="zh-CN"/>
                <w14:textFill>
                  <w14:solidFill>
                    <w14:schemeClr w14:val="tx1"/>
                  </w14:solidFill>
                </w14:textFill>
              </w:rPr>
              <w:t>中药前处理及提取工段位于提取车间内，</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废气</w:t>
            </w:r>
            <w:r>
              <w:rPr>
                <w:rFonts w:hint="eastAsia" w:cs="Times New Roman"/>
                <w:color w:val="000000" w:themeColor="text1"/>
                <w:sz w:val="24"/>
                <w:szCs w:val="24"/>
                <w:lang w:val="en-US" w:eastAsia="zh-CN"/>
                <w14:textFill>
                  <w14:solidFill>
                    <w14:schemeClr w14:val="tx1"/>
                  </w14:solidFill>
                </w14:textFill>
              </w:rPr>
              <w:t>主要包括拣选粉尘、干燥粉尘、炮制粉尘、醇提废气、醇沉废气。</w:t>
            </w:r>
          </w:p>
          <w:p w14:paraId="0A4DFE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zh-CN"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zh-CN"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中药前处理粉尘</w:t>
            </w:r>
          </w:p>
          <w:p w14:paraId="40CE76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拣选粉尘、干燥粉尘、炮制粉尘属于中药前处理粉尘。根据企业提供的生产规程要求，中药前处理粉尘产生量不超过0.5%，本次按中药材的0.5%核算中药前处理粉尘量，中药材投入总重为5949.84t/a，因此中药前处理粉尘产生量为29.75t/a。环评要求，企业在拣选台及炮制台上方安装密闭集气罩，收集效率不低于95%，将收集的粉尘与烘箱干燥粉尘一并进覆膜袋式除尘器处理，除尘效率不低于99%，可知中药前处理粉尘排放量为0.2826t/a。</w:t>
            </w:r>
          </w:p>
          <w:p w14:paraId="56E034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zh-CN"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zh-CN"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乙醇废气</w:t>
            </w:r>
          </w:p>
          <w:p w14:paraId="3452E43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醇提、醇沉过程产生的废气主要为乙醇挥发出的有机废气及不凝尾气，污染因子均为VOCs（由于乙醇不属于NMHC，应以TVOC表征）。根据企业提供的生产规程要求，中药提取过程乙醇回收率不低于98%，本次按乙醇总量的2%核算乙醇废气产生量，按照物料平衡，醇提、醇沉等工艺一次投入的乙醇总量为6396.7t/a，可知乙醇废气产生量约为128t/a。环评建议，乙醇废气浓度仍较高，宜采用低温冷凝+RCO催化燃烧法对乙醇废气进行处理。低温冷凝去除率不低于80%，RCO处理效率不低于95%，综合处理效率可达99%，因此可计算出乙醇废气排放量为1.28t/a。</w:t>
            </w:r>
          </w:p>
          <w:p w14:paraId="4F060C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1.2制剂车间</w:t>
            </w:r>
          </w:p>
          <w:p w14:paraId="591338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本项目制剂包括固体制剂与液体制剂，均位于制剂车间，废气主要包括固体制剂区域粉碎、混合、制粒制丸、干燥、压片、包衣、总混、打光等过程产生的废气，液体制剂区域配液、灌装等过程产生的废气。</w:t>
            </w:r>
          </w:p>
          <w:p w14:paraId="3348C2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（1）散剂粉碎混合粉尘</w:t>
            </w:r>
          </w:p>
          <w:p w14:paraId="105AA0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固体制剂中需要粉碎处理的散剂总量为120t/a，根据企业提供的生产规程要求，散剂粉碎混合损失量不超过2.5%，本次散剂粉碎混合粉尘按2.5%进行计算可知其粉尘产生量为3t/a。环评要求，将散剂粉碎混合产生的粉尘收集后进覆膜袋式除尘器处理，除尘效率不低于99%，可知散剂粉碎混合粉尘排放量为0.03t/a。</w:t>
            </w:r>
          </w:p>
          <w:p w14:paraId="7F755A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（2）散剂与颗粒剂装袋粉尘</w:t>
            </w:r>
          </w:p>
          <w:p w14:paraId="51B8A4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散剂装袋总重为120t/a，颗粒剂装袋总重为2520t/a，根据企业提供的生产规程要求，散剂装袋损失不超过0.2%，颗粒剂装袋损失不超过0.1%，本次散剂装袋粉尘按0.2%、颗粒剂装袋粉尘按0.1%进行计算可知其粉尘产生量为2.76t/a。环评要求，将散剂与颗粒剂装袋产生的粉尘收集后进覆膜袋式除尘器处理，除尘效率不低于99%，可知散剂与颗粒剂装袋粉尘排放量为0.0276t/a。</w:t>
            </w:r>
          </w:p>
          <w:p w14:paraId="5EDC55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（3）制粒干燥、筛粒总混等粉尘</w:t>
            </w:r>
          </w:p>
          <w:p w14:paraId="265BB8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片剂与颗粒剂公用部分为制粒干燥、筛粒总混，该部分会产生少量粉尘。根据企业提供的生产规程要求，制粒干燥、筛粒总混损失不超过3%，本次制粒干燥、筛粒总混粉尘按3%进行计算，片剂与颗粒剂总重2683.2t/a，可知其粉尘产生量为80.5t/a。环评要求，将制粒干燥、筛粒总混产生的粉尘收集后进覆膜袋式除尘器处理，除尘效率不低于99%，可知制粒干燥、筛粒总混粉尘排放量为0.805t/a。</w:t>
            </w:r>
          </w:p>
          <w:p w14:paraId="6354D6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（4）压片、包衣粉尘</w:t>
            </w:r>
          </w:p>
          <w:p w14:paraId="2253A76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片剂压片、包衣过程会产生少量粉尘，根据企业提供的生产规程要求，压片、包衣损失不超过1%，本次压片、包衣粉尘按1%进行计算，片剂总重163.2t/a，可知其粉尘产生量为1.632t/a。环评要求，将压片产生的粉尘收集后进覆膜袋式除尘器处理，除尘效率不低于99%，可知压片粉尘排放量为0.0163t/a。</w:t>
            </w:r>
          </w:p>
          <w:p w14:paraId="1547D5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（5）丸剂粉尘</w:t>
            </w:r>
          </w:p>
          <w:p w14:paraId="388920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丸剂合坨、制丸、筛丸、干燥、总混、打光等过程会产生少量粉尘，根据企业提供的生产规程要求，丸剂制剂过程粉尘不超过3%，丸剂总重60t/a，可知其粉尘产生量为1.8t/a。环评要求，将丸剂制剂产生的粉尘收集后进覆膜袋式除尘器处理，除尘效率不低于99%，可知丸剂制剂粉尘排放量为0.018t/a。</w:t>
            </w:r>
          </w:p>
          <w:p w14:paraId="0B7C26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（6）液体制剂废气</w:t>
            </w:r>
          </w:p>
          <w:p w14:paraId="0204735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zh-CN"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液体制剂中藿香正气水产品中乙醇浓度40%~50%，其在配液、灌装过程会有少量乙醇废气挥发。根据企业提供的生产规程要求，配液、灌装过程乙醇损失量不超过1%，本次按乙醇使用量的1%核算，按照物料平衡，藿香正气水配液使用乙醇量为1230t/a，可知乙醇废气产生量为12.3t/a。环评建议，制剂车间乙醇废气引至提取车间VOCs治理设施合并处理，处理效率不低于99%，因此可计算出乙醇废气排放量为0.123t/a。</w:t>
            </w:r>
          </w:p>
          <w:p w14:paraId="2B16AE9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1.3乙醇罐区大小呼吸废气</w:t>
            </w:r>
          </w:p>
          <w:p w14:paraId="1683D0C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乙醇罐区共有7个20t储罐，采用常压固定顶。乙醇在储存与装卸过程会有大小呼吸废气产生。</w:t>
            </w:r>
          </w:p>
          <w:p w14:paraId="0E7B22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zh-CN"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zh-CN"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小呼吸废气量</w:t>
            </w:r>
          </w:p>
          <w:p w14:paraId="4BCDF91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小呼吸损耗主要由温度变化导致的罐内气体膨胀引起，本次采用美国API法计算公式如下：</w:t>
            </w:r>
          </w:p>
          <w:p w14:paraId="6027BCA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rPr>
                <w:rFonts w:hint="eastAsia" w:cs="Times New Roman"/>
                <w:color w:val="000000" w:themeColor="text1"/>
                <w:sz w:val="24"/>
                <w:szCs w:val="24"/>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2886075" cy="400050"/>
                  <wp:effectExtent l="0" t="0" r="9525" b="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9"/>
                          <a:stretch>
                            <a:fillRect/>
                          </a:stretch>
                        </pic:blipFill>
                        <pic:spPr>
                          <a:xfrm>
                            <a:off x="0" y="0"/>
                            <a:ext cx="2886075" cy="400050"/>
                          </a:xfrm>
                          <a:prstGeom prst="rect">
                            <a:avLst/>
                          </a:prstGeom>
                          <a:noFill/>
                          <a:ln>
                            <a:noFill/>
                          </a:ln>
                        </pic:spPr>
                      </pic:pic>
                    </a:graphicData>
                  </a:graphic>
                </wp:inline>
              </w:drawing>
            </w:r>
          </w:p>
          <w:p w14:paraId="356371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C：乙醇的挥发系数（无量纲），95%乙醇取0.98；</w:t>
            </w:r>
          </w:p>
          <w:p w14:paraId="39816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K：乙醇储罐类型系数，固定顶罐无隔热层取1.0；</w:t>
            </w:r>
          </w:p>
          <w:p w14:paraId="1BBE78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M：乙醇的摩尔质量，取46.07 g/mol；</w:t>
            </w:r>
          </w:p>
          <w:p w14:paraId="4CB496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T：罐内气体平均温度（K），取298K；</w:t>
            </w:r>
          </w:p>
          <w:p w14:paraId="3B2D3C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D：乙醇储罐直径（m），取3m；</w:t>
            </w:r>
          </w:p>
          <w:p w14:paraId="6C2ADC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△T：乙醇储罐所在地日均温度变化值（K），通常取10K</w:t>
            </w:r>
          </w:p>
          <w:p w14:paraId="4BF07B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将以上参数带入公式可得出1个储罐小呼吸废气量为6.624kg/a。</w:t>
            </w:r>
          </w:p>
          <w:p w14:paraId="28F76C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zh-CN"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zh-CN"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大呼吸废气量</w:t>
            </w:r>
          </w:p>
          <w:p w14:paraId="1BF4E8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大呼吸损耗由进料时液面上升挤压罐内气体导致，计算公式如下：</w:t>
            </w:r>
          </w:p>
          <w:p w14:paraId="1A6EAF3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rPr>
                <w:rFonts w:hint="eastAsia" w:cs="Times New Roman"/>
                <w:color w:val="000000" w:themeColor="text1"/>
                <w:sz w:val="24"/>
                <w:szCs w:val="24"/>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1885950" cy="409575"/>
                  <wp:effectExtent l="0" t="0" r="0" b="952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20"/>
                          <a:stretch>
                            <a:fillRect/>
                          </a:stretch>
                        </pic:blipFill>
                        <pic:spPr>
                          <a:xfrm>
                            <a:off x="0" y="0"/>
                            <a:ext cx="1885950" cy="409575"/>
                          </a:xfrm>
                          <a:prstGeom prst="rect">
                            <a:avLst/>
                          </a:prstGeom>
                          <a:noFill/>
                          <a:ln>
                            <a:noFill/>
                          </a:ln>
                        </pic:spPr>
                      </pic:pic>
                    </a:graphicData>
                  </a:graphic>
                </wp:inline>
              </w:drawing>
            </w:r>
          </w:p>
          <w:p w14:paraId="01D829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K</w:t>
            </w:r>
            <w:r>
              <w:rPr>
                <w:rFonts w:hint="eastAsia" w:cs="Times New Roman"/>
                <w:color w:val="000000" w:themeColor="text1"/>
                <w:sz w:val="24"/>
                <w:szCs w:val="24"/>
                <w:vertAlign w:val="subscript"/>
                <w:lang w:val="en-US" w:eastAsia="zh-CN"/>
                <w14:textFill>
                  <w14:solidFill>
                    <w14:schemeClr w14:val="tx1"/>
                  </w14:solidFill>
                </w14:textFill>
              </w:rPr>
              <w:t>H</w:t>
            </w:r>
            <w:r>
              <w:rPr>
                <w:rFonts w:hint="eastAsia" w:cs="Times New Roman"/>
                <w:color w:val="000000" w:themeColor="text1"/>
                <w:sz w:val="24"/>
                <w:szCs w:val="24"/>
                <w:lang w:val="en-US" w:eastAsia="zh-CN"/>
                <w14:textFill>
                  <w14:solidFill>
                    <w14:schemeClr w14:val="tx1"/>
                  </w14:solidFill>
                </w14:textFill>
              </w:rPr>
              <w:t>：亨利系数修正项（无量纲），对于乙醇-空气体系，在常压下取1.0（因乙醇易挥发，罐内气体接近饱和状态）；</w:t>
            </w:r>
          </w:p>
          <w:p w14:paraId="4A7AC5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P</w:t>
            </w:r>
            <w:r>
              <w:rPr>
                <w:rFonts w:hint="eastAsia" w:cs="Times New Roman"/>
                <w:color w:val="000000" w:themeColor="text1"/>
                <w:sz w:val="24"/>
                <w:szCs w:val="24"/>
                <w:vertAlign w:val="subscript"/>
                <w:lang w:val="en-US" w:eastAsia="zh-CN"/>
                <w14:textFill>
                  <w14:solidFill>
                    <w14:schemeClr w14:val="tx1"/>
                  </w14:solidFill>
                </w14:textFill>
              </w:rPr>
              <w:t>0</w:t>
            </w:r>
            <w:r>
              <w:rPr>
                <w:rFonts w:hint="eastAsia" w:cs="Times New Roman"/>
                <w:color w:val="000000" w:themeColor="text1"/>
                <w:sz w:val="24"/>
                <w:szCs w:val="24"/>
                <w:lang w:val="en-US" w:eastAsia="zh-CN"/>
                <w14:textFill>
                  <w14:solidFill>
                    <w14:schemeClr w14:val="tx1"/>
                  </w14:solidFill>
                </w14:textFill>
              </w:rPr>
              <w:t>：乙醇在储存温度下的饱和蒸气压（kPa），25℃时取5.8kPa；</w:t>
            </w:r>
          </w:p>
          <w:p w14:paraId="5EC560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M：乙醇摩尔质量，取46.07 g/mol；</w:t>
            </w:r>
          </w:p>
          <w:p w14:paraId="58163E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V</w:t>
            </w:r>
            <w:r>
              <w:rPr>
                <w:rFonts w:hint="eastAsia" w:cs="Times New Roman"/>
                <w:color w:val="000000" w:themeColor="text1"/>
                <w:sz w:val="24"/>
                <w:szCs w:val="24"/>
                <w:vertAlign w:val="subscript"/>
                <w:lang w:val="en-US" w:eastAsia="zh-CN"/>
                <w14:textFill>
                  <w14:solidFill>
                    <w14:schemeClr w14:val="tx1"/>
                  </w14:solidFill>
                </w14:textFill>
              </w:rPr>
              <w:t>总</w:t>
            </w:r>
            <w:r>
              <w:rPr>
                <w:rFonts w:hint="eastAsia" w:cs="Times New Roman"/>
                <w:color w:val="000000" w:themeColor="text1"/>
                <w:sz w:val="24"/>
                <w:szCs w:val="24"/>
                <w:lang w:val="en-US" w:eastAsia="zh-CN"/>
                <w14:textFill>
                  <w14:solidFill>
                    <w14:schemeClr w14:val="tx1"/>
                  </w14:solidFill>
                </w14:textFill>
              </w:rPr>
              <w:t>：储罐年进料总置换体积（m³/a），即年进料总量（因进料时排出的气体体积≈进料体积，按年周转次数n=10次，公称容积V=20m³，充装系数0.9，则为180m³/a）；</w:t>
            </w:r>
          </w:p>
          <w:p w14:paraId="12C8E7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R：气体常数（8.314 kPa・m³/(kmol・K)，固定值）；</w:t>
            </w:r>
          </w:p>
          <w:p w14:paraId="416FB1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T：罐内气体温度（K，同小呼吸取298K）；</w:t>
            </w:r>
          </w:p>
          <w:p w14:paraId="4AC203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Patm：当地大气压（kPa，标准大气压取101.325kPa）；</w:t>
            </w:r>
          </w:p>
          <w:p w14:paraId="212281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P</w:t>
            </w:r>
            <w:r>
              <w:rPr>
                <w:rFonts w:hint="eastAsia" w:cs="Times New Roman"/>
                <w:color w:val="000000" w:themeColor="text1"/>
                <w:sz w:val="24"/>
                <w:szCs w:val="24"/>
                <w:vertAlign w:val="subscript"/>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：呼吸阀设定呼出压力（kPa，取2kPa表压）</w:t>
            </w:r>
          </w:p>
          <w:p w14:paraId="16BD06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将以上参数带入公式可得出1个储罐大呼吸废气量为187.883kg/a。</w:t>
            </w:r>
          </w:p>
          <w:p w14:paraId="053786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由此，可计算出7个储罐大小呼吸年产生量为：</w:t>
            </w:r>
          </w:p>
          <w:p w14:paraId="39ED95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(187.883+6.624)×7=1362(kg/a)，折合1.362t/a.</w:t>
            </w:r>
          </w:p>
          <w:p w14:paraId="36C13C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环评建议，将乙醇储罐区产生的大小呼吸废气由管道引至提取车间VOCs治理设施合并处理，处理效率不低于99%，因此可计算出乙醇废气排放量为0.014t/a。</w:t>
            </w:r>
          </w:p>
          <w:p w14:paraId="5CEA5E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highlight w:val="yellow"/>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1.4 污水处理站及危废间废气</w:t>
            </w:r>
          </w:p>
          <w:p w14:paraId="403611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厂内自建污水处理站运营中废气主要为VOCs、硫化氢、氨、臭气浓度等，VOCs主要来自设备冲洗及地面清洁等废水，VOCs挥发量极少，且已计入有组织废气汇总，这里不再定量核算。环评要求，污水处理站加盖密封并负压抽吸出进入制剂车间VOCs处理装置处理后达标排放。</w:t>
            </w:r>
          </w:p>
          <w:p w14:paraId="5D4BAE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危废间内主要存放含有乙醇的废渣，全部由包装桶密闭储存，可能会有少量乙醇挥发，经危废间抽风系统引至附近提取车间废气处理装置处理达标后排放。</w:t>
            </w:r>
          </w:p>
          <w:p w14:paraId="266E13D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1.5 无组织废气</w:t>
            </w:r>
          </w:p>
          <w:p w14:paraId="2DCC0C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车间无组织废气主要为粉尘、VOCs，以及中药提取过程产生的异味，以臭气浓度表征。环评要求，企业应提高废气收集效率，并加强车间密闭，减少无组织废气排放。由于生产设备均为密闭负压抽吸，VOCs无组织排放极少，不再定量计算；粉尘无组织排放主要为提取车间中药材人工拣选过程产生的少量粉尘，集气罩未收集的有1.49t/a，由于该粉尘比重较大，绝大部分在拣选台附近沉降至地面，经清扫收集，车间沉降效率不低于90%，因此车间无组织粉尘排放量为0.149t/a。</w:t>
            </w:r>
          </w:p>
          <w:p w14:paraId="7B5BAD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1.6废气产排污汇总分析</w:t>
            </w:r>
          </w:p>
          <w:p w14:paraId="1136AE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具体产排污情况分析如下：</w:t>
            </w:r>
          </w:p>
          <w:p w14:paraId="679DB997">
            <w:pPr>
              <w:keepNext w:val="0"/>
              <w:keepLines w:val="0"/>
              <w:pageBreakBefore w:val="0"/>
              <w:widowControl w:val="0"/>
              <w:kinsoku/>
              <w:wordWrap/>
              <w:overflowPunct/>
              <w:topLinePunct w:val="0"/>
              <w:autoSpaceDE/>
              <w:autoSpaceDN/>
              <w:bidi w:val="0"/>
              <w:adjustRightInd w:val="0"/>
              <w:snapToGrid w:val="0"/>
              <w:spacing w:line="240" w:lineRule="auto"/>
              <w:ind w:firstLine="1920" w:firstLineChars="800"/>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表28  项目废气产生、排放情况汇总表</w:t>
            </w:r>
          </w:p>
          <w:tbl>
            <w:tblPr>
              <w:tblStyle w:val="27"/>
              <w:tblW w:w="79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443"/>
              <w:gridCol w:w="783"/>
              <w:gridCol w:w="784"/>
              <w:gridCol w:w="865"/>
              <w:gridCol w:w="865"/>
              <w:gridCol w:w="1"/>
              <w:gridCol w:w="864"/>
              <w:gridCol w:w="867"/>
              <w:gridCol w:w="1083"/>
            </w:tblGrid>
            <w:tr w14:paraId="1FB9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0" w:type="dxa"/>
                  <w:gridSpan w:val="2"/>
                  <w:vMerge w:val="restart"/>
                  <w:tcMar>
                    <w:top w:w="0" w:type="dxa"/>
                    <w:left w:w="28" w:type="dxa"/>
                    <w:bottom w:w="0" w:type="dxa"/>
                    <w:right w:w="28" w:type="dxa"/>
                  </w:tcMar>
                  <w:vAlign w:val="center"/>
                </w:tcPr>
                <w:p w14:paraId="0BF76B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污染源</w:t>
                  </w:r>
                </w:p>
              </w:tc>
              <w:tc>
                <w:tcPr>
                  <w:tcW w:w="783" w:type="dxa"/>
                  <w:vMerge w:val="restart"/>
                  <w:tcMar>
                    <w:top w:w="0" w:type="dxa"/>
                    <w:left w:w="28" w:type="dxa"/>
                    <w:bottom w:w="0" w:type="dxa"/>
                    <w:right w:w="28" w:type="dxa"/>
                  </w:tcMar>
                  <w:vAlign w:val="center"/>
                </w:tcPr>
                <w:p w14:paraId="37438D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污染</w:t>
                  </w:r>
                </w:p>
                <w:p w14:paraId="2796DD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因子</w:t>
                  </w:r>
                </w:p>
              </w:tc>
              <w:tc>
                <w:tcPr>
                  <w:tcW w:w="784" w:type="dxa"/>
                  <w:vMerge w:val="restart"/>
                  <w:tcMar>
                    <w:top w:w="0" w:type="dxa"/>
                    <w:left w:w="28" w:type="dxa"/>
                    <w:bottom w:w="0" w:type="dxa"/>
                    <w:right w:w="28" w:type="dxa"/>
                  </w:tcMar>
                  <w:vAlign w:val="center"/>
                </w:tcPr>
                <w:p w14:paraId="351CC2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废气量m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vertAlign w:val="baseline"/>
                      <w:lang w:val="en-US" w:eastAsia="zh-CN"/>
                      <w14:textFill>
                        <w14:solidFill>
                          <w14:schemeClr w14:val="tx1"/>
                        </w14:solidFill>
                      </w14:textFill>
                    </w:rPr>
                    <w:t>/h</w:t>
                  </w:r>
                </w:p>
              </w:tc>
              <w:tc>
                <w:tcPr>
                  <w:tcW w:w="1731" w:type="dxa"/>
                  <w:gridSpan w:val="3"/>
                  <w:tcMar>
                    <w:top w:w="0" w:type="dxa"/>
                    <w:left w:w="28" w:type="dxa"/>
                    <w:bottom w:w="0" w:type="dxa"/>
                    <w:right w:w="28" w:type="dxa"/>
                  </w:tcMar>
                  <w:vAlign w:val="center"/>
                </w:tcPr>
                <w:p w14:paraId="58F266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产生情况</w:t>
                  </w:r>
                </w:p>
              </w:tc>
              <w:tc>
                <w:tcPr>
                  <w:tcW w:w="1731" w:type="dxa"/>
                  <w:gridSpan w:val="2"/>
                  <w:tcMar>
                    <w:top w:w="0" w:type="dxa"/>
                    <w:left w:w="28" w:type="dxa"/>
                    <w:bottom w:w="0" w:type="dxa"/>
                    <w:right w:w="28" w:type="dxa"/>
                  </w:tcMar>
                  <w:vAlign w:val="center"/>
                </w:tcPr>
                <w:p w14:paraId="3BFAB8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排放情况</w:t>
                  </w:r>
                </w:p>
              </w:tc>
              <w:tc>
                <w:tcPr>
                  <w:tcW w:w="1083" w:type="dxa"/>
                  <w:vMerge w:val="restart"/>
                  <w:tcMar>
                    <w:top w:w="0" w:type="dxa"/>
                    <w:left w:w="28" w:type="dxa"/>
                    <w:bottom w:w="0" w:type="dxa"/>
                    <w:right w:w="28" w:type="dxa"/>
                  </w:tcMar>
                  <w:vAlign w:val="center"/>
                </w:tcPr>
                <w:p w14:paraId="3CD573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治理措施及去除效率</w:t>
                  </w:r>
                </w:p>
              </w:tc>
            </w:tr>
            <w:tr w14:paraId="0637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0" w:type="dxa"/>
                  <w:gridSpan w:val="2"/>
                  <w:vMerge w:val="continue"/>
                  <w:tcMar>
                    <w:top w:w="0" w:type="dxa"/>
                    <w:left w:w="28" w:type="dxa"/>
                    <w:bottom w:w="0" w:type="dxa"/>
                    <w:right w:w="28" w:type="dxa"/>
                  </w:tcMar>
                  <w:vAlign w:val="center"/>
                </w:tcPr>
                <w:p w14:paraId="1F04CC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c>
                <w:tcPr>
                  <w:tcW w:w="783" w:type="dxa"/>
                  <w:vMerge w:val="continue"/>
                  <w:tcMar>
                    <w:top w:w="0" w:type="dxa"/>
                    <w:left w:w="28" w:type="dxa"/>
                    <w:bottom w:w="0" w:type="dxa"/>
                    <w:right w:w="28" w:type="dxa"/>
                  </w:tcMar>
                  <w:vAlign w:val="center"/>
                </w:tcPr>
                <w:p w14:paraId="4BA31C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c>
                <w:tcPr>
                  <w:tcW w:w="784" w:type="dxa"/>
                  <w:vMerge w:val="continue"/>
                  <w:tcMar>
                    <w:top w:w="0" w:type="dxa"/>
                    <w:left w:w="28" w:type="dxa"/>
                    <w:bottom w:w="0" w:type="dxa"/>
                    <w:right w:w="28" w:type="dxa"/>
                  </w:tcMar>
                  <w:vAlign w:val="center"/>
                </w:tcPr>
                <w:p w14:paraId="53A1A8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p>
              </w:tc>
              <w:tc>
                <w:tcPr>
                  <w:tcW w:w="865" w:type="dxa"/>
                  <w:tcMar>
                    <w:top w:w="0" w:type="dxa"/>
                    <w:left w:w="28" w:type="dxa"/>
                    <w:bottom w:w="0" w:type="dxa"/>
                    <w:right w:w="28" w:type="dxa"/>
                  </w:tcMar>
                  <w:vAlign w:val="center"/>
                </w:tcPr>
                <w:p w14:paraId="065136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产生浓度mg/m</w:t>
                  </w:r>
                  <w:r>
                    <w:rPr>
                      <w:rFonts w:hint="eastAsia" w:cs="Times New Roman"/>
                      <w:color w:val="000000" w:themeColor="text1"/>
                      <w:sz w:val="21"/>
                      <w:szCs w:val="21"/>
                      <w:vertAlign w:val="superscript"/>
                      <w:lang w:val="en-US" w:eastAsia="zh-CN"/>
                      <w14:textFill>
                        <w14:solidFill>
                          <w14:schemeClr w14:val="tx1"/>
                        </w14:solidFill>
                      </w14:textFill>
                    </w:rPr>
                    <w:t>3</w:t>
                  </w:r>
                </w:p>
              </w:tc>
              <w:tc>
                <w:tcPr>
                  <w:tcW w:w="865" w:type="dxa"/>
                  <w:tcMar>
                    <w:top w:w="0" w:type="dxa"/>
                    <w:left w:w="28" w:type="dxa"/>
                    <w:bottom w:w="0" w:type="dxa"/>
                    <w:right w:w="28" w:type="dxa"/>
                  </w:tcMar>
                  <w:vAlign w:val="center"/>
                </w:tcPr>
                <w:p w14:paraId="516D68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产生量t/a</w:t>
                  </w:r>
                </w:p>
              </w:tc>
              <w:tc>
                <w:tcPr>
                  <w:tcW w:w="865" w:type="dxa"/>
                  <w:gridSpan w:val="2"/>
                  <w:tcMar>
                    <w:top w:w="0" w:type="dxa"/>
                    <w:left w:w="28" w:type="dxa"/>
                    <w:bottom w:w="0" w:type="dxa"/>
                    <w:right w:w="28" w:type="dxa"/>
                  </w:tcMar>
                  <w:vAlign w:val="center"/>
                </w:tcPr>
                <w:p w14:paraId="2B0727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排放浓度mg/m</w:t>
                  </w:r>
                  <w:r>
                    <w:rPr>
                      <w:rFonts w:hint="eastAsia" w:cs="Times New Roman"/>
                      <w:color w:val="000000" w:themeColor="text1"/>
                      <w:sz w:val="21"/>
                      <w:szCs w:val="21"/>
                      <w:vertAlign w:val="superscript"/>
                      <w:lang w:val="en-US" w:eastAsia="zh-CN"/>
                      <w14:textFill>
                        <w14:solidFill>
                          <w14:schemeClr w14:val="tx1"/>
                        </w14:solidFill>
                      </w14:textFill>
                    </w:rPr>
                    <w:t>3</w:t>
                  </w:r>
                </w:p>
              </w:tc>
              <w:tc>
                <w:tcPr>
                  <w:tcW w:w="867" w:type="dxa"/>
                  <w:tcMar>
                    <w:top w:w="0" w:type="dxa"/>
                    <w:left w:w="28" w:type="dxa"/>
                    <w:bottom w:w="0" w:type="dxa"/>
                    <w:right w:w="28" w:type="dxa"/>
                  </w:tcMar>
                  <w:vAlign w:val="center"/>
                </w:tcPr>
                <w:p w14:paraId="7EC72E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排放量t/a</w:t>
                  </w:r>
                </w:p>
              </w:tc>
              <w:tc>
                <w:tcPr>
                  <w:tcW w:w="1083" w:type="dxa"/>
                  <w:vMerge w:val="continue"/>
                  <w:tcMar>
                    <w:top w:w="0" w:type="dxa"/>
                    <w:left w:w="28" w:type="dxa"/>
                    <w:bottom w:w="0" w:type="dxa"/>
                    <w:right w:w="28" w:type="dxa"/>
                  </w:tcMar>
                  <w:vAlign w:val="center"/>
                </w:tcPr>
                <w:p w14:paraId="6E953D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r>
            <w:tr w14:paraId="1211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dxa"/>
                  <w:vMerge w:val="restart"/>
                  <w:tcMar>
                    <w:top w:w="0" w:type="dxa"/>
                    <w:left w:w="28" w:type="dxa"/>
                    <w:bottom w:w="0" w:type="dxa"/>
                    <w:right w:w="28" w:type="dxa"/>
                  </w:tcMar>
                  <w:vAlign w:val="center"/>
                </w:tcPr>
                <w:p w14:paraId="582D07C7">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提取车间</w:t>
                  </w:r>
                </w:p>
              </w:tc>
              <w:tc>
                <w:tcPr>
                  <w:tcW w:w="1443" w:type="dxa"/>
                  <w:tcMar>
                    <w:top w:w="0" w:type="dxa"/>
                    <w:left w:w="28" w:type="dxa"/>
                    <w:bottom w:w="0" w:type="dxa"/>
                    <w:right w:w="28" w:type="dxa"/>
                  </w:tcMar>
                  <w:vAlign w:val="center"/>
                </w:tcPr>
                <w:p w14:paraId="10CD62B6">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中药前处理（拣选、干燥、炮制）粉尘</w:t>
                  </w:r>
                </w:p>
              </w:tc>
              <w:tc>
                <w:tcPr>
                  <w:tcW w:w="783" w:type="dxa"/>
                  <w:tcMar>
                    <w:top w:w="0" w:type="dxa"/>
                    <w:left w:w="28" w:type="dxa"/>
                    <w:bottom w:w="0" w:type="dxa"/>
                    <w:right w:w="28" w:type="dxa"/>
                  </w:tcMar>
                  <w:vAlign w:val="center"/>
                </w:tcPr>
                <w:p w14:paraId="178785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颗粒物</w:t>
                  </w:r>
                </w:p>
              </w:tc>
              <w:tc>
                <w:tcPr>
                  <w:tcW w:w="784" w:type="dxa"/>
                  <w:tcMar>
                    <w:top w:w="0" w:type="dxa"/>
                    <w:left w:w="28" w:type="dxa"/>
                    <w:bottom w:w="0" w:type="dxa"/>
                    <w:right w:w="28" w:type="dxa"/>
                  </w:tcMar>
                  <w:vAlign w:val="center"/>
                </w:tcPr>
                <w:p w14:paraId="35BA5A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10000</w:t>
                  </w:r>
                </w:p>
              </w:tc>
              <w:tc>
                <w:tcPr>
                  <w:tcW w:w="865" w:type="dxa"/>
                  <w:tcMar>
                    <w:top w:w="0" w:type="dxa"/>
                    <w:left w:w="28" w:type="dxa"/>
                    <w:bottom w:w="0" w:type="dxa"/>
                    <w:right w:w="28" w:type="dxa"/>
                  </w:tcMar>
                  <w:vAlign w:val="center"/>
                </w:tcPr>
                <w:p w14:paraId="00A1AE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413.2</w:t>
                  </w:r>
                </w:p>
              </w:tc>
              <w:tc>
                <w:tcPr>
                  <w:tcW w:w="865" w:type="dxa"/>
                  <w:tcMar>
                    <w:top w:w="0" w:type="dxa"/>
                    <w:left w:w="28" w:type="dxa"/>
                    <w:bottom w:w="0" w:type="dxa"/>
                    <w:right w:w="28" w:type="dxa"/>
                  </w:tcMar>
                  <w:vAlign w:val="center"/>
                </w:tcPr>
                <w:p w14:paraId="3BF5CE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29.75</w:t>
                  </w:r>
                </w:p>
              </w:tc>
              <w:tc>
                <w:tcPr>
                  <w:tcW w:w="865" w:type="dxa"/>
                  <w:gridSpan w:val="2"/>
                  <w:tcMar>
                    <w:top w:w="0" w:type="dxa"/>
                    <w:left w:w="28" w:type="dxa"/>
                    <w:bottom w:w="0" w:type="dxa"/>
                    <w:right w:w="28" w:type="dxa"/>
                  </w:tcMar>
                  <w:vAlign w:val="center"/>
                </w:tcPr>
                <w:p w14:paraId="0E0A88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3.9</w:t>
                  </w:r>
                </w:p>
              </w:tc>
              <w:tc>
                <w:tcPr>
                  <w:tcW w:w="867" w:type="dxa"/>
                  <w:tcMar>
                    <w:top w:w="0" w:type="dxa"/>
                    <w:left w:w="28" w:type="dxa"/>
                    <w:bottom w:w="0" w:type="dxa"/>
                    <w:right w:w="28" w:type="dxa"/>
                  </w:tcMar>
                  <w:vAlign w:val="center"/>
                </w:tcPr>
                <w:p w14:paraId="6A7247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0.2826</w:t>
                  </w:r>
                </w:p>
              </w:tc>
              <w:tc>
                <w:tcPr>
                  <w:tcW w:w="1083" w:type="dxa"/>
                  <w:tcMar>
                    <w:top w:w="0" w:type="dxa"/>
                    <w:left w:w="28" w:type="dxa"/>
                    <w:bottom w:w="0" w:type="dxa"/>
                    <w:right w:w="28" w:type="dxa"/>
                  </w:tcMar>
                  <w:vAlign w:val="center"/>
                </w:tcPr>
                <w:p w14:paraId="501838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袋式除尘99%</w:t>
                  </w:r>
                </w:p>
              </w:tc>
            </w:tr>
            <w:tr w14:paraId="5003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27" w:type="dxa"/>
                  <w:vMerge w:val="continue"/>
                  <w:tcMar>
                    <w:top w:w="0" w:type="dxa"/>
                    <w:left w:w="28" w:type="dxa"/>
                    <w:bottom w:w="0" w:type="dxa"/>
                    <w:right w:w="28" w:type="dxa"/>
                  </w:tcMar>
                  <w:vAlign w:val="center"/>
                </w:tcPr>
                <w:p w14:paraId="66341441">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p>
              </w:tc>
              <w:tc>
                <w:tcPr>
                  <w:tcW w:w="1443" w:type="dxa"/>
                  <w:tcMar>
                    <w:top w:w="0" w:type="dxa"/>
                    <w:left w:w="28" w:type="dxa"/>
                    <w:bottom w:w="0" w:type="dxa"/>
                    <w:right w:w="28" w:type="dxa"/>
                  </w:tcMar>
                  <w:vAlign w:val="center"/>
                </w:tcPr>
                <w:p w14:paraId="1C25D15F">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中药提取（醇提、醇沉）废气</w:t>
                  </w:r>
                </w:p>
              </w:tc>
              <w:tc>
                <w:tcPr>
                  <w:tcW w:w="783" w:type="dxa"/>
                  <w:vMerge w:val="restart"/>
                  <w:tcMar>
                    <w:top w:w="0" w:type="dxa"/>
                    <w:left w:w="28" w:type="dxa"/>
                    <w:bottom w:w="0" w:type="dxa"/>
                    <w:right w:w="28" w:type="dxa"/>
                  </w:tcMar>
                  <w:vAlign w:val="center"/>
                </w:tcPr>
                <w:p w14:paraId="3F448E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VOCs</w:t>
                  </w:r>
                </w:p>
              </w:tc>
              <w:tc>
                <w:tcPr>
                  <w:tcW w:w="784" w:type="dxa"/>
                  <w:vMerge w:val="restart"/>
                  <w:tcMar>
                    <w:top w:w="0" w:type="dxa"/>
                    <w:left w:w="28" w:type="dxa"/>
                    <w:bottom w:w="0" w:type="dxa"/>
                    <w:right w:w="28" w:type="dxa"/>
                  </w:tcMar>
                  <w:vAlign w:val="center"/>
                </w:tcPr>
                <w:p w14:paraId="1DC3D8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18000</w:t>
                  </w:r>
                </w:p>
              </w:tc>
              <w:tc>
                <w:tcPr>
                  <w:tcW w:w="865" w:type="dxa"/>
                  <w:vMerge w:val="restart"/>
                  <w:tcMar>
                    <w:top w:w="0" w:type="dxa"/>
                    <w:left w:w="28" w:type="dxa"/>
                    <w:bottom w:w="0" w:type="dxa"/>
                    <w:right w:w="28" w:type="dxa"/>
                  </w:tcMar>
                  <w:vAlign w:val="center"/>
                </w:tcPr>
                <w:p w14:paraId="6BCD97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987.6</w:t>
                  </w:r>
                </w:p>
              </w:tc>
              <w:tc>
                <w:tcPr>
                  <w:tcW w:w="865" w:type="dxa"/>
                  <w:vMerge w:val="restart"/>
                  <w:tcMar>
                    <w:top w:w="0" w:type="dxa"/>
                    <w:left w:w="28" w:type="dxa"/>
                    <w:bottom w:w="0" w:type="dxa"/>
                    <w:right w:w="28" w:type="dxa"/>
                  </w:tcMar>
                  <w:vAlign w:val="center"/>
                </w:tcPr>
                <w:p w14:paraId="0DFDE2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128</w:t>
                  </w:r>
                </w:p>
              </w:tc>
              <w:tc>
                <w:tcPr>
                  <w:tcW w:w="865" w:type="dxa"/>
                  <w:gridSpan w:val="2"/>
                  <w:vMerge w:val="restart"/>
                  <w:tcMar>
                    <w:top w:w="0" w:type="dxa"/>
                    <w:left w:w="28" w:type="dxa"/>
                    <w:bottom w:w="0" w:type="dxa"/>
                    <w:right w:w="28" w:type="dxa"/>
                  </w:tcMar>
                  <w:vAlign w:val="center"/>
                </w:tcPr>
                <w:p w14:paraId="412137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9.9</w:t>
                  </w:r>
                </w:p>
              </w:tc>
              <w:tc>
                <w:tcPr>
                  <w:tcW w:w="867" w:type="dxa"/>
                  <w:vMerge w:val="restart"/>
                  <w:tcMar>
                    <w:top w:w="0" w:type="dxa"/>
                    <w:left w:w="28" w:type="dxa"/>
                    <w:bottom w:w="0" w:type="dxa"/>
                    <w:right w:w="28" w:type="dxa"/>
                  </w:tcMar>
                  <w:vAlign w:val="center"/>
                </w:tcPr>
                <w:p w14:paraId="6D87DE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1.28</w:t>
                  </w:r>
                </w:p>
              </w:tc>
              <w:tc>
                <w:tcPr>
                  <w:tcW w:w="1083" w:type="dxa"/>
                  <w:vMerge w:val="restart"/>
                  <w:tcMar>
                    <w:top w:w="0" w:type="dxa"/>
                    <w:left w:w="28" w:type="dxa"/>
                    <w:bottom w:w="0" w:type="dxa"/>
                    <w:right w:w="28" w:type="dxa"/>
                  </w:tcMar>
                  <w:vAlign w:val="center"/>
                </w:tcPr>
                <w:p w14:paraId="0A2A9A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低温冷凝+RCO催化燃烧，99%</w:t>
                  </w:r>
                </w:p>
              </w:tc>
            </w:tr>
            <w:tr w14:paraId="518C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70" w:type="dxa"/>
                  <w:gridSpan w:val="2"/>
                  <w:tcMar>
                    <w:top w:w="0" w:type="dxa"/>
                    <w:left w:w="28" w:type="dxa"/>
                    <w:bottom w:w="0" w:type="dxa"/>
                    <w:right w:w="28" w:type="dxa"/>
                  </w:tcMar>
                  <w:vAlign w:val="center"/>
                </w:tcPr>
                <w:p w14:paraId="5C45A9A7">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危废间废气</w:t>
                  </w:r>
                </w:p>
              </w:tc>
              <w:tc>
                <w:tcPr>
                  <w:tcW w:w="783" w:type="dxa"/>
                  <w:vMerge w:val="continue"/>
                  <w:tcMar>
                    <w:top w:w="0" w:type="dxa"/>
                    <w:left w:w="28" w:type="dxa"/>
                    <w:bottom w:w="0" w:type="dxa"/>
                    <w:right w:w="28" w:type="dxa"/>
                  </w:tcMar>
                  <w:vAlign w:val="center"/>
                </w:tcPr>
                <w:p w14:paraId="74AF3A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c>
                <w:tcPr>
                  <w:tcW w:w="784" w:type="dxa"/>
                  <w:vMerge w:val="continue"/>
                  <w:tcMar>
                    <w:top w:w="0" w:type="dxa"/>
                    <w:left w:w="28" w:type="dxa"/>
                    <w:bottom w:w="0" w:type="dxa"/>
                    <w:right w:w="28" w:type="dxa"/>
                  </w:tcMar>
                  <w:vAlign w:val="center"/>
                </w:tcPr>
                <w:p w14:paraId="17833C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c>
                <w:tcPr>
                  <w:tcW w:w="865" w:type="dxa"/>
                  <w:vMerge w:val="continue"/>
                  <w:tcMar>
                    <w:top w:w="0" w:type="dxa"/>
                    <w:left w:w="28" w:type="dxa"/>
                    <w:bottom w:w="0" w:type="dxa"/>
                    <w:right w:w="28" w:type="dxa"/>
                  </w:tcMar>
                  <w:vAlign w:val="center"/>
                </w:tcPr>
                <w:p w14:paraId="7B8865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c>
                <w:tcPr>
                  <w:tcW w:w="865" w:type="dxa"/>
                  <w:vMerge w:val="continue"/>
                  <w:tcMar>
                    <w:top w:w="0" w:type="dxa"/>
                    <w:left w:w="28" w:type="dxa"/>
                    <w:bottom w:w="0" w:type="dxa"/>
                    <w:right w:w="28" w:type="dxa"/>
                  </w:tcMar>
                  <w:vAlign w:val="center"/>
                </w:tcPr>
                <w:p w14:paraId="0041CD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c>
                <w:tcPr>
                  <w:tcW w:w="865" w:type="dxa"/>
                  <w:gridSpan w:val="2"/>
                  <w:vMerge w:val="continue"/>
                  <w:tcMar>
                    <w:top w:w="0" w:type="dxa"/>
                    <w:left w:w="28" w:type="dxa"/>
                    <w:bottom w:w="0" w:type="dxa"/>
                    <w:right w:w="28" w:type="dxa"/>
                  </w:tcMar>
                  <w:vAlign w:val="center"/>
                </w:tcPr>
                <w:p w14:paraId="311AFE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c>
                <w:tcPr>
                  <w:tcW w:w="867" w:type="dxa"/>
                  <w:vMerge w:val="continue"/>
                  <w:tcMar>
                    <w:top w:w="0" w:type="dxa"/>
                    <w:left w:w="28" w:type="dxa"/>
                    <w:bottom w:w="0" w:type="dxa"/>
                    <w:right w:w="28" w:type="dxa"/>
                  </w:tcMar>
                  <w:vAlign w:val="center"/>
                </w:tcPr>
                <w:p w14:paraId="1350D7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c>
                <w:tcPr>
                  <w:tcW w:w="1083" w:type="dxa"/>
                  <w:vMerge w:val="continue"/>
                  <w:tcMar>
                    <w:top w:w="0" w:type="dxa"/>
                    <w:left w:w="28" w:type="dxa"/>
                    <w:bottom w:w="0" w:type="dxa"/>
                    <w:right w:w="28" w:type="dxa"/>
                  </w:tcMar>
                  <w:vAlign w:val="center"/>
                </w:tcPr>
                <w:p w14:paraId="2D88D0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000000" w:themeColor="text1"/>
                      <w:szCs w:val="21"/>
                      <w:lang w:val="en-US" w:eastAsia="zh-CN"/>
                      <w14:textFill>
                        <w14:solidFill>
                          <w14:schemeClr w14:val="tx1"/>
                        </w14:solidFill>
                      </w14:textFill>
                    </w:rPr>
                  </w:pPr>
                </w:p>
              </w:tc>
            </w:tr>
            <w:tr w14:paraId="1308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dxa"/>
                  <w:vMerge w:val="restart"/>
                  <w:tcMar>
                    <w:top w:w="0" w:type="dxa"/>
                    <w:left w:w="28" w:type="dxa"/>
                    <w:bottom w:w="0" w:type="dxa"/>
                    <w:right w:w="28" w:type="dxa"/>
                  </w:tcMar>
                  <w:vAlign w:val="center"/>
                </w:tcPr>
                <w:p w14:paraId="67DDE67D">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制剂车间</w:t>
                  </w:r>
                </w:p>
              </w:tc>
              <w:tc>
                <w:tcPr>
                  <w:tcW w:w="1443" w:type="dxa"/>
                  <w:tcMar>
                    <w:top w:w="0" w:type="dxa"/>
                    <w:left w:w="28" w:type="dxa"/>
                    <w:bottom w:w="0" w:type="dxa"/>
                    <w:right w:w="28" w:type="dxa"/>
                  </w:tcMar>
                  <w:vAlign w:val="center"/>
                </w:tcPr>
                <w:p w14:paraId="164E1E89">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散剂粉碎混合粉尘</w:t>
                  </w:r>
                </w:p>
              </w:tc>
              <w:tc>
                <w:tcPr>
                  <w:tcW w:w="783" w:type="dxa"/>
                  <w:tcMar>
                    <w:top w:w="0" w:type="dxa"/>
                    <w:left w:w="28" w:type="dxa"/>
                    <w:bottom w:w="0" w:type="dxa"/>
                    <w:right w:w="28" w:type="dxa"/>
                  </w:tcMar>
                  <w:vAlign w:val="center"/>
                </w:tcPr>
                <w:p w14:paraId="6CA80C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颗粒物</w:t>
                  </w:r>
                </w:p>
              </w:tc>
              <w:tc>
                <w:tcPr>
                  <w:tcW w:w="784" w:type="dxa"/>
                  <w:tcMar>
                    <w:top w:w="0" w:type="dxa"/>
                    <w:left w:w="28" w:type="dxa"/>
                    <w:bottom w:w="0" w:type="dxa"/>
                    <w:right w:w="28" w:type="dxa"/>
                  </w:tcMar>
                  <w:vAlign w:val="center"/>
                </w:tcPr>
                <w:p w14:paraId="5D3E91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2000</w:t>
                  </w:r>
                </w:p>
              </w:tc>
              <w:tc>
                <w:tcPr>
                  <w:tcW w:w="865" w:type="dxa"/>
                  <w:tcMar>
                    <w:top w:w="0" w:type="dxa"/>
                    <w:left w:w="28" w:type="dxa"/>
                    <w:bottom w:w="0" w:type="dxa"/>
                    <w:right w:w="28" w:type="dxa"/>
                  </w:tcMar>
                  <w:vAlign w:val="center"/>
                </w:tcPr>
                <w:p w14:paraId="0FAF2A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208.3</w:t>
                  </w:r>
                </w:p>
              </w:tc>
              <w:tc>
                <w:tcPr>
                  <w:tcW w:w="865" w:type="dxa"/>
                  <w:tcMar>
                    <w:top w:w="0" w:type="dxa"/>
                    <w:left w:w="28" w:type="dxa"/>
                    <w:bottom w:w="0" w:type="dxa"/>
                    <w:right w:w="28" w:type="dxa"/>
                  </w:tcMar>
                  <w:vAlign w:val="center"/>
                </w:tcPr>
                <w:p w14:paraId="64CA0D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w:t>
                  </w:r>
                </w:p>
              </w:tc>
              <w:tc>
                <w:tcPr>
                  <w:tcW w:w="865" w:type="dxa"/>
                  <w:gridSpan w:val="2"/>
                  <w:tcMar>
                    <w:top w:w="0" w:type="dxa"/>
                    <w:left w:w="28" w:type="dxa"/>
                    <w:bottom w:w="0" w:type="dxa"/>
                    <w:right w:w="28" w:type="dxa"/>
                  </w:tcMar>
                  <w:vAlign w:val="center"/>
                </w:tcPr>
                <w:p w14:paraId="2693BF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2.1</w:t>
                  </w:r>
                </w:p>
              </w:tc>
              <w:tc>
                <w:tcPr>
                  <w:tcW w:w="867" w:type="dxa"/>
                  <w:tcMar>
                    <w:top w:w="0" w:type="dxa"/>
                    <w:left w:w="28" w:type="dxa"/>
                    <w:bottom w:w="0" w:type="dxa"/>
                    <w:right w:w="28" w:type="dxa"/>
                  </w:tcMar>
                  <w:vAlign w:val="center"/>
                </w:tcPr>
                <w:p w14:paraId="10DE93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0.03</w:t>
                  </w:r>
                </w:p>
              </w:tc>
              <w:tc>
                <w:tcPr>
                  <w:tcW w:w="1083" w:type="dxa"/>
                  <w:tcMar>
                    <w:top w:w="0" w:type="dxa"/>
                    <w:left w:w="28" w:type="dxa"/>
                    <w:bottom w:w="0" w:type="dxa"/>
                    <w:right w:w="28" w:type="dxa"/>
                  </w:tcMar>
                  <w:vAlign w:val="center"/>
                </w:tcPr>
                <w:p w14:paraId="57219C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袋式除尘99%</w:t>
                  </w:r>
                </w:p>
              </w:tc>
            </w:tr>
            <w:tr w14:paraId="0AFF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dxa"/>
                  <w:vMerge w:val="continue"/>
                  <w:tcMar>
                    <w:top w:w="0" w:type="dxa"/>
                    <w:left w:w="28" w:type="dxa"/>
                    <w:bottom w:w="0" w:type="dxa"/>
                    <w:right w:w="28" w:type="dxa"/>
                  </w:tcMar>
                  <w:vAlign w:val="center"/>
                </w:tcPr>
                <w:p w14:paraId="22182C41">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p>
              </w:tc>
              <w:tc>
                <w:tcPr>
                  <w:tcW w:w="1443" w:type="dxa"/>
                  <w:tcMar>
                    <w:top w:w="0" w:type="dxa"/>
                    <w:left w:w="28" w:type="dxa"/>
                    <w:bottom w:w="0" w:type="dxa"/>
                    <w:right w:w="28" w:type="dxa"/>
                  </w:tcMar>
                  <w:vAlign w:val="center"/>
                </w:tcPr>
                <w:p w14:paraId="47A2BA86">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散剂、颗粒剂装袋粉尘</w:t>
                  </w:r>
                </w:p>
              </w:tc>
              <w:tc>
                <w:tcPr>
                  <w:tcW w:w="783" w:type="dxa"/>
                  <w:tcMar>
                    <w:top w:w="0" w:type="dxa"/>
                    <w:left w:w="28" w:type="dxa"/>
                    <w:bottom w:w="0" w:type="dxa"/>
                    <w:right w:w="28" w:type="dxa"/>
                  </w:tcMar>
                  <w:vAlign w:val="center"/>
                </w:tcPr>
                <w:p w14:paraId="02D176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颗粒物</w:t>
                  </w:r>
                </w:p>
              </w:tc>
              <w:tc>
                <w:tcPr>
                  <w:tcW w:w="784" w:type="dxa"/>
                  <w:tcMar>
                    <w:top w:w="0" w:type="dxa"/>
                    <w:left w:w="28" w:type="dxa"/>
                    <w:bottom w:w="0" w:type="dxa"/>
                    <w:right w:w="28" w:type="dxa"/>
                  </w:tcMar>
                  <w:vAlign w:val="center"/>
                </w:tcPr>
                <w:p w14:paraId="5D5F48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2000</w:t>
                  </w:r>
                </w:p>
              </w:tc>
              <w:tc>
                <w:tcPr>
                  <w:tcW w:w="865" w:type="dxa"/>
                  <w:tcMar>
                    <w:top w:w="0" w:type="dxa"/>
                    <w:left w:w="28" w:type="dxa"/>
                    <w:bottom w:w="0" w:type="dxa"/>
                    <w:right w:w="28" w:type="dxa"/>
                  </w:tcMar>
                  <w:vAlign w:val="center"/>
                </w:tcPr>
                <w:p w14:paraId="58CF41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191.7</w:t>
                  </w:r>
                </w:p>
              </w:tc>
              <w:tc>
                <w:tcPr>
                  <w:tcW w:w="865" w:type="dxa"/>
                  <w:tcMar>
                    <w:top w:w="0" w:type="dxa"/>
                    <w:left w:w="28" w:type="dxa"/>
                    <w:bottom w:w="0" w:type="dxa"/>
                    <w:right w:w="28" w:type="dxa"/>
                  </w:tcMar>
                  <w:vAlign w:val="center"/>
                </w:tcPr>
                <w:p w14:paraId="03AADC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2.76</w:t>
                  </w:r>
                </w:p>
              </w:tc>
              <w:tc>
                <w:tcPr>
                  <w:tcW w:w="865" w:type="dxa"/>
                  <w:gridSpan w:val="2"/>
                  <w:tcMar>
                    <w:top w:w="0" w:type="dxa"/>
                    <w:left w:w="28" w:type="dxa"/>
                    <w:bottom w:w="0" w:type="dxa"/>
                    <w:right w:w="28" w:type="dxa"/>
                  </w:tcMar>
                  <w:vAlign w:val="center"/>
                </w:tcPr>
                <w:p w14:paraId="11B984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1.9</w:t>
                  </w:r>
                </w:p>
              </w:tc>
              <w:tc>
                <w:tcPr>
                  <w:tcW w:w="867" w:type="dxa"/>
                  <w:tcMar>
                    <w:top w:w="0" w:type="dxa"/>
                    <w:left w:w="28" w:type="dxa"/>
                    <w:bottom w:w="0" w:type="dxa"/>
                    <w:right w:w="28" w:type="dxa"/>
                  </w:tcMar>
                  <w:vAlign w:val="center"/>
                </w:tcPr>
                <w:p w14:paraId="4C1E55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0.0276</w:t>
                  </w:r>
                </w:p>
              </w:tc>
              <w:tc>
                <w:tcPr>
                  <w:tcW w:w="1083" w:type="dxa"/>
                  <w:tcMar>
                    <w:top w:w="0" w:type="dxa"/>
                    <w:left w:w="28" w:type="dxa"/>
                    <w:bottom w:w="0" w:type="dxa"/>
                    <w:right w:w="28" w:type="dxa"/>
                  </w:tcMar>
                  <w:vAlign w:val="center"/>
                </w:tcPr>
                <w:p w14:paraId="7C1AC6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袋式除尘99%</w:t>
                  </w:r>
                </w:p>
              </w:tc>
            </w:tr>
            <w:tr w14:paraId="6AA1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dxa"/>
                  <w:vMerge w:val="continue"/>
                  <w:tcMar>
                    <w:top w:w="0" w:type="dxa"/>
                    <w:left w:w="28" w:type="dxa"/>
                    <w:bottom w:w="0" w:type="dxa"/>
                    <w:right w:w="28" w:type="dxa"/>
                  </w:tcMar>
                  <w:vAlign w:val="center"/>
                </w:tcPr>
                <w:p w14:paraId="48B21F99">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p>
              </w:tc>
              <w:tc>
                <w:tcPr>
                  <w:tcW w:w="1443" w:type="dxa"/>
                  <w:tcMar>
                    <w:top w:w="0" w:type="dxa"/>
                    <w:left w:w="28" w:type="dxa"/>
                    <w:bottom w:w="0" w:type="dxa"/>
                    <w:right w:w="28" w:type="dxa"/>
                  </w:tcMar>
                  <w:vAlign w:val="center"/>
                </w:tcPr>
                <w:p w14:paraId="467B5114">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制粒干燥、筛粒总混粉尘</w:t>
                  </w:r>
                </w:p>
              </w:tc>
              <w:tc>
                <w:tcPr>
                  <w:tcW w:w="783" w:type="dxa"/>
                  <w:tcMar>
                    <w:top w:w="0" w:type="dxa"/>
                    <w:left w:w="28" w:type="dxa"/>
                    <w:bottom w:w="0" w:type="dxa"/>
                    <w:right w:w="28" w:type="dxa"/>
                  </w:tcMar>
                  <w:vAlign w:val="center"/>
                </w:tcPr>
                <w:p w14:paraId="7B0855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颗粒物</w:t>
                  </w:r>
                </w:p>
              </w:tc>
              <w:tc>
                <w:tcPr>
                  <w:tcW w:w="784" w:type="dxa"/>
                  <w:tcMar>
                    <w:top w:w="0" w:type="dxa"/>
                    <w:left w:w="28" w:type="dxa"/>
                    <w:bottom w:w="0" w:type="dxa"/>
                    <w:right w:w="28" w:type="dxa"/>
                  </w:tcMar>
                  <w:vAlign w:val="center"/>
                </w:tcPr>
                <w:p w14:paraId="6D9D2D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20000</w:t>
                  </w:r>
                </w:p>
              </w:tc>
              <w:tc>
                <w:tcPr>
                  <w:tcW w:w="865" w:type="dxa"/>
                  <w:tcMar>
                    <w:top w:w="0" w:type="dxa"/>
                    <w:left w:w="28" w:type="dxa"/>
                    <w:bottom w:w="0" w:type="dxa"/>
                    <w:right w:w="28" w:type="dxa"/>
                  </w:tcMar>
                  <w:vAlign w:val="center"/>
                </w:tcPr>
                <w:p w14:paraId="7D9062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559</w:t>
                  </w:r>
                </w:p>
              </w:tc>
              <w:tc>
                <w:tcPr>
                  <w:tcW w:w="865" w:type="dxa"/>
                  <w:tcMar>
                    <w:top w:w="0" w:type="dxa"/>
                    <w:left w:w="28" w:type="dxa"/>
                    <w:bottom w:w="0" w:type="dxa"/>
                    <w:right w:w="28" w:type="dxa"/>
                  </w:tcMar>
                  <w:vAlign w:val="center"/>
                </w:tcPr>
                <w:p w14:paraId="33DC13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80.5</w:t>
                  </w:r>
                </w:p>
              </w:tc>
              <w:tc>
                <w:tcPr>
                  <w:tcW w:w="865" w:type="dxa"/>
                  <w:gridSpan w:val="2"/>
                  <w:tcMar>
                    <w:top w:w="0" w:type="dxa"/>
                    <w:left w:w="28" w:type="dxa"/>
                    <w:bottom w:w="0" w:type="dxa"/>
                    <w:right w:w="28" w:type="dxa"/>
                  </w:tcMar>
                  <w:vAlign w:val="center"/>
                </w:tcPr>
                <w:p w14:paraId="78167D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5.6</w:t>
                  </w:r>
                </w:p>
              </w:tc>
              <w:tc>
                <w:tcPr>
                  <w:tcW w:w="867" w:type="dxa"/>
                  <w:tcMar>
                    <w:top w:w="0" w:type="dxa"/>
                    <w:left w:w="28" w:type="dxa"/>
                    <w:bottom w:w="0" w:type="dxa"/>
                    <w:right w:w="28" w:type="dxa"/>
                  </w:tcMar>
                  <w:vAlign w:val="center"/>
                </w:tcPr>
                <w:p w14:paraId="44470F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0.805</w:t>
                  </w:r>
                </w:p>
              </w:tc>
              <w:tc>
                <w:tcPr>
                  <w:tcW w:w="1083" w:type="dxa"/>
                  <w:tcMar>
                    <w:top w:w="0" w:type="dxa"/>
                    <w:left w:w="28" w:type="dxa"/>
                    <w:bottom w:w="0" w:type="dxa"/>
                    <w:right w:w="28" w:type="dxa"/>
                  </w:tcMar>
                  <w:vAlign w:val="center"/>
                </w:tcPr>
                <w:p w14:paraId="41A1FA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袋式除尘99%</w:t>
                  </w:r>
                </w:p>
              </w:tc>
            </w:tr>
            <w:tr w14:paraId="639B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dxa"/>
                  <w:vMerge w:val="continue"/>
                  <w:tcMar>
                    <w:top w:w="0" w:type="dxa"/>
                    <w:left w:w="28" w:type="dxa"/>
                    <w:bottom w:w="0" w:type="dxa"/>
                    <w:right w:w="28" w:type="dxa"/>
                  </w:tcMar>
                  <w:vAlign w:val="center"/>
                </w:tcPr>
                <w:p w14:paraId="312C1D6D">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p>
              </w:tc>
              <w:tc>
                <w:tcPr>
                  <w:tcW w:w="1443" w:type="dxa"/>
                  <w:tcMar>
                    <w:top w:w="0" w:type="dxa"/>
                    <w:left w:w="28" w:type="dxa"/>
                    <w:bottom w:w="0" w:type="dxa"/>
                    <w:right w:w="28" w:type="dxa"/>
                  </w:tcMar>
                  <w:vAlign w:val="center"/>
                </w:tcPr>
                <w:p w14:paraId="79CCD8F7">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片剂压片、包衣粉尘</w:t>
                  </w:r>
                </w:p>
              </w:tc>
              <w:tc>
                <w:tcPr>
                  <w:tcW w:w="783" w:type="dxa"/>
                  <w:tcMar>
                    <w:top w:w="0" w:type="dxa"/>
                    <w:left w:w="28" w:type="dxa"/>
                    <w:bottom w:w="0" w:type="dxa"/>
                    <w:right w:w="28" w:type="dxa"/>
                  </w:tcMar>
                  <w:vAlign w:val="center"/>
                </w:tcPr>
                <w:p w14:paraId="44E36D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颗粒物</w:t>
                  </w:r>
                </w:p>
              </w:tc>
              <w:tc>
                <w:tcPr>
                  <w:tcW w:w="784" w:type="dxa"/>
                  <w:tcMar>
                    <w:top w:w="0" w:type="dxa"/>
                    <w:left w:w="28" w:type="dxa"/>
                    <w:bottom w:w="0" w:type="dxa"/>
                    <w:right w:w="28" w:type="dxa"/>
                  </w:tcMar>
                  <w:vAlign w:val="center"/>
                </w:tcPr>
                <w:p w14:paraId="711D7E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2000</w:t>
                  </w:r>
                </w:p>
              </w:tc>
              <w:tc>
                <w:tcPr>
                  <w:tcW w:w="865" w:type="dxa"/>
                  <w:tcMar>
                    <w:top w:w="0" w:type="dxa"/>
                    <w:left w:w="28" w:type="dxa"/>
                    <w:bottom w:w="0" w:type="dxa"/>
                    <w:right w:w="28" w:type="dxa"/>
                  </w:tcMar>
                  <w:vAlign w:val="center"/>
                </w:tcPr>
                <w:p w14:paraId="23F13B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113.3</w:t>
                  </w:r>
                </w:p>
              </w:tc>
              <w:tc>
                <w:tcPr>
                  <w:tcW w:w="865" w:type="dxa"/>
                  <w:tcMar>
                    <w:top w:w="0" w:type="dxa"/>
                    <w:left w:w="28" w:type="dxa"/>
                    <w:bottom w:w="0" w:type="dxa"/>
                    <w:right w:w="28" w:type="dxa"/>
                  </w:tcMar>
                  <w:vAlign w:val="center"/>
                </w:tcPr>
                <w:p w14:paraId="4E9A43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1.632</w:t>
                  </w:r>
                </w:p>
              </w:tc>
              <w:tc>
                <w:tcPr>
                  <w:tcW w:w="865" w:type="dxa"/>
                  <w:gridSpan w:val="2"/>
                  <w:tcMar>
                    <w:top w:w="0" w:type="dxa"/>
                    <w:left w:w="28" w:type="dxa"/>
                    <w:bottom w:w="0" w:type="dxa"/>
                    <w:right w:w="28" w:type="dxa"/>
                  </w:tcMar>
                  <w:vAlign w:val="center"/>
                </w:tcPr>
                <w:p w14:paraId="132BB3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1.1</w:t>
                  </w:r>
                </w:p>
              </w:tc>
              <w:tc>
                <w:tcPr>
                  <w:tcW w:w="867" w:type="dxa"/>
                  <w:tcMar>
                    <w:top w:w="0" w:type="dxa"/>
                    <w:left w:w="28" w:type="dxa"/>
                    <w:bottom w:w="0" w:type="dxa"/>
                    <w:right w:w="28" w:type="dxa"/>
                  </w:tcMar>
                  <w:vAlign w:val="center"/>
                </w:tcPr>
                <w:p w14:paraId="08A1DB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0.0163</w:t>
                  </w:r>
                </w:p>
              </w:tc>
              <w:tc>
                <w:tcPr>
                  <w:tcW w:w="1083" w:type="dxa"/>
                  <w:tcMar>
                    <w:top w:w="0" w:type="dxa"/>
                    <w:left w:w="28" w:type="dxa"/>
                    <w:bottom w:w="0" w:type="dxa"/>
                    <w:right w:w="28" w:type="dxa"/>
                  </w:tcMar>
                  <w:vAlign w:val="center"/>
                </w:tcPr>
                <w:p w14:paraId="372145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袋式除尘99%</w:t>
                  </w:r>
                </w:p>
              </w:tc>
            </w:tr>
            <w:tr w14:paraId="6D2D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dxa"/>
                  <w:vMerge w:val="continue"/>
                  <w:tcMar>
                    <w:top w:w="0" w:type="dxa"/>
                    <w:left w:w="28" w:type="dxa"/>
                    <w:bottom w:w="0" w:type="dxa"/>
                    <w:right w:w="28" w:type="dxa"/>
                  </w:tcMar>
                  <w:vAlign w:val="center"/>
                </w:tcPr>
                <w:p w14:paraId="7D870196">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p>
              </w:tc>
              <w:tc>
                <w:tcPr>
                  <w:tcW w:w="1443" w:type="dxa"/>
                  <w:tcMar>
                    <w:top w:w="0" w:type="dxa"/>
                    <w:left w:w="28" w:type="dxa"/>
                    <w:bottom w:w="0" w:type="dxa"/>
                    <w:right w:w="28" w:type="dxa"/>
                  </w:tcMar>
                  <w:vAlign w:val="center"/>
                </w:tcPr>
                <w:p w14:paraId="64B72EA3">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丸剂合坨制丸、筛丸干燥、总混打光粉尘</w:t>
                  </w:r>
                </w:p>
              </w:tc>
              <w:tc>
                <w:tcPr>
                  <w:tcW w:w="783" w:type="dxa"/>
                  <w:tcMar>
                    <w:top w:w="0" w:type="dxa"/>
                    <w:left w:w="28" w:type="dxa"/>
                    <w:bottom w:w="0" w:type="dxa"/>
                    <w:right w:w="28" w:type="dxa"/>
                  </w:tcMar>
                  <w:vAlign w:val="center"/>
                </w:tcPr>
                <w:p w14:paraId="71F9CD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颗粒物</w:t>
                  </w:r>
                </w:p>
              </w:tc>
              <w:tc>
                <w:tcPr>
                  <w:tcW w:w="784" w:type="dxa"/>
                  <w:tcMar>
                    <w:top w:w="0" w:type="dxa"/>
                    <w:left w:w="28" w:type="dxa"/>
                    <w:bottom w:w="0" w:type="dxa"/>
                    <w:right w:w="28" w:type="dxa"/>
                  </w:tcMar>
                  <w:vAlign w:val="center"/>
                </w:tcPr>
                <w:p w14:paraId="7868FA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2000</w:t>
                  </w:r>
                </w:p>
              </w:tc>
              <w:tc>
                <w:tcPr>
                  <w:tcW w:w="865" w:type="dxa"/>
                  <w:tcMar>
                    <w:top w:w="0" w:type="dxa"/>
                    <w:left w:w="28" w:type="dxa"/>
                    <w:bottom w:w="0" w:type="dxa"/>
                    <w:right w:w="28" w:type="dxa"/>
                  </w:tcMar>
                  <w:vAlign w:val="center"/>
                </w:tcPr>
                <w:p w14:paraId="778EED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125</w:t>
                  </w:r>
                </w:p>
              </w:tc>
              <w:tc>
                <w:tcPr>
                  <w:tcW w:w="865" w:type="dxa"/>
                  <w:tcMar>
                    <w:top w:w="0" w:type="dxa"/>
                    <w:left w:w="28" w:type="dxa"/>
                    <w:bottom w:w="0" w:type="dxa"/>
                    <w:right w:w="28" w:type="dxa"/>
                  </w:tcMar>
                  <w:vAlign w:val="center"/>
                </w:tcPr>
                <w:p w14:paraId="4D4C66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1.8</w:t>
                  </w:r>
                </w:p>
              </w:tc>
              <w:tc>
                <w:tcPr>
                  <w:tcW w:w="865" w:type="dxa"/>
                  <w:gridSpan w:val="2"/>
                  <w:tcMar>
                    <w:top w:w="0" w:type="dxa"/>
                    <w:left w:w="28" w:type="dxa"/>
                    <w:bottom w:w="0" w:type="dxa"/>
                    <w:right w:w="28" w:type="dxa"/>
                  </w:tcMar>
                  <w:vAlign w:val="center"/>
                </w:tcPr>
                <w:p w14:paraId="7E7DFB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1.3</w:t>
                  </w:r>
                </w:p>
              </w:tc>
              <w:tc>
                <w:tcPr>
                  <w:tcW w:w="867" w:type="dxa"/>
                  <w:tcMar>
                    <w:top w:w="0" w:type="dxa"/>
                    <w:left w:w="28" w:type="dxa"/>
                    <w:bottom w:w="0" w:type="dxa"/>
                    <w:right w:w="28" w:type="dxa"/>
                  </w:tcMar>
                  <w:vAlign w:val="center"/>
                </w:tcPr>
                <w:p w14:paraId="5B8A2C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0.018</w:t>
                  </w:r>
                </w:p>
              </w:tc>
              <w:tc>
                <w:tcPr>
                  <w:tcW w:w="1083" w:type="dxa"/>
                  <w:tcMar>
                    <w:top w:w="0" w:type="dxa"/>
                    <w:left w:w="28" w:type="dxa"/>
                    <w:bottom w:w="0" w:type="dxa"/>
                    <w:right w:w="28" w:type="dxa"/>
                  </w:tcMar>
                  <w:vAlign w:val="center"/>
                </w:tcPr>
                <w:p w14:paraId="5699E8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袋式除尘99%</w:t>
                  </w:r>
                </w:p>
              </w:tc>
            </w:tr>
            <w:tr w14:paraId="79BA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dxa"/>
                  <w:vMerge w:val="continue"/>
                  <w:tcMar>
                    <w:top w:w="0" w:type="dxa"/>
                    <w:left w:w="28" w:type="dxa"/>
                    <w:bottom w:w="0" w:type="dxa"/>
                    <w:right w:w="28" w:type="dxa"/>
                  </w:tcMar>
                  <w:vAlign w:val="center"/>
                </w:tcPr>
                <w:p w14:paraId="10AA36EE">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p>
              </w:tc>
              <w:tc>
                <w:tcPr>
                  <w:tcW w:w="1443" w:type="dxa"/>
                  <w:shd w:val="clear" w:color="auto" w:fill="auto"/>
                  <w:tcMar>
                    <w:top w:w="0" w:type="dxa"/>
                    <w:left w:w="28" w:type="dxa"/>
                    <w:bottom w:w="0" w:type="dxa"/>
                    <w:right w:w="28" w:type="dxa"/>
                  </w:tcMar>
                  <w:vAlign w:val="center"/>
                </w:tcPr>
                <w:p w14:paraId="175C35F9">
                  <w:pPr>
                    <w:adjustRightInd w:val="0"/>
                    <w:snapToGrid w:val="0"/>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配液、灌装废气</w:t>
                  </w:r>
                </w:p>
              </w:tc>
              <w:tc>
                <w:tcPr>
                  <w:tcW w:w="783" w:type="dxa"/>
                  <w:shd w:val="clear" w:color="auto" w:fill="auto"/>
                  <w:tcMar>
                    <w:top w:w="0" w:type="dxa"/>
                    <w:left w:w="28" w:type="dxa"/>
                    <w:bottom w:w="0" w:type="dxa"/>
                    <w:right w:w="28" w:type="dxa"/>
                  </w:tcMar>
                  <w:vAlign w:val="center"/>
                </w:tcPr>
                <w:p w14:paraId="03B4C9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VOCs</w:t>
                  </w:r>
                </w:p>
              </w:tc>
              <w:tc>
                <w:tcPr>
                  <w:tcW w:w="784" w:type="dxa"/>
                  <w:vMerge w:val="restart"/>
                  <w:shd w:val="clear" w:color="auto" w:fill="auto"/>
                  <w:tcMar>
                    <w:top w:w="0" w:type="dxa"/>
                    <w:left w:w="28" w:type="dxa"/>
                    <w:bottom w:w="0" w:type="dxa"/>
                    <w:right w:w="28" w:type="dxa"/>
                  </w:tcMar>
                  <w:vAlign w:val="center"/>
                </w:tcPr>
                <w:p w14:paraId="20CE52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2000</w:t>
                  </w:r>
                </w:p>
              </w:tc>
              <w:tc>
                <w:tcPr>
                  <w:tcW w:w="865" w:type="dxa"/>
                  <w:vMerge w:val="restart"/>
                  <w:shd w:val="clear" w:color="auto" w:fill="auto"/>
                  <w:tcMar>
                    <w:top w:w="0" w:type="dxa"/>
                    <w:left w:w="28" w:type="dxa"/>
                    <w:bottom w:w="0" w:type="dxa"/>
                    <w:right w:w="28" w:type="dxa"/>
                  </w:tcMar>
                  <w:vAlign w:val="center"/>
                </w:tcPr>
                <w:p w14:paraId="609FBE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271.1</w:t>
                  </w:r>
                </w:p>
              </w:tc>
              <w:tc>
                <w:tcPr>
                  <w:tcW w:w="865" w:type="dxa"/>
                  <w:shd w:val="clear" w:color="auto" w:fill="auto"/>
                  <w:tcMar>
                    <w:top w:w="0" w:type="dxa"/>
                    <w:left w:w="28" w:type="dxa"/>
                    <w:bottom w:w="0" w:type="dxa"/>
                    <w:right w:w="28" w:type="dxa"/>
                  </w:tcMar>
                  <w:vAlign w:val="center"/>
                </w:tcPr>
                <w:p w14:paraId="0120A9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12.3</w:t>
                  </w:r>
                </w:p>
              </w:tc>
              <w:tc>
                <w:tcPr>
                  <w:tcW w:w="865" w:type="dxa"/>
                  <w:gridSpan w:val="2"/>
                  <w:vMerge w:val="restart"/>
                  <w:shd w:val="clear" w:color="auto" w:fill="auto"/>
                  <w:tcMar>
                    <w:top w:w="0" w:type="dxa"/>
                    <w:left w:w="28" w:type="dxa"/>
                    <w:bottom w:w="0" w:type="dxa"/>
                    <w:right w:w="28" w:type="dxa"/>
                  </w:tcMar>
                  <w:vAlign w:val="center"/>
                </w:tcPr>
                <w:p w14:paraId="3FEEFD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2.7</w:t>
                  </w:r>
                </w:p>
              </w:tc>
              <w:tc>
                <w:tcPr>
                  <w:tcW w:w="867" w:type="dxa"/>
                  <w:vMerge w:val="restart"/>
                  <w:shd w:val="clear" w:color="auto" w:fill="auto"/>
                  <w:tcMar>
                    <w:top w:w="0" w:type="dxa"/>
                    <w:left w:w="28" w:type="dxa"/>
                    <w:bottom w:w="0" w:type="dxa"/>
                    <w:right w:w="28" w:type="dxa"/>
                  </w:tcMar>
                  <w:vAlign w:val="center"/>
                </w:tcPr>
                <w:p w14:paraId="0A25E6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0.137</w:t>
                  </w:r>
                </w:p>
              </w:tc>
              <w:tc>
                <w:tcPr>
                  <w:tcW w:w="1083" w:type="dxa"/>
                  <w:vMerge w:val="restart"/>
                  <w:shd w:val="clear" w:color="auto" w:fill="auto"/>
                  <w:tcMar>
                    <w:top w:w="0" w:type="dxa"/>
                    <w:left w:w="28" w:type="dxa"/>
                    <w:bottom w:w="0" w:type="dxa"/>
                    <w:right w:w="28" w:type="dxa"/>
                  </w:tcMar>
                  <w:vAlign w:val="center"/>
                </w:tcPr>
                <w:p w14:paraId="0F8F0B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低温冷凝+RCO催化燃烧，99%</w:t>
                  </w:r>
                </w:p>
              </w:tc>
            </w:tr>
            <w:tr w14:paraId="43B4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0" w:type="dxa"/>
                  <w:gridSpan w:val="2"/>
                  <w:tcMar>
                    <w:top w:w="0" w:type="dxa"/>
                    <w:left w:w="28" w:type="dxa"/>
                    <w:bottom w:w="0" w:type="dxa"/>
                    <w:right w:w="28" w:type="dxa"/>
                  </w:tcMar>
                  <w:vAlign w:val="center"/>
                </w:tcPr>
                <w:p w14:paraId="42405E97">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乙醇罐区废气</w:t>
                  </w:r>
                </w:p>
              </w:tc>
              <w:tc>
                <w:tcPr>
                  <w:tcW w:w="783" w:type="dxa"/>
                  <w:tcMar>
                    <w:top w:w="0" w:type="dxa"/>
                    <w:left w:w="28" w:type="dxa"/>
                    <w:bottom w:w="0" w:type="dxa"/>
                    <w:right w:w="28" w:type="dxa"/>
                  </w:tcMar>
                  <w:vAlign w:val="center"/>
                </w:tcPr>
                <w:p w14:paraId="39957D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VOCs</w:t>
                  </w:r>
                </w:p>
              </w:tc>
              <w:tc>
                <w:tcPr>
                  <w:tcW w:w="784" w:type="dxa"/>
                  <w:vMerge w:val="continue"/>
                  <w:tcMar>
                    <w:top w:w="0" w:type="dxa"/>
                    <w:left w:w="28" w:type="dxa"/>
                    <w:bottom w:w="0" w:type="dxa"/>
                    <w:right w:w="28" w:type="dxa"/>
                  </w:tcMar>
                  <w:vAlign w:val="center"/>
                </w:tcPr>
                <w:p w14:paraId="6A9641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p>
              </w:tc>
              <w:tc>
                <w:tcPr>
                  <w:tcW w:w="865" w:type="dxa"/>
                  <w:vMerge w:val="continue"/>
                  <w:tcMar>
                    <w:top w:w="0" w:type="dxa"/>
                    <w:left w:w="28" w:type="dxa"/>
                    <w:bottom w:w="0" w:type="dxa"/>
                    <w:right w:w="28" w:type="dxa"/>
                  </w:tcMar>
                  <w:vAlign w:val="center"/>
                </w:tcPr>
                <w:p w14:paraId="475BBA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c>
                <w:tcPr>
                  <w:tcW w:w="865" w:type="dxa"/>
                  <w:tcMar>
                    <w:top w:w="0" w:type="dxa"/>
                    <w:left w:w="28" w:type="dxa"/>
                    <w:bottom w:w="0" w:type="dxa"/>
                    <w:right w:w="28" w:type="dxa"/>
                  </w:tcMar>
                  <w:vAlign w:val="center"/>
                </w:tcPr>
                <w:p w14:paraId="3697A9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1.362</w:t>
                  </w:r>
                </w:p>
              </w:tc>
              <w:tc>
                <w:tcPr>
                  <w:tcW w:w="865" w:type="dxa"/>
                  <w:gridSpan w:val="2"/>
                  <w:vMerge w:val="continue"/>
                  <w:tcMar>
                    <w:top w:w="0" w:type="dxa"/>
                    <w:left w:w="28" w:type="dxa"/>
                    <w:bottom w:w="0" w:type="dxa"/>
                    <w:right w:w="28" w:type="dxa"/>
                  </w:tcMar>
                  <w:vAlign w:val="center"/>
                </w:tcPr>
                <w:p w14:paraId="063847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c>
                <w:tcPr>
                  <w:tcW w:w="867" w:type="dxa"/>
                  <w:vMerge w:val="continue"/>
                  <w:tcMar>
                    <w:top w:w="0" w:type="dxa"/>
                    <w:left w:w="28" w:type="dxa"/>
                    <w:bottom w:w="0" w:type="dxa"/>
                    <w:right w:w="28" w:type="dxa"/>
                  </w:tcMar>
                  <w:vAlign w:val="center"/>
                </w:tcPr>
                <w:p w14:paraId="203FA7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p>
              </w:tc>
              <w:tc>
                <w:tcPr>
                  <w:tcW w:w="1083" w:type="dxa"/>
                  <w:vMerge w:val="continue"/>
                  <w:tcMar>
                    <w:top w:w="0" w:type="dxa"/>
                    <w:left w:w="28" w:type="dxa"/>
                    <w:bottom w:w="0" w:type="dxa"/>
                    <w:right w:w="28" w:type="dxa"/>
                  </w:tcMar>
                  <w:vAlign w:val="center"/>
                </w:tcPr>
                <w:p w14:paraId="79E073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000000" w:themeColor="text1"/>
                      <w:szCs w:val="21"/>
                      <w:lang w:val="en-US" w:eastAsia="zh-CN"/>
                      <w14:textFill>
                        <w14:solidFill>
                          <w14:schemeClr w14:val="tx1"/>
                        </w14:solidFill>
                      </w14:textFill>
                    </w:rPr>
                  </w:pPr>
                </w:p>
              </w:tc>
            </w:tr>
            <w:tr w14:paraId="0912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0" w:type="dxa"/>
                  <w:gridSpan w:val="2"/>
                  <w:tcMar>
                    <w:top w:w="0" w:type="dxa"/>
                    <w:left w:w="28" w:type="dxa"/>
                    <w:bottom w:w="0" w:type="dxa"/>
                    <w:right w:w="28" w:type="dxa"/>
                  </w:tcMar>
                  <w:vAlign w:val="center"/>
                </w:tcPr>
                <w:p w14:paraId="45BC4B0B">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污水站废气</w:t>
                  </w:r>
                </w:p>
              </w:tc>
              <w:tc>
                <w:tcPr>
                  <w:tcW w:w="783" w:type="dxa"/>
                  <w:tcMar>
                    <w:top w:w="0" w:type="dxa"/>
                    <w:left w:w="28" w:type="dxa"/>
                    <w:bottom w:w="0" w:type="dxa"/>
                    <w:right w:w="28" w:type="dxa"/>
                  </w:tcMar>
                  <w:vAlign w:val="center"/>
                </w:tcPr>
                <w:p w14:paraId="23B8D0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VOCs</w:t>
                  </w:r>
                </w:p>
              </w:tc>
              <w:tc>
                <w:tcPr>
                  <w:tcW w:w="784" w:type="dxa"/>
                  <w:tcMar>
                    <w:top w:w="0" w:type="dxa"/>
                    <w:left w:w="28" w:type="dxa"/>
                    <w:bottom w:w="0" w:type="dxa"/>
                    <w:right w:w="28" w:type="dxa"/>
                  </w:tcMar>
                  <w:vAlign w:val="center"/>
                </w:tcPr>
                <w:p w14:paraId="7E598B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5000</w:t>
                  </w:r>
                </w:p>
              </w:tc>
              <w:tc>
                <w:tcPr>
                  <w:tcW w:w="865" w:type="dxa"/>
                  <w:vMerge w:val="continue"/>
                  <w:tcMar>
                    <w:top w:w="0" w:type="dxa"/>
                    <w:left w:w="28" w:type="dxa"/>
                    <w:bottom w:w="0" w:type="dxa"/>
                    <w:right w:w="28" w:type="dxa"/>
                  </w:tcMar>
                  <w:vAlign w:val="center"/>
                </w:tcPr>
                <w:p w14:paraId="451BDF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p>
              </w:tc>
              <w:tc>
                <w:tcPr>
                  <w:tcW w:w="865" w:type="dxa"/>
                  <w:tcMar>
                    <w:top w:w="0" w:type="dxa"/>
                    <w:left w:w="28" w:type="dxa"/>
                    <w:bottom w:w="0" w:type="dxa"/>
                    <w:right w:w="28" w:type="dxa"/>
                  </w:tcMar>
                  <w:vAlign w:val="center"/>
                </w:tcPr>
                <w:p w14:paraId="03987A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865" w:type="dxa"/>
                  <w:gridSpan w:val="2"/>
                  <w:vMerge w:val="continue"/>
                  <w:tcMar>
                    <w:top w:w="0" w:type="dxa"/>
                    <w:left w:w="28" w:type="dxa"/>
                    <w:bottom w:w="0" w:type="dxa"/>
                    <w:right w:w="28" w:type="dxa"/>
                  </w:tcMar>
                  <w:vAlign w:val="center"/>
                </w:tcPr>
                <w:p w14:paraId="018890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p>
              </w:tc>
              <w:tc>
                <w:tcPr>
                  <w:tcW w:w="867" w:type="dxa"/>
                  <w:vMerge w:val="continue"/>
                  <w:tcMar>
                    <w:top w:w="0" w:type="dxa"/>
                    <w:left w:w="28" w:type="dxa"/>
                    <w:bottom w:w="0" w:type="dxa"/>
                    <w:right w:w="28" w:type="dxa"/>
                  </w:tcMar>
                  <w:vAlign w:val="center"/>
                </w:tcPr>
                <w:p w14:paraId="3549F5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p>
              </w:tc>
              <w:tc>
                <w:tcPr>
                  <w:tcW w:w="1083" w:type="dxa"/>
                  <w:vMerge w:val="continue"/>
                  <w:tcMar>
                    <w:top w:w="0" w:type="dxa"/>
                    <w:left w:w="28" w:type="dxa"/>
                    <w:bottom w:w="0" w:type="dxa"/>
                    <w:right w:w="28" w:type="dxa"/>
                  </w:tcMar>
                  <w:vAlign w:val="center"/>
                </w:tcPr>
                <w:p w14:paraId="45A20B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000000" w:themeColor="text1"/>
                      <w:szCs w:val="21"/>
                      <w:lang w:val="en-US" w:eastAsia="zh-CN"/>
                      <w14:textFill>
                        <w14:solidFill>
                          <w14:schemeClr w14:val="tx1"/>
                        </w14:solidFill>
                      </w14:textFill>
                    </w:rPr>
                  </w:pPr>
                </w:p>
              </w:tc>
            </w:tr>
            <w:tr w14:paraId="6550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0" w:type="dxa"/>
                  <w:gridSpan w:val="2"/>
                  <w:tcMar>
                    <w:top w:w="0" w:type="dxa"/>
                    <w:left w:w="28" w:type="dxa"/>
                    <w:bottom w:w="0" w:type="dxa"/>
                    <w:right w:w="28" w:type="dxa"/>
                  </w:tcMar>
                  <w:vAlign w:val="center"/>
                </w:tcPr>
                <w:p w14:paraId="072DC9AA">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无组织废气</w:t>
                  </w:r>
                </w:p>
              </w:tc>
              <w:tc>
                <w:tcPr>
                  <w:tcW w:w="783" w:type="dxa"/>
                  <w:tcMar>
                    <w:top w:w="0" w:type="dxa"/>
                    <w:left w:w="28" w:type="dxa"/>
                    <w:bottom w:w="0" w:type="dxa"/>
                    <w:right w:w="28" w:type="dxa"/>
                  </w:tcMar>
                  <w:vAlign w:val="center"/>
                </w:tcPr>
                <w:p w14:paraId="12A513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颗粒物</w:t>
                  </w:r>
                </w:p>
              </w:tc>
              <w:tc>
                <w:tcPr>
                  <w:tcW w:w="784" w:type="dxa"/>
                  <w:tcMar>
                    <w:top w:w="0" w:type="dxa"/>
                    <w:left w:w="28" w:type="dxa"/>
                    <w:bottom w:w="0" w:type="dxa"/>
                    <w:right w:w="28" w:type="dxa"/>
                  </w:tcMar>
                  <w:vAlign w:val="center"/>
                </w:tcPr>
                <w:p w14:paraId="777C6E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865" w:type="dxa"/>
                  <w:tcMar>
                    <w:top w:w="0" w:type="dxa"/>
                    <w:left w:w="28" w:type="dxa"/>
                    <w:bottom w:w="0" w:type="dxa"/>
                    <w:right w:w="28" w:type="dxa"/>
                  </w:tcMar>
                  <w:vAlign w:val="center"/>
                </w:tcPr>
                <w:p w14:paraId="66C1D6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865" w:type="dxa"/>
                  <w:tcMar>
                    <w:top w:w="0" w:type="dxa"/>
                    <w:left w:w="28" w:type="dxa"/>
                    <w:bottom w:w="0" w:type="dxa"/>
                    <w:right w:w="28" w:type="dxa"/>
                  </w:tcMar>
                  <w:vAlign w:val="center"/>
                </w:tcPr>
                <w:p w14:paraId="03EB46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1.49</w:t>
                  </w:r>
                </w:p>
              </w:tc>
              <w:tc>
                <w:tcPr>
                  <w:tcW w:w="865" w:type="dxa"/>
                  <w:gridSpan w:val="2"/>
                  <w:tcMar>
                    <w:top w:w="0" w:type="dxa"/>
                    <w:left w:w="28" w:type="dxa"/>
                    <w:bottom w:w="0" w:type="dxa"/>
                    <w:right w:w="28" w:type="dxa"/>
                  </w:tcMar>
                  <w:vAlign w:val="center"/>
                </w:tcPr>
                <w:p w14:paraId="5A0E9F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867" w:type="dxa"/>
                  <w:tcMar>
                    <w:top w:w="0" w:type="dxa"/>
                    <w:left w:w="28" w:type="dxa"/>
                    <w:bottom w:w="0" w:type="dxa"/>
                    <w:right w:w="28" w:type="dxa"/>
                  </w:tcMar>
                  <w:vAlign w:val="center"/>
                </w:tcPr>
                <w:p w14:paraId="2E8793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0.149</w:t>
                  </w:r>
                </w:p>
              </w:tc>
              <w:tc>
                <w:tcPr>
                  <w:tcW w:w="1083" w:type="dxa"/>
                  <w:tcMar>
                    <w:top w:w="0" w:type="dxa"/>
                    <w:left w:w="28" w:type="dxa"/>
                    <w:bottom w:w="0" w:type="dxa"/>
                    <w:right w:w="28" w:type="dxa"/>
                  </w:tcMar>
                  <w:vAlign w:val="center"/>
                </w:tcPr>
                <w:p w14:paraId="6386EB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车间密闭</w:t>
                  </w:r>
                </w:p>
              </w:tc>
            </w:tr>
          </w:tbl>
          <w:p w14:paraId="36B9D4D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cs="Times New Roman"/>
                <w:color w:val="000000" w:themeColor="text1"/>
                <w:sz w:val="24"/>
                <w:szCs w:val="24"/>
                <w:lang w:val="en-US" w:eastAsia="zh-CN"/>
                <w14:textFill>
                  <w14:solidFill>
                    <w14:schemeClr w14:val="tx1"/>
                  </w14:solidFill>
                </w14:textFill>
              </w:rPr>
            </w:pPr>
          </w:p>
          <w:p w14:paraId="591985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可见，本项目生产过程产生的颗粒物、VOCs（以TVOC表征）能够满足《制药工业大气污染物排放标准》（GB37823-2019）表2要求：颗粒物20 mg/m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，TVOC 100 mg/m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（50%执行，即50 mg/m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），同时颗粒物满足安环攻坚办〔2019〕196号文中要求：10 mg/m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。项目各废气处理达标后分别由15米高排气筒排放。废气污染治理工艺采用《排污许可证申请与核发技术规范 制药工业—中成药生产》（HJ1064—2019）中规定的废气可行技术。</w:t>
            </w:r>
          </w:p>
          <w:p w14:paraId="5B899C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1.7、废气排放口信息</w:t>
            </w:r>
          </w:p>
          <w:p w14:paraId="292035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本项目工艺废气排放口信息如下。</w:t>
            </w:r>
          </w:p>
          <w:p w14:paraId="7274C529">
            <w:pPr>
              <w:keepNext w:val="0"/>
              <w:keepLines w:val="0"/>
              <w:pageBreakBefore w:val="0"/>
              <w:widowControl w:val="0"/>
              <w:kinsoku/>
              <w:wordWrap/>
              <w:overflowPunct/>
              <w:topLinePunct w:val="0"/>
              <w:autoSpaceDE/>
              <w:autoSpaceDN/>
              <w:bidi w:val="0"/>
              <w:adjustRightInd w:val="0"/>
              <w:snapToGrid w:val="0"/>
              <w:spacing w:line="240" w:lineRule="auto"/>
              <w:ind w:firstLine="1920" w:firstLineChars="800"/>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表29  有组织废气排放口基本情况一览表</w:t>
            </w:r>
          </w:p>
          <w:tbl>
            <w:tblPr>
              <w:tblStyle w:val="26"/>
              <w:tblW w:w="4993"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51" w:type="dxa"/>
                <w:bottom w:w="0" w:type="dxa"/>
                <w:right w:w="51" w:type="dxa"/>
              </w:tblCellMar>
            </w:tblPr>
            <w:tblGrid>
              <w:gridCol w:w="1885"/>
              <w:gridCol w:w="850"/>
              <w:gridCol w:w="733"/>
              <w:gridCol w:w="1367"/>
              <w:gridCol w:w="1233"/>
              <w:gridCol w:w="733"/>
              <w:gridCol w:w="576"/>
              <w:gridCol w:w="580"/>
            </w:tblGrid>
            <w:tr w14:paraId="58988C1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blHeader/>
              </w:trPr>
              <w:tc>
                <w:tcPr>
                  <w:tcW w:w="1184" w:type="pct"/>
                  <w:vMerge w:val="restart"/>
                  <w:tcBorders>
                    <w:tl2br w:val="nil"/>
                    <w:tr2bl w:val="nil"/>
                  </w:tcBorders>
                  <w:noWrap w:val="0"/>
                  <w:vAlign w:val="center"/>
                </w:tcPr>
                <w:p w14:paraId="2238A777">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排放口名称及编号</w:t>
                  </w:r>
                </w:p>
              </w:tc>
              <w:tc>
                <w:tcPr>
                  <w:tcW w:w="534" w:type="pct"/>
                  <w:vMerge w:val="restart"/>
                  <w:tcBorders>
                    <w:tl2br w:val="nil"/>
                    <w:tr2bl w:val="nil"/>
                  </w:tcBorders>
                  <w:noWrap w:val="0"/>
                  <w:vAlign w:val="center"/>
                </w:tcPr>
                <w:p w14:paraId="7523DBDE">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污染</w:t>
                  </w:r>
                </w:p>
                <w:p w14:paraId="15D74B2A">
                  <w:pPr>
                    <w:widowControl/>
                    <w:jc w:val="center"/>
                    <w:rPr>
                      <w:rFonts w:hint="eastAsia" w:ascii="Times New Roman" w:hAnsi="Times New Roman" w:eastAsia="宋体"/>
                      <w:color w:val="000000" w:themeColor="text1"/>
                      <w:kern w:val="0"/>
                      <w:szCs w:val="21"/>
                      <w:lang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因子</w:t>
                  </w:r>
                </w:p>
              </w:tc>
              <w:tc>
                <w:tcPr>
                  <w:tcW w:w="460" w:type="pct"/>
                  <w:vMerge w:val="restart"/>
                  <w:tcBorders>
                    <w:tl2br w:val="nil"/>
                    <w:tr2bl w:val="nil"/>
                  </w:tcBorders>
                  <w:noWrap w:val="0"/>
                  <w:vAlign w:val="center"/>
                </w:tcPr>
                <w:p w14:paraId="3A99F2FC">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类型</w:t>
                  </w:r>
                </w:p>
              </w:tc>
              <w:tc>
                <w:tcPr>
                  <w:tcW w:w="1633" w:type="pct"/>
                  <w:gridSpan w:val="2"/>
                  <w:tcBorders>
                    <w:tl2br w:val="nil"/>
                    <w:tr2bl w:val="nil"/>
                  </w:tcBorders>
                  <w:noWrap w:val="0"/>
                  <w:vAlign w:val="center"/>
                </w:tcPr>
                <w:p w14:paraId="0EEEB012">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地理坐标</w:t>
                  </w:r>
                </w:p>
              </w:tc>
              <w:tc>
                <w:tcPr>
                  <w:tcW w:w="460" w:type="pct"/>
                  <w:vMerge w:val="restart"/>
                  <w:tcBorders>
                    <w:tl2br w:val="nil"/>
                    <w:tr2bl w:val="nil"/>
                  </w:tcBorders>
                  <w:noWrap w:val="0"/>
                  <w:vAlign w:val="center"/>
                </w:tcPr>
                <w:p w14:paraId="2F976132">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排气筒</w:t>
                  </w:r>
                </w:p>
                <w:p w14:paraId="37964AB3">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高度</w:t>
                  </w:r>
                </w:p>
                <w:p w14:paraId="5CDC5999">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m</w:t>
                  </w:r>
                </w:p>
              </w:tc>
              <w:tc>
                <w:tcPr>
                  <w:tcW w:w="361" w:type="pct"/>
                  <w:vMerge w:val="restart"/>
                  <w:tcBorders>
                    <w:tl2br w:val="nil"/>
                    <w:tr2bl w:val="nil"/>
                  </w:tcBorders>
                  <w:noWrap w:val="0"/>
                  <w:vAlign w:val="center"/>
                </w:tcPr>
                <w:p w14:paraId="06D758E5">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出口内径</w:t>
                  </w:r>
                </w:p>
                <w:p w14:paraId="656AC8A3">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m</w:t>
                  </w:r>
                </w:p>
              </w:tc>
              <w:tc>
                <w:tcPr>
                  <w:tcW w:w="364" w:type="pct"/>
                  <w:vMerge w:val="restart"/>
                  <w:tcBorders>
                    <w:tl2br w:val="nil"/>
                    <w:tr2bl w:val="nil"/>
                  </w:tcBorders>
                  <w:noWrap w:val="0"/>
                  <w:vAlign w:val="center"/>
                </w:tcPr>
                <w:p w14:paraId="34148E47">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烟气温度</w:t>
                  </w:r>
                </w:p>
              </w:tc>
            </w:tr>
            <w:tr w14:paraId="6C646F3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blHeader/>
              </w:trPr>
              <w:tc>
                <w:tcPr>
                  <w:tcW w:w="1184" w:type="pct"/>
                  <w:vMerge w:val="continue"/>
                  <w:tcBorders>
                    <w:tl2br w:val="nil"/>
                    <w:tr2bl w:val="nil"/>
                  </w:tcBorders>
                  <w:noWrap w:val="0"/>
                  <w:vAlign w:val="center"/>
                </w:tcPr>
                <w:p w14:paraId="347DAE7D">
                  <w:pPr>
                    <w:widowControl/>
                    <w:jc w:val="center"/>
                    <w:rPr>
                      <w:rFonts w:hint="eastAsia"/>
                      <w:color w:val="000000" w:themeColor="text1"/>
                      <w:kern w:val="0"/>
                      <w:szCs w:val="21"/>
                      <w:lang w:val="en-US" w:eastAsia="zh-CN"/>
                      <w14:textFill>
                        <w14:solidFill>
                          <w14:schemeClr w14:val="tx1"/>
                        </w14:solidFill>
                      </w14:textFill>
                    </w:rPr>
                  </w:pPr>
                </w:p>
              </w:tc>
              <w:tc>
                <w:tcPr>
                  <w:tcW w:w="534" w:type="pct"/>
                  <w:vMerge w:val="continue"/>
                  <w:tcBorders>
                    <w:tl2br w:val="nil"/>
                    <w:tr2bl w:val="nil"/>
                  </w:tcBorders>
                  <w:noWrap w:val="0"/>
                  <w:vAlign w:val="center"/>
                </w:tcPr>
                <w:p w14:paraId="07147758">
                  <w:pPr>
                    <w:widowControl/>
                    <w:jc w:val="center"/>
                    <w:rPr>
                      <w:rFonts w:hint="eastAsia"/>
                      <w:color w:val="000000" w:themeColor="text1"/>
                      <w:kern w:val="0"/>
                      <w:szCs w:val="21"/>
                      <w:lang w:val="en-US" w:eastAsia="zh-CN"/>
                      <w14:textFill>
                        <w14:solidFill>
                          <w14:schemeClr w14:val="tx1"/>
                        </w14:solidFill>
                      </w14:textFill>
                    </w:rPr>
                  </w:pPr>
                </w:p>
              </w:tc>
              <w:tc>
                <w:tcPr>
                  <w:tcW w:w="460" w:type="pct"/>
                  <w:vMerge w:val="continue"/>
                  <w:tcBorders>
                    <w:tl2br w:val="nil"/>
                    <w:tr2bl w:val="nil"/>
                  </w:tcBorders>
                  <w:noWrap w:val="0"/>
                  <w:vAlign w:val="center"/>
                </w:tcPr>
                <w:p w14:paraId="4E73FCE9">
                  <w:pPr>
                    <w:widowControl/>
                    <w:jc w:val="center"/>
                    <w:rPr>
                      <w:rFonts w:hint="eastAsia"/>
                      <w:color w:val="000000" w:themeColor="text1"/>
                      <w:kern w:val="0"/>
                      <w:szCs w:val="21"/>
                      <w:lang w:val="en-US" w:eastAsia="zh-CN"/>
                      <w14:textFill>
                        <w14:solidFill>
                          <w14:schemeClr w14:val="tx1"/>
                        </w14:solidFill>
                      </w14:textFill>
                    </w:rPr>
                  </w:pPr>
                </w:p>
              </w:tc>
              <w:tc>
                <w:tcPr>
                  <w:tcW w:w="858" w:type="pct"/>
                  <w:tcBorders>
                    <w:tl2br w:val="nil"/>
                    <w:tr2bl w:val="nil"/>
                  </w:tcBorders>
                  <w:noWrap w:val="0"/>
                  <w:vAlign w:val="center"/>
                </w:tcPr>
                <w:p w14:paraId="359D3C00">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经度</w:t>
                  </w:r>
                </w:p>
              </w:tc>
              <w:tc>
                <w:tcPr>
                  <w:tcW w:w="774" w:type="pct"/>
                  <w:tcBorders>
                    <w:tl2br w:val="nil"/>
                    <w:tr2bl w:val="nil"/>
                  </w:tcBorders>
                  <w:noWrap w:val="0"/>
                  <w:vAlign w:val="center"/>
                </w:tcPr>
                <w:p w14:paraId="29963E1D">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纬度</w:t>
                  </w:r>
                </w:p>
              </w:tc>
              <w:tc>
                <w:tcPr>
                  <w:tcW w:w="460" w:type="pct"/>
                  <w:vMerge w:val="continue"/>
                  <w:tcBorders>
                    <w:tl2br w:val="nil"/>
                    <w:tr2bl w:val="nil"/>
                  </w:tcBorders>
                  <w:noWrap w:val="0"/>
                  <w:vAlign w:val="center"/>
                </w:tcPr>
                <w:p w14:paraId="4A9747EB">
                  <w:pPr>
                    <w:widowControl/>
                    <w:jc w:val="center"/>
                    <w:rPr>
                      <w:rFonts w:hint="eastAsia"/>
                      <w:color w:val="000000" w:themeColor="text1"/>
                      <w:kern w:val="0"/>
                      <w:szCs w:val="21"/>
                      <w:lang w:val="en-US" w:eastAsia="zh-CN"/>
                      <w14:textFill>
                        <w14:solidFill>
                          <w14:schemeClr w14:val="tx1"/>
                        </w14:solidFill>
                      </w14:textFill>
                    </w:rPr>
                  </w:pPr>
                </w:p>
              </w:tc>
              <w:tc>
                <w:tcPr>
                  <w:tcW w:w="361" w:type="pct"/>
                  <w:vMerge w:val="continue"/>
                  <w:tcBorders>
                    <w:tl2br w:val="nil"/>
                    <w:tr2bl w:val="nil"/>
                  </w:tcBorders>
                  <w:noWrap w:val="0"/>
                  <w:vAlign w:val="center"/>
                </w:tcPr>
                <w:p w14:paraId="6E10BC57">
                  <w:pPr>
                    <w:widowControl/>
                    <w:jc w:val="center"/>
                    <w:rPr>
                      <w:rFonts w:hint="eastAsia"/>
                      <w:color w:val="000000" w:themeColor="text1"/>
                      <w:kern w:val="0"/>
                      <w:szCs w:val="21"/>
                      <w:lang w:val="en-US" w:eastAsia="zh-CN"/>
                      <w14:textFill>
                        <w14:solidFill>
                          <w14:schemeClr w14:val="tx1"/>
                        </w14:solidFill>
                      </w14:textFill>
                    </w:rPr>
                  </w:pPr>
                </w:p>
              </w:tc>
              <w:tc>
                <w:tcPr>
                  <w:tcW w:w="364" w:type="pct"/>
                  <w:vMerge w:val="continue"/>
                  <w:tcBorders>
                    <w:tl2br w:val="nil"/>
                    <w:tr2bl w:val="nil"/>
                  </w:tcBorders>
                  <w:noWrap w:val="0"/>
                  <w:vAlign w:val="center"/>
                </w:tcPr>
                <w:p w14:paraId="434DC78A">
                  <w:pPr>
                    <w:widowControl/>
                    <w:jc w:val="center"/>
                    <w:rPr>
                      <w:rFonts w:hint="eastAsia"/>
                      <w:color w:val="000000" w:themeColor="text1"/>
                      <w:kern w:val="0"/>
                      <w:szCs w:val="21"/>
                      <w:lang w:val="en-US" w:eastAsia="zh-CN"/>
                      <w14:textFill>
                        <w14:solidFill>
                          <w14:schemeClr w14:val="tx1"/>
                        </w14:solidFill>
                      </w14:textFill>
                    </w:rPr>
                  </w:pPr>
                </w:p>
              </w:tc>
            </w:tr>
            <w:tr w14:paraId="5F5A9F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1184" w:type="pct"/>
                  <w:tcBorders>
                    <w:tl2br w:val="nil"/>
                    <w:tr2bl w:val="nil"/>
                  </w:tcBorders>
                  <w:noWrap w:val="0"/>
                  <w:vAlign w:val="center"/>
                </w:tcPr>
                <w:p w14:paraId="665B38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中药前处理废气</w:t>
                  </w:r>
                  <w:r>
                    <w:rPr>
                      <w:rFonts w:hint="eastAsia"/>
                      <w:color w:val="000000" w:themeColor="text1"/>
                      <w:kern w:val="0"/>
                      <w:szCs w:val="21"/>
                      <w:lang w:val="en-US" w:eastAsia="zh-CN"/>
                      <w14:textFill>
                        <w14:solidFill>
                          <w14:schemeClr w14:val="tx1"/>
                        </w14:solidFill>
                      </w14:textFill>
                    </w:rPr>
                    <w:t>DA011</w:t>
                  </w:r>
                </w:p>
              </w:tc>
              <w:tc>
                <w:tcPr>
                  <w:tcW w:w="534" w:type="pct"/>
                  <w:tcBorders>
                    <w:tl2br w:val="nil"/>
                    <w:tr2bl w:val="nil"/>
                  </w:tcBorders>
                  <w:noWrap w:val="0"/>
                  <w:vAlign w:val="center"/>
                </w:tcPr>
                <w:p w14:paraId="2E95CE76">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460" w:type="pct"/>
                  <w:tcBorders>
                    <w:tl2br w:val="nil"/>
                    <w:tr2bl w:val="nil"/>
                  </w:tcBorders>
                  <w:noWrap w:val="0"/>
                  <w:vAlign w:val="center"/>
                </w:tcPr>
                <w:p w14:paraId="2AB2643B">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一般排放口</w:t>
                  </w:r>
                </w:p>
              </w:tc>
              <w:tc>
                <w:tcPr>
                  <w:tcW w:w="858" w:type="pct"/>
                  <w:tcBorders>
                    <w:tl2br w:val="nil"/>
                    <w:tr2bl w:val="nil"/>
                  </w:tcBorders>
                  <w:noWrap w:val="0"/>
                  <w:vAlign w:val="center"/>
                </w:tcPr>
                <w:p w14:paraId="306A913C">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114.413648°</w:t>
                  </w:r>
                </w:p>
              </w:tc>
              <w:tc>
                <w:tcPr>
                  <w:tcW w:w="774" w:type="pct"/>
                  <w:tcBorders>
                    <w:tl2br w:val="nil"/>
                    <w:tr2bl w:val="nil"/>
                  </w:tcBorders>
                  <w:noWrap w:val="0"/>
                  <w:vAlign w:val="center"/>
                </w:tcPr>
                <w:p w14:paraId="59657F46">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35.892453°</w:t>
                  </w:r>
                </w:p>
              </w:tc>
              <w:tc>
                <w:tcPr>
                  <w:tcW w:w="460" w:type="pct"/>
                  <w:tcBorders>
                    <w:tl2br w:val="nil"/>
                    <w:tr2bl w:val="nil"/>
                  </w:tcBorders>
                  <w:noWrap w:val="0"/>
                  <w:vAlign w:val="center"/>
                </w:tcPr>
                <w:p w14:paraId="029C85D8">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15</w:t>
                  </w:r>
                </w:p>
              </w:tc>
              <w:tc>
                <w:tcPr>
                  <w:tcW w:w="361" w:type="pct"/>
                  <w:tcBorders>
                    <w:tl2br w:val="nil"/>
                    <w:tr2bl w:val="nil"/>
                  </w:tcBorders>
                  <w:noWrap w:val="0"/>
                  <w:vAlign w:val="center"/>
                </w:tcPr>
                <w:p w14:paraId="236D3341">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0.5</w:t>
                  </w:r>
                </w:p>
              </w:tc>
              <w:tc>
                <w:tcPr>
                  <w:tcW w:w="364" w:type="pct"/>
                  <w:tcBorders>
                    <w:tl2br w:val="nil"/>
                    <w:tr2bl w:val="nil"/>
                  </w:tcBorders>
                  <w:noWrap w:val="0"/>
                  <w:vAlign w:val="center"/>
                </w:tcPr>
                <w:p w14:paraId="6BB19750">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常温</w:t>
                  </w:r>
                </w:p>
              </w:tc>
            </w:tr>
            <w:tr w14:paraId="542CED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1184" w:type="pct"/>
                  <w:tcBorders>
                    <w:tl2br w:val="nil"/>
                    <w:tr2bl w:val="nil"/>
                  </w:tcBorders>
                  <w:noWrap w:val="0"/>
                  <w:vAlign w:val="center"/>
                </w:tcPr>
                <w:p w14:paraId="5E122715">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提取废气(制剂车间废气、乙醇罐区废气、危废间废气、污水站废气)</w:t>
                  </w:r>
                  <w:r>
                    <w:rPr>
                      <w:rFonts w:hint="eastAsia"/>
                      <w:color w:val="000000" w:themeColor="text1"/>
                      <w:kern w:val="0"/>
                      <w:szCs w:val="21"/>
                      <w:lang w:val="en-US" w:eastAsia="zh-CN"/>
                      <w14:textFill>
                        <w14:solidFill>
                          <w14:schemeClr w14:val="tx1"/>
                        </w14:solidFill>
                      </w14:textFill>
                    </w:rPr>
                    <w:t>DA012</w:t>
                  </w:r>
                </w:p>
              </w:tc>
              <w:tc>
                <w:tcPr>
                  <w:tcW w:w="534" w:type="pct"/>
                  <w:tcBorders>
                    <w:tl2br w:val="nil"/>
                    <w:tr2bl w:val="nil"/>
                  </w:tcBorders>
                  <w:noWrap w:val="0"/>
                  <w:vAlign w:val="center"/>
                </w:tcPr>
                <w:p w14:paraId="0ED79B4A">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VOCs</w:t>
                  </w:r>
                </w:p>
              </w:tc>
              <w:tc>
                <w:tcPr>
                  <w:tcW w:w="460" w:type="pct"/>
                  <w:tcBorders>
                    <w:tl2br w:val="nil"/>
                    <w:tr2bl w:val="nil"/>
                  </w:tcBorders>
                  <w:noWrap w:val="0"/>
                  <w:vAlign w:val="center"/>
                </w:tcPr>
                <w:p w14:paraId="16144C4B">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一般排放口</w:t>
                  </w:r>
                </w:p>
              </w:tc>
              <w:tc>
                <w:tcPr>
                  <w:tcW w:w="858" w:type="pct"/>
                  <w:tcBorders>
                    <w:tl2br w:val="nil"/>
                    <w:tr2bl w:val="nil"/>
                  </w:tcBorders>
                  <w:noWrap w:val="0"/>
                  <w:vAlign w:val="center"/>
                </w:tcPr>
                <w:p w14:paraId="03078F34">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114.413905°</w:t>
                  </w:r>
                </w:p>
              </w:tc>
              <w:tc>
                <w:tcPr>
                  <w:tcW w:w="774" w:type="pct"/>
                  <w:tcBorders>
                    <w:tl2br w:val="nil"/>
                    <w:tr2bl w:val="nil"/>
                  </w:tcBorders>
                  <w:noWrap w:val="0"/>
                  <w:vAlign w:val="center"/>
                </w:tcPr>
                <w:p w14:paraId="0E877C67">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35.892201°</w:t>
                  </w:r>
                </w:p>
              </w:tc>
              <w:tc>
                <w:tcPr>
                  <w:tcW w:w="460" w:type="pct"/>
                  <w:tcBorders>
                    <w:tl2br w:val="nil"/>
                    <w:tr2bl w:val="nil"/>
                  </w:tcBorders>
                  <w:noWrap w:val="0"/>
                  <w:vAlign w:val="center"/>
                </w:tcPr>
                <w:p w14:paraId="70256A73">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15</w:t>
                  </w:r>
                </w:p>
              </w:tc>
              <w:tc>
                <w:tcPr>
                  <w:tcW w:w="361" w:type="pct"/>
                  <w:tcBorders>
                    <w:tl2br w:val="nil"/>
                    <w:tr2bl w:val="nil"/>
                  </w:tcBorders>
                  <w:noWrap w:val="0"/>
                  <w:vAlign w:val="center"/>
                </w:tcPr>
                <w:p w14:paraId="21654215">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0.8</w:t>
                  </w:r>
                </w:p>
              </w:tc>
              <w:tc>
                <w:tcPr>
                  <w:tcW w:w="364" w:type="pct"/>
                  <w:tcBorders>
                    <w:tl2br w:val="nil"/>
                    <w:tr2bl w:val="nil"/>
                  </w:tcBorders>
                  <w:noWrap w:val="0"/>
                  <w:vAlign w:val="center"/>
                </w:tcPr>
                <w:p w14:paraId="39D292D2">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170</w:t>
                  </w:r>
                  <w:r>
                    <w:rPr>
                      <w:rFonts w:hint="eastAsia"/>
                      <w:color w:val="000000" w:themeColor="text1"/>
                      <w:kern w:val="0"/>
                      <w:szCs w:val="21"/>
                      <w:lang w:val="en-US" w:eastAsia="zh-CN"/>
                      <w14:textFill>
                        <w14:solidFill>
                          <w14:schemeClr w14:val="tx1"/>
                        </w14:solidFill>
                      </w14:textFill>
                    </w:rPr>
                    <w:t>℃</w:t>
                  </w:r>
                </w:p>
              </w:tc>
            </w:tr>
            <w:tr w14:paraId="285456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1184" w:type="pct"/>
                  <w:tcBorders>
                    <w:tl2br w:val="nil"/>
                    <w:tr2bl w:val="nil"/>
                  </w:tcBorders>
                  <w:noWrap w:val="0"/>
                  <w:vAlign w:val="center"/>
                </w:tcPr>
                <w:p w14:paraId="6141C03A">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散剂粉碎混合废气</w:t>
                  </w:r>
                  <w:r>
                    <w:rPr>
                      <w:rFonts w:hint="eastAsia"/>
                      <w:color w:val="000000" w:themeColor="text1"/>
                      <w:kern w:val="0"/>
                      <w:szCs w:val="21"/>
                      <w:lang w:val="en-US" w:eastAsia="zh-CN"/>
                      <w14:textFill>
                        <w14:solidFill>
                          <w14:schemeClr w14:val="tx1"/>
                        </w14:solidFill>
                      </w14:textFill>
                    </w:rPr>
                    <w:t>DA013</w:t>
                  </w:r>
                </w:p>
              </w:tc>
              <w:tc>
                <w:tcPr>
                  <w:tcW w:w="534" w:type="pct"/>
                  <w:tcBorders>
                    <w:tl2br w:val="nil"/>
                    <w:tr2bl w:val="nil"/>
                  </w:tcBorders>
                  <w:noWrap w:val="0"/>
                  <w:vAlign w:val="center"/>
                </w:tcPr>
                <w:p w14:paraId="13A44D7D">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460" w:type="pct"/>
                  <w:tcBorders>
                    <w:tl2br w:val="nil"/>
                    <w:tr2bl w:val="nil"/>
                  </w:tcBorders>
                  <w:noWrap w:val="0"/>
                  <w:vAlign w:val="center"/>
                </w:tcPr>
                <w:p w14:paraId="2EFEE542">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一般排放口</w:t>
                  </w:r>
                </w:p>
              </w:tc>
              <w:tc>
                <w:tcPr>
                  <w:tcW w:w="858" w:type="pct"/>
                  <w:tcBorders>
                    <w:tl2br w:val="nil"/>
                    <w:tr2bl w:val="nil"/>
                  </w:tcBorders>
                  <w:noWrap w:val="0"/>
                  <w:vAlign w:val="center"/>
                </w:tcPr>
                <w:p w14:paraId="77D5625F">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114.413380°</w:t>
                  </w:r>
                </w:p>
              </w:tc>
              <w:tc>
                <w:tcPr>
                  <w:tcW w:w="774" w:type="pct"/>
                  <w:tcBorders>
                    <w:tl2br w:val="nil"/>
                    <w:tr2bl w:val="nil"/>
                  </w:tcBorders>
                  <w:noWrap w:val="0"/>
                  <w:vAlign w:val="center"/>
                </w:tcPr>
                <w:p w14:paraId="3C46610B">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35.892940°</w:t>
                  </w:r>
                </w:p>
              </w:tc>
              <w:tc>
                <w:tcPr>
                  <w:tcW w:w="460" w:type="pct"/>
                  <w:tcBorders>
                    <w:tl2br w:val="nil"/>
                    <w:tr2bl w:val="nil"/>
                  </w:tcBorders>
                  <w:noWrap w:val="0"/>
                  <w:vAlign w:val="center"/>
                </w:tcPr>
                <w:p w14:paraId="3A96F5C7">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15</w:t>
                  </w:r>
                </w:p>
              </w:tc>
              <w:tc>
                <w:tcPr>
                  <w:tcW w:w="361" w:type="pct"/>
                  <w:tcBorders>
                    <w:tl2br w:val="nil"/>
                    <w:tr2bl w:val="nil"/>
                  </w:tcBorders>
                  <w:noWrap w:val="0"/>
                  <w:vAlign w:val="center"/>
                </w:tcPr>
                <w:p w14:paraId="079CC817">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0.25</w:t>
                  </w:r>
                </w:p>
              </w:tc>
              <w:tc>
                <w:tcPr>
                  <w:tcW w:w="364" w:type="pct"/>
                  <w:tcBorders>
                    <w:tl2br w:val="nil"/>
                    <w:tr2bl w:val="nil"/>
                  </w:tcBorders>
                  <w:noWrap w:val="0"/>
                  <w:vAlign w:val="center"/>
                </w:tcPr>
                <w:p w14:paraId="617A0248">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常温</w:t>
                  </w:r>
                </w:p>
              </w:tc>
            </w:tr>
            <w:tr w14:paraId="11E5DA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1184" w:type="pct"/>
                  <w:tcBorders>
                    <w:tl2br w:val="nil"/>
                    <w:tr2bl w:val="nil"/>
                  </w:tcBorders>
                  <w:noWrap w:val="0"/>
                  <w:vAlign w:val="center"/>
                </w:tcPr>
                <w:p w14:paraId="38736EB5">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散剂颗粒剂装袋废气</w:t>
                  </w:r>
                  <w:r>
                    <w:rPr>
                      <w:rFonts w:hint="eastAsia"/>
                      <w:color w:val="000000" w:themeColor="text1"/>
                      <w:kern w:val="0"/>
                      <w:szCs w:val="21"/>
                      <w:lang w:val="en-US" w:eastAsia="zh-CN"/>
                      <w14:textFill>
                        <w14:solidFill>
                          <w14:schemeClr w14:val="tx1"/>
                        </w14:solidFill>
                      </w14:textFill>
                    </w:rPr>
                    <w:t>DA014</w:t>
                  </w:r>
                </w:p>
              </w:tc>
              <w:tc>
                <w:tcPr>
                  <w:tcW w:w="534" w:type="pct"/>
                  <w:tcBorders>
                    <w:tl2br w:val="nil"/>
                    <w:tr2bl w:val="nil"/>
                  </w:tcBorders>
                  <w:noWrap w:val="0"/>
                  <w:vAlign w:val="center"/>
                </w:tcPr>
                <w:p w14:paraId="7A7AAFB4">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460" w:type="pct"/>
                  <w:tcBorders>
                    <w:tl2br w:val="nil"/>
                    <w:tr2bl w:val="nil"/>
                  </w:tcBorders>
                  <w:noWrap w:val="0"/>
                  <w:vAlign w:val="center"/>
                </w:tcPr>
                <w:p w14:paraId="411A4B04">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一般排放口</w:t>
                  </w:r>
                </w:p>
              </w:tc>
              <w:tc>
                <w:tcPr>
                  <w:tcW w:w="858" w:type="pct"/>
                  <w:tcBorders>
                    <w:tl2br w:val="nil"/>
                    <w:tr2bl w:val="nil"/>
                  </w:tcBorders>
                  <w:noWrap w:val="0"/>
                  <w:vAlign w:val="center"/>
                </w:tcPr>
                <w:p w14:paraId="2777D1DC">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114.413273°</w:t>
                  </w:r>
                </w:p>
              </w:tc>
              <w:tc>
                <w:tcPr>
                  <w:tcW w:w="774" w:type="pct"/>
                  <w:tcBorders>
                    <w:tl2br w:val="nil"/>
                    <w:tr2bl w:val="nil"/>
                  </w:tcBorders>
                  <w:noWrap w:val="0"/>
                  <w:vAlign w:val="center"/>
                </w:tcPr>
                <w:p w14:paraId="25379D2B">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35.892653°</w:t>
                  </w:r>
                </w:p>
              </w:tc>
              <w:tc>
                <w:tcPr>
                  <w:tcW w:w="460" w:type="pct"/>
                  <w:tcBorders>
                    <w:tl2br w:val="nil"/>
                    <w:tr2bl w:val="nil"/>
                  </w:tcBorders>
                  <w:noWrap w:val="0"/>
                  <w:vAlign w:val="center"/>
                </w:tcPr>
                <w:p w14:paraId="31714693">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15</w:t>
                  </w:r>
                </w:p>
              </w:tc>
              <w:tc>
                <w:tcPr>
                  <w:tcW w:w="361" w:type="pct"/>
                  <w:tcBorders>
                    <w:tl2br w:val="nil"/>
                    <w:tr2bl w:val="nil"/>
                  </w:tcBorders>
                  <w:noWrap w:val="0"/>
                  <w:vAlign w:val="center"/>
                </w:tcPr>
                <w:p w14:paraId="1BB34DFF">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0.25</w:t>
                  </w:r>
                </w:p>
              </w:tc>
              <w:tc>
                <w:tcPr>
                  <w:tcW w:w="364" w:type="pct"/>
                  <w:tcBorders>
                    <w:tl2br w:val="nil"/>
                    <w:tr2bl w:val="nil"/>
                  </w:tcBorders>
                  <w:noWrap w:val="0"/>
                  <w:vAlign w:val="center"/>
                </w:tcPr>
                <w:p w14:paraId="6C4686AC">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常温</w:t>
                  </w:r>
                </w:p>
              </w:tc>
            </w:tr>
            <w:tr w14:paraId="2F1EB9A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1184" w:type="pct"/>
                  <w:tcBorders>
                    <w:tl2br w:val="nil"/>
                    <w:tr2bl w:val="nil"/>
                  </w:tcBorders>
                  <w:noWrap w:val="0"/>
                  <w:vAlign w:val="center"/>
                </w:tcPr>
                <w:p w14:paraId="48A0DCEF">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制粒干燥、筛粒总混废气</w:t>
                  </w:r>
                  <w:r>
                    <w:rPr>
                      <w:rFonts w:hint="eastAsia"/>
                      <w:color w:val="000000" w:themeColor="text1"/>
                      <w:kern w:val="0"/>
                      <w:szCs w:val="21"/>
                      <w:lang w:val="en-US" w:eastAsia="zh-CN"/>
                      <w14:textFill>
                        <w14:solidFill>
                          <w14:schemeClr w14:val="tx1"/>
                        </w14:solidFill>
                      </w14:textFill>
                    </w:rPr>
                    <w:t>DA015</w:t>
                  </w:r>
                </w:p>
              </w:tc>
              <w:tc>
                <w:tcPr>
                  <w:tcW w:w="534" w:type="pct"/>
                  <w:tcBorders>
                    <w:tl2br w:val="nil"/>
                    <w:tr2bl w:val="nil"/>
                  </w:tcBorders>
                  <w:noWrap w:val="0"/>
                  <w:vAlign w:val="center"/>
                </w:tcPr>
                <w:p w14:paraId="247A6359">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460" w:type="pct"/>
                  <w:tcBorders>
                    <w:tl2br w:val="nil"/>
                    <w:tr2bl w:val="nil"/>
                  </w:tcBorders>
                  <w:noWrap w:val="0"/>
                  <w:vAlign w:val="center"/>
                </w:tcPr>
                <w:p w14:paraId="218F7376">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一般排放口</w:t>
                  </w:r>
                </w:p>
              </w:tc>
              <w:tc>
                <w:tcPr>
                  <w:tcW w:w="858" w:type="pct"/>
                  <w:tcBorders>
                    <w:tl2br w:val="nil"/>
                    <w:tr2bl w:val="nil"/>
                  </w:tcBorders>
                  <w:noWrap w:val="0"/>
                  <w:vAlign w:val="center"/>
                </w:tcPr>
                <w:p w14:paraId="09BC9F87">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114.412673°</w:t>
                  </w:r>
                </w:p>
              </w:tc>
              <w:tc>
                <w:tcPr>
                  <w:tcW w:w="774" w:type="pct"/>
                  <w:tcBorders>
                    <w:tl2br w:val="nil"/>
                    <w:tr2bl w:val="nil"/>
                  </w:tcBorders>
                  <w:noWrap w:val="0"/>
                  <w:vAlign w:val="center"/>
                </w:tcPr>
                <w:p w14:paraId="14B24687">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35.893079°</w:t>
                  </w:r>
                </w:p>
              </w:tc>
              <w:tc>
                <w:tcPr>
                  <w:tcW w:w="460" w:type="pct"/>
                  <w:tcBorders>
                    <w:tl2br w:val="nil"/>
                    <w:tr2bl w:val="nil"/>
                  </w:tcBorders>
                  <w:noWrap w:val="0"/>
                  <w:vAlign w:val="center"/>
                </w:tcPr>
                <w:p w14:paraId="1ACA283F">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15</w:t>
                  </w:r>
                </w:p>
              </w:tc>
              <w:tc>
                <w:tcPr>
                  <w:tcW w:w="361" w:type="pct"/>
                  <w:tcBorders>
                    <w:tl2br w:val="nil"/>
                    <w:tr2bl w:val="nil"/>
                  </w:tcBorders>
                  <w:noWrap w:val="0"/>
                  <w:vAlign w:val="center"/>
                </w:tcPr>
                <w:p w14:paraId="31964AF0">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0.5</w:t>
                  </w:r>
                </w:p>
              </w:tc>
              <w:tc>
                <w:tcPr>
                  <w:tcW w:w="364" w:type="pct"/>
                  <w:tcBorders>
                    <w:tl2br w:val="nil"/>
                    <w:tr2bl w:val="nil"/>
                  </w:tcBorders>
                  <w:noWrap w:val="0"/>
                  <w:vAlign w:val="center"/>
                </w:tcPr>
                <w:p w14:paraId="69FE9C9C">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常温</w:t>
                  </w:r>
                </w:p>
              </w:tc>
            </w:tr>
            <w:tr w14:paraId="3192907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1184" w:type="pct"/>
                  <w:tcBorders>
                    <w:tl2br w:val="nil"/>
                    <w:tr2bl w:val="nil"/>
                  </w:tcBorders>
                  <w:noWrap w:val="0"/>
                  <w:vAlign w:val="center"/>
                </w:tcPr>
                <w:p w14:paraId="042992E6">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片剂压片、包衣废气</w:t>
                  </w:r>
                  <w:r>
                    <w:rPr>
                      <w:rFonts w:hint="eastAsia"/>
                      <w:color w:val="000000" w:themeColor="text1"/>
                      <w:kern w:val="0"/>
                      <w:szCs w:val="21"/>
                      <w:lang w:val="en-US" w:eastAsia="zh-CN"/>
                      <w14:textFill>
                        <w14:solidFill>
                          <w14:schemeClr w14:val="tx1"/>
                        </w14:solidFill>
                      </w14:textFill>
                    </w:rPr>
                    <w:t>DA016</w:t>
                  </w:r>
                </w:p>
              </w:tc>
              <w:tc>
                <w:tcPr>
                  <w:tcW w:w="534" w:type="pct"/>
                  <w:tcBorders>
                    <w:tl2br w:val="nil"/>
                    <w:tr2bl w:val="nil"/>
                  </w:tcBorders>
                  <w:noWrap w:val="0"/>
                  <w:vAlign w:val="center"/>
                </w:tcPr>
                <w:p w14:paraId="6459CD6F">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460" w:type="pct"/>
                  <w:tcBorders>
                    <w:tl2br w:val="nil"/>
                    <w:tr2bl w:val="nil"/>
                  </w:tcBorders>
                  <w:noWrap w:val="0"/>
                  <w:vAlign w:val="center"/>
                </w:tcPr>
                <w:p w14:paraId="4548DAF4">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一般排放口</w:t>
                  </w:r>
                </w:p>
              </w:tc>
              <w:tc>
                <w:tcPr>
                  <w:tcW w:w="858" w:type="pct"/>
                  <w:tcBorders>
                    <w:tl2br w:val="nil"/>
                    <w:tr2bl w:val="nil"/>
                  </w:tcBorders>
                  <w:noWrap w:val="0"/>
                  <w:vAlign w:val="center"/>
                </w:tcPr>
                <w:p w14:paraId="286CC1AA">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114.412608°</w:t>
                  </w:r>
                </w:p>
              </w:tc>
              <w:tc>
                <w:tcPr>
                  <w:tcW w:w="774" w:type="pct"/>
                  <w:tcBorders>
                    <w:tl2br w:val="nil"/>
                    <w:tr2bl w:val="nil"/>
                  </w:tcBorders>
                  <w:noWrap w:val="0"/>
                  <w:vAlign w:val="center"/>
                </w:tcPr>
                <w:p w14:paraId="3B44E209">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35.892879°</w:t>
                  </w:r>
                </w:p>
              </w:tc>
              <w:tc>
                <w:tcPr>
                  <w:tcW w:w="460" w:type="pct"/>
                  <w:tcBorders>
                    <w:tl2br w:val="nil"/>
                    <w:tr2bl w:val="nil"/>
                  </w:tcBorders>
                  <w:noWrap w:val="0"/>
                  <w:vAlign w:val="center"/>
                </w:tcPr>
                <w:p w14:paraId="741F87A9">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15</w:t>
                  </w:r>
                </w:p>
              </w:tc>
              <w:tc>
                <w:tcPr>
                  <w:tcW w:w="361" w:type="pct"/>
                  <w:tcBorders>
                    <w:tl2br w:val="nil"/>
                    <w:tr2bl w:val="nil"/>
                  </w:tcBorders>
                  <w:noWrap w:val="0"/>
                  <w:vAlign w:val="center"/>
                </w:tcPr>
                <w:p w14:paraId="5FB8F9B4">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0.25</w:t>
                  </w:r>
                </w:p>
              </w:tc>
              <w:tc>
                <w:tcPr>
                  <w:tcW w:w="364" w:type="pct"/>
                  <w:tcBorders>
                    <w:tl2br w:val="nil"/>
                    <w:tr2bl w:val="nil"/>
                  </w:tcBorders>
                  <w:noWrap w:val="0"/>
                  <w:vAlign w:val="center"/>
                </w:tcPr>
                <w:p w14:paraId="0BDC3817">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常温</w:t>
                  </w:r>
                </w:p>
              </w:tc>
            </w:tr>
            <w:tr w14:paraId="06DF376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1184" w:type="pct"/>
                  <w:tcBorders>
                    <w:tl2br w:val="nil"/>
                    <w:tr2bl w:val="nil"/>
                  </w:tcBorders>
                  <w:noWrap w:val="0"/>
                  <w:vAlign w:val="center"/>
                </w:tcPr>
                <w:p w14:paraId="0F41DC24">
                  <w:pPr>
                    <w:widowControl/>
                    <w:jc w:val="center"/>
                    <w:rPr>
                      <w:rFonts w:hint="eastAsia"/>
                      <w:color w:val="000000" w:themeColor="text1"/>
                      <w:kern w:val="0"/>
                      <w:szCs w:val="21"/>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丸剂合坨制丸、筛丸干燥、总混打光</w:t>
                  </w:r>
                  <w:r>
                    <w:rPr>
                      <w:rFonts w:hint="eastAsia"/>
                      <w:color w:val="000000" w:themeColor="text1"/>
                      <w:szCs w:val="21"/>
                      <w:lang w:val="en-US" w:eastAsia="zh-CN"/>
                      <w14:textFill>
                        <w14:solidFill>
                          <w14:schemeClr w14:val="tx1"/>
                        </w14:solidFill>
                      </w14:textFill>
                    </w:rPr>
                    <w:t>废气</w:t>
                  </w:r>
                  <w:r>
                    <w:rPr>
                      <w:rFonts w:hint="eastAsia"/>
                      <w:color w:val="000000" w:themeColor="text1"/>
                      <w:kern w:val="0"/>
                      <w:szCs w:val="21"/>
                      <w:lang w:val="en-US" w:eastAsia="zh-CN"/>
                      <w14:textFill>
                        <w14:solidFill>
                          <w14:schemeClr w14:val="tx1"/>
                        </w14:solidFill>
                      </w14:textFill>
                    </w:rPr>
                    <w:t>DA017</w:t>
                  </w:r>
                </w:p>
              </w:tc>
              <w:tc>
                <w:tcPr>
                  <w:tcW w:w="534" w:type="pct"/>
                  <w:tcBorders>
                    <w:tl2br w:val="nil"/>
                    <w:tr2bl w:val="nil"/>
                  </w:tcBorders>
                  <w:noWrap w:val="0"/>
                  <w:vAlign w:val="center"/>
                </w:tcPr>
                <w:p w14:paraId="76062F55">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460" w:type="pct"/>
                  <w:tcBorders>
                    <w:tl2br w:val="nil"/>
                    <w:tr2bl w:val="nil"/>
                  </w:tcBorders>
                  <w:noWrap w:val="0"/>
                  <w:vAlign w:val="center"/>
                </w:tcPr>
                <w:p w14:paraId="0ADCF1E0">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一般排放口</w:t>
                  </w:r>
                </w:p>
              </w:tc>
              <w:tc>
                <w:tcPr>
                  <w:tcW w:w="858" w:type="pct"/>
                  <w:tcBorders>
                    <w:tl2br w:val="nil"/>
                    <w:tr2bl w:val="nil"/>
                  </w:tcBorders>
                  <w:noWrap w:val="0"/>
                  <w:vAlign w:val="center"/>
                </w:tcPr>
                <w:p w14:paraId="7B9A5E47">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114.412512°</w:t>
                  </w:r>
                </w:p>
              </w:tc>
              <w:tc>
                <w:tcPr>
                  <w:tcW w:w="774" w:type="pct"/>
                  <w:tcBorders>
                    <w:tl2br w:val="nil"/>
                    <w:tr2bl w:val="nil"/>
                  </w:tcBorders>
                  <w:noWrap w:val="0"/>
                  <w:vAlign w:val="center"/>
                </w:tcPr>
                <w:p w14:paraId="1C18B6AE">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35.892644°</w:t>
                  </w:r>
                </w:p>
              </w:tc>
              <w:tc>
                <w:tcPr>
                  <w:tcW w:w="460" w:type="pct"/>
                  <w:tcBorders>
                    <w:tl2br w:val="nil"/>
                    <w:tr2bl w:val="nil"/>
                  </w:tcBorders>
                  <w:noWrap w:val="0"/>
                  <w:vAlign w:val="center"/>
                </w:tcPr>
                <w:p w14:paraId="7697D8C7">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15</w:t>
                  </w:r>
                </w:p>
              </w:tc>
              <w:tc>
                <w:tcPr>
                  <w:tcW w:w="361" w:type="pct"/>
                  <w:tcBorders>
                    <w:tl2br w:val="nil"/>
                    <w:tr2bl w:val="nil"/>
                  </w:tcBorders>
                  <w:noWrap w:val="0"/>
                  <w:vAlign w:val="center"/>
                </w:tcPr>
                <w:p w14:paraId="2093FFB8">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0.25</w:t>
                  </w:r>
                </w:p>
              </w:tc>
              <w:tc>
                <w:tcPr>
                  <w:tcW w:w="364" w:type="pct"/>
                  <w:tcBorders>
                    <w:tl2br w:val="nil"/>
                    <w:tr2bl w:val="nil"/>
                  </w:tcBorders>
                  <w:noWrap w:val="0"/>
                  <w:vAlign w:val="center"/>
                </w:tcPr>
                <w:p w14:paraId="21DFEF8A">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常温</w:t>
                  </w:r>
                </w:p>
              </w:tc>
            </w:tr>
          </w:tbl>
          <w:p w14:paraId="38E72457">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1.8、废气监测要求</w:t>
            </w:r>
          </w:p>
          <w:p w14:paraId="0094418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Times New Roman"/>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依据《排污单位自行监测技术指南 中药、生物药品制品、化学药品制剂制造业》（HJ 1256—2022）中废气自行监测管理要求，如下：</w:t>
            </w:r>
          </w:p>
          <w:p w14:paraId="3A7F84AF">
            <w:pPr>
              <w:keepNext w:val="0"/>
              <w:keepLines w:val="0"/>
              <w:pageBreakBefore w:val="0"/>
              <w:widowControl w:val="0"/>
              <w:kinsoku/>
              <w:wordWrap/>
              <w:overflowPunct/>
              <w:topLinePunct w:val="0"/>
              <w:autoSpaceDE/>
              <w:autoSpaceDN/>
              <w:bidi w:val="0"/>
              <w:adjustRightInd w:val="0"/>
              <w:snapToGrid w:val="0"/>
              <w:spacing w:line="240" w:lineRule="auto"/>
              <w:ind w:firstLine="1920" w:firstLineChars="800"/>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表30    废气自行监测计划一览表</w:t>
            </w:r>
          </w:p>
          <w:tbl>
            <w:tblPr>
              <w:tblStyle w:val="26"/>
              <w:tblW w:w="7977" w:type="dxa"/>
              <w:tblInd w:w="-6"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3507"/>
              <w:gridCol w:w="1900"/>
              <w:gridCol w:w="1262"/>
              <w:gridCol w:w="1308"/>
            </w:tblGrid>
            <w:tr w14:paraId="152CB3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198" w:type="pct"/>
                  <w:tcBorders>
                    <w:tl2br w:val="nil"/>
                    <w:tr2bl w:val="nil"/>
                  </w:tcBorders>
                  <w:noWrap w:val="0"/>
                  <w:vAlign w:val="center"/>
                </w:tcPr>
                <w:p w14:paraId="50C0929C">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排放口名称及编号</w:t>
                  </w:r>
                </w:p>
              </w:tc>
              <w:tc>
                <w:tcPr>
                  <w:tcW w:w="1190" w:type="pct"/>
                  <w:tcBorders>
                    <w:tl2br w:val="nil"/>
                    <w:tr2bl w:val="nil"/>
                  </w:tcBorders>
                  <w:noWrap w:val="0"/>
                  <w:vAlign w:val="center"/>
                </w:tcPr>
                <w:p w14:paraId="412E51E8">
                  <w:pPr>
                    <w:widowControl/>
                    <w:jc w:val="center"/>
                    <w:rPr>
                      <w:rFonts w:hint="eastAsia" w:ascii="Times New Roman" w:hAnsi="Times New Roman" w:eastAsia="宋体"/>
                      <w:color w:val="000000" w:themeColor="text1"/>
                      <w:kern w:val="0"/>
                      <w:szCs w:val="21"/>
                      <w:lang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监测因子</w:t>
                  </w:r>
                </w:p>
              </w:tc>
              <w:tc>
                <w:tcPr>
                  <w:tcW w:w="791" w:type="pct"/>
                  <w:tcBorders>
                    <w:tl2br w:val="nil"/>
                    <w:tr2bl w:val="nil"/>
                  </w:tcBorders>
                  <w:noWrap w:val="0"/>
                  <w:vAlign w:val="center"/>
                </w:tcPr>
                <w:p w14:paraId="7DBA8456">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监测位置</w:t>
                  </w:r>
                </w:p>
              </w:tc>
              <w:tc>
                <w:tcPr>
                  <w:tcW w:w="819" w:type="pct"/>
                  <w:tcBorders>
                    <w:tl2br w:val="nil"/>
                    <w:tr2bl w:val="nil"/>
                  </w:tcBorders>
                  <w:noWrap w:val="0"/>
                  <w:vAlign w:val="center"/>
                </w:tcPr>
                <w:p w14:paraId="36A58AEC">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监测频次</w:t>
                  </w:r>
                </w:p>
              </w:tc>
            </w:tr>
            <w:tr w14:paraId="0CD3B31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8" w:type="pct"/>
                  <w:tcBorders>
                    <w:tl2br w:val="nil"/>
                    <w:tr2bl w:val="nil"/>
                  </w:tcBorders>
                  <w:noWrap w:val="0"/>
                  <w:vAlign w:val="center"/>
                </w:tcPr>
                <w:p w14:paraId="01AF50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中药前处理废气</w:t>
                  </w:r>
                  <w:r>
                    <w:rPr>
                      <w:rFonts w:hint="eastAsia"/>
                      <w:color w:val="000000" w:themeColor="text1"/>
                      <w:kern w:val="0"/>
                      <w:szCs w:val="21"/>
                      <w:lang w:val="en-US" w:eastAsia="zh-CN"/>
                      <w14:textFill>
                        <w14:solidFill>
                          <w14:schemeClr w14:val="tx1"/>
                        </w14:solidFill>
                      </w14:textFill>
                    </w:rPr>
                    <w:t>DA011</w:t>
                  </w:r>
                </w:p>
              </w:tc>
              <w:tc>
                <w:tcPr>
                  <w:tcW w:w="1190" w:type="pct"/>
                  <w:tcBorders>
                    <w:tl2br w:val="nil"/>
                    <w:tr2bl w:val="nil"/>
                  </w:tcBorders>
                  <w:noWrap w:val="0"/>
                  <w:vAlign w:val="center"/>
                </w:tcPr>
                <w:p w14:paraId="4D6B6D63">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颗粒物、臭气浓度</w:t>
                  </w:r>
                </w:p>
              </w:tc>
              <w:tc>
                <w:tcPr>
                  <w:tcW w:w="791" w:type="pct"/>
                  <w:tcBorders>
                    <w:tl2br w:val="nil"/>
                    <w:tr2bl w:val="nil"/>
                  </w:tcBorders>
                  <w:noWrap w:val="0"/>
                  <w:vAlign w:val="center"/>
                </w:tcPr>
                <w:p w14:paraId="437E3B43">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排气筒</w:t>
                  </w:r>
                </w:p>
              </w:tc>
              <w:tc>
                <w:tcPr>
                  <w:tcW w:w="819" w:type="pct"/>
                  <w:tcBorders>
                    <w:tl2br w:val="nil"/>
                    <w:tr2bl w:val="nil"/>
                  </w:tcBorders>
                  <w:noWrap w:val="0"/>
                  <w:vAlign w:val="center"/>
                </w:tcPr>
                <w:p w14:paraId="244754BB">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1次/半年</w:t>
                  </w:r>
                </w:p>
              </w:tc>
            </w:tr>
            <w:tr w14:paraId="7F2C821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8" w:type="pct"/>
                  <w:vMerge w:val="restart"/>
                  <w:tcBorders>
                    <w:tl2br w:val="nil"/>
                    <w:tr2bl w:val="nil"/>
                  </w:tcBorders>
                  <w:noWrap w:val="0"/>
                  <w:vAlign w:val="center"/>
                </w:tcPr>
                <w:p w14:paraId="6DD0AC96">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 xml:space="preserve">提取废气(制剂车间废气、乙醇罐区废气、危废间废气、污水站废气) </w:t>
                  </w:r>
                  <w:r>
                    <w:rPr>
                      <w:rFonts w:hint="eastAsia"/>
                      <w:color w:val="000000" w:themeColor="text1"/>
                      <w:kern w:val="0"/>
                      <w:szCs w:val="21"/>
                      <w:lang w:val="en-US" w:eastAsia="zh-CN"/>
                      <w14:textFill>
                        <w14:solidFill>
                          <w14:schemeClr w14:val="tx1"/>
                        </w14:solidFill>
                      </w14:textFill>
                    </w:rPr>
                    <w:t>DA012</w:t>
                  </w:r>
                </w:p>
              </w:tc>
              <w:tc>
                <w:tcPr>
                  <w:tcW w:w="1190" w:type="pct"/>
                  <w:tcBorders>
                    <w:tl2br w:val="nil"/>
                    <w:tr2bl w:val="nil"/>
                  </w:tcBorders>
                  <w:noWrap w:val="0"/>
                  <w:vAlign w:val="center"/>
                </w:tcPr>
                <w:p w14:paraId="4AAEFD52">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NMHC</w:t>
                  </w:r>
                </w:p>
              </w:tc>
              <w:tc>
                <w:tcPr>
                  <w:tcW w:w="791" w:type="pct"/>
                  <w:tcBorders>
                    <w:tl2br w:val="nil"/>
                    <w:tr2bl w:val="nil"/>
                  </w:tcBorders>
                  <w:noWrap w:val="0"/>
                  <w:vAlign w:val="center"/>
                </w:tcPr>
                <w:p w14:paraId="2625A5AB">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排气筒</w:t>
                  </w:r>
                </w:p>
              </w:tc>
              <w:tc>
                <w:tcPr>
                  <w:tcW w:w="819" w:type="pct"/>
                  <w:tcBorders>
                    <w:tl2br w:val="nil"/>
                    <w:tr2bl w:val="nil"/>
                  </w:tcBorders>
                  <w:noWrap w:val="0"/>
                  <w:vAlign w:val="center"/>
                </w:tcPr>
                <w:p w14:paraId="17500145">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1次/半年</w:t>
                  </w:r>
                </w:p>
              </w:tc>
            </w:tr>
            <w:tr w14:paraId="0BF69C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8" w:type="pct"/>
                  <w:vMerge w:val="continue"/>
                  <w:tcBorders>
                    <w:tl2br w:val="nil"/>
                    <w:tr2bl w:val="nil"/>
                  </w:tcBorders>
                  <w:noWrap w:val="0"/>
                  <w:vAlign w:val="center"/>
                </w:tcPr>
                <w:p w14:paraId="7BB3E859">
                  <w:pPr>
                    <w:widowControl/>
                    <w:jc w:val="center"/>
                    <w:rPr>
                      <w:rFonts w:hint="eastAsia"/>
                      <w:color w:val="000000" w:themeColor="text1"/>
                      <w:szCs w:val="21"/>
                      <w:lang w:val="en-US" w:eastAsia="zh-CN"/>
                      <w14:textFill>
                        <w14:solidFill>
                          <w14:schemeClr w14:val="tx1"/>
                        </w14:solidFill>
                      </w14:textFill>
                    </w:rPr>
                  </w:pPr>
                </w:p>
              </w:tc>
              <w:tc>
                <w:tcPr>
                  <w:tcW w:w="1190" w:type="pct"/>
                  <w:tcBorders>
                    <w:tl2br w:val="nil"/>
                    <w:tr2bl w:val="nil"/>
                  </w:tcBorders>
                  <w:noWrap w:val="0"/>
                  <w:vAlign w:val="center"/>
                </w:tcPr>
                <w:p w14:paraId="1FC6109D">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TVOC</w:t>
                  </w:r>
                </w:p>
              </w:tc>
              <w:tc>
                <w:tcPr>
                  <w:tcW w:w="791" w:type="pct"/>
                  <w:tcBorders>
                    <w:tl2br w:val="nil"/>
                    <w:tr2bl w:val="nil"/>
                  </w:tcBorders>
                  <w:noWrap w:val="0"/>
                  <w:vAlign w:val="center"/>
                </w:tcPr>
                <w:p w14:paraId="60EB568A">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排气筒</w:t>
                  </w:r>
                </w:p>
              </w:tc>
              <w:tc>
                <w:tcPr>
                  <w:tcW w:w="819" w:type="pct"/>
                  <w:tcBorders>
                    <w:tl2br w:val="nil"/>
                    <w:tr2bl w:val="nil"/>
                  </w:tcBorders>
                  <w:noWrap w:val="0"/>
                  <w:vAlign w:val="center"/>
                </w:tcPr>
                <w:p w14:paraId="77DA2CF8">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1次/年</w:t>
                  </w:r>
                </w:p>
              </w:tc>
            </w:tr>
            <w:tr w14:paraId="6BF81EB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8" w:type="pct"/>
                  <w:tcBorders>
                    <w:tl2br w:val="nil"/>
                    <w:tr2bl w:val="nil"/>
                  </w:tcBorders>
                  <w:noWrap w:val="0"/>
                  <w:vAlign w:val="center"/>
                </w:tcPr>
                <w:p w14:paraId="35AAE0E6">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散剂粉碎混合废气</w:t>
                  </w:r>
                  <w:r>
                    <w:rPr>
                      <w:rFonts w:hint="eastAsia"/>
                      <w:color w:val="000000" w:themeColor="text1"/>
                      <w:kern w:val="0"/>
                      <w:szCs w:val="21"/>
                      <w:lang w:val="en-US" w:eastAsia="zh-CN"/>
                      <w14:textFill>
                        <w14:solidFill>
                          <w14:schemeClr w14:val="tx1"/>
                        </w14:solidFill>
                      </w14:textFill>
                    </w:rPr>
                    <w:t>DA013</w:t>
                  </w:r>
                </w:p>
              </w:tc>
              <w:tc>
                <w:tcPr>
                  <w:tcW w:w="1190" w:type="pct"/>
                  <w:tcBorders>
                    <w:tl2br w:val="nil"/>
                    <w:tr2bl w:val="nil"/>
                  </w:tcBorders>
                  <w:noWrap w:val="0"/>
                  <w:vAlign w:val="center"/>
                </w:tcPr>
                <w:p w14:paraId="2492DF9D">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791" w:type="pct"/>
                  <w:tcBorders>
                    <w:tl2br w:val="nil"/>
                    <w:tr2bl w:val="nil"/>
                  </w:tcBorders>
                  <w:noWrap w:val="0"/>
                  <w:vAlign w:val="center"/>
                </w:tcPr>
                <w:p w14:paraId="01FB381F">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排气筒</w:t>
                  </w:r>
                </w:p>
              </w:tc>
              <w:tc>
                <w:tcPr>
                  <w:tcW w:w="819" w:type="pct"/>
                  <w:tcBorders>
                    <w:tl2br w:val="nil"/>
                    <w:tr2bl w:val="nil"/>
                  </w:tcBorders>
                  <w:noWrap w:val="0"/>
                  <w:vAlign w:val="center"/>
                </w:tcPr>
                <w:p w14:paraId="10D7317D">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1次/半年</w:t>
                  </w:r>
                </w:p>
              </w:tc>
            </w:tr>
            <w:tr w14:paraId="54BA1A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8" w:type="pct"/>
                  <w:tcBorders>
                    <w:tl2br w:val="nil"/>
                    <w:tr2bl w:val="nil"/>
                  </w:tcBorders>
                  <w:noWrap w:val="0"/>
                  <w:vAlign w:val="center"/>
                </w:tcPr>
                <w:p w14:paraId="1A52F2B1">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散剂颗粒剂装袋废气</w:t>
                  </w:r>
                  <w:r>
                    <w:rPr>
                      <w:rFonts w:hint="eastAsia"/>
                      <w:color w:val="000000" w:themeColor="text1"/>
                      <w:kern w:val="0"/>
                      <w:szCs w:val="21"/>
                      <w:lang w:val="en-US" w:eastAsia="zh-CN"/>
                      <w14:textFill>
                        <w14:solidFill>
                          <w14:schemeClr w14:val="tx1"/>
                        </w14:solidFill>
                      </w14:textFill>
                    </w:rPr>
                    <w:t>DA014</w:t>
                  </w:r>
                </w:p>
              </w:tc>
              <w:tc>
                <w:tcPr>
                  <w:tcW w:w="1190" w:type="pct"/>
                  <w:tcBorders>
                    <w:tl2br w:val="nil"/>
                    <w:tr2bl w:val="nil"/>
                  </w:tcBorders>
                  <w:noWrap w:val="0"/>
                  <w:vAlign w:val="center"/>
                </w:tcPr>
                <w:p w14:paraId="2B010EE3">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791" w:type="pct"/>
                  <w:tcBorders>
                    <w:tl2br w:val="nil"/>
                    <w:tr2bl w:val="nil"/>
                  </w:tcBorders>
                  <w:noWrap w:val="0"/>
                  <w:vAlign w:val="center"/>
                </w:tcPr>
                <w:p w14:paraId="6931BF20">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排气筒</w:t>
                  </w:r>
                </w:p>
              </w:tc>
              <w:tc>
                <w:tcPr>
                  <w:tcW w:w="819" w:type="pct"/>
                  <w:tcBorders>
                    <w:tl2br w:val="nil"/>
                    <w:tr2bl w:val="nil"/>
                  </w:tcBorders>
                  <w:noWrap w:val="0"/>
                  <w:vAlign w:val="center"/>
                </w:tcPr>
                <w:p w14:paraId="56118716">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1次/半年</w:t>
                  </w:r>
                </w:p>
              </w:tc>
            </w:tr>
            <w:tr w14:paraId="23AF338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8" w:type="pct"/>
                  <w:tcBorders>
                    <w:tl2br w:val="nil"/>
                    <w:tr2bl w:val="nil"/>
                  </w:tcBorders>
                  <w:noWrap w:val="0"/>
                  <w:vAlign w:val="center"/>
                </w:tcPr>
                <w:p w14:paraId="5FBB9E6C">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制粒干燥、筛粒总混废气</w:t>
                  </w:r>
                  <w:r>
                    <w:rPr>
                      <w:rFonts w:hint="eastAsia"/>
                      <w:color w:val="000000" w:themeColor="text1"/>
                      <w:kern w:val="0"/>
                      <w:szCs w:val="21"/>
                      <w:lang w:val="en-US" w:eastAsia="zh-CN"/>
                      <w14:textFill>
                        <w14:solidFill>
                          <w14:schemeClr w14:val="tx1"/>
                        </w14:solidFill>
                      </w14:textFill>
                    </w:rPr>
                    <w:t>DA015</w:t>
                  </w:r>
                </w:p>
              </w:tc>
              <w:tc>
                <w:tcPr>
                  <w:tcW w:w="1190" w:type="pct"/>
                  <w:tcBorders>
                    <w:tl2br w:val="nil"/>
                    <w:tr2bl w:val="nil"/>
                  </w:tcBorders>
                  <w:noWrap w:val="0"/>
                  <w:vAlign w:val="center"/>
                </w:tcPr>
                <w:p w14:paraId="350C9844">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791" w:type="pct"/>
                  <w:tcBorders>
                    <w:tl2br w:val="nil"/>
                    <w:tr2bl w:val="nil"/>
                  </w:tcBorders>
                  <w:noWrap w:val="0"/>
                  <w:vAlign w:val="center"/>
                </w:tcPr>
                <w:p w14:paraId="7606BBF6">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排气筒</w:t>
                  </w:r>
                </w:p>
              </w:tc>
              <w:tc>
                <w:tcPr>
                  <w:tcW w:w="819" w:type="pct"/>
                  <w:tcBorders>
                    <w:tl2br w:val="nil"/>
                    <w:tr2bl w:val="nil"/>
                  </w:tcBorders>
                  <w:noWrap w:val="0"/>
                  <w:vAlign w:val="center"/>
                </w:tcPr>
                <w:p w14:paraId="3DAE409A">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1次/半年</w:t>
                  </w:r>
                </w:p>
              </w:tc>
            </w:tr>
            <w:tr w14:paraId="3A8B885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8" w:type="pct"/>
                  <w:tcBorders>
                    <w:tl2br w:val="nil"/>
                    <w:tr2bl w:val="nil"/>
                  </w:tcBorders>
                  <w:noWrap w:val="0"/>
                  <w:vAlign w:val="center"/>
                </w:tcPr>
                <w:p w14:paraId="774CD548">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片剂压片废气</w:t>
                  </w:r>
                  <w:r>
                    <w:rPr>
                      <w:rFonts w:hint="eastAsia"/>
                      <w:color w:val="000000" w:themeColor="text1"/>
                      <w:kern w:val="0"/>
                      <w:szCs w:val="21"/>
                      <w:lang w:val="en-US" w:eastAsia="zh-CN"/>
                      <w14:textFill>
                        <w14:solidFill>
                          <w14:schemeClr w14:val="tx1"/>
                        </w14:solidFill>
                      </w14:textFill>
                    </w:rPr>
                    <w:t>DA016</w:t>
                  </w:r>
                </w:p>
              </w:tc>
              <w:tc>
                <w:tcPr>
                  <w:tcW w:w="1190" w:type="pct"/>
                  <w:tcBorders>
                    <w:tl2br w:val="nil"/>
                    <w:tr2bl w:val="nil"/>
                  </w:tcBorders>
                  <w:noWrap w:val="0"/>
                  <w:vAlign w:val="center"/>
                </w:tcPr>
                <w:p w14:paraId="5477FC57">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791" w:type="pct"/>
                  <w:tcBorders>
                    <w:tl2br w:val="nil"/>
                    <w:tr2bl w:val="nil"/>
                  </w:tcBorders>
                  <w:noWrap w:val="0"/>
                  <w:vAlign w:val="center"/>
                </w:tcPr>
                <w:p w14:paraId="2E73CA7E">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排气筒</w:t>
                  </w:r>
                </w:p>
              </w:tc>
              <w:tc>
                <w:tcPr>
                  <w:tcW w:w="819" w:type="pct"/>
                  <w:tcBorders>
                    <w:tl2br w:val="nil"/>
                    <w:tr2bl w:val="nil"/>
                  </w:tcBorders>
                  <w:noWrap w:val="0"/>
                  <w:vAlign w:val="center"/>
                </w:tcPr>
                <w:p w14:paraId="00DA99FF">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1次/半年</w:t>
                  </w:r>
                </w:p>
              </w:tc>
            </w:tr>
            <w:tr w14:paraId="1824E5A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8" w:type="pct"/>
                  <w:tcBorders>
                    <w:tl2br w:val="nil"/>
                    <w:tr2bl w:val="nil"/>
                  </w:tcBorders>
                  <w:noWrap w:val="0"/>
                  <w:vAlign w:val="center"/>
                </w:tcPr>
                <w:p w14:paraId="2F7FFBE2">
                  <w:pPr>
                    <w:widowControl/>
                    <w:jc w:val="center"/>
                    <w:rPr>
                      <w:rFonts w:hint="eastAsia"/>
                      <w:color w:val="000000" w:themeColor="text1"/>
                      <w:kern w:val="0"/>
                      <w:szCs w:val="21"/>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丸剂合坨制丸、筛丸干燥、总混打光</w:t>
                  </w:r>
                  <w:r>
                    <w:rPr>
                      <w:rFonts w:hint="eastAsia"/>
                      <w:color w:val="000000" w:themeColor="text1"/>
                      <w:szCs w:val="21"/>
                      <w:lang w:val="en-US" w:eastAsia="zh-CN"/>
                      <w14:textFill>
                        <w14:solidFill>
                          <w14:schemeClr w14:val="tx1"/>
                        </w14:solidFill>
                      </w14:textFill>
                    </w:rPr>
                    <w:t>废气</w:t>
                  </w:r>
                  <w:r>
                    <w:rPr>
                      <w:rFonts w:hint="eastAsia"/>
                      <w:color w:val="000000" w:themeColor="text1"/>
                      <w:kern w:val="0"/>
                      <w:szCs w:val="21"/>
                      <w:lang w:val="en-US" w:eastAsia="zh-CN"/>
                      <w14:textFill>
                        <w14:solidFill>
                          <w14:schemeClr w14:val="tx1"/>
                        </w14:solidFill>
                      </w14:textFill>
                    </w:rPr>
                    <w:t>DA017</w:t>
                  </w:r>
                </w:p>
              </w:tc>
              <w:tc>
                <w:tcPr>
                  <w:tcW w:w="1190" w:type="pct"/>
                  <w:tcBorders>
                    <w:tl2br w:val="nil"/>
                    <w:tr2bl w:val="nil"/>
                  </w:tcBorders>
                  <w:noWrap w:val="0"/>
                  <w:vAlign w:val="center"/>
                </w:tcPr>
                <w:p w14:paraId="635A47C6">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颗粒物</w:t>
                  </w:r>
                </w:p>
              </w:tc>
              <w:tc>
                <w:tcPr>
                  <w:tcW w:w="791" w:type="pct"/>
                  <w:tcBorders>
                    <w:tl2br w:val="nil"/>
                    <w:tr2bl w:val="nil"/>
                  </w:tcBorders>
                  <w:noWrap w:val="0"/>
                  <w:vAlign w:val="center"/>
                </w:tcPr>
                <w:p w14:paraId="7AE73E9A">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排气筒</w:t>
                  </w:r>
                </w:p>
              </w:tc>
              <w:tc>
                <w:tcPr>
                  <w:tcW w:w="819" w:type="pct"/>
                  <w:tcBorders>
                    <w:tl2br w:val="nil"/>
                    <w:tr2bl w:val="nil"/>
                  </w:tcBorders>
                  <w:noWrap w:val="0"/>
                  <w:vAlign w:val="center"/>
                </w:tcPr>
                <w:p w14:paraId="33373075">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1次/半年</w:t>
                  </w:r>
                </w:p>
              </w:tc>
            </w:tr>
            <w:tr w14:paraId="518827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8" w:type="pct"/>
                  <w:tcBorders>
                    <w:tl2br w:val="nil"/>
                    <w:tr2bl w:val="nil"/>
                  </w:tcBorders>
                  <w:shd w:val="clear" w:color="auto" w:fill="auto"/>
                  <w:noWrap w:val="0"/>
                  <w:vAlign w:val="center"/>
                </w:tcPr>
                <w:p w14:paraId="48BEB03C">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厂界</w:t>
                  </w:r>
                </w:p>
              </w:tc>
              <w:tc>
                <w:tcPr>
                  <w:tcW w:w="1190" w:type="pct"/>
                  <w:tcBorders>
                    <w:tl2br w:val="nil"/>
                    <w:tr2bl w:val="nil"/>
                  </w:tcBorders>
                  <w:shd w:val="clear" w:color="auto" w:fill="auto"/>
                  <w:noWrap w:val="0"/>
                  <w:vAlign w:val="center"/>
                </w:tcPr>
                <w:p w14:paraId="5FF047DB">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NMHC、臭气浓度、硫化氢、氨</w:t>
                  </w:r>
                </w:p>
              </w:tc>
              <w:tc>
                <w:tcPr>
                  <w:tcW w:w="791" w:type="pct"/>
                  <w:tcBorders>
                    <w:tl2br w:val="nil"/>
                    <w:tr2bl w:val="nil"/>
                  </w:tcBorders>
                  <w:shd w:val="clear" w:color="auto" w:fill="auto"/>
                  <w:noWrap w:val="0"/>
                  <w:vAlign w:val="center"/>
                </w:tcPr>
                <w:p w14:paraId="224D5663">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厂界</w:t>
                  </w:r>
                </w:p>
              </w:tc>
              <w:tc>
                <w:tcPr>
                  <w:tcW w:w="819" w:type="pct"/>
                  <w:tcBorders>
                    <w:tl2br w:val="nil"/>
                    <w:tr2bl w:val="nil"/>
                  </w:tcBorders>
                  <w:shd w:val="clear" w:color="auto" w:fill="auto"/>
                  <w:noWrap w:val="0"/>
                  <w:vAlign w:val="center"/>
                </w:tcPr>
                <w:p w14:paraId="44197741">
                  <w:pPr>
                    <w:widowControl/>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1次/半年</w:t>
                  </w:r>
                </w:p>
              </w:tc>
            </w:tr>
            <w:tr w14:paraId="48B9B28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8" w:type="pct"/>
                  <w:tcBorders>
                    <w:tl2br w:val="nil"/>
                    <w:tr2bl w:val="nil"/>
                  </w:tcBorders>
                  <w:shd w:val="clear" w:color="auto" w:fill="auto"/>
                  <w:noWrap w:val="0"/>
                  <w:vAlign w:val="center"/>
                </w:tcPr>
                <w:p w14:paraId="6CF6C6BA">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厂区内</w:t>
                  </w:r>
                </w:p>
              </w:tc>
              <w:tc>
                <w:tcPr>
                  <w:tcW w:w="1190" w:type="pct"/>
                  <w:tcBorders>
                    <w:tl2br w:val="nil"/>
                    <w:tr2bl w:val="nil"/>
                  </w:tcBorders>
                  <w:shd w:val="clear" w:color="auto" w:fill="auto"/>
                  <w:noWrap w:val="0"/>
                  <w:vAlign w:val="center"/>
                </w:tcPr>
                <w:p w14:paraId="05620215">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NMHC</w:t>
                  </w:r>
                </w:p>
              </w:tc>
              <w:tc>
                <w:tcPr>
                  <w:tcW w:w="791" w:type="pct"/>
                  <w:tcBorders>
                    <w:tl2br w:val="nil"/>
                    <w:tr2bl w:val="nil"/>
                  </w:tcBorders>
                  <w:shd w:val="clear" w:color="auto" w:fill="auto"/>
                  <w:noWrap w:val="0"/>
                  <w:vAlign w:val="center"/>
                </w:tcPr>
                <w:p w14:paraId="00612EA4">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厂区</w:t>
                  </w:r>
                </w:p>
              </w:tc>
              <w:tc>
                <w:tcPr>
                  <w:tcW w:w="819" w:type="pct"/>
                  <w:tcBorders>
                    <w:tl2br w:val="nil"/>
                    <w:tr2bl w:val="nil"/>
                  </w:tcBorders>
                  <w:shd w:val="clear" w:color="auto" w:fill="auto"/>
                  <w:noWrap w:val="0"/>
                  <w:vAlign w:val="center"/>
                </w:tcPr>
                <w:p w14:paraId="5FFDEE68">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1次/半年</w:t>
                  </w:r>
                </w:p>
              </w:tc>
            </w:tr>
          </w:tbl>
          <w:p w14:paraId="6A780C0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1.9、非正常排放情况</w:t>
            </w:r>
          </w:p>
          <w:p w14:paraId="2036ED3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Times New Roman"/>
                <w:b w:val="0"/>
                <w:bCs w:val="0"/>
                <w:color w:val="000000" w:themeColor="text1"/>
                <w:sz w:val="24"/>
                <w:szCs w:val="24"/>
                <w:highlight w:val="none"/>
                <w:lang w:val="en-US" w:eastAsia="zh-CN"/>
                <w14:textFill>
                  <w14:solidFill>
                    <w14:schemeClr w14:val="tx1"/>
                  </w14:solidFill>
                </w14:textFill>
              </w:rPr>
            </w:pPr>
            <w:r>
              <w:rPr>
                <w:rFonts w:hint="eastAsia" w:cs="Times New Roman"/>
                <w:b w:val="0"/>
                <w:bCs w:val="0"/>
                <w:color w:val="000000" w:themeColor="text1"/>
                <w:sz w:val="24"/>
                <w:szCs w:val="24"/>
                <w:highlight w:val="none"/>
                <w:lang w:val="en-US" w:eastAsia="zh-CN"/>
                <w14:textFill>
                  <w14:solidFill>
                    <w14:schemeClr w14:val="tx1"/>
                  </w14:solidFill>
                </w14:textFill>
              </w:rPr>
              <w:t>本项目废气非正常排放主要为袋式除尘器、有机废气处理装置等因布袋破损或催化剂失效而导致处理效率下降，废气超标排放会对周围大气环境产生不利影响，具体分析如下：</w:t>
            </w:r>
          </w:p>
          <w:p w14:paraId="73CBA5ED">
            <w:pPr>
              <w:keepNext w:val="0"/>
              <w:keepLines w:val="0"/>
              <w:pageBreakBefore w:val="0"/>
              <w:widowControl w:val="0"/>
              <w:kinsoku/>
              <w:wordWrap/>
              <w:overflowPunct/>
              <w:topLinePunct w:val="0"/>
              <w:autoSpaceDE/>
              <w:autoSpaceDN/>
              <w:bidi w:val="0"/>
              <w:adjustRightInd w:val="0"/>
              <w:snapToGrid w:val="0"/>
              <w:spacing w:line="240" w:lineRule="auto"/>
              <w:ind w:firstLine="1920" w:firstLineChars="800"/>
              <w:textAlignment w:val="auto"/>
              <w:rPr>
                <w:rFonts w:hint="default" w:eastAsia="宋体" w:cs="Times New Roman"/>
                <w:color w:val="000000" w:themeColor="text1"/>
                <w:sz w:val="24"/>
                <w:szCs w:val="24"/>
                <w:lang w:val="en-US" w:eastAsia="zh-CN"/>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表</w:t>
            </w:r>
            <w:r>
              <w:rPr>
                <w:rFonts w:hint="eastAsia" w:cs="Times New Roman"/>
                <w:color w:val="000000" w:themeColor="text1"/>
                <w:sz w:val="24"/>
                <w:szCs w:val="24"/>
                <w:lang w:val="en-US" w:eastAsia="zh-CN"/>
                <w14:textFill>
                  <w14:solidFill>
                    <w14:schemeClr w14:val="tx1"/>
                  </w14:solidFill>
                </w14:textFill>
              </w:rPr>
              <w:t>31</w:t>
            </w:r>
            <w:r>
              <w:rPr>
                <w:rFonts w:hint="eastAsia" w:eastAsia="宋体" w:cs="Times New Roman"/>
                <w:color w:val="000000" w:themeColor="text1"/>
                <w:sz w:val="24"/>
                <w:szCs w:val="24"/>
                <w:lang w:val="en-US" w:eastAsia="zh-CN"/>
                <w14:textFill>
                  <w14:solidFill>
                    <w14:schemeClr w14:val="tx1"/>
                  </w14:solidFill>
                </w14:textFill>
              </w:rPr>
              <w:t xml:space="preserve">    废气非正常排放情况表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014"/>
              <w:gridCol w:w="795"/>
              <w:gridCol w:w="1170"/>
              <w:gridCol w:w="624"/>
              <w:gridCol w:w="969"/>
              <w:gridCol w:w="957"/>
              <w:gridCol w:w="929"/>
              <w:gridCol w:w="757"/>
              <w:gridCol w:w="753"/>
            </w:tblGrid>
            <w:tr w14:paraId="56DF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636" w:type="pct"/>
                  <w:noWrap w:val="0"/>
                  <w:tcMar>
                    <w:top w:w="0" w:type="dxa"/>
                    <w:left w:w="57" w:type="dxa"/>
                    <w:bottom w:w="0" w:type="dxa"/>
                    <w:right w:w="57" w:type="dxa"/>
                  </w:tcMar>
                  <w:vAlign w:val="center"/>
                </w:tcPr>
                <w:p w14:paraId="09988CA3">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b w:val="0"/>
                      <w:bCs w:val="0"/>
                      <w:color w:val="000000" w:themeColor="text1"/>
                      <w:u w:val="none" w:color="auto"/>
                      <w:lang w:val="en-US" w:eastAsia="zh-CN"/>
                      <w14:textFill>
                        <w14:solidFill>
                          <w14:schemeClr w14:val="tx1"/>
                        </w14:solidFill>
                      </w14:textFill>
                    </w:rPr>
                  </w:pPr>
                  <w:r>
                    <w:rPr>
                      <w:rFonts w:hint="eastAsia"/>
                      <w:b w:val="0"/>
                      <w:bCs w:val="0"/>
                      <w:color w:val="000000" w:themeColor="text1"/>
                      <w:u w:val="none" w:color="auto"/>
                      <w:lang w:val="en-US" w:eastAsia="zh-CN"/>
                      <w14:textFill>
                        <w14:solidFill>
                          <w14:schemeClr w14:val="tx1"/>
                        </w14:solidFill>
                      </w14:textFill>
                    </w:rPr>
                    <w:t>产生环节</w:t>
                  </w:r>
                </w:p>
              </w:tc>
              <w:tc>
                <w:tcPr>
                  <w:tcW w:w="498" w:type="pct"/>
                  <w:noWrap w:val="0"/>
                  <w:tcMar>
                    <w:top w:w="0" w:type="dxa"/>
                    <w:left w:w="57" w:type="dxa"/>
                    <w:bottom w:w="0" w:type="dxa"/>
                    <w:right w:w="57" w:type="dxa"/>
                  </w:tcMar>
                  <w:vAlign w:val="center"/>
                </w:tcPr>
                <w:p w14:paraId="12774385">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val="0"/>
                      <w:bCs w:val="0"/>
                      <w:snapToGrid w:val="0"/>
                      <w:color w:val="000000" w:themeColor="text1"/>
                      <w:kern w:val="0"/>
                      <w:sz w:val="21"/>
                      <w:szCs w:val="21"/>
                      <w:u w:val="none" w:color="auto"/>
                      <w:lang w:val="en-US" w:eastAsia="zh-CN"/>
                      <w14:textFill>
                        <w14:solidFill>
                          <w14:schemeClr w14:val="tx1"/>
                        </w14:solidFill>
                      </w14:textFill>
                    </w:rPr>
                  </w:pPr>
                  <w:r>
                    <w:rPr>
                      <w:rFonts w:hint="eastAsia"/>
                      <w:b w:val="0"/>
                      <w:bCs w:val="0"/>
                      <w:color w:val="000000" w:themeColor="text1"/>
                      <w:u w:val="none" w:color="auto"/>
                      <w:lang w:val="en-US" w:eastAsia="zh-CN"/>
                      <w14:textFill>
                        <w14:solidFill>
                          <w14:schemeClr w14:val="tx1"/>
                        </w14:solidFill>
                      </w14:textFill>
                    </w:rPr>
                    <w:t>污染物</w:t>
                  </w:r>
                </w:p>
              </w:tc>
              <w:tc>
                <w:tcPr>
                  <w:tcW w:w="734" w:type="pct"/>
                  <w:noWrap w:val="0"/>
                  <w:tcMar>
                    <w:top w:w="0" w:type="dxa"/>
                    <w:left w:w="57" w:type="dxa"/>
                    <w:bottom w:w="0" w:type="dxa"/>
                    <w:right w:w="57" w:type="dxa"/>
                  </w:tcMar>
                  <w:vAlign w:val="center"/>
                </w:tcPr>
                <w:p w14:paraId="44DF6C48">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val="0"/>
                      <w:bCs w:val="0"/>
                      <w:color w:val="000000" w:themeColor="text1"/>
                      <w:u w:val="none" w:color="auto"/>
                      <w:lang w:val="en-US" w:eastAsia="zh-CN"/>
                      <w14:textFill>
                        <w14:solidFill>
                          <w14:schemeClr w14:val="tx1"/>
                        </w14:solidFill>
                      </w14:textFill>
                    </w:rPr>
                  </w:pPr>
                  <w:r>
                    <w:rPr>
                      <w:rFonts w:hint="eastAsia"/>
                      <w:b w:val="0"/>
                      <w:bCs w:val="0"/>
                      <w:color w:val="000000" w:themeColor="text1"/>
                      <w:u w:val="none" w:color="auto"/>
                      <w:lang w:val="en-US" w:eastAsia="zh-CN"/>
                      <w14:textFill>
                        <w14:solidFill>
                          <w14:schemeClr w14:val="tx1"/>
                        </w14:solidFill>
                      </w14:textFill>
                    </w:rPr>
                    <w:t>非正常排放情况</w:t>
                  </w:r>
                </w:p>
              </w:tc>
              <w:tc>
                <w:tcPr>
                  <w:tcW w:w="391" w:type="pct"/>
                  <w:noWrap w:val="0"/>
                  <w:tcMar>
                    <w:top w:w="0" w:type="dxa"/>
                    <w:left w:w="57" w:type="dxa"/>
                    <w:bottom w:w="0" w:type="dxa"/>
                    <w:right w:w="57" w:type="dxa"/>
                  </w:tcMar>
                  <w:vAlign w:val="center"/>
                </w:tcPr>
                <w:p w14:paraId="0EA1C69C">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s="Times New Roman"/>
                      <w:b w:val="0"/>
                      <w:bCs w:val="0"/>
                      <w:snapToGrid w:val="0"/>
                      <w:color w:val="000000" w:themeColor="text1"/>
                      <w:kern w:val="0"/>
                      <w:sz w:val="21"/>
                      <w:szCs w:val="21"/>
                      <w:u w:val="none" w:color="auto"/>
                      <w:lang w:val="en-US" w:eastAsia="zh-CN"/>
                      <w14:textFill>
                        <w14:solidFill>
                          <w14:schemeClr w14:val="tx1"/>
                        </w14:solidFill>
                      </w14:textFill>
                    </w:rPr>
                  </w:pPr>
                  <w:r>
                    <w:rPr>
                      <w:rFonts w:hint="eastAsia" w:cs="Times New Roman"/>
                      <w:b w:val="0"/>
                      <w:bCs w:val="0"/>
                      <w:snapToGrid w:val="0"/>
                      <w:color w:val="000000" w:themeColor="text1"/>
                      <w:kern w:val="0"/>
                      <w:sz w:val="21"/>
                      <w:szCs w:val="21"/>
                      <w:u w:val="none" w:color="auto"/>
                      <w:lang w:val="en-US" w:eastAsia="zh-CN"/>
                      <w14:textFill>
                        <w14:solidFill>
                          <w14:schemeClr w14:val="tx1"/>
                        </w14:solidFill>
                      </w14:textFill>
                    </w:rPr>
                    <w:t>频次</w:t>
                  </w:r>
                </w:p>
                <w:p w14:paraId="6EE44C62">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b w:val="0"/>
                      <w:bCs w:val="0"/>
                      <w:snapToGrid w:val="0"/>
                      <w:color w:val="000000" w:themeColor="text1"/>
                      <w:kern w:val="0"/>
                      <w:sz w:val="21"/>
                      <w:szCs w:val="21"/>
                      <w:u w:val="none" w:color="auto"/>
                      <w:lang w:val="en-US" w:eastAsia="zh-CN"/>
                      <w14:textFill>
                        <w14:solidFill>
                          <w14:schemeClr w14:val="tx1"/>
                        </w14:solidFill>
                      </w14:textFill>
                    </w:rPr>
                  </w:pPr>
                  <w:r>
                    <w:rPr>
                      <w:rFonts w:hint="eastAsia" w:cs="Times New Roman"/>
                      <w:b w:val="0"/>
                      <w:bCs w:val="0"/>
                      <w:snapToGrid w:val="0"/>
                      <w:color w:val="000000" w:themeColor="text1"/>
                      <w:kern w:val="0"/>
                      <w:sz w:val="21"/>
                      <w:szCs w:val="21"/>
                      <w:u w:val="none" w:color="auto"/>
                      <w:lang w:val="en-US" w:eastAsia="zh-CN"/>
                      <w14:textFill>
                        <w14:solidFill>
                          <w14:schemeClr w14:val="tx1"/>
                        </w14:solidFill>
                      </w14:textFill>
                    </w:rPr>
                    <w:t>次/年</w:t>
                  </w:r>
                </w:p>
              </w:tc>
              <w:tc>
                <w:tcPr>
                  <w:tcW w:w="608" w:type="pct"/>
                  <w:noWrap w:val="0"/>
                  <w:tcMar>
                    <w:top w:w="0" w:type="dxa"/>
                    <w:left w:w="57" w:type="dxa"/>
                    <w:bottom w:w="0" w:type="dxa"/>
                    <w:right w:w="57" w:type="dxa"/>
                  </w:tcMar>
                  <w:vAlign w:val="center"/>
                </w:tcPr>
                <w:p w14:paraId="3F8A911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s="Times New Roman"/>
                      <w:b w:val="0"/>
                      <w:bCs w:val="0"/>
                      <w:snapToGrid w:val="0"/>
                      <w:color w:val="000000" w:themeColor="text1"/>
                      <w:kern w:val="0"/>
                      <w:sz w:val="21"/>
                      <w:szCs w:val="21"/>
                      <w:u w:val="none" w:color="auto"/>
                      <w:lang w:val="en-US" w:eastAsia="zh-CN"/>
                      <w14:textFill>
                        <w14:solidFill>
                          <w14:schemeClr w14:val="tx1"/>
                        </w14:solidFill>
                      </w14:textFill>
                    </w:rPr>
                  </w:pPr>
                  <w:r>
                    <w:rPr>
                      <w:rFonts w:hint="eastAsia" w:cs="Times New Roman"/>
                      <w:b w:val="0"/>
                      <w:bCs w:val="0"/>
                      <w:snapToGrid w:val="0"/>
                      <w:color w:val="000000" w:themeColor="text1"/>
                      <w:kern w:val="0"/>
                      <w:sz w:val="21"/>
                      <w:szCs w:val="21"/>
                      <w:u w:val="none" w:color="auto"/>
                      <w:lang w:val="en-US" w:eastAsia="zh-CN"/>
                      <w14:textFill>
                        <w14:solidFill>
                          <w14:schemeClr w14:val="tx1"/>
                        </w14:solidFill>
                      </w14:textFill>
                    </w:rPr>
                    <w:t>排放浓度</w:t>
                  </w:r>
                </w:p>
                <w:p w14:paraId="6D233BE1">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s="Times New Roman"/>
                      <w:b w:val="0"/>
                      <w:bCs w:val="0"/>
                      <w:color w:val="000000" w:themeColor="text1"/>
                      <w:sz w:val="24"/>
                      <w:szCs w:val="24"/>
                      <w:u w:val="none" w:color="auto"/>
                      <w:lang w:val="en-US" w:eastAsia="zh-CN"/>
                      <w14:textFill>
                        <w14:solidFill>
                          <w14:schemeClr w14:val="tx1"/>
                        </w14:solidFill>
                      </w14:textFill>
                    </w:rPr>
                  </w:pPr>
                  <w:r>
                    <w:rPr>
                      <w:rFonts w:hint="eastAsia" w:cs="Times New Roman"/>
                      <w:b w:val="0"/>
                      <w:bCs w:val="0"/>
                      <w:color w:val="000000" w:themeColor="text1"/>
                      <w:sz w:val="24"/>
                      <w:szCs w:val="24"/>
                      <w:u w:val="none" w:color="auto"/>
                      <w:lang w:val="en-US" w:eastAsia="zh-CN"/>
                      <w14:textFill>
                        <w14:solidFill>
                          <w14:schemeClr w14:val="tx1"/>
                        </w14:solidFill>
                      </w14:textFill>
                    </w:rPr>
                    <w:t>mg/m</w:t>
                  </w:r>
                  <w:r>
                    <w:rPr>
                      <w:rFonts w:hint="eastAsia" w:cs="Times New Roman"/>
                      <w:b w:val="0"/>
                      <w:bCs w:val="0"/>
                      <w:color w:val="000000" w:themeColor="text1"/>
                      <w:sz w:val="24"/>
                      <w:szCs w:val="24"/>
                      <w:u w:val="none" w:color="auto"/>
                      <w:vertAlign w:val="superscript"/>
                      <w:lang w:val="en-US" w:eastAsia="zh-CN"/>
                      <w14:textFill>
                        <w14:solidFill>
                          <w14:schemeClr w14:val="tx1"/>
                        </w14:solidFill>
                      </w14:textFill>
                    </w:rPr>
                    <w:t>3</w:t>
                  </w:r>
                </w:p>
              </w:tc>
              <w:tc>
                <w:tcPr>
                  <w:tcW w:w="600" w:type="pct"/>
                  <w:noWrap w:val="0"/>
                  <w:tcMar>
                    <w:top w:w="0" w:type="dxa"/>
                    <w:left w:w="57" w:type="dxa"/>
                    <w:bottom w:w="0" w:type="dxa"/>
                    <w:right w:w="57" w:type="dxa"/>
                  </w:tcMar>
                  <w:vAlign w:val="center"/>
                </w:tcPr>
                <w:p w14:paraId="30DE7599">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s="Times New Roman"/>
                      <w:b w:val="0"/>
                      <w:bCs w:val="0"/>
                      <w:snapToGrid w:val="0"/>
                      <w:color w:val="000000" w:themeColor="text1"/>
                      <w:kern w:val="0"/>
                      <w:sz w:val="21"/>
                      <w:szCs w:val="21"/>
                      <w:u w:val="none" w:color="auto"/>
                      <w:lang w:val="en-US" w:eastAsia="zh-CN"/>
                      <w14:textFill>
                        <w14:solidFill>
                          <w14:schemeClr w14:val="tx1"/>
                        </w14:solidFill>
                      </w14:textFill>
                    </w:rPr>
                  </w:pPr>
                  <w:r>
                    <w:rPr>
                      <w:rFonts w:hint="eastAsia" w:cs="Times New Roman"/>
                      <w:b w:val="0"/>
                      <w:bCs w:val="0"/>
                      <w:snapToGrid w:val="0"/>
                      <w:color w:val="000000" w:themeColor="text1"/>
                      <w:kern w:val="0"/>
                      <w:sz w:val="21"/>
                      <w:szCs w:val="21"/>
                      <w:u w:val="none" w:color="auto"/>
                      <w:lang w:val="en-US" w:eastAsia="zh-CN"/>
                      <w14:textFill>
                        <w14:solidFill>
                          <w14:schemeClr w14:val="tx1"/>
                        </w14:solidFill>
                      </w14:textFill>
                    </w:rPr>
                    <w:t>排放速率</w:t>
                  </w:r>
                </w:p>
                <w:p w14:paraId="47D8F4F2">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b w:val="0"/>
                      <w:bCs w:val="0"/>
                      <w:color w:val="000000" w:themeColor="text1"/>
                      <w:u w:val="none" w:color="auto"/>
                      <w:lang w:val="en-US" w:eastAsia="zh-CN"/>
                      <w14:textFill>
                        <w14:solidFill>
                          <w14:schemeClr w14:val="tx1"/>
                        </w14:solidFill>
                      </w14:textFill>
                    </w:rPr>
                  </w:pPr>
                  <w:r>
                    <w:rPr>
                      <w:rFonts w:hint="eastAsia" w:cs="Times New Roman"/>
                      <w:b w:val="0"/>
                      <w:bCs w:val="0"/>
                      <w:color w:val="000000" w:themeColor="text1"/>
                      <w:sz w:val="24"/>
                      <w:szCs w:val="24"/>
                      <w:u w:val="none" w:color="auto"/>
                      <w:lang w:val="en-US" w:eastAsia="zh-CN"/>
                      <w14:textFill>
                        <w14:solidFill>
                          <w14:schemeClr w14:val="tx1"/>
                        </w14:solidFill>
                      </w14:textFill>
                    </w:rPr>
                    <w:t>kg/h</w:t>
                  </w:r>
                </w:p>
              </w:tc>
              <w:tc>
                <w:tcPr>
                  <w:tcW w:w="582" w:type="pct"/>
                  <w:noWrap w:val="0"/>
                  <w:tcMar>
                    <w:top w:w="0" w:type="dxa"/>
                    <w:left w:w="57" w:type="dxa"/>
                    <w:bottom w:w="0" w:type="dxa"/>
                    <w:right w:w="57" w:type="dxa"/>
                  </w:tcMar>
                  <w:vAlign w:val="center"/>
                </w:tcPr>
                <w:p w14:paraId="32896744">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val="0"/>
                      <w:bCs w:val="0"/>
                      <w:color w:val="000000" w:themeColor="text1"/>
                      <w:u w:val="none" w:color="auto"/>
                      <w:lang w:val="en-US" w:eastAsia="zh-CN"/>
                      <w14:textFill>
                        <w14:solidFill>
                          <w14:schemeClr w14:val="tx1"/>
                        </w14:solidFill>
                      </w14:textFill>
                    </w:rPr>
                  </w:pPr>
                  <w:r>
                    <w:rPr>
                      <w:rFonts w:hint="eastAsia"/>
                      <w:b w:val="0"/>
                      <w:bCs w:val="0"/>
                      <w:color w:val="000000" w:themeColor="text1"/>
                      <w:u w:val="none" w:color="auto"/>
                      <w:lang w:val="en-US" w:eastAsia="zh-CN"/>
                      <w14:textFill>
                        <w14:solidFill>
                          <w14:schemeClr w14:val="tx1"/>
                        </w14:solidFill>
                      </w14:textFill>
                    </w:rPr>
                    <w:t>单次持续时间h</w:t>
                  </w:r>
                </w:p>
              </w:tc>
              <w:tc>
                <w:tcPr>
                  <w:tcW w:w="475" w:type="pct"/>
                  <w:noWrap w:val="0"/>
                  <w:tcMar>
                    <w:top w:w="0" w:type="dxa"/>
                    <w:left w:w="57" w:type="dxa"/>
                    <w:bottom w:w="0" w:type="dxa"/>
                    <w:right w:w="57" w:type="dxa"/>
                  </w:tcMar>
                  <w:vAlign w:val="center"/>
                </w:tcPr>
                <w:p w14:paraId="29F9B2C0">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val="0"/>
                      <w:bCs w:val="0"/>
                      <w:color w:val="000000" w:themeColor="text1"/>
                      <w:u w:val="none" w:color="auto"/>
                      <w:lang w:val="en-US" w:eastAsia="zh-CN"/>
                      <w14:textFill>
                        <w14:solidFill>
                          <w14:schemeClr w14:val="tx1"/>
                        </w14:solidFill>
                      </w14:textFill>
                    </w:rPr>
                  </w:pPr>
                  <w:r>
                    <w:rPr>
                      <w:rFonts w:hint="eastAsia"/>
                      <w:b w:val="0"/>
                      <w:bCs w:val="0"/>
                      <w:color w:val="000000" w:themeColor="text1"/>
                      <w:u w:val="none" w:color="auto"/>
                      <w:lang w:val="en-US" w:eastAsia="zh-CN"/>
                      <w14:textFill>
                        <w14:solidFill>
                          <w14:schemeClr w14:val="tx1"/>
                        </w14:solidFill>
                      </w14:textFill>
                    </w:rPr>
                    <w:t>排放量</w:t>
                  </w:r>
                </w:p>
                <w:p w14:paraId="181C899B">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val="0"/>
                      <w:bCs w:val="0"/>
                      <w:snapToGrid w:val="0"/>
                      <w:color w:val="000000" w:themeColor="text1"/>
                      <w:kern w:val="0"/>
                      <w:sz w:val="21"/>
                      <w:szCs w:val="21"/>
                      <w:u w:val="none" w:color="auto"/>
                      <w:lang w:val="en-US" w:eastAsia="zh-CN"/>
                      <w14:textFill>
                        <w14:solidFill>
                          <w14:schemeClr w14:val="tx1"/>
                        </w14:solidFill>
                      </w14:textFill>
                    </w:rPr>
                  </w:pPr>
                  <w:r>
                    <w:rPr>
                      <w:rFonts w:hint="eastAsia" w:cs="Times New Roman"/>
                      <w:b w:val="0"/>
                      <w:bCs w:val="0"/>
                      <w:color w:val="000000" w:themeColor="text1"/>
                      <w:sz w:val="24"/>
                      <w:szCs w:val="24"/>
                      <w:u w:val="none" w:color="auto"/>
                      <w:lang w:val="en-US" w:eastAsia="zh-CN"/>
                      <w14:textFill>
                        <w14:solidFill>
                          <w14:schemeClr w14:val="tx1"/>
                        </w14:solidFill>
                      </w14:textFill>
                    </w:rPr>
                    <w:t>kg/a</w:t>
                  </w:r>
                </w:p>
              </w:tc>
              <w:tc>
                <w:tcPr>
                  <w:tcW w:w="472" w:type="pct"/>
                  <w:noWrap w:val="0"/>
                  <w:tcMar>
                    <w:top w:w="0" w:type="dxa"/>
                    <w:left w:w="57" w:type="dxa"/>
                    <w:bottom w:w="0" w:type="dxa"/>
                    <w:right w:w="57" w:type="dxa"/>
                  </w:tcMar>
                  <w:vAlign w:val="center"/>
                </w:tcPr>
                <w:p w14:paraId="06348934">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val="0"/>
                      <w:bCs w:val="0"/>
                      <w:color w:val="000000" w:themeColor="text1"/>
                      <w:u w:val="none" w:color="auto"/>
                      <w:lang w:val="en-US" w:eastAsia="zh-CN"/>
                      <w14:textFill>
                        <w14:solidFill>
                          <w14:schemeClr w14:val="tx1"/>
                        </w14:solidFill>
                      </w14:textFill>
                    </w:rPr>
                  </w:pPr>
                  <w:r>
                    <w:rPr>
                      <w:rFonts w:hint="eastAsia"/>
                      <w:b w:val="0"/>
                      <w:bCs w:val="0"/>
                      <w:color w:val="000000" w:themeColor="text1"/>
                      <w:u w:val="none" w:color="auto"/>
                      <w:lang w:val="en-US" w:eastAsia="zh-CN"/>
                      <w14:textFill>
                        <w14:solidFill>
                          <w14:schemeClr w14:val="tx1"/>
                        </w14:solidFill>
                      </w14:textFill>
                    </w:rPr>
                    <w:t>应对</w:t>
                  </w:r>
                </w:p>
                <w:p w14:paraId="7138B170">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val="0"/>
                      <w:bCs w:val="0"/>
                      <w:color w:val="000000" w:themeColor="text1"/>
                      <w:u w:val="none" w:color="auto"/>
                      <w:lang w:val="en-US" w:eastAsia="zh-CN"/>
                      <w14:textFill>
                        <w14:solidFill>
                          <w14:schemeClr w14:val="tx1"/>
                        </w14:solidFill>
                      </w14:textFill>
                    </w:rPr>
                  </w:pPr>
                  <w:r>
                    <w:rPr>
                      <w:rFonts w:hint="eastAsia"/>
                      <w:b w:val="0"/>
                      <w:bCs w:val="0"/>
                      <w:color w:val="000000" w:themeColor="text1"/>
                      <w:u w:val="none" w:color="auto"/>
                      <w:lang w:val="en-US" w:eastAsia="zh-CN"/>
                      <w14:textFill>
                        <w14:solidFill>
                          <w14:schemeClr w14:val="tx1"/>
                        </w14:solidFill>
                      </w14:textFill>
                    </w:rPr>
                    <w:t>措施</w:t>
                  </w:r>
                </w:p>
              </w:tc>
            </w:tr>
            <w:tr w14:paraId="1B7E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636" w:type="pct"/>
                  <w:noWrap w:val="0"/>
                  <w:tcMar>
                    <w:top w:w="0" w:type="dxa"/>
                    <w:left w:w="57" w:type="dxa"/>
                    <w:bottom w:w="0" w:type="dxa"/>
                    <w:right w:w="57" w:type="dxa"/>
                  </w:tcMar>
                  <w:vAlign w:val="center"/>
                </w:tcPr>
                <w:p w14:paraId="113D42B0">
                  <w:pPr>
                    <w:pStyle w:val="8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themeColor="text1"/>
                      <w:u w:val="none" w:color="auto"/>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中药前处理废气</w:t>
                  </w:r>
                  <w:r>
                    <w:rPr>
                      <w:rFonts w:hint="eastAsia"/>
                      <w:color w:val="000000" w:themeColor="text1"/>
                      <w:kern w:val="0"/>
                      <w:szCs w:val="21"/>
                      <w:lang w:val="en-US" w:eastAsia="zh-CN"/>
                      <w14:textFill>
                        <w14:solidFill>
                          <w14:schemeClr w14:val="tx1"/>
                        </w14:solidFill>
                      </w14:textFill>
                    </w:rPr>
                    <w:t>DA011</w:t>
                  </w:r>
                </w:p>
              </w:tc>
              <w:tc>
                <w:tcPr>
                  <w:tcW w:w="498" w:type="pct"/>
                  <w:noWrap w:val="0"/>
                  <w:tcMar>
                    <w:top w:w="0" w:type="dxa"/>
                    <w:left w:w="57" w:type="dxa"/>
                    <w:bottom w:w="0" w:type="dxa"/>
                    <w:right w:w="57" w:type="dxa"/>
                  </w:tcMar>
                  <w:vAlign w:val="center"/>
                </w:tcPr>
                <w:p w14:paraId="2496B2A4">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颗粒物</w:t>
                  </w:r>
                </w:p>
              </w:tc>
              <w:tc>
                <w:tcPr>
                  <w:tcW w:w="734" w:type="pct"/>
                  <w:noWrap w:val="0"/>
                  <w:tcMar>
                    <w:top w:w="0" w:type="dxa"/>
                    <w:left w:w="57" w:type="dxa"/>
                    <w:bottom w:w="0" w:type="dxa"/>
                    <w:right w:w="57" w:type="dxa"/>
                  </w:tcMar>
                  <w:vAlign w:val="center"/>
                </w:tcPr>
                <w:p w14:paraId="6F259FE1">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u w:val="none" w:color="auto"/>
                      <w:lang w:val="en-US" w:eastAsia="zh-CN"/>
                      <w14:textFill>
                        <w14:solidFill>
                          <w14:schemeClr w14:val="tx1"/>
                        </w14:solidFill>
                      </w14:textFill>
                    </w:rPr>
                  </w:pPr>
                  <w:r>
                    <w:rPr>
                      <w:rFonts w:hint="default"/>
                      <w:color w:val="000000" w:themeColor="text1"/>
                      <w:u w:val="none" w:color="auto"/>
                      <w:lang w:val="en-US" w:eastAsia="zh-CN"/>
                      <w14:textFill>
                        <w14:solidFill>
                          <w14:schemeClr w14:val="tx1"/>
                        </w14:solidFill>
                      </w14:textFill>
                    </w:rPr>
                    <w:t>除尘效率下降至50%</w:t>
                  </w:r>
                </w:p>
              </w:tc>
              <w:tc>
                <w:tcPr>
                  <w:tcW w:w="391" w:type="pct"/>
                  <w:noWrap w:val="0"/>
                  <w:tcMar>
                    <w:top w:w="0" w:type="dxa"/>
                    <w:left w:w="57" w:type="dxa"/>
                    <w:bottom w:w="0" w:type="dxa"/>
                    <w:right w:w="57" w:type="dxa"/>
                  </w:tcMar>
                  <w:vAlign w:val="center"/>
                </w:tcPr>
                <w:p w14:paraId="5A30F560">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1</w:t>
                  </w:r>
                </w:p>
              </w:tc>
              <w:tc>
                <w:tcPr>
                  <w:tcW w:w="608" w:type="pct"/>
                  <w:noWrap w:val="0"/>
                  <w:tcMar>
                    <w:top w:w="0" w:type="dxa"/>
                    <w:left w:w="57" w:type="dxa"/>
                    <w:bottom w:w="0" w:type="dxa"/>
                    <w:right w:w="57" w:type="dxa"/>
                  </w:tcMar>
                  <w:vAlign w:val="center"/>
                </w:tcPr>
                <w:p w14:paraId="57E9FF3C">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snapToGrid w:val="0"/>
                      <w:color w:val="000000" w:themeColor="text1"/>
                      <w:kern w:val="0"/>
                      <w:sz w:val="21"/>
                      <w:szCs w:val="21"/>
                      <w:u w:val="none" w:color="auto"/>
                      <w:lang w:val="en-US" w:eastAsia="zh-CN"/>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206.6</w:t>
                  </w:r>
                </w:p>
              </w:tc>
              <w:tc>
                <w:tcPr>
                  <w:tcW w:w="600" w:type="pct"/>
                  <w:noWrap w:val="0"/>
                  <w:tcMar>
                    <w:top w:w="0" w:type="dxa"/>
                    <w:left w:w="57" w:type="dxa"/>
                    <w:bottom w:w="0" w:type="dxa"/>
                    <w:right w:w="57" w:type="dxa"/>
                  </w:tcMar>
                  <w:vAlign w:val="center"/>
                </w:tcPr>
                <w:p w14:paraId="78A29709">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2.066</w:t>
                  </w:r>
                </w:p>
              </w:tc>
              <w:tc>
                <w:tcPr>
                  <w:tcW w:w="582" w:type="pct"/>
                  <w:noWrap w:val="0"/>
                  <w:tcMar>
                    <w:top w:w="0" w:type="dxa"/>
                    <w:left w:w="57" w:type="dxa"/>
                    <w:bottom w:w="0" w:type="dxa"/>
                    <w:right w:w="57" w:type="dxa"/>
                  </w:tcMar>
                  <w:vAlign w:val="center"/>
                </w:tcPr>
                <w:p w14:paraId="0192C038">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w:t>
                  </w:r>
                </w:p>
              </w:tc>
              <w:tc>
                <w:tcPr>
                  <w:tcW w:w="475" w:type="pct"/>
                  <w:noWrap w:val="0"/>
                  <w:tcMar>
                    <w:top w:w="0" w:type="dxa"/>
                    <w:left w:w="57" w:type="dxa"/>
                    <w:bottom w:w="0" w:type="dxa"/>
                    <w:right w:w="57" w:type="dxa"/>
                  </w:tcMar>
                  <w:vAlign w:val="center"/>
                </w:tcPr>
                <w:p w14:paraId="40FB0D09">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14:textFill>
                        <w14:solidFill>
                          <w14:schemeClr w14:val="tx1"/>
                        </w14:solidFill>
                      </w14:textFill>
                    </w:rPr>
                  </w:pPr>
                  <w:r>
                    <w:rPr>
                      <w:rFonts w:hint="eastAsia" w:eastAsia="宋体" w:cs="Times New Roman"/>
                      <w:snapToGrid w:val="0"/>
                      <w:color w:val="000000" w:themeColor="text1"/>
                      <w:kern w:val="0"/>
                      <w:sz w:val="21"/>
                      <w:szCs w:val="21"/>
                      <w:u w:val="none" w:color="auto"/>
                      <w:lang w:val="en-US" w:eastAsia="zh-CN"/>
                      <w14:textFill>
                        <w14:solidFill>
                          <w14:schemeClr w14:val="tx1"/>
                        </w14:solidFill>
                      </w14:textFill>
                    </w:rPr>
                    <w:t>4.132</w:t>
                  </w:r>
                </w:p>
              </w:tc>
              <w:tc>
                <w:tcPr>
                  <w:tcW w:w="472" w:type="pct"/>
                  <w:noWrap w:val="0"/>
                  <w:tcMar>
                    <w:top w:w="0" w:type="dxa"/>
                    <w:left w:w="57" w:type="dxa"/>
                    <w:bottom w:w="0" w:type="dxa"/>
                    <w:right w:w="57" w:type="dxa"/>
                  </w:tcMar>
                  <w:vAlign w:val="center"/>
                </w:tcPr>
                <w:p w14:paraId="73FA4D82">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更换</w:t>
                  </w:r>
                </w:p>
                <w:p w14:paraId="5DF7FF0E">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布袋</w:t>
                  </w:r>
                </w:p>
              </w:tc>
            </w:tr>
            <w:tr w14:paraId="7AE1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636" w:type="pct"/>
                  <w:noWrap w:val="0"/>
                  <w:tcMar>
                    <w:top w:w="0" w:type="dxa"/>
                    <w:left w:w="57" w:type="dxa"/>
                    <w:bottom w:w="0" w:type="dxa"/>
                    <w:right w:w="57" w:type="dxa"/>
                  </w:tcMar>
                  <w:vAlign w:val="center"/>
                </w:tcPr>
                <w:p w14:paraId="1F6173BB">
                  <w:pPr>
                    <w:widowControl/>
                    <w:jc w:val="center"/>
                    <w:rPr>
                      <w:rFonts w:hint="eastAsia"/>
                      <w:color w:val="000000" w:themeColor="text1"/>
                      <w:u w:val="none" w:color="auto"/>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散剂粉碎混合废气</w:t>
                  </w:r>
                  <w:r>
                    <w:rPr>
                      <w:rFonts w:hint="eastAsia"/>
                      <w:color w:val="000000" w:themeColor="text1"/>
                      <w:kern w:val="0"/>
                      <w:szCs w:val="21"/>
                      <w:lang w:val="en-US" w:eastAsia="zh-CN"/>
                      <w14:textFill>
                        <w14:solidFill>
                          <w14:schemeClr w14:val="tx1"/>
                        </w14:solidFill>
                      </w14:textFill>
                    </w:rPr>
                    <w:t>DA013</w:t>
                  </w:r>
                </w:p>
              </w:tc>
              <w:tc>
                <w:tcPr>
                  <w:tcW w:w="498" w:type="pct"/>
                  <w:shd w:val="clear" w:color="auto" w:fill="auto"/>
                  <w:noWrap w:val="0"/>
                  <w:tcMar>
                    <w:top w:w="0" w:type="dxa"/>
                    <w:left w:w="57" w:type="dxa"/>
                    <w:bottom w:w="0" w:type="dxa"/>
                    <w:right w:w="57" w:type="dxa"/>
                  </w:tcMar>
                  <w:vAlign w:val="center"/>
                </w:tcPr>
                <w:p w14:paraId="7C721AD1">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颗粒物</w:t>
                  </w:r>
                </w:p>
              </w:tc>
              <w:tc>
                <w:tcPr>
                  <w:tcW w:w="734" w:type="pct"/>
                  <w:shd w:val="clear" w:color="auto" w:fill="auto"/>
                  <w:noWrap w:val="0"/>
                  <w:tcMar>
                    <w:top w:w="0" w:type="dxa"/>
                    <w:left w:w="57" w:type="dxa"/>
                    <w:bottom w:w="0" w:type="dxa"/>
                    <w:right w:w="57" w:type="dxa"/>
                  </w:tcMar>
                  <w:vAlign w:val="center"/>
                </w:tcPr>
                <w:p w14:paraId="17F6FD48">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default"/>
                      <w:color w:val="000000" w:themeColor="text1"/>
                      <w:u w:val="none" w:color="auto"/>
                      <w:lang w:val="en-US" w:eastAsia="zh-CN"/>
                      <w14:textFill>
                        <w14:solidFill>
                          <w14:schemeClr w14:val="tx1"/>
                        </w14:solidFill>
                      </w14:textFill>
                    </w:rPr>
                    <w:t>除尘效率下降至50%</w:t>
                  </w:r>
                </w:p>
              </w:tc>
              <w:tc>
                <w:tcPr>
                  <w:tcW w:w="391" w:type="pct"/>
                  <w:shd w:val="clear" w:color="auto" w:fill="auto"/>
                  <w:noWrap w:val="0"/>
                  <w:tcMar>
                    <w:top w:w="0" w:type="dxa"/>
                    <w:left w:w="57" w:type="dxa"/>
                    <w:bottom w:w="0" w:type="dxa"/>
                    <w:right w:w="57" w:type="dxa"/>
                  </w:tcMar>
                  <w:vAlign w:val="center"/>
                </w:tcPr>
                <w:p w14:paraId="19969DB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1</w:t>
                  </w:r>
                </w:p>
              </w:tc>
              <w:tc>
                <w:tcPr>
                  <w:tcW w:w="608" w:type="pct"/>
                  <w:shd w:val="clear" w:color="auto" w:fill="auto"/>
                  <w:noWrap w:val="0"/>
                  <w:tcMar>
                    <w:top w:w="0" w:type="dxa"/>
                    <w:left w:w="57" w:type="dxa"/>
                    <w:bottom w:w="0" w:type="dxa"/>
                    <w:right w:w="57" w:type="dxa"/>
                  </w:tcMar>
                  <w:vAlign w:val="center"/>
                </w:tcPr>
                <w:p w14:paraId="79B164A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bidi="ar-SA"/>
                      <w14:textFill>
                        <w14:solidFill>
                          <w14:schemeClr w14:val="tx1"/>
                        </w14:solidFill>
                      </w14:textFill>
                    </w:rPr>
                    <w:t>104.2</w:t>
                  </w:r>
                </w:p>
              </w:tc>
              <w:tc>
                <w:tcPr>
                  <w:tcW w:w="600" w:type="pct"/>
                  <w:shd w:val="clear" w:color="auto" w:fill="auto"/>
                  <w:noWrap w:val="0"/>
                  <w:tcMar>
                    <w:top w:w="0" w:type="dxa"/>
                    <w:left w:w="57" w:type="dxa"/>
                    <w:bottom w:w="0" w:type="dxa"/>
                    <w:right w:w="57" w:type="dxa"/>
                  </w:tcMar>
                  <w:vAlign w:val="center"/>
                </w:tcPr>
                <w:p w14:paraId="5E257D1D">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s="Times New Roman"/>
                      <w:color w:val="000000" w:themeColor="text1"/>
                      <w:kern w:val="2"/>
                      <w:sz w:val="21"/>
                      <w:szCs w:val="24"/>
                      <w:u w:val="none" w:color="auto"/>
                      <w:lang w:val="en-US" w:eastAsia="zh-CN" w:bidi="ar-SA"/>
                      <w14:textFill>
                        <w14:solidFill>
                          <w14:schemeClr w14:val="tx1"/>
                        </w14:solidFill>
                      </w14:textFill>
                    </w:rPr>
                    <w:t>0.208</w:t>
                  </w:r>
                </w:p>
              </w:tc>
              <w:tc>
                <w:tcPr>
                  <w:tcW w:w="582" w:type="pct"/>
                  <w:shd w:val="clear" w:color="auto" w:fill="auto"/>
                  <w:noWrap w:val="0"/>
                  <w:tcMar>
                    <w:top w:w="0" w:type="dxa"/>
                    <w:left w:w="57" w:type="dxa"/>
                    <w:bottom w:w="0" w:type="dxa"/>
                    <w:right w:w="57" w:type="dxa"/>
                  </w:tcMar>
                  <w:vAlign w:val="center"/>
                </w:tcPr>
                <w:p w14:paraId="7D65442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s="Times New Roman"/>
                      <w:color w:val="000000" w:themeColor="text1"/>
                      <w:kern w:val="2"/>
                      <w:sz w:val="21"/>
                      <w:szCs w:val="24"/>
                      <w:u w:val="none" w:color="auto"/>
                      <w:lang w:val="en-US" w:eastAsia="zh-CN" w:bidi="ar-SA"/>
                      <w14:textFill>
                        <w14:solidFill>
                          <w14:schemeClr w14:val="tx1"/>
                        </w14:solidFill>
                      </w14:textFill>
                    </w:rPr>
                    <w:t>2</w:t>
                  </w:r>
                </w:p>
              </w:tc>
              <w:tc>
                <w:tcPr>
                  <w:tcW w:w="475" w:type="pct"/>
                  <w:shd w:val="clear" w:color="auto" w:fill="auto"/>
                  <w:noWrap w:val="0"/>
                  <w:tcMar>
                    <w:top w:w="0" w:type="dxa"/>
                    <w:left w:w="57" w:type="dxa"/>
                    <w:bottom w:w="0" w:type="dxa"/>
                    <w:right w:w="57" w:type="dxa"/>
                  </w:tcMar>
                  <w:vAlign w:val="center"/>
                </w:tcPr>
                <w:p w14:paraId="4FCBFA20">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eastAsia="宋体" w:cs="Times New Roman"/>
                      <w:snapToGrid w:val="0"/>
                      <w:color w:val="000000" w:themeColor="text1"/>
                      <w:kern w:val="0"/>
                      <w:sz w:val="21"/>
                      <w:szCs w:val="21"/>
                      <w:u w:val="none" w:color="auto"/>
                      <w:lang w:val="en-US" w:eastAsia="zh-CN" w:bidi="ar-SA"/>
                      <w14:textFill>
                        <w14:solidFill>
                          <w14:schemeClr w14:val="tx1"/>
                        </w14:solidFill>
                      </w14:textFill>
                    </w:rPr>
                    <w:t>0.416</w:t>
                  </w:r>
                </w:p>
              </w:tc>
              <w:tc>
                <w:tcPr>
                  <w:tcW w:w="472" w:type="pct"/>
                  <w:shd w:val="clear" w:color="auto" w:fill="auto"/>
                  <w:noWrap w:val="0"/>
                  <w:tcMar>
                    <w:top w:w="0" w:type="dxa"/>
                    <w:left w:w="57" w:type="dxa"/>
                    <w:bottom w:w="0" w:type="dxa"/>
                    <w:right w:w="57" w:type="dxa"/>
                  </w:tcMar>
                  <w:vAlign w:val="center"/>
                </w:tcPr>
                <w:p w14:paraId="746515EF">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更换</w:t>
                  </w:r>
                </w:p>
                <w:p w14:paraId="1A660D1D">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布袋</w:t>
                  </w:r>
                </w:p>
              </w:tc>
            </w:tr>
            <w:tr w14:paraId="419C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636" w:type="pct"/>
                  <w:noWrap w:val="0"/>
                  <w:tcMar>
                    <w:top w:w="0" w:type="dxa"/>
                    <w:left w:w="57" w:type="dxa"/>
                    <w:bottom w:w="0" w:type="dxa"/>
                    <w:right w:w="57" w:type="dxa"/>
                  </w:tcMar>
                  <w:vAlign w:val="center"/>
                </w:tcPr>
                <w:p w14:paraId="039037F6">
                  <w:pPr>
                    <w:widowControl/>
                    <w:jc w:val="center"/>
                    <w:rPr>
                      <w:rFonts w:hint="eastAsia"/>
                      <w:color w:val="000000" w:themeColor="text1"/>
                      <w:u w:val="none" w:color="auto"/>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散剂颗粒剂装袋废气</w:t>
                  </w:r>
                  <w:r>
                    <w:rPr>
                      <w:rFonts w:hint="eastAsia"/>
                      <w:color w:val="000000" w:themeColor="text1"/>
                      <w:kern w:val="0"/>
                      <w:szCs w:val="21"/>
                      <w:lang w:val="en-US" w:eastAsia="zh-CN"/>
                      <w14:textFill>
                        <w14:solidFill>
                          <w14:schemeClr w14:val="tx1"/>
                        </w14:solidFill>
                      </w14:textFill>
                    </w:rPr>
                    <w:t>DA014</w:t>
                  </w:r>
                </w:p>
              </w:tc>
              <w:tc>
                <w:tcPr>
                  <w:tcW w:w="498" w:type="pct"/>
                  <w:shd w:val="clear" w:color="auto" w:fill="auto"/>
                  <w:noWrap w:val="0"/>
                  <w:tcMar>
                    <w:top w:w="0" w:type="dxa"/>
                    <w:left w:w="57" w:type="dxa"/>
                    <w:bottom w:w="0" w:type="dxa"/>
                    <w:right w:w="57" w:type="dxa"/>
                  </w:tcMar>
                  <w:vAlign w:val="center"/>
                </w:tcPr>
                <w:p w14:paraId="6EAFDDFD">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颗粒物</w:t>
                  </w:r>
                </w:p>
              </w:tc>
              <w:tc>
                <w:tcPr>
                  <w:tcW w:w="734" w:type="pct"/>
                  <w:shd w:val="clear" w:color="auto" w:fill="auto"/>
                  <w:noWrap w:val="0"/>
                  <w:tcMar>
                    <w:top w:w="0" w:type="dxa"/>
                    <w:left w:w="57" w:type="dxa"/>
                    <w:bottom w:w="0" w:type="dxa"/>
                    <w:right w:w="57" w:type="dxa"/>
                  </w:tcMar>
                  <w:vAlign w:val="center"/>
                </w:tcPr>
                <w:p w14:paraId="72257B13">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default"/>
                      <w:color w:val="000000" w:themeColor="text1"/>
                      <w:u w:val="none" w:color="auto"/>
                      <w:lang w:val="en-US" w:eastAsia="zh-CN"/>
                      <w14:textFill>
                        <w14:solidFill>
                          <w14:schemeClr w14:val="tx1"/>
                        </w14:solidFill>
                      </w14:textFill>
                    </w:rPr>
                    <w:t>除尘效率下降至50%</w:t>
                  </w:r>
                </w:p>
              </w:tc>
              <w:tc>
                <w:tcPr>
                  <w:tcW w:w="391" w:type="pct"/>
                  <w:shd w:val="clear" w:color="auto" w:fill="auto"/>
                  <w:noWrap w:val="0"/>
                  <w:tcMar>
                    <w:top w:w="0" w:type="dxa"/>
                    <w:left w:w="57" w:type="dxa"/>
                    <w:bottom w:w="0" w:type="dxa"/>
                    <w:right w:w="57" w:type="dxa"/>
                  </w:tcMar>
                  <w:vAlign w:val="center"/>
                </w:tcPr>
                <w:p w14:paraId="2E19E2D3">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1</w:t>
                  </w:r>
                </w:p>
              </w:tc>
              <w:tc>
                <w:tcPr>
                  <w:tcW w:w="608" w:type="pct"/>
                  <w:shd w:val="clear" w:color="auto" w:fill="auto"/>
                  <w:noWrap w:val="0"/>
                  <w:tcMar>
                    <w:top w:w="0" w:type="dxa"/>
                    <w:left w:w="57" w:type="dxa"/>
                    <w:bottom w:w="0" w:type="dxa"/>
                    <w:right w:w="57" w:type="dxa"/>
                  </w:tcMar>
                  <w:vAlign w:val="center"/>
                </w:tcPr>
                <w:p w14:paraId="21E434FC">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bidi="ar-SA"/>
                      <w14:textFill>
                        <w14:solidFill>
                          <w14:schemeClr w14:val="tx1"/>
                        </w14:solidFill>
                      </w14:textFill>
                    </w:rPr>
                    <w:t>95.8</w:t>
                  </w:r>
                </w:p>
              </w:tc>
              <w:tc>
                <w:tcPr>
                  <w:tcW w:w="600" w:type="pct"/>
                  <w:shd w:val="clear" w:color="auto" w:fill="auto"/>
                  <w:noWrap w:val="0"/>
                  <w:tcMar>
                    <w:top w:w="0" w:type="dxa"/>
                    <w:left w:w="57" w:type="dxa"/>
                    <w:bottom w:w="0" w:type="dxa"/>
                    <w:right w:w="57" w:type="dxa"/>
                  </w:tcMar>
                  <w:vAlign w:val="center"/>
                </w:tcPr>
                <w:p w14:paraId="1564305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s="Times New Roman"/>
                      <w:color w:val="000000" w:themeColor="text1"/>
                      <w:kern w:val="2"/>
                      <w:sz w:val="21"/>
                      <w:szCs w:val="24"/>
                      <w:u w:val="none" w:color="auto"/>
                      <w:lang w:val="en-US" w:eastAsia="zh-CN" w:bidi="ar-SA"/>
                      <w14:textFill>
                        <w14:solidFill>
                          <w14:schemeClr w14:val="tx1"/>
                        </w14:solidFill>
                      </w14:textFill>
                    </w:rPr>
                    <w:t>0.192</w:t>
                  </w:r>
                </w:p>
              </w:tc>
              <w:tc>
                <w:tcPr>
                  <w:tcW w:w="582" w:type="pct"/>
                  <w:shd w:val="clear" w:color="auto" w:fill="auto"/>
                  <w:noWrap w:val="0"/>
                  <w:tcMar>
                    <w:top w:w="0" w:type="dxa"/>
                    <w:left w:w="57" w:type="dxa"/>
                    <w:bottom w:w="0" w:type="dxa"/>
                    <w:right w:w="57" w:type="dxa"/>
                  </w:tcMar>
                  <w:vAlign w:val="center"/>
                </w:tcPr>
                <w:p w14:paraId="0953F9D0">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s="Times New Roman"/>
                      <w:color w:val="000000" w:themeColor="text1"/>
                      <w:kern w:val="2"/>
                      <w:sz w:val="21"/>
                      <w:szCs w:val="24"/>
                      <w:u w:val="none" w:color="auto"/>
                      <w:lang w:val="en-US" w:eastAsia="zh-CN" w:bidi="ar-SA"/>
                      <w14:textFill>
                        <w14:solidFill>
                          <w14:schemeClr w14:val="tx1"/>
                        </w14:solidFill>
                      </w14:textFill>
                    </w:rPr>
                    <w:t>2</w:t>
                  </w:r>
                </w:p>
              </w:tc>
              <w:tc>
                <w:tcPr>
                  <w:tcW w:w="475" w:type="pct"/>
                  <w:shd w:val="clear" w:color="auto" w:fill="auto"/>
                  <w:noWrap w:val="0"/>
                  <w:tcMar>
                    <w:top w:w="0" w:type="dxa"/>
                    <w:left w:w="57" w:type="dxa"/>
                    <w:bottom w:w="0" w:type="dxa"/>
                    <w:right w:w="57" w:type="dxa"/>
                  </w:tcMar>
                  <w:vAlign w:val="center"/>
                </w:tcPr>
                <w:p w14:paraId="15F9582C">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eastAsia="宋体" w:cs="Times New Roman"/>
                      <w:snapToGrid w:val="0"/>
                      <w:color w:val="000000" w:themeColor="text1"/>
                      <w:kern w:val="0"/>
                      <w:sz w:val="21"/>
                      <w:szCs w:val="21"/>
                      <w:u w:val="none" w:color="auto"/>
                      <w:lang w:val="en-US" w:eastAsia="zh-CN" w:bidi="ar-SA"/>
                      <w14:textFill>
                        <w14:solidFill>
                          <w14:schemeClr w14:val="tx1"/>
                        </w14:solidFill>
                      </w14:textFill>
                    </w:rPr>
                    <w:t>0.384</w:t>
                  </w:r>
                </w:p>
              </w:tc>
              <w:tc>
                <w:tcPr>
                  <w:tcW w:w="472" w:type="pct"/>
                  <w:shd w:val="clear" w:color="auto" w:fill="auto"/>
                  <w:noWrap w:val="0"/>
                  <w:tcMar>
                    <w:top w:w="0" w:type="dxa"/>
                    <w:left w:w="57" w:type="dxa"/>
                    <w:bottom w:w="0" w:type="dxa"/>
                    <w:right w:w="57" w:type="dxa"/>
                  </w:tcMar>
                  <w:vAlign w:val="center"/>
                </w:tcPr>
                <w:p w14:paraId="57DC350E">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更换</w:t>
                  </w:r>
                </w:p>
                <w:p w14:paraId="56DC87D5">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布袋</w:t>
                  </w:r>
                </w:p>
              </w:tc>
            </w:tr>
            <w:tr w14:paraId="17B4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636" w:type="pct"/>
                  <w:noWrap w:val="0"/>
                  <w:tcMar>
                    <w:top w:w="0" w:type="dxa"/>
                    <w:left w:w="57" w:type="dxa"/>
                    <w:bottom w:w="0" w:type="dxa"/>
                    <w:right w:w="57" w:type="dxa"/>
                  </w:tcMar>
                  <w:vAlign w:val="center"/>
                </w:tcPr>
                <w:p w14:paraId="467EAD34">
                  <w:pPr>
                    <w:widowControl/>
                    <w:jc w:val="center"/>
                    <w:rPr>
                      <w:rFonts w:hint="eastAsia"/>
                      <w:color w:val="000000" w:themeColor="text1"/>
                      <w:u w:val="none" w:color="auto"/>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制粒干燥、筛粒总混废气</w:t>
                  </w:r>
                  <w:r>
                    <w:rPr>
                      <w:rFonts w:hint="eastAsia"/>
                      <w:color w:val="000000" w:themeColor="text1"/>
                      <w:kern w:val="0"/>
                      <w:szCs w:val="21"/>
                      <w:lang w:val="en-US" w:eastAsia="zh-CN"/>
                      <w14:textFill>
                        <w14:solidFill>
                          <w14:schemeClr w14:val="tx1"/>
                        </w14:solidFill>
                      </w14:textFill>
                    </w:rPr>
                    <w:t>DA015</w:t>
                  </w:r>
                </w:p>
              </w:tc>
              <w:tc>
                <w:tcPr>
                  <w:tcW w:w="498" w:type="pct"/>
                  <w:shd w:val="clear" w:color="auto" w:fill="auto"/>
                  <w:noWrap w:val="0"/>
                  <w:tcMar>
                    <w:top w:w="0" w:type="dxa"/>
                    <w:left w:w="57" w:type="dxa"/>
                    <w:bottom w:w="0" w:type="dxa"/>
                    <w:right w:w="57" w:type="dxa"/>
                  </w:tcMar>
                  <w:vAlign w:val="center"/>
                </w:tcPr>
                <w:p w14:paraId="54F27C74">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颗粒物</w:t>
                  </w:r>
                </w:p>
              </w:tc>
              <w:tc>
                <w:tcPr>
                  <w:tcW w:w="734" w:type="pct"/>
                  <w:shd w:val="clear" w:color="auto" w:fill="auto"/>
                  <w:noWrap w:val="0"/>
                  <w:tcMar>
                    <w:top w:w="0" w:type="dxa"/>
                    <w:left w:w="57" w:type="dxa"/>
                    <w:bottom w:w="0" w:type="dxa"/>
                    <w:right w:w="57" w:type="dxa"/>
                  </w:tcMar>
                  <w:vAlign w:val="center"/>
                </w:tcPr>
                <w:p w14:paraId="4FF735B0">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default"/>
                      <w:color w:val="000000" w:themeColor="text1"/>
                      <w:u w:val="none" w:color="auto"/>
                      <w:lang w:val="en-US" w:eastAsia="zh-CN"/>
                      <w14:textFill>
                        <w14:solidFill>
                          <w14:schemeClr w14:val="tx1"/>
                        </w14:solidFill>
                      </w14:textFill>
                    </w:rPr>
                    <w:t>除尘效率下降至50%</w:t>
                  </w:r>
                </w:p>
              </w:tc>
              <w:tc>
                <w:tcPr>
                  <w:tcW w:w="391" w:type="pct"/>
                  <w:shd w:val="clear" w:color="auto" w:fill="auto"/>
                  <w:noWrap w:val="0"/>
                  <w:tcMar>
                    <w:top w:w="0" w:type="dxa"/>
                    <w:left w:w="57" w:type="dxa"/>
                    <w:bottom w:w="0" w:type="dxa"/>
                    <w:right w:w="57" w:type="dxa"/>
                  </w:tcMar>
                  <w:vAlign w:val="center"/>
                </w:tcPr>
                <w:p w14:paraId="284D667D">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1</w:t>
                  </w:r>
                </w:p>
              </w:tc>
              <w:tc>
                <w:tcPr>
                  <w:tcW w:w="608" w:type="pct"/>
                  <w:shd w:val="clear" w:color="auto" w:fill="auto"/>
                  <w:noWrap w:val="0"/>
                  <w:tcMar>
                    <w:top w:w="0" w:type="dxa"/>
                    <w:left w:w="57" w:type="dxa"/>
                    <w:bottom w:w="0" w:type="dxa"/>
                    <w:right w:w="57" w:type="dxa"/>
                  </w:tcMar>
                  <w:vAlign w:val="center"/>
                </w:tcPr>
                <w:p w14:paraId="2EDABEAC">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bidi="ar-SA"/>
                      <w14:textFill>
                        <w14:solidFill>
                          <w14:schemeClr w14:val="tx1"/>
                        </w14:solidFill>
                      </w14:textFill>
                    </w:rPr>
                    <w:t>279.5</w:t>
                  </w:r>
                </w:p>
              </w:tc>
              <w:tc>
                <w:tcPr>
                  <w:tcW w:w="600" w:type="pct"/>
                  <w:shd w:val="clear" w:color="auto" w:fill="auto"/>
                  <w:noWrap w:val="0"/>
                  <w:tcMar>
                    <w:top w:w="0" w:type="dxa"/>
                    <w:left w:w="57" w:type="dxa"/>
                    <w:bottom w:w="0" w:type="dxa"/>
                    <w:right w:w="57" w:type="dxa"/>
                  </w:tcMar>
                  <w:vAlign w:val="center"/>
                </w:tcPr>
                <w:p w14:paraId="0D2D930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s="Times New Roman"/>
                      <w:color w:val="000000" w:themeColor="text1"/>
                      <w:kern w:val="2"/>
                      <w:sz w:val="21"/>
                      <w:szCs w:val="24"/>
                      <w:u w:val="none" w:color="auto"/>
                      <w:lang w:val="en-US" w:eastAsia="zh-CN" w:bidi="ar-SA"/>
                      <w14:textFill>
                        <w14:solidFill>
                          <w14:schemeClr w14:val="tx1"/>
                        </w14:solidFill>
                      </w14:textFill>
                    </w:rPr>
                    <w:t>5.59</w:t>
                  </w:r>
                </w:p>
              </w:tc>
              <w:tc>
                <w:tcPr>
                  <w:tcW w:w="582" w:type="pct"/>
                  <w:shd w:val="clear" w:color="auto" w:fill="auto"/>
                  <w:noWrap w:val="0"/>
                  <w:tcMar>
                    <w:top w:w="0" w:type="dxa"/>
                    <w:left w:w="57" w:type="dxa"/>
                    <w:bottom w:w="0" w:type="dxa"/>
                    <w:right w:w="57" w:type="dxa"/>
                  </w:tcMar>
                  <w:vAlign w:val="center"/>
                </w:tcPr>
                <w:p w14:paraId="3883300E">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s="Times New Roman"/>
                      <w:color w:val="000000" w:themeColor="text1"/>
                      <w:kern w:val="2"/>
                      <w:sz w:val="21"/>
                      <w:szCs w:val="24"/>
                      <w:u w:val="none" w:color="auto"/>
                      <w:lang w:val="en-US" w:eastAsia="zh-CN" w:bidi="ar-SA"/>
                      <w14:textFill>
                        <w14:solidFill>
                          <w14:schemeClr w14:val="tx1"/>
                        </w14:solidFill>
                      </w14:textFill>
                    </w:rPr>
                    <w:t>2</w:t>
                  </w:r>
                </w:p>
              </w:tc>
              <w:tc>
                <w:tcPr>
                  <w:tcW w:w="475" w:type="pct"/>
                  <w:shd w:val="clear" w:color="auto" w:fill="auto"/>
                  <w:noWrap w:val="0"/>
                  <w:tcMar>
                    <w:top w:w="0" w:type="dxa"/>
                    <w:left w:w="57" w:type="dxa"/>
                    <w:bottom w:w="0" w:type="dxa"/>
                    <w:right w:w="57" w:type="dxa"/>
                  </w:tcMar>
                  <w:vAlign w:val="center"/>
                </w:tcPr>
                <w:p w14:paraId="26D5143D">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eastAsia="宋体" w:cs="Times New Roman"/>
                      <w:snapToGrid w:val="0"/>
                      <w:color w:val="000000" w:themeColor="text1"/>
                      <w:kern w:val="0"/>
                      <w:sz w:val="21"/>
                      <w:szCs w:val="21"/>
                      <w:u w:val="none" w:color="auto"/>
                      <w:lang w:val="en-US" w:eastAsia="zh-CN" w:bidi="ar-SA"/>
                      <w14:textFill>
                        <w14:solidFill>
                          <w14:schemeClr w14:val="tx1"/>
                        </w14:solidFill>
                      </w14:textFill>
                    </w:rPr>
                    <w:t>11.18</w:t>
                  </w:r>
                </w:p>
              </w:tc>
              <w:tc>
                <w:tcPr>
                  <w:tcW w:w="472" w:type="pct"/>
                  <w:shd w:val="clear" w:color="auto" w:fill="auto"/>
                  <w:noWrap w:val="0"/>
                  <w:tcMar>
                    <w:top w:w="0" w:type="dxa"/>
                    <w:left w:w="57" w:type="dxa"/>
                    <w:bottom w:w="0" w:type="dxa"/>
                    <w:right w:w="57" w:type="dxa"/>
                  </w:tcMar>
                  <w:vAlign w:val="center"/>
                </w:tcPr>
                <w:p w14:paraId="0CB0D37F">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更换</w:t>
                  </w:r>
                </w:p>
                <w:p w14:paraId="171A4200">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布袋</w:t>
                  </w:r>
                </w:p>
              </w:tc>
            </w:tr>
            <w:tr w14:paraId="3D35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636" w:type="pct"/>
                  <w:noWrap w:val="0"/>
                  <w:tcMar>
                    <w:top w:w="0" w:type="dxa"/>
                    <w:left w:w="57" w:type="dxa"/>
                    <w:bottom w:w="0" w:type="dxa"/>
                    <w:right w:w="57" w:type="dxa"/>
                  </w:tcMar>
                  <w:vAlign w:val="center"/>
                </w:tcPr>
                <w:p w14:paraId="64349D2C">
                  <w:pPr>
                    <w:widowControl/>
                    <w:jc w:val="center"/>
                    <w:rPr>
                      <w:rFonts w:hint="eastAsia"/>
                      <w:color w:val="000000" w:themeColor="text1"/>
                      <w:u w:val="none" w:color="auto"/>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片剂压片、包衣废气</w:t>
                  </w:r>
                  <w:r>
                    <w:rPr>
                      <w:rFonts w:hint="eastAsia"/>
                      <w:color w:val="000000" w:themeColor="text1"/>
                      <w:kern w:val="0"/>
                      <w:szCs w:val="21"/>
                      <w:lang w:val="en-US" w:eastAsia="zh-CN"/>
                      <w14:textFill>
                        <w14:solidFill>
                          <w14:schemeClr w14:val="tx1"/>
                        </w14:solidFill>
                      </w14:textFill>
                    </w:rPr>
                    <w:t>DA016</w:t>
                  </w:r>
                </w:p>
              </w:tc>
              <w:tc>
                <w:tcPr>
                  <w:tcW w:w="498" w:type="pct"/>
                  <w:shd w:val="clear" w:color="auto" w:fill="auto"/>
                  <w:noWrap w:val="0"/>
                  <w:tcMar>
                    <w:top w:w="0" w:type="dxa"/>
                    <w:left w:w="57" w:type="dxa"/>
                    <w:bottom w:w="0" w:type="dxa"/>
                    <w:right w:w="57" w:type="dxa"/>
                  </w:tcMar>
                  <w:vAlign w:val="center"/>
                </w:tcPr>
                <w:p w14:paraId="2353D902">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颗粒物</w:t>
                  </w:r>
                </w:p>
              </w:tc>
              <w:tc>
                <w:tcPr>
                  <w:tcW w:w="734" w:type="pct"/>
                  <w:shd w:val="clear" w:color="auto" w:fill="auto"/>
                  <w:noWrap w:val="0"/>
                  <w:tcMar>
                    <w:top w:w="0" w:type="dxa"/>
                    <w:left w:w="57" w:type="dxa"/>
                    <w:bottom w:w="0" w:type="dxa"/>
                    <w:right w:w="57" w:type="dxa"/>
                  </w:tcMar>
                  <w:vAlign w:val="center"/>
                </w:tcPr>
                <w:p w14:paraId="6089D8AB">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default"/>
                      <w:color w:val="000000" w:themeColor="text1"/>
                      <w:u w:val="none" w:color="auto"/>
                      <w:lang w:val="en-US" w:eastAsia="zh-CN"/>
                      <w14:textFill>
                        <w14:solidFill>
                          <w14:schemeClr w14:val="tx1"/>
                        </w14:solidFill>
                      </w14:textFill>
                    </w:rPr>
                    <w:t>除尘效率下降至50%</w:t>
                  </w:r>
                </w:p>
              </w:tc>
              <w:tc>
                <w:tcPr>
                  <w:tcW w:w="391" w:type="pct"/>
                  <w:shd w:val="clear" w:color="auto" w:fill="auto"/>
                  <w:noWrap w:val="0"/>
                  <w:tcMar>
                    <w:top w:w="0" w:type="dxa"/>
                    <w:left w:w="57" w:type="dxa"/>
                    <w:bottom w:w="0" w:type="dxa"/>
                    <w:right w:w="57" w:type="dxa"/>
                  </w:tcMar>
                  <w:vAlign w:val="center"/>
                </w:tcPr>
                <w:p w14:paraId="6A03A306">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1</w:t>
                  </w:r>
                </w:p>
              </w:tc>
              <w:tc>
                <w:tcPr>
                  <w:tcW w:w="608" w:type="pct"/>
                  <w:shd w:val="clear" w:color="auto" w:fill="auto"/>
                  <w:noWrap w:val="0"/>
                  <w:tcMar>
                    <w:top w:w="0" w:type="dxa"/>
                    <w:left w:w="57" w:type="dxa"/>
                    <w:bottom w:w="0" w:type="dxa"/>
                    <w:right w:w="57" w:type="dxa"/>
                  </w:tcMar>
                  <w:vAlign w:val="center"/>
                </w:tcPr>
                <w:p w14:paraId="06863228">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bidi="ar-SA"/>
                      <w14:textFill>
                        <w14:solidFill>
                          <w14:schemeClr w14:val="tx1"/>
                        </w14:solidFill>
                      </w14:textFill>
                    </w:rPr>
                    <w:t>56.6</w:t>
                  </w:r>
                </w:p>
              </w:tc>
              <w:tc>
                <w:tcPr>
                  <w:tcW w:w="600" w:type="pct"/>
                  <w:shd w:val="clear" w:color="auto" w:fill="auto"/>
                  <w:noWrap w:val="0"/>
                  <w:tcMar>
                    <w:top w:w="0" w:type="dxa"/>
                    <w:left w:w="57" w:type="dxa"/>
                    <w:bottom w:w="0" w:type="dxa"/>
                    <w:right w:w="57" w:type="dxa"/>
                  </w:tcMar>
                  <w:vAlign w:val="center"/>
                </w:tcPr>
                <w:p w14:paraId="3A7DD52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s="Times New Roman"/>
                      <w:color w:val="000000" w:themeColor="text1"/>
                      <w:kern w:val="2"/>
                      <w:sz w:val="21"/>
                      <w:szCs w:val="24"/>
                      <w:u w:val="none" w:color="auto"/>
                      <w:lang w:val="en-US" w:eastAsia="zh-CN" w:bidi="ar-SA"/>
                      <w14:textFill>
                        <w14:solidFill>
                          <w14:schemeClr w14:val="tx1"/>
                        </w14:solidFill>
                      </w14:textFill>
                    </w:rPr>
                    <w:t>0.113</w:t>
                  </w:r>
                </w:p>
              </w:tc>
              <w:tc>
                <w:tcPr>
                  <w:tcW w:w="582" w:type="pct"/>
                  <w:shd w:val="clear" w:color="auto" w:fill="auto"/>
                  <w:noWrap w:val="0"/>
                  <w:tcMar>
                    <w:top w:w="0" w:type="dxa"/>
                    <w:left w:w="57" w:type="dxa"/>
                    <w:bottom w:w="0" w:type="dxa"/>
                    <w:right w:w="57" w:type="dxa"/>
                  </w:tcMar>
                  <w:vAlign w:val="center"/>
                </w:tcPr>
                <w:p w14:paraId="5874736D">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s="Times New Roman"/>
                      <w:color w:val="000000" w:themeColor="text1"/>
                      <w:kern w:val="2"/>
                      <w:sz w:val="21"/>
                      <w:szCs w:val="24"/>
                      <w:u w:val="none" w:color="auto"/>
                      <w:lang w:val="en-US" w:eastAsia="zh-CN" w:bidi="ar-SA"/>
                      <w14:textFill>
                        <w14:solidFill>
                          <w14:schemeClr w14:val="tx1"/>
                        </w14:solidFill>
                      </w14:textFill>
                    </w:rPr>
                    <w:t>2</w:t>
                  </w:r>
                </w:p>
              </w:tc>
              <w:tc>
                <w:tcPr>
                  <w:tcW w:w="475" w:type="pct"/>
                  <w:shd w:val="clear" w:color="auto" w:fill="auto"/>
                  <w:noWrap w:val="0"/>
                  <w:tcMar>
                    <w:top w:w="0" w:type="dxa"/>
                    <w:left w:w="57" w:type="dxa"/>
                    <w:bottom w:w="0" w:type="dxa"/>
                    <w:right w:w="57" w:type="dxa"/>
                  </w:tcMar>
                  <w:vAlign w:val="center"/>
                </w:tcPr>
                <w:p w14:paraId="789BDFC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eastAsia="宋体" w:cs="Times New Roman"/>
                      <w:snapToGrid w:val="0"/>
                      <w:color w:val="000000" w:themeColor="text1"/>
                      <w:kern w:val="0"/>
                      <w:sz w:val="21"/>
                      <w:szCs w:val="21"/>
                      <w:u w:val="none" w:color="auto"/>
                      <w:lang w:val="en-US" w:eastAsia="zh-CN" w:bidi="ar-SA"/>
                      <w14:textFill>
                        <w14:solidFill>
                          <w14:schemeClr w14:val="tx1"/>
                        </w14:solidFill>
                      </w14:textFill>
                    </w:rPr>
                    <w:t>0.226</w:t>
                  </w:r>
                </w:p>
              </w:tc>
              <w:tc>
                <w:tcPr>
                  <w:tcW w:w="472" w:type="pct"/>
                  <w:shd w:val="clear" w:color="auto" w:fill="auto"/>
                  <w:noWrap w:val="0"/>
                  <w:tcMar>
                    <w:top w:w="0" w:type="dxa"/>
                    <w:left w:w="57" w:type="dxa"/>
                    <w:bottom w:w="0" w:type="dxa"/>
                    <w:right w:w="57" w:type="dxa"/>
                  </w:tcMar>
                  <w:vAlign w:val="center"/>
                </w:tcPr>
                <w:p w14:paraId="29E74942">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更换</w:t>
                  </w:r>
                </w:p>
                <w:p w14:paraId="1549C389">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布袋</w:t>
                  </w:r>
                </w:p>
              </w:tc>
            </w:tr>
            <w:tr w14:paraId="3770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636" w:type="pct"/>
                  <w:noWrap w:val="0"/>
                  <w:tcMar>
                    <w:top w:w="0" w:type="dxa"/>
                    <w:left w:w="57" w:type="dxa"/>
                    <w:bottom w:w="0" w:type="dxa"/>
                    <w:right w:w="57" w:type="dxa"/>
                  </w:tcMar>
                  <w:vAlign w:val="center"/>
                </w:tcPr>
                <w:p w14:paraId="3E9B12B7">
                  <w:pPr>
                    <w:widowControl/>
                    <w:jc w:val="center"/>
                    <w:rPr>
                      <w:rFonts w:hint="eastAsia"/>
                      <w:color w:val="000000" w:themeColor="text1"/>
                      <w:u w:val="none" w:color="auto"/>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丸剂合坨制丸、筛丸干燥、总混打光</w:t>
                  </w:r>
                  <w:r>
                    <w:rPr>
                      <w:rFonts w:hint="eastAsia"/>
                      <w:color w:val="000000" w:themeColor="text1"/>
                      <w:szCs w:val="21"/>
                      <w:lang w:val="en-US" w:eastAsia="zh-CN"/>
                      <w14:textFill>
                        <w14:solidFill>
                          <w14:schemeClr w14:val="tx1"/>
                        </w14:solidFill>
                      </w14:textFill>
                    </w:rPr>
                    <w:t>废气</w:t>
                  </w:r>
                  <w:r>
                    <w:rPr>
                      <w:rFonts w:hint="eastAsia"/>
                      <w:color w:val="000000" w:themeColor="text1"/>
                      <w:kern w:val="0"/>
                      <w:szCs w:val="21"/>
                      <w:lang w:val="en-US" w:eastAsia="zh-CN"/>
                      <w14:textFill>
                        <w14:solidFill>
                          <w14:schemeClr w14:val="tx1"/>
                        </w14:solidFill>
                      </w14:textFill>
                    </w:rPr>
                    <w:t>DA017</w:t>
                  </w:r>
                </w:p>
              </w:tc>
              <w:tc>
                <w:tcPr>
                  <w:tcW w:w="498" w:type="pct"/>
                  <w:shd w:val="clear" w:color="auto" w:fill="auto"/>
                  <w:noWrap w:val="0"/>
                  <w:tcMar>
                    <w:top w:w="0" w:type="dxa"/>
                    <w:left w:w="57" w:type="dxa"/>
                    <w:bottom w:w="0" w:type="dxa"/>
                    <w:right w:w="57" w:type="dxa"/>
                  </w:tcMar>
                  <w:vAlign w:val="center"/>
                </w:tcPr>
                <w:p w14:paraId="34EF9424">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颗粒物</w:t>
                  </w:r>
                </w:p>
              </w:tc>
              <w:tc>
                <w:tcPr>
                  <w:tcW w:w="734" w:type="pct"/>
                  <w:shd w:val="clear" w:color="auto" w:fill="auto"/>
                  <w:noWrap w:val="0"/>
                  <w:tcMar>
                    <w:top w:w="0" w:type="dxa"/>
                    <w:left w:w="57" w:type="dxa"/>
                    <w:bottom w:w="0" w:type="dxa"/>
                    <w:right w:w="57" w:type="dxa"/>
                  </w:tcMar>
                  <w:vAlign w:val="center"/>
                </w:tcPr>
                <w:p w14:paraId="1521E4DE">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default"/>
                      <w:color w:val="000000" w:themeColor="text1"/>
                      <w:u w:val="none" w:color="auto"/>
                      <w:lang w:val="en-US" w:eastAsia="zh-CN"/>
                      <w14:textFill>
                        <w14:solidFill>
                          <w14:schemeClr w14:val="tx1"/>
                        </w14:solidFill>
                      </w14:textFill>
                    </w:rPr>
                    <w:t>除尘效率下降至50%</w:t>
                  </w:r>
                </w:p>
              </w:tc>
              <w:tc>
                <w:tcPr>
                  <w:tcW w:w="391" w:type="pct"/>
                  <w:shd w:val="clear" w:color="auto" w:fill="auto"/>
                  <w:noWrap w:val="0"/>
                  <w:tcMar>
                    <w:top w:w="0" w:type="dxa"/>
                    <w:left w:w="57" w:type="dxa"/>
                    <w:bottom w:w="0" w:type="dxa"/>
                    <w:right w:w="57" w:type="dxa"/>
                  </w:tcMar>
                  <w:vAlign w:val="center"/>
                </w:tcPr>
                <w:p w14:paraId="65A5986B">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1</w:t>
                  </w:r>
                </w:p>
              </w:tc>
              <w:tc>
                <w:tcPr>
                  <w:tcW w:w="608" w:type="pct"/>
                  <w:shd w:val="clear" w:color="auto" w:fill="auto"/>
                  <w:noWrap w:val="0"/>
                  <w:tcMar>
                    <w:top w:w="0" w:type="dxa"/>
                    <w:left w:w="57" w:type="dxa"/>
                    <w:bottom w:w="0" w:type="dxa"/>
                    <w:right w:w="57" w:type="dxa"/>
                  </w:tcMar>
                  <w:vAlign w:val="center"/>
                </w:tcPr>
                <w:p w14:paraId="37C415B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cs="Times New Roman"/>
                      <w:snapToGrid w:val="0"/>
                      <w:color w:val="000000" w:themeColor="text1"/>
                      <w:kern w:val="0"/>
                      <w:sz w:val="21"/>
                      <w:szCs w:val="21"/>
                      <w:u w:val="none" w:color="auto"/>
                      <w:lang w:val="en-US" w:eastAsia="zh-CN" w:bidi="ar-SA"/>
                      <w14:textFill>
                        <w14:solidFill>
                          <w14:schemeClr w14:val="tx1"/>
                        </w14:solidFill>
                      </w14:textFill>
                    </w:rPr>
                    <w:t>62.5</w:t>
                  </w:r>
                </w:p>
              </w:tc>
              <w:tc>
                <w:tcPr>
                  <w:tcW w:w="600" w:type="pct"/>
                  <w:shd w:val="clear" w:color="auto" w:fill="auto"/>
                  <w:noWrap w:val="0"/>
                  <w:tcMar>
                    <w:top w:w="0" w:type="dxa"/>
                    <w:left w:w="57" w:type="dxa"/>
                    <w:bottom w:w="0" w:type="dxa"/>
                    <w:right w:w="57" w:type="dxa"/>
                  </w:tcMar>
                  <w:vAlign w:val="center"/>
                </w:tcPr>
                <w:p w14:paraId="69E5F2DF">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s="Times New Roman"/>
                      <w:color w:val="000000" w:themeColor="text1"/>
                      <w:kern w:val="2"/>
                      <w:sz w:val="21"/>
                      <w:szCs w:val="24"/>
                      <w:u w:val="none" w:color="auto"/>
                      <w:lang w:val="en-US" w:eastAsia="zh-CN" w:bidi="ar-SA"/>
                      <w14:textFill>
                        <w14:solidFill>
                          <w14:schemeClr w14:val="tx1"/>
                        </w14:solidFill>
                      </w14:textFill>
                    </w:rPr>
                    <w:t>0.125</w:t>
                  </w:r>
                </w:p>
              </w:tc>
              <w:tc>
                <w:tcPr>
                  <w:tcW w:w="582" w:type="pct"/>
                  <w:shd w:val="clear" w:color="auto" w:fill="auto"/>
                  <w:noWrap w:val="0"/>
                  <w:tcMar>
                    <w:top w:w="0" w:type="dxa"/>
                    <w:left w:w="57" w:type="dxa"/>
                    <w:bottom w:w="0" w:type="dxa"/>
                    <w:right w:w="57" w:type="dxa"/>
                  </w:tcMar>
                  <w:vAlign w:val="center"/>
                </w:tcPr>
                <w:p w14:paraId="48695E7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s="Times New Roman"/>
                      <w:color w:val="000000" w:themeColor="text1"/>
                      <w:kern w:val="2"/>
                      <w:sz w:val="21"/>
                      <w:szCs w:val="24"/>
                      <w:u w:val="none" w:color="auto"/>
                      <w:lang w:val="en-US" w:eastAsia="zh-CN" w:bidi="ar-SA"/>
                      <w14:textFill>
                        <w14:solidFill>
                          <w14:schemeClr w14:val="tx1"/>
                        </w14:solidFill>
                      </w14:textFill>
                    </w:rPr>
                    <w:t>2</w:t>
                  </w:r>
                </w:p>
              </w:tc>
              <w:tc>
                <w:tcPr>
                  <w:tcW w:w="475" w:type="pct"/>
                  <w:shd w:val="clear" w:color="auto" w:fill="auto"/>
                  <w:noWrap w:val="0"/>
                  <w:tcMar>
                    <w:top w:w="0" w:type="dxa"/>
                    <w:left w:w="57" w:type="dxa"/>
                    <w:bottom w:w="0" w:type="dxa"/>
                    <w:right w:w="57" w:type="dxa"/>
                  </w:tcMar>
                  <w:vAlign w:val="center"/>
                </w:tcPr>
                <w:p w14:paraId="344C93AC">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napToGrid w:val="0"/>
                      <w:color w:val="000000" w:themeColor="text1"/>
                      <w:kern w:val="0"/>
                      <w:sz w:val="21"/>
                      <w:szCs w:val="21"/>
                      <w:u w:val="none" w:color="auto"/>
                      <w:lang w:val="en-US" w:eastAsia="zh-CN" w:bidi="ar-SA"/>
                      <w14:textFill>
                        <w14:solidFill>
                          <w14:schemeClr w14:val="tx1"/>
                        </w14:solidFill>
                      </w14:textFill>
                    </w:rPr>
                  </w:pPr>
                  <w:r>
                    <w:rPr>
                      <w:rFonts w:hint="eastAsia" w:eastAsia="宋体" w:cs="Times New Roman"/>
                      <w:snapToGrid w:val="0"/>
                      <w:color w:val="000000" w:themeColor="text1"/>
                      <w:kern w:val="0"/>
                      <w:sz w:val="21"/>
                      <w:szCs w:val="21"/>
                      <w:u w:val="none" w:color="auto"/>
                      <w:lang w:val="en-US" w:eastAsia="zh-CN" w:bidi="ar-SA"/>
                      <w14:textFill>
                        <w14:solidFill>
                          <w14:schemeClr w14:val="tx1"/>
                        </w14:solidFill>
                      </w14:textFill>
                    </w:rPr>
                    <w:t>0.25</w:t>
                  </w:r>
                </w:p>
              </w:tc>
              <w:tc>
                <w:tcPr>
                  <w:tcW w:w="472" w:type="pct"/>
                  <w:shd w:val="clear" w:color="auto" w:fill="auto"/>
                  <w:noWrap w:val="0"/>
                  <w:tcMar>
                    <w:top w:w="0" w:type="dxa"/>
                    <w:left w:w="57" w:type="dxa"/>
                    <w:bottom w:w="0" w:type="dxa"/>
                    <w:right w:w="57" w:type="dxa"/>
                  </w:tcMar>
                  <w:vAlign w:val="center"/>
                </w:tcPr>
                <w:p w14:paraId="309266B9">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更换</w:t>
                  </w:r>
                </w:p>
                <w:p w14:paraId="5D1AC9AB">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4"/>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布袋</w:t>
                  </w:r>
                </w:p>
              </w:tc>
            </w:tr>
            <w:tr w14:paraId="45F9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636" w:type="pct"/>
                  <w:noWrap w:val="0"/>
                  <w:tcMar>
                    <w:top w:w="0" w:type="dxa"/>
                    <w:left w:w="57" w:type="dxa"/>
                    <w:bottom w:w="0" w:type="dxa"/>
                    <w:right w:w="57" w:type="dxa"/>
                  </w:tcMar>
                  <w:vAlign w:val="center"/>
                </w:tcPr>
                <w:p w14:paraId="234CEB7A">
                  <w:pPr>
                    <w:pStyle w:val="8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提取车间废气</w:t>
                  </w:r>
                  <w:r>
                    <w:rPr>
                      <w:rFonts w:hint="eastAsia"/>
                      <w:color w:val="000000" w:themeColor="text1"/>
                      <w:szCs w:val="21"/>
                      <w:lang w:val="en-US" w:eastAsia="zh-CN"/>
                      <w14:textFill>
                        <w14:solidFill>
                          <w14:schemeClr w14:val="tx1"/>
                        </w14:solidFill>
                      </w14:textFill>
                    </w:rPr>
                    <w:t>(制剂车间废气、乙醇罐区废气、危废间废气、污水站废气)</w:t>
                  </w:r>
                  <w:r>
                    <w:rPr>
                      <w:rFonts w:hint="eastAsia"/>
                      <w:color w:val="000000" w:themeColor="text1"/>
                      <w:kern w:val="0"/>
                      <w:szCs w:val="21"/>
                      <w:lang w:val="en-US" w:eastAsia="zh-CN"/>
                      <w14:textFill>
                        <w14:solidFill>
                          <w14:schemeClr w14:val="tx1"/>
                        </w14:solidFill>
                      </w14:textFill>
                    </w:rPr>
                    <w:t>DA012</w:t>
                  </w:r>
                </w:p>
              </w:tc>
              <w:tc>
                <w:tcPr>
                  <w:tcW w:w="498" w:type="pct"/>
                  <w:noWrap w:val="0"/>
                  <w:tcMar>
                    <w:top w:w="0" w:type="dxa"/>
                    <w:left w:w="57" w:type="dxa"/>
                    <w:bottom w:w="0" w:type="dxa"/>
                    <w:right w:w="57" w:type="dxa"/>
                  </w:tcMar>
                  <w:vAlign w:val="center"/>
                </w:tcPr>
                <w:p w14:paraId="63D53466">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s="Times New Roman"/>
                      <w:snapToGrid w:val="0"/>
                      <w:color w:val="000000" w:themeColor="text1"/>
                      <w:kern w:val="0"/>
                      <w:sz w:val="21"/>
                      <w:szCs w:val="21"/>
                      <w:u w:val="none" w:color="auto"/>
                      <w:lang w:val="en-US" w:eastAsia="zh-CN"/>
                      <w14:textFill>
                        <w14:solidFill>
                          <w14:schemeClr w14:val="tx1"/>
                        </w14:solidFill>
                      </w14:textFill>
                    </w:rPr>
                  </w:pPr>
                  <w:r>
                    <w:rPr>
                      <w:rFonts w:hint="eastAsia" w:cs="Times New Roman"/>
                      <w:color w:val="000000" w:themeColor="text1"/>
                      <w:highlight w:val="none"/>
                      <w:u w:val="none" w:color="auto"/>
                      <w:lang w:val="en-US" w:eastAsia="zh-CN"/>
                      <w14:textFill>
                        <w14:solidFill>
                          <w14:schemeClr w14:val="tx1"/>
                        </w14:solidFill>
                      </w14:textFill>
                    </w:rPr>
                    <w:t>VOCs</w:t>
                  </w:r>
                </w:p>
              </w:tc>
              <w:tc>
                <w:tcPr>
                  <w:tcW w:w="734" w:type="pct"/>
                  <w:noWrap w:val="0"/>
                  <w:tcMar>
                    <w:top w:w="0" w:type="dxa"/>
                    <w:left w:w="57" w:type="dxa"/>
                    <w:bottom w:w="0" w:type="dxa"/>
                    <w:right w:w="57" w:type="dxa"/>
                  </w:tcMar>
                  <w:vAlign w:val="center"/>
                </w:tcPr>
                <w:p w14:paraId="0D61CA9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处理</w:t>
                  </w:r>
                  <w:r>
                    <w:rPr>
                      <w:rFonts w:hint="default"/>
                      <w:color w:val="000000" w:themeColor="text1"/>
                      <w:u w:val="none" w:color="auto"/>
                      <w:lang w:val="en-US" w:eastAsia="zh-CN"/>
                      <w14:textFill>
                        <w14:solidFill>
                          <w14:schemeClr w14:val="tx1"/>
                        </w14:solidFill>
                      </w14:textFill>
                    </w:rPr>
                    <w:t>效率下降至</w:t>
                  </w:r>
                  <w:r>
                    <w:rPr>
                      <w:rFonts w:hint="eastAsia"/>
                      <w:color w:val="000000" w:themeColor="text1"/>
                      <w:u w:val="none" w:color="auto"/>
                      <w:lang w:val="en-US" w:eastAsia="zh-CN"/>
                      <w14:textFill>
                        <w14:solidFill>
                          <w14:schemeClr w14:val="tx1"/>
                        </w14:solidFill>
                      </w14:textFill>
                    </w:rPr>
                    <w:t>6</w:t>
                  </w:r>
                  <w:r>
                    <w:rPr>
                      <w:rFonts w:hint="default"/>
                      <w:color w:val="000000" w:themeColor="text1"/>
                      <w:u w:val="none" w:color="auto"/>
                      <w:lang w:val="en-US" w:eastAsia="zh-CN"/>
                      <w14:textFill>
                        <w14:solidFill>
                          <w14:schemeClr w14:val="tx1"/>
                        </w14:solidFill>
                      </w14:textFill>
                    </w:rPr>
                    <w:t>0%</w:t>
                  </w:r>
                </w:p>
              </w:tc>
              <w:tc>
                <w:tcPr>
                  <w:tcW w:w="391" w:type="pct"/>
                  <w:noWrap w:val="0"/>
                  <w:tcMar>
                    <w:top w:w="0" w:type="dxa"/>
                    <w:left w:w="57" w:type="dxa"/>
                    <w:bottom w:w="0" w:type="dxa"/>
                    <w:right w:w="57" w:type="dxa"/>
                  </w:tcMar>
                  <w:vAlign w:val="center"/>
                </w:tcPr>
                <w:p w14:paraId="6487DAA3">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snapToGrid w:val="0"/>
                      <w:color w:val="000000" w:themeColor="text1"/>
                      <w:kern w:val="0"/>
                      <w:sz w:val="21"/>
                      <w:szCs w:val="21"/>
                      <w:u w:val="none" w:color="auto"/>
                      <w:lang w:val="en-US" w:eastAsia="zh-CN"/>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1</w:t>
                  </w:r>
                </w:p>
              </w:tc>
              <w:tc>
                <w:tcPr>
                  <w:tcW w:w="608" w:type="pct"/>
                  <w:noWrap w:val="0"/>
                  <w:tcMar>
                    <w:top w:w="0" w:type="dxa"/>
                    <w:left w:w="57" w:type="dxa"/>
                    <w:bottom w:w="0" w:type="dxa"/>
                    <w:right w:w="57" w:type="dxa"/>
                  </w:tcMar>
                  <w:vAlign w:val="center"/>
                </w:tcPr>
                <w:p w14:paraId="13224897">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snapToGrid w:val="0"/>
                      <w:color w:val="000000" w:themeColor="text1"/>
                      <w:kern w:val="0"/>
                      <w:sz w:val="21"/>
                      <w:szCs w:val="21"/>
                      <w:u w:val="none" w:color="auto"/>
                      <w:lang w:val="en-US" w:eastAsia="zh-CN"/>
                      <w14:textFill>
                        <w14:solidFill>
                          <w14:schemeClr w14:val="tx1"/>
                        </w14:solidFill>
                      </w14:textFill>
                    </w:rPr>
                  </w:pPr>
                  <w:r>
                    <w:rPr>
                      <w:rFonts w:hint="eastAsia" w:cs="Times New Roman"/>
                      <w:snapToGrid w:val="0"/>
                      <w:color w:val="000000" w:themeColor="text1"/>
                      <w:kern w:val="0"/>
                      <w:sz w:val="21"/>
                      <w:szCs w:val="21"/>
                      <w:u w:val="none" w:color="auto"/>
                      <w:lang w:val="en-US" w:eastAsia="zh-CN"/>
                      <w14:textFill>
                        <w14:solidFill>
                          <w14:schemeClr w14:val="tx1"/>
                        </w14:solidFill>
                      </w14:textFill>
                    </w:rPr>
                    <w:t>314.8</w:t>
                  </w:r>
                </w:p>
              </w:tc>
              <w:tc>
                <w:tcPr>
                  <w:tcW w:w="600" w:type="pct"/>
                  <w:noWrap w:val="0"/>
                  <w:tcMar>
                    <w:top w:w="0" w:type="dxa"/>
                    <w:left w:w="57" w:type="dxa"/>
                    <w:bottom w:w="0" w:type="dxa"/>
                    <w:right w:w="57" w:type="dxa"/>
                  </w:tcMar>
                  <w:vAlign w:val="center"/>
                </w:tcPr>
                <w:p w14:paraId="12A49622">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 xml:space="preserve">7.87 </w:t>
                  </w:r>
                </w:p>
              </w:tc>
              <w:tc>
                <w:tcPr>
                  <w:tcW w:w="582" w:type="pct"/>
                  <w:noWrap w:val="0"/>
                  <w:tcMar>
                    <w:top w:w="0" w:type="dxa"/>
                    <w:left w:w="57" w:type="dxa"/>
                    <w:bottom w:w="0" w:type="dxa"/>
                    <w:right w:w="57" w:type="dxa"/>
                  </w:tcMar>
                  <w:vAlign w:val="center"/>
                </w:tcPr>
                <w:p w14:paraId="66BD5B54">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w:t>
                  </w:r>
                </w:p>
              </w:tc>
              <w:tc>
                <w:tcPr>
                  <w:tcW w:w="475" w:type="pct"/>
                  <w:noWrap w:val="0"/>
                  <w:tcMar>
                    <w:top w:w="0" w:type="dxa"/>
                    <w:left w:w="57" w:type="dxa"/>
                    <w:bottom w:w="0" w:type="dxa"/>
                    <w:right w:w="57" w:type="dxa"/>
                  </w:tcMar>
                  <w:vAlign w:val="center"/>
                </w:tcPr>
                <w:p w14:paraId="1C5FE9F4">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15.74</w:t>
                  </w:r>
                </w:p>
              </w:tc>
              <w:tc>
                <w:tcPr>
                  <w:tcW w:w="472" w:type="pct"/>
                  <w:noWrap w:val="0"/>
                  <w:tcMar>
                    <w:top w:w="0" w:type="dxa"/>
                    <w:left w:w="57" w:type="dxa"/>
                    <w:bottom w:w="0" w:type="dxa"/>
                    <w:right w:w="57" w:type="dxa"/>
                  </w:tcMar>
                  <w:vAlign w:val="center"/>
                </w:tcPr>
                <w:p w14:paraId="33A8068D">
                  <w:pPr>
                    <w:pStyle w:val="8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更换催化剂</w:t>
                  </w:r>
                </w:p>
              </w:tc>
            </w:tr>
          </w:tbl>
          <w:p w14:paraId="46F15B7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0" w:firstLineChars="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二</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color w:val="000000" w:themeColor="text1"/>
                <w:sz w:val="24"/>
                <w:lang w:val="en-US" w:eastAsia="zh-CN"/>
                <w14:textFill>
                  <w14:solidFill>
                    <w14:schemeClr w14:val="tx1"/>
                  </w14:solidFill>
                </w14:textFill>
              </w:rPr>
              <w:t>废水</w:t>
            </w:r>
          </w:p>
          <w:p w14:paraId="26D5311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2.1项目废水排放情况</w:t>
            </w:r>
          </w:p>
          <w:p w14:paraId="487A8A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本项目</w:t>
            </w:r>
            <w:r>
              <w:rPr>
                <w:rFonts w:hint="eastAsia" w:cs="Times New Roman"/>
                <w:color w:val="000000" w:themeColor="text1"/>
                <w:sz w:val="24"/>
                <w:szCs w:val="24"/>
                <w:lang w:val="en-US" w:eastAsia="zh-CN"/>
                <w14:textFill>
                  <w14:solidFill>
                    <w14:schemeClr w14:val="tx1"/>
                  </w14:solidFill>
                </w14:textFill>
              </w:rPr>
              <w:t>生产废水包括中药清洗废水、中药水提废水、洗瓶废水、设备清洗废水、车间地面冲洗废水、纯化水系统废水、生活污水等。根据前文水平衡分析可知，本项目废水总排放量为383.13</w:t>
            </w:r>
            <w:r>
              <w:rPr>
                <w:rFonts w:hint="eastAsia"/>
                <w:b w:val="0"/>
                <w:bCs w:val="0"/>
                <w:color w:val="000000" w:themeColor="text1"/>
                <w:sz w:val="24"/>
                <w:szCs w:val="24"/>
                <w:highlight w:val="none"/>
                <w:lang w:val="en-US" w:eastAsia="zh-CN"/>
                <w14:textFill>
                  <w14:solidFill>
                    <w14:schemeClr w14:val="tx1"/>
                  </w14:solidFill>
                </w14:textFill>
              </w:rPr>
              <w:t>m</w:t>
            </w:r>
            <w:r>
              <w:rPr>
                <w:rFonts w:hint="eastAsia"/>
                <w:b w:val="0"/>
                <w:bCs w:val="0"/>
                <w:color w:val="000000" w:themeColor="text1"/>
                <w:sz w:val="24"/>
                <w:szCs w:val="24"/>
                <w:highlight w:val="none"/>
                <w:vertAlign w:val="superscript"/>
                <w:lang w:val="en-US" w:eastAsia="zh-CN"/>
                <w14:textFill>
                  <w14:solidFill>
                    <w14:schemeClr w14:val="tx1"/>
                  </w14:solidFill>
                </w14:textFill>
              </w:rPr>
              <w:t>3</w:t>
            </w:r>
            <w:r>
              <w:rPr>
                <w:rFonts w:hint="eastAsia"/>
                <w:b w:val="0"/>
                <w:bCs w:val="0"/>
                <w:color w:val="000000" w:themeColor="text1"/>
                <w:sz w:val="24"/>
                <w:szCs w:val="24"/>
                <w:highlight w:val="none"/>
                <w:lang w:val="en-US" w:eastAsia="zh-CN"/>
                <w14:textFill>
                  <w14:solidFill>
                    <w14:schemeClr w14:val="tx1"/>
                  </w14:solidFill>
                </w14:textFill>
              </w:rPr>
              <w:t>/d，其中污水处理站出水262.4m</w:t>
            </w:r>
            <w:r>
              <w:rPr>
                <w:rFonts w:hint="eastAsia"/>
                <w:b w:val="0"/>
                <w:bCs w:val="0"/>
                <w:color w:val="000000" w:themeColor="text1"/>
                <w:sz w:val="24"/>
                <w:szCs w:val="24"/>
                <w:highlight w:val="none"/>
                <w:vertAlign w:val="superscript"/>
                <w:lang w:val="en-US" w:eastAsia="zh-CN"/>
                <w14:textFill>
                  <w14:solidFill>
                    <w14:schemeClr w14:val="tx1"/>
                  </w14:solidFill>
                </w14:textFill>
              </w:rPr>
              <w:t>3</w:t>
            </w:r>
            <w:r>
              <w:rPr>
                <w:rFonts w:hint="eastAsia"/>
                <w:b w:val="0"/>
                <w:bCs w:val="0"/>
                <w:color w:val="000000" w:themeColor="text1"/>
                <w:sz w:val="24"/>
                <w:szCs w:val="24"/>
                <w:highlight w:val="none"/>
                <w:lang w:val="en-US" w:eastAsia="zh-CN"/>
                <w14:textFill>
                  <w14:solidFill>
                    <w14:schemeClr w14:val="tx1"/>
                  </w14:solidFill>
                </w14:textFill>
              </w:rPr>
              <w:t>/d，纯化水系统废水量120.73m</w:t>
            </w:r>
            <w:r>
              <w:rPr>
                <w:rFonts w:hint="eastAsia"/>
                <w:b w:val="0"/>
                <w:bCs w:val="0"/>
                <w:color w:val="000000" w:themeColor="text1"/>
                <w:sz w:val="24"/>
                <w:szCs w:val="24"/>
                <w:highlight w:val="none"/>
                <w:vertAlign w:val="superscript"/>
                <w:lang w:val="en-US" w:eastAsia="zh-CN"/>
                <w14:textFill>
                  <w14:solidFill>
                    <w14:schemeClr w14:val="tx1"/>
                  </w14:solidFill>
                </w14:textFill>
              </w:rPr>
              <w:t>3</w:t>
            </w:r>
            <w:r>
              <w:rPr>
                <w:rFonts w:hint="eastAsia"/>
                <w:b w:val="0"/>
                <w:bCs w:val="0"/>
                <w:color w:val="000000" w:themeColor="text1"/>
                <w:sz w:val="24"/>
                <w:szCs w:val="24"/>
                <w:highlight w:val="none"/>
                <w:lang w:val="en-US" w:eastAsia="zh-CN"/>
                <w14:textFill>
                  <w14:solidFill>
                    <w14:schemeClr w14:val="tx1"/>
                  </w14:solidFill>
                </w14:textFill>
              </w:rPr>
              <w:t>/d。类比同行业废水水质情况，分析主要污染物具体如下：</w:t>
            </w:r>
          </w:p>
          <w:p w14:paraId="68FD1407">
            <w:pPr>
              <w:keepNext w:val="0"/>
              <w:keepLines w:val="0"/>
              <w:pageBreakBefore w:val="0"/>
              <w:widowControl w:val="0"/>
              <w:kinsoku/>
              <w:wordWrap/>
              <w:overflowPunct/>
              <w:topLinePunct w:val="0"/>
              <w:autoSpaceDE/>
              <w:autoSpaceDN/>
              <w:bidi w:val="0"/>
              <w:adjustRightInd w:val="0"/>
              <w:snapToGrid w:val="0"/>
              <w:spacing w:line="240" w:lineRule="auto"/>
              <w:ind w:firstLine="1920" w:firstLineChars="800"/>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表32    项目废水产生情况</w:t>
            </w:r>
          </w:p>
          <w:tbl>
            <w:tblPr>
              <w:tblStyle w:val="27"/>
              <w:tblW w:w="79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904"/>
              <w:gridCol w:w="904"/>
              <w:gridCol w:w="904"/>
              <w:gridCol w:w="904"/>
              <w:gridCol w:w="904"/>
              <w:gridCol w:w="904"/>
              <w:gridCol w:w="1197"/>
            </w:tblGrid>
            <w:tr w14:paraId="2064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6" w:type="dxa"/>
                  <w:tcMar>
                    <w:top w:w="0" w:type="dxa"/>
                    <w:left w:w="28" w:type="dxa"/>
                    <w:bottom w:w="0" w:type="dxa"/>
                    <w:right w:w="28" w:type="dxa"/>
                  </w:tcMar>
                  <w:vAlign w:val="center"/>
                </w:tcPr>
                <w:p w14:paraId="246A71F1">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项目</w:t>
                  </w:r>
                </w:p>
              </w:tc>
              <w:tc>
                <w:tcPr>
                  <w:tcW w:w="904" w:type="dxa"/>
                  <w:tcMar>
                    <w:top w:w="0" w:type="dxa"/>
                    <w:left w:w="28" w:type="dxa"/>
                    <w:bottom w:w="0" w:type="dxa"/>
                    <w:right w:w="28" w:type="dxa"/>
                  </w:tcMar>
                  <w:vAlign w:val="center"/>
                </w:tcPr>
                <w:p w14:paraId="049742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水量</w:t>
                  </w:r>
                </w:p>
                <w:p w14:paraId="1D13FF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vertAlign w:val="baseline"/>
                      <w:lang w:val="en-US" w:eastAsia="zh-CN"/>
                      <w14:textFill>
                        <w14:solidFill>
                          <w14:schemeClr w14:val="tx1"/>
                        </w14:solidFill>
                      </w14:textFill>
                    </w:rPr>
                    <w:t>/d)</w:t>
                  </w:r>
                </w:p>
              </w:tc>
              <w:tc>
                <w:tcPr>
                  <w:tcW w:w="904" w:type="dxa"/>
                  <w:tcMar>
                    <w:top w:w="0" w:type="dxa"/>
                    <w:left w:w="28" w:type="dxa"/>
                    <w:bottom w:w="0" w:type="dxa"/>
                    <w:right w:w="28" w:type="dxa"/>
                  </w:tcMar>
                  <w:vAlign w:val="center"/>
                </w:tcPr>
                <w:p w14:paraId="054B47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COD</w:t>
                  </w:r>
                </w:p>
                <w:p w14:paraId="026006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(mg/L)</w:t>
                  </w:r>
                </w:p>
              </w:tc>
              <w:tc>
                <w:tcPr>
                  <w:tcW w:w="904" w:type="dxa"/>
                  <w:tcMar>
                    <w:top w:w="0" w:type="dxa"/>
                    <w:left w:w="28" w:type="dxa"/>
                    <w:bottom w:w="0" w:type="dxa"/>
                    <w:right w:w="28" w:type="dxa"/>
                  </w:tcMar>
                  <w:vAlign w:val="center"/>
                </w:tcPr>
                <w:p w14:paraId="6B9535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BOD</w:t>
                  </w:r>
                  <w:r>
                    <w:rPr>
                      <w:rFonts w:hint="eastAsia" w:cs="Times New Roman"/>
                      <w:color w:val="000000" w:themeColor="text1"/>
                      <w:sz w:val="21"/>
                      <w:szCs w:val="21"/>
                      <w:vertAlign w:val="subscript"/>
                      <w:lang w:val="en-US" w:eastAsia="zh-CN"/>
                      <w14:textFill>
                        <w14:solidFill>
                          <w14:schemeClr w14:val="tx1"/>
                        </w14:solidFill>
                      </w14:textFill>
                    </w:rPr>
                    <w:t>5</w:t>
                  </w:r>
                </w:p>
                <w:p w14:paraId="7EB5C9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(mg/L)</w:t>
                  </w:r>
                </w:p>
              </w:tc>
              <w:tc>
                <w:tcPr>
                  <w:tcW w:w="904" w:type="dxa"/>
                  <w:tcMar>
                    <w:top w:w="0" w:type="dxa"/>
                    <w:left w:w="28" w:type="dxa"/>
                    <w:bottom w:w="0" w:type="dxa"/>
                    <w:right w:w="28" w:type="dxa"/>
                  </w:tcMar>
                  <w:vAlign w:val="center"/>
                </w:tcPr>
                <w:p w14:paraId="3DABD1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SS</w:t>
                  </w:r>
                </w:p>
                <w:p w14:paraId="0161D7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(mg/L)</w:t>
                  </w:r>
                </w:p>
              </w:tc>
              <w:tc>
                <w:tcPr>
                  <w:tcW w:w="904" w:type="dxa"/>
                  <w:tcMar>
                    <w:top w:w="0" w:type="dxa"/>
                    <w:left w:w="28" w:type="dxa"/>
                    <w:bottom w:w="0" w:type="dxa"/>
                    <w:right w:w="28" w:type="dxa"/>
                  </w:tcMar>
                  <w:vAlign w:val="center"/>
                </w:tcPr>
                <w:p w14:paraId="6B61F5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氨氮(mg/L)</w:t>
                  </w:r>
                </w:p>
              </w:tc>
              <w:tc>
                <w:tcPr>
                  <w:tcW w:w="904" w:type="dxa"/>
                  <w:tcMar>
                    <w:top w:w="0" w:type="dxa"/>
                    <w:left w:w="28" w:type="dxa"/>
                    <w:bottom w:w="0" w:type="dxa"/>
                    <w:right w:w="28" w:type="dxa"/>
                  </w:tcMar>
                  <w:vAlign w:val="center"/>
                </w:tcPr>
                <w:p w14:paraId="5D15CA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总磷(mg/L)</w:t>
                  </w:r>
                </w:p>
              </w:tc>
              <w:tc>
                <w:tcPr>
                  <w:tcW w:w="1197" w:type="dxa"/>
                  <w:tcMar>
                    <w:top w:w="0" w:type="dxa"/>
                    <w:left w:w="28" w:type="dxa"/>
                    <w:bottom w:w="0" w:type="dxa"/>
                    <w:right w:w="28" w:type="dxa"/>
                  </w:tcMar>
                  <w:vAlign w:val="center"/>
                </w:tcPr>
                <w:p w14:paraId="050A5F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处理方式</w:t>
                  </w:r>
                </w:p>
              </w:tc>
            </w:tr>
            <w:tr w14:paraId="178B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6" w:type="dxa"/>
                  <w:tcMar>
                    <w:top w:w="0" w:type="dxa"/>
                    <w:left w:w="28" w:type="dxa"/>
                    <w:bottom w:w="0" w:type="dxa"/>
                    <w:right w:w="28" w:type="dxa"/>
                  </w:tcMar>
                  <w:vAlign w:val="center"/>
                </w:tcPr>
                <w:p w14:paraId="670AA959">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default" w:cs="Times New Roman"/>
                      <w:color w:val="000000" w:themeColor="text1"/>
                      <w:sz w:val="21"/>
                      <w:szCs w:val="21"/>
                      <w:vertAlign w:val="baseline"/>
                      <w:lang w:val="en-US" w:eastAsia="zh-CN"/>
                      <w14:textFill>
                        <w14:solidFill>
                          <w14:schemeClr w14:val="tx1"/>
                        </w14:solidFill>
                      </w14:textFill>
                    </w:rPr>
                    <w:t>中药清洗废水</w:t>
                  </w:r>
                </w:p>
              </w:tc>
              <w:tc>
                <w:tcPr>
                  <w:tcW w:w="904" w:type="dxa"/>
                  <w:tcMar>
                    <w:top w:w="0" w:type="dxa"/>
                    <w:left w:w="28" w:type="dxa"/>
                    <w:bottom w:w="0" w:type="dxa"/>
                    <w:right w:w="28" w:type="dxa"/>
                  </w:tcMar>
                  <w:vAlign w:val="center"/>
                </w:tcPr>
                <w:p w14:paraId="773822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88.4</w:t>
                  </w:r>
                </w:p>
              </w:tc>
              <w:tc>
                <w:tcPr>
                  <w:tcW w:w="904" w:type="dxa"/>
                  <w:tcMar>
                    <w:top w:w="0" w:type="dxa"/>
                    <w:left w:w="28" w:type="dxa"/>
                    <w:bottom w:w="0" w:type="dxa"/>
                    <w:right w:w="28" w:type="dxa"/>
                  </w:tcMar>
                  <w:vAlign w:val="center"/>
                </w:tcPr>
                <w:p w14:paraId="02F720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1500</w:t>
                  </w:r>
                </w:p>
              </w:tc>
              <w:tc>
                <w:tcPr>
                  <w:tcW w:w="904" w:type="dxa"/>
                  <w:tcMar>
                    <w:top w:w="0" w:type="dxa"/>
                    <w:left w:w="28" w:type="dxa"/>
                    <w:bottom w:w="0" w:type="dxa"/>
                    <w:right w:w="28" w:type="dxa"/>
                  </w:tcMar>
                  <w:vAlign w:val="center"/>
                </w:tcPr>
                <w:p w14:paraId="6F78AF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600</w:t>
                  </w:r>
                </w:p>
              </w:tc>
              <w:tc>
                <w:tcPr>
                  <w:tcW w:w="904" w:type="dxa"/>
                  <w:tcMar>
                    <w:top w:w="0" w:type="dxa"/>
                    <w:left w:w="28" w:type="dxa"/>
                    <w:bottom w:w="0" w:type="dxa"/>
                    <w:right w:w="28" w:type="dxa"/>
                  </w:tcMar>
                  <w:vAlign w:val="center"/>
                </w:tcPr>
                <w:p w14:paraId="6F0EFA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750</w:t>
                  </w:r>
                </w:p>
              </w:tc>
              <w:tc>
                <w:tcPr>
                  <w:tcW w:w="904" w:type="dxa"/>
                  <w:tcMar>
                    <w:top w:w="0" w:type="dxa"/>
                    <w:left w:w="28" w:type="dxa"/>
                    <w:bottom w:w="0" w:type="dxa"/>
                    <w:right w:w="28" w:type="dxa"/>
                  </w:tcMar>
                  <w:vAlign w:val="center"/>
                </w:tcPr>
                <w:p w14:paraId="2387BB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50</w:t>
                  </w:r>
                </w:p>
              </w:tc>
              <w:tc>
                <w:tcPr>
                  <w:tcW w:w="904" w:type="dxa"/>
                  <w:tcMar>
                    <w:top w:w="0" w:type="dxa"/>
                    <w:left w:w="28" w:type="dxa"/>
                    <w:bottom w:w="0" w:type="dxa"/>
                    <w:right w:w="28" w:type="dxa"/>
                  </w:tcMar>
                  <w:vAlign w:val="center"/>
                </w:tcPr>
                <w:p w14:paraId="366BC3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w:t>
                  </w:r>
                </w:p>
              </w:tc>
              <w:tc>
                <w:tcPr>
                  <w:tcW w:w="1197" w:type="dxa"/>
                  <w:vMerge w:val="restart"/>
                  <w:tcMar>
                    <w:top w:w="0" w:type="dxa"/>
                    <w:left w:w="28" w:type="dxa"/>
                    <w:bottom w:w="0" w:type="dxa"/>
                    <w:right w:w="28" w:type="dxa"/>
                  </w:tcMar>
                  <w:vAlign w:val="center"/>
                </w:tcPr>
                <w:p w14:paraId="3BEB42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进入厂内废水处理站处理，</w:t>
                  </w:r>
                  <w:r>
                    <w:rPr>
                      <w:rFonts w:hint="eastAsia" w:cs="Times New Roman"/>
                      <w:color w:val="000000" w:themeColor="text1"/>
                      <w:sz w:val="21"/>
                      <w:szCs w:val="21"/>
                      <w:highlight w:val="none"/>
                      <w:lang w:val="en-US" w:eastAsia="zh-CN"/>
                      <w14:textFill>
                        <w14:solidFill>
                          <w14:schemeClr w14:val="tx1"/>
                        </w14:solidFill>
                      </w14:textFill>
                    </w:rPr>
                    <w:t>处理后排入</w:t>
                  </w:r>
                  <w:r>
                    <w:rPr>
                      <w:rFonts w:hint="eastAsia"/>
                      <w:color w:val="000000" w:themeColor="text1"/>
                      <w:sz w:val="21"/>
                      <w:szCs w:val="21"/>
                      <w:lang w:val="en-US" w:eastAsia="zh-CN"/>
                      <w14:textFill>
                        <w14:solidFill>
                          <w14:schemeClr w14:val="tx1"/>
                        </w14:solidFill>
                      </w14:textFill>
                    </w:rPr>
                    <w:t>集聚区污水管网，最后排入集聚区污水处理厂深度处理</w:t>
                  </w:r>
                  <w:r>
                    <w:rPr>
                      <w:rFonts w:hint="eastAsia" w:cs="Times New Roman"/>
                      <w:color w:val="000000" w:themeColor="text1"/>
                      <w:sz w:val="21"/>
                      <w:szCs w:val="21"/>
                      <w:highlight w:val="none"/>
                      <w:lang w:val="en-US" w:eastAsia="zh-CN"/>
                      <w14:textFill>
                        <w14:solidFill>
                          <w14:schemeClr w14:val="tx1"/>
                        </w14:solidFill>
                      </w14:textFill>
                    </w:rPr>
                    <w:t>。</w:t>
                  </w:r>
                </w:p>
              </w:tc>
            </w:tr>
            <w:tr w14:paraId="43E4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6" w:type="dxa"/>
                  <w:tcMar>
                    <w:top w:w="0" w:type="dxa"/>
                    <w:left w:w="28" w:type="dxa"/>
                    <w:bottom w:w="0" w:type="dxa"/>
                    <w:right w:w="28" w:type="dxa"/>
                  </w:tcMar>
                  <w:vAlign w:val="center"/>
                </w:tcPr>
                <w:p w14:paraId="23C1DFC9">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中药水提废水</w:t>
                  </w:r>
                </w:p>
              </w:tc>
              <w:tc>
                <w:tcPr>
                  <w:tcW w:w="904" w:type="dxa"/>
                  <w:tcMar>
                    <w:top w:w="0" w:type="dxa"/>
                    <w:left w:w="28" w:type="dxa"/>
                    <w:bottom w:w="0" w:type="dxa"/>
                    <w:right w:w="28" w:type="dxa"/>
                  </w:tcMar>
                  <w:vAlign w:val="center"/>
                </w:tcPr>
                <w:p w14:paraId="706F3F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113.9</w:t>
                  </w:r>
                </w:p>
              </w:tc>
              <w:tc>
                <w:tcPr>
                  <w:tcW w:w="904" w:type="dxa"/>
                  <w:tcMar>
                    <w:top w:w="0" w:type="dxa"/>
                    <w:left w:w="28" w:type="dxa"/>
                    <w:bottom w:w="0" w:type="dxa"/>
                    <w:right w:w="28" w:type="dxa"/>
                  </w:tcMar>
                  <w:vAlign w:val="center"/>
                </w:tcPr>
                <w:p w14:paraId="093A4E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5000</w:t>
                  </w:r>
                </w:p>
              </w:tc>
              <w:tc>
                <w:tcPr>
                  <w:tcW w:w="904" w:type="dxa"/>
                  <w:tcMar>
                    <w:top w:w="0" w:type="dxa"/>
                    <w:left w:w="28" w:type="dxa"/>
                    <w:bottom w:w="0" w:type="dxa"/>
                    <w:right w:w="28" w:type="dxa"/>
                  </w:tcMar>
                  <w:vAlign w:val="center"/>
                </w:tcPr>
                <w:p w14:paraId="754CEA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2000</w:t>
                  </w:r>
                </w:p>
              </w:tc>
              <w:tc>
                <w:tcPr>
                  <w:tcW w:w="904" w:type="dxa"/>
                  <w:tcMar>
                    <w:top w:w="0" w:type="dxa"/>
                    <w:left w:w="28" w:type="dxa"/>
                    <w:bottom w:w="0" w:type="dxa"/>
                    <w:right w:w="28" w:type="dxa"/>
                  </w:tcMar>
                  <w:vAlign w:val="center"/>
                </w:tcPr>
                <w:p w14:paraId="07DC3E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200</w:t>
                  </w:r>
                </w:p>
              </w:tc>
              <w:tc>
                <w:tcPr>
                  <w:tcW w:w="904" w:type="dxa"/>
                  <w:tcMar>
                    <w:top w:w="0" w:type="dxa"/>
                    <w:left w:w="28" w:type="dxa"/>
                    <w:bottom w:w="0" w:type="dxa"/>
                    <w:right w:w="28" w:type="dxa"/>
                  </w:tcMar>
                  <w:vAlign w:val="center"/>
                </w:tcPr>
                <w:p w14:paraId="5626EF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100</w:t>
                  </w:r>
                </w:p>
              </w:tc>
              <w:tc>
                <w:tcPr>
                  <w:tcW w:w="904" w:type="dxa"/>
                  <w:tcMar>
                    <w:top w:w="0" w:type="dxa"/>
                    <w:left w:w="28" w:type="dxa"/>
                    <w:bottom w:w="0" w:type="dxa"/>
                    <w:right w:w="28" w:type="dxa"/>
                  </w:tcMar>
                  <w:vAlign w:val="center"/>
                </w:tcPr>
                <w:p w14:paraId="0365CB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40</w:t>
                  </w:r>
                </w:p>
              </w:tc>
              <w:tc>
                <w:tcPr>
                  <w:tcW w:w="1197" w:type="dxa"/>
                  <w:vMerge w:val="continue"/>
                  <w:tcMar>
                    <w:top w:w="0" w:type="dxa"/>
                    <w:left w:w="28" w:type="dxa"/>
                    <w:bottom w:w="0" w:type="dxa"/>
                    <w:right w:w="28" w:type="dxa"/>
                  </w:tcMar>
                  <w:vAlign w:val="center"/>
                </w:tcPr>
                <w:p w14:paraId="55E3FE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r>
            <w:tr w14:paraId="5B63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6" w:type="dxa"/>
                  <w:shd w:val="clear" w:color="auto" w:fill="auto"/>
                  <w:tcMar>
                    <w:top w:w="0" w:type="dxa"/>
                    <w:left w:w="28" w:type="dxa"/>
                    <w:bottom w:w="0" w:type="dxa"/>
                    <w:right w:w="28" w:type="dxa"/>
                  </w:tcMar>
                  <w:vAlign w:val="center"/>
                </w:tcPr>
                <w:p w14:paraId="4E6E9869">
                  <w:pPr>
                    <w:adjustRightInd w:val="0"/>
                    <w:snapToGrid w:val="0"/>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洗瓶废水</w:t>
                  </w:r>
                </w:p>
              </w:tc>
              <w:tc>
                <w:tcPr>
                  <w:tcW w:w="904" w:type="dxa"/>
                  <w:shd w:val="clear" w:color="auto" w:fill="auto"/>
                  <w:tcMar>
                    <w:top w:w="0" w:type="dxa"/>
                    <w:left w:w="28" w:type="dxa"/>
                    <w:bottom w:w="0" w:type="dxa"/>
                    <w:right w:w="28" w:type="dxa"/>
                  </w:tcMar>
                  <w:vAlign w:val="center"/>
                </w:tcPr>
                <w:p w14:paraId="302BA5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5.56</w:t>
                  </w:r>
                </w:p>
              </w:tc>
              <w:tc>
                <w:tcPr>
                  <w:tcW w:w="904" w:type="dxa"/>
                  <w:shd w:val="clear" w:color="auto" w:fill="auto"/>
                  <w:tcMar>
                    <w:top w:w="0" w:type="dxa"/>
                    <w:left w:w="28" w:type="dxa"/>
                    <w:bottom w:w="0" w:type="dxa"/>
                    <w:right w:w="28" w:type="dxa"/>
                  </w:tcMar>
                  <w:vAlign w:val="center"/>
                </w:tcPr>
                <w:p w14:paraId="797FB8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29</w:t>
                  </w:r>
                </w:p>
              </w:tc>
              <w:tc>
                <w:tcPr>
                  <w:tcW w:w="904" w:type="dxa"/>
                  <w:shd w:val="clear" w:color="auto" w:fill="auto"/>
                  <w:tcMar>
                    <w:top w:w="0" w:type="dxa"/>
                    <w:left w:w="28" w:type="dxa"/>
                    <w:bottom w:w="0" w:type="dxa"/>
                    <w:right w:w="28" w:type="dxa"/>
                  </w:tcMar>
                  <w:vAlign w:val="center"/>
                </w:tcPr>
                <w:p w14:paraId="762DD1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15</w:t>
                  </w:r>
                </w:p>
              </w:tc>
              <w:tc>
                <w:tcPr>
                  <w:tcW w:w="904" w:type="dxa"/>
                  <w:shd w:val="clear" w:color="auto" w:fill="auto"/>
                  <w:tcMar>
                    <w:top w:w="0" w:type="dxa"/>
                    <w:left w:w="28" w:type="dxa"/>
                    <w:bottom w:w="0" w:type="dxa"/>
                    <w:right w:w="28" w:type="dxa"/>
                  </w:tcMar>
                  <w:vAlign w:val="center"/>
                </w:tcPr>
                <w:p w14:paraId="57AFA0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11</w:t>
                  </w:r>
                </w:p>
              </w:tc>
              <w:tc>
                <w:tcPr>
                  <w:tcW w:w="904" w:type="dxa"/>
                  <w:shd w:val="clear" w:color="auto" w:fill="auto"/>
                  <w:tcMar>
                    <w:top w:w="0" w:type="dxa"/>
                    <w:left w:w="28" w:type="dxa"/>
                    <w:bottom w:w="0" w:type="dxa"/>
                    <w:right w:w="28" w:type="dxa"/>
                  </w:tcMar>
                  <w:vAlign w:val="center"/>
                </w:tcPr>
                <w:p w14:paraId="33A0B3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904" w:type="dxa"/>
                  <w:shd w:val="clear" w:color="auto" w:fill="auto"/>
                  <w:tcMar>
                    <w:top w:w="0" w:type="dxa"/>
                    <w:left w:w="28" w:type="dxa"/>
                    <w:bottom w:w="0" w:type="dxa"/>
                    <w:right w:w="28" w:type="dxa"/>
                  </w:tcMar>
                  <w:vAlign w:val="center"/>
                </w:tcPr>
                <w:p w14:paraId="20C030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1197" w:type="dxa"/>
                  <w:vMerge w:val="continue"/>
                  <w:tcMar>
                    <w:top w:w="0" w:type="dxa"/>
                    <w:left w:w="28" w:type="dxa"/>
                    <w:bottom w:w="0" w:type="dxa"/>
                    <w:right w:w="28" w:type="dxa"/>
                  </w:tcMar>
                  <w:vAlign w:val="center"/>
                </w:tcPr>
                <w:p w14:paraId="14AA78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r>
            <w:tr w14:paraId="6EF1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6" w:type="dxa"/>
                  <w:shd w:val="clear" w:color="auto" w:fill="auto"/>
                  <w:tcMar>
                    <w:top w:w="0" w:type="dxa"/>
                    <w:left w:w="28" w:type="dxa"/>
                    <w:bottom w:w="0" w:type="dxa"/>
                    <w:right w:w="28" w:type="dxa"/>
                  </w:tcMar>
                  <w:vAlign w:val="center"/>
                </w:tcPr>
                <w:p w14:paraId="4297C8EA">
                  <w:pPr>
                    <w:adjustRightInd w:val="0"/>
                    <w:snapToGrid w:val="0"/>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设备清洗废水</w:t>
                  </w:r>
                </w:p>
              </w:tc>
              <w:tc>
                <w:tcPr>
                  <w:tcW w:w="904" w:type="dxa"/>
                  <w:shd w:val="clear" w:color="auto" w:fill="auto"/>
                  <w:tcMar>
                    <w:top w:w="0" w:type="dxa"/>
                    <w:left w:w="28" w:type="dxa"/>
                    <w:bottom w:w="0" w:type="dxa"/>
                    <w:right w:w="28" w:type="dxa"/>
                  </w:tcMar>
                  <w:vAlign w:val="center"/>
                </w:tcPr>
                <w:p w14:paraId="4C726A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33.75</w:t>
                  </w:r>
                </w:p>
              </w:tc>
              <w:tc>
                <w:tcPr>
                  <w:tcW w:w="904" w:type="dxa"/>
                  <w:shd w:val="clear" w:color="auto" w:fill="auto"/>
                  <w:tcMar>
                    <w:top w:w="0" w:type="dxa"/>
                    <w:left w:w="28" w:type="dxa"/>
                    <w:bottom w:w="0" w:type="dxa"/>
                    <w:right w:w="28" w:type="dxa"/>
                  </w:tcMar>
                  <w:vAlign w:val="center"/>
                </w:tcPr>
                <w:p w14:paraId="534B7D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800</w:t>
                  </w:r>
                </w:p>
              </w:tc>
              <w:tc>
                <w:tcPr>
                  <w:tcW w:w="904" w:type="dxa"/>
                  <w:shd w:val="clear" w:color="auto" w:fill="auto"/>
                  <w:tcMar>
                    <w:top w:w="0" w:type="dxa"/>
                    <w:left w:w="28" w:type="dxa"/>
                    <w:bottom w:w="0" w:type="dxa"/>
                    <w:right w:w="28" w:type="dxa"/>
                  </w:tcMar>
                  <w:vAlign w:val="center"/>
                </w:tcPr>
                <w:p w14:paraId="61D25A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400</w:t>
                  </w:r>
                </w:p>
              </w:tc>
              <w:tc>
                <w:tcPr>
                  <w:tcW w:w="904" w:type="dxa"/>
                  <w:shd w:val="clear" w:color="auto" w:fill="auto"/>
                  <w:tcMar>
                    <w:top w:w="0" w:type="dxa"/>
                    <w:left w:w="28" w:type="dxa"/>
                    <w:bottom w:w="0" w:type="dxa"/>
                    <w:right w:w="28" w:type="dxa"/>
                  </w:tcMar>
                  <w:vAlign w:val="center"/>
                </w:tcPr>
                <w:p w14:paraId="72CBFA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300</w:t>
                  </w:r>
                </w:p>
              </w:tc>
              <w:tc>
                <w:tcPr>
                  <w:tcW w:w="904" w:type="dxa"/>
                  <w:shd w:val="clear" w:color="auto" w:fill="auto"/>
                  <w:tcMar>
                    <w:top w:w="0" w:type="dxa"/>
                    <w:left w:w="28" w:type="dxa"/>
                    <w:bottom w:w="0" w:type="dxa"/>
                    <w:right w:w="28" w:type="dxa"/>
                  </w:tcMar>
                  <w:vAlign w:val="center"/>
                </w:tcPr>
                <w:p w14:paraId="5B9EB8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30</w:t>
                  </w:r>
                </w:p>
              </w:tc>
              <w:tc>
                <w:tcPr>
                  <w:tcW w:w="904" w:type="dxa"/>
                  <w:shd w:val="clear" w:color="auto" w:fill="auto"/>
                  <w:tcMar>
                    <w:top w:w="0" w:type="dxa"/>
                    <w:left w:w="28" w:type="dxa"/>
                    <w:bottom w:w="0" w:type="dxa"/>
                    <w:right w:w="28" w:type="dxa"/>
                  </w:tcMar>
                  <w:vAlign w:val="center"/>
                </w:tcPr>
                <w:p w14:paraId="79859D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15</w:t>
                  </w:r>
                </w:p>
              </w:tc>
              <w:tc>
                <w:tcPr>
                  <w:tcW w:w="1197" w:type="dxa"/>
                  <w:vMerge w:val="continue"/>
                  <w:tcMar>
                    <w:top w:w="0" w:type="dxa"/>
                    <w:left w:w="28" w:type="dxa"/>
                    <w:bottom w:w="0" w:type="dxa"/>
                    <w:right w:w="28" w:type="dxa"/>
                  </w:tcMar>
                  <w:vAlign w:val="center"/>
                </w:tcPr>
                <w:p w14:paraId="182AE3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r>
            <w:tr w14:paraId="29F9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6" w:type="dxa"/>
                  <w:shd w:val="clear" w:color="auto" w:fill="auto"/>
                  <w:tcMar>
                    <w:top w:w="0" w:type="dxa"/>
                    <w:left w:w="28" w:type="dxa"/>
                    <w:bottom w:w="0" w:type="dxa"/>
                    <w:right w:w="28" w:type="dxa"/>
                  </w:tcMar>
                  <w:vAlign w:val="center"/>
                </w:tcPr>
                <w:p w14:paraId="2BEEC92F">
                  <w:pPr>
                    <w:adjustRightInd w:val="0"/>
                    <w:snapToGrid w:val="0"/>
                    <w:jc w:val="cente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车间地面冲洗废水</w:t>
                  </w:r>
                </w:p>
              </w:tc>
              <w:tc>
                <w:tcPr>
                  <w:tcW w:w="904" w:type="dxa"/>
                  <w:shd w:val="clear" w:color="auto" w:fill="auto"/>
                  <w:tcMar>
                    <w:top w:w="0" w:type="dxa"/>
                    <w:left w:w="28" w:type="dxa"/>
                    <w:bottom w:w="0" w:type="dxa"/>
                    <w:right w:w="28" w:type="dxa"/>
                  </w:tcMar>
                  <w:vAlign w:val="center"/>
                </w:tcPr>
                <w:p w14:paraId="2826F9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12.15</w:t>
                  </w:r>
                </w:p>
              </w:tc>
              <w:tc>
                <w:tcPr>
                  <w:tcW w:w="904" w:type="dxa"/>
                  <w:shd w:val="clear" w:color="auto" w:fill="auto"/>
                  <w:tcMar>
                    <w:top w:w="0" w:type="dxa"/>
                    <w:left w:w="28" w:type="dxa"/>
                    <w:bottom w:w="0" w:type="dxa"/>
                    <w:right w:w="28" w:type="dxa"/>
                  </w:tcMar>
                  <w:vAlign w:val="center"/>
                </w:tcPr>
                <w:p w14:paraId="2EBA54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200</w:t>
                  </w:r>
                </w:p>
              </w:tc>
              <w:tc>
                <w:tcPr>
                  <w:tcW w:w="904" w:type="dxa"/>
                  <w:shd w:val="clear" w:color="auto" w:fill="auto"/>
                  <w:tcMar>
                    <w:top w:w="0" w:type="dxa"/>
                    <w:left w:w="28" w:type="dxa"/>
                    <w:bottom w:w="0" w:type="dxa"/>
                    <w:right w:w="28" w:type="dxa"/>
                  </w:tcMar>
                  <w:vAlign w:val="center"/>
                </w:tcPr>
                <w:p w14:paraId="328541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80</w:t>
                  </w:r>
                </w:p>
              </w:tc>
              <w:tc>
                <w:tcPr>
                  <w:tcW w:w="904" w:type="dxa"/>
                  <w:shd w:val="clear" w:color="auto" w:fill="auto"/>
                  <w:tcMar>
                    <w:top w:w="0" w:type="dxa"/>
                    <w:left w:w="28" w:type="dxa"/>
                    <w:bottom w:w="0" w:type="dxa"/>
                    <w:right w:w="28" w:type="dxa"/>
                  </w:tcMar>
                  <w:vAlign w:val="center"/>
                </w:tcPr>
                <w:p w14:paraId="6501EB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400</w:t>
                  </w:r>
                </w:p>
              </w:tc>
              <w:tc>
                <w:tcPr>
                  <w:tcW w:w="904" w:type="dxa"/>
                  <w:shd w:val="clear" w:color="auto" w:fill="auto"/>
                  <w:tcMar>
                    <w:top w:w="0" w:type="dxa"/>
                    <w:left w:w="28" w:type="dxa"/>
                    <w:bottom w:w="0" w:type="dxa"/>
                    <w:right w:w="28" w:type="dxa"/>
                  </w:tcMar>
                  <w:vAlign w:val="center"/>
                </w:tcPr>
                <w:p w14:paraId="204805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904" w:type="dxa"/>
                  <w:shd w:val="clear" w:color="auto" w:fill="auto"/>
                  <w:tcMar>
                    <w:top w:w="0" w:type="dxa"/>
                    <w:left w:w="28" w:type="dxa"/>
                    <w:bottom w:w="0" w:type="dxa"/>
                    <w:right w:w="28" w:type="dxa"/>
                  </w:tcMar>
                  <w:vAlign w:val="center"/>
                </w:tcPr>
                <w:p w14:paraId="38F47F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1197" w:type="dxa"/>
                  <w:vMerge w:val="continue"/>
                  <w:tcMar>
                    <w:top w:w="0" w:type="dxa"/>
                    <w:left w:w="28" w:type="dxa"/>
                    <w:bottom w:w="0" w:type="dxa"/>
                    <w:right w:w="28" w:type="dxa"/>
                  </w:tcMar>
                  <w:vAlign w:val="center"/>
                </w:tcPr>
                <w:p w14:paraId="1AFC31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r>
            <w:tr w14:paraId="4CDD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6" w:type="dxa"/>
                  <w:tcMar>
                    <w:top w:w="0" w:type="dxa"/>
                    <w:left w:w="28" w:type="dxa"/>
                    <w:bottom w:w="0" w:type="dxa"/>
                    <w:right w:w="28" w:type="dxa"/>
                  </w:tcMar>
                  <w:vAlign w:val="center"/>
                </w:tcPr>
                <w:p w14:paraId="3C327EEB">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生活污水</w:t>
                  </w:r>
                </w:p>
              </w:tc>
              <w:tc>
                <w:tcPr>
                  <w:tcW w:w="904" w:type="dxa"/>
                  <w:tcMar>
                    <w:top w:w="0" w:type="dxa"/>
                    <w:left w:w="28" w:type="dxa"/>
                    <w:bottom w:w="0" w:type="dxa"/>
                    <w:right w:w="28" w:type="dxa"/>
                  </w:tcMar>
                  <w:vAlign w:val="center"/>
                </w:tcPr>
                <w:p w14:paraId="132EBB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8.64</w:t>
                  </w:r>
                </w:p>
              </w:tc>
              <w:tc>
                <w:tcPr>
                  <w:tcW w:w="904" w:type="dxa"/>
                  <w:tcMar>
                    <w:top w:w="0" w:type="dxa"/>
                    <w:left w:w="28" w:type="dxa"/>
                    <w:bottom w:w="0" w:type="dxa"/>
                    <w:right w:w="28" w:type="dxa"/>
                  </w:tcMar>
                  <w:vAlign w:val="center"/>
                </w:tcPr>
                <w:p w14:paraId="0E6D8A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280</w:t>
                  </w:r>
                </w:p>
              </w:tc>
              <w:tc>
                <w:tcPr>
                  <w:tcW w:w="904" w:type="dxa"/>
                  <w:tcMar>
                    <w:top w:w="0" w:type="dxa"/>
                    <w:left w:w="28" w:type="dxa"/>
                    <w:bottom w:w="0" w:type="dxa"/>
                    <w:right w:w="28" w:type="dxa"/>
                  </w:tcMar>
                  <w:vAlign w:val="center"/>
                </w:tcPr>
                <w:p w14:paraId="1F0C02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160</w:t>
                  </w:r>
                </w:p>
              </w:tc>
              <w:tc>
                <w:tcPr>
                  <w:tcW w:w="904" w:type="dxa"/>
                  <w:tcMar>
                    <w:top w:w="0" w:type="dxa"/>
                    <w:left w:w="28" w:type="dxa"/>
                    <w:bottom w:w="0" w:type="dxa"/>
                    <w:right w:w="28" w:type="dxa"/>
                  </w:tcMar>
                  <w:vAlign w:val="center"/>
                </w:tcPr>
                <w:p w14:paraId="254B80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200</w:t>
                  </w:r>
                </w:p>
              </w:tc>
              <w:tc>
                <w:tcPr>
                  <w:tcW w:w="904" w:type="dxa"/>
                  <w:tcMar>
                    <w:top w:w="0" w:type="dxa"/>
                    <w:left w:w="28" w:type="dxa"/>
                    <w:bottom w:w="0" w:type="dxa"/>
                    <w:right w:w="28" w:type="dxa"/>
                  </w:tcMar>
                  <w:vAlign w:val="center"/>
                </w:tcPr>
                <w:p w14:paraId="11A763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w:t>
                  </w:r>
                </w:p>
              </w:tc>
              <w:tc>
                <w:tcPr>
                  <w:tcW w:w="904" w:type="dxa"/>
                  <w:tcMar>
                    <w:top w:w="0" w:type="dxa"/>
                    <w:left w:w="28" w:type="dxa"/>
                    <w:bottom w:w="0" w:type="dxa"/>
                    <w:right w:w="28" w:type="dxa"/>
                  </w:tcMar>
                  <w:vAlign w:val="center"/>
                </w:tcPr>
                <w:p w14:paraId="748EA8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w:t>
                  </w:r>
                </w:p>
              </w:tc>
              <w:tc>
                <w:tcPr>
                  <w:tcW w:w="1197" w:type="dxa"/>
                  <w:vMerge w:val="continue"/>
                  <w:tcMar>
                    <w:top w:w="0" w:type="dxa"/>
                    <w:left w:w="28" w:type="dxa"/>
                    <w:bottom w:w="0" w:type="dxa"/>
                    <w:right w:w="28" w:type="dxa"/>
                  </w:tcMar>
                  <w:vAlign w:val="center"/>
                </w:tcPr>
                <w:p w14:paraId="71771C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p>
              </w:tc>
            </w:tr>
            <w:tr w14:paraId="5B9D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6" w:type="dxa"/>
                  <w:tcMar>
                    <w:top w:w="0" w:type="dxa"/>
                    <w:left w:w="28" w:type="dxa"/>
                    <w:bottom w:w="0" w:type="dxa"/>
                    <w:right w:w="28" w:type="dxa"/>
                  </w:tcMar>
                  <w:vAlign w:val="center"/>
                </w:tcPr>
                <w:p w14:paraId="74E355DC">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合计</w:t>
                  </w:r>
                </w:p>
              </w:tc>
              <w:tc>
                <w:tcPr>
                  <w:tcW w:w="904" w:type="dxa"/>
                  <w:tcMar>
                    <w:top w:w="0" w:type="dxa"/>
                    <w:left w:w="28" w:type="dxa"/>
                    <w:bottom w:w="0" w:type="dxa"/>
                    <w:right w:w="28" w:type="dxa"/>
                  </w:tcMar>
                  <w:vAlign w:val="center"/>
                </w:tcPr>
                <w:p w14:paraId="00941D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262.4</w:t>
                  </w:r>
                </w:p>
              </w:tc>
              <w:tc>
                <w:tcPr>
                  <w:tcW w:w="904" w:type="dxa"/>
                  <w:tcMar>
                    <w:top w:w="0" w:type="dxa"/>
                    <w:left w:w="28" w:type="dxa"/>
                    <w:bottom w:w="0" w:type="dxa"/>
                    <w:right w:w="28" w:type="dxa"/>
                  </w:tcMar>
                  <w:vAlign w:val="center"/>
                </w:tcPr>
                <w:p w14:paraId="1C9606C4">
                  <w:pPr>
                    <w:keepNext w:val="0"/>
                    <w:keepLines w:val="0"/>
                    <w:widowControl/>
                    <w:suppressLineNumbers w:val="0"/>
                    <w:jc w:val="center"/>
                    <w:textAlignment w:val="center"/>
                    <w:rPr>
                      <w:rFonts w:hint="default"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2798 </w:t>
                  </w:r>
                </w:p>
              </w:tc>
              <w:tc>
                <w:tcPr>
                  <w:tcW w:w="904" w:type="dxa"/>
                  <w:tcMar>
                    <w:top w:w="0" w:type="dxa"/>
                    <w:left w:w="28" w:type="dxa"/>
                    <w:bottom w:w="0" w:type="dxa"/>
                    <w:right w:w="28" w:type="dxa"/>
                  </w:tcMar>
                  <w:vAlign w:val="center"/>
                </w:tcPr>
                <w:p w14:paraId="0E432754">
                  <w:pPr>
                    <w:keepNext w:val="0"/>
                    <w:keepLines w:val="0"/>
                    <w:widowControl/>
                    <w:suppressLineNumbers w:val="0"/>
                    <w:jc w:val="center"/>
                    <w:textAlignment w:val="center"/>
                    <w:rPr>
                      <w:rFonts w:hint="default"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1131 </w:t>
                  </w:r>
                </w:p>
              </w:tc>
              <w:tc>
                <w:tcPr>
                  <w:tcW w:w="904" w:type="dxa"/>
                  <w:tcMar>
                    <w:top w:w="0" w:type="dxa"/>
                    <w:left w:w="28" w:type="dxa"/>
                    <w:bottom w:w="0" w:type="dxa"/>
                    <w:right w:w="28" w:type="dxa"/>
                  </w:tcMar>
                  <w:vAlign w:val="center"/>
                </w:tcPr>
                <w:p w14:paraId="1102FE27">
                  <w:pPr>
                    <w:keepNext w:val="0"/>
                    <w:keepLines w:val="0"/>
                    <w:widowControl/>
                    <w:suppressLineNumbers w:val="0"/>
                    <w:jc w:val="center"/>
                    <w:textAlignment w:val="center"/>
                    <w:rPr>
                      <w:rFonts w:hint="default"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403 </w:t>
                  </w:r>
                </w:p>
              </w:tc>
              <w:tc>
                <w:tcPr>
                  <w:tcW w:w="904" w:type="dxa"/>
                  <w:tcMar>
                    <w:top w:w="0" w:type="dxa"/>
                    <w:left w:w="28" w:type="dxa"/>
                    <w:bottom w:w="0" w:type="dxa"/>
                    <w:right w:w="28" w:type="dxa"/>
                  </w:tcMar>
                  <w:vAlign w:val="center"/>
                </w:tcPr>
                <w:p w14:paraId="547B8270">
                  <w:pPr>
                    <w:keepNext w:val="0"/>
                    <w:keepLines w:val="0"/>
                    <w:widowControl/>
                    <w:suppressLineNumbers w:val="0"/>
                    <w:jc w:val="center"/>
                    <w:textAlignment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65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904" w:type="dxa"/>
                  <w:tcMar>
                    <w:top w:w="0" w:type="dxa"/>
                    <w:left w:w="28" w:type="dxa"/>
                    <w:bottom w:w="0" w:type="dxa"/>
                    <w:right w:w="28" w:type="dxa"/>
                  </w:tcMar>
                  <w:vAlign w:val="center"/>
                </w:tcPr>
                <w:p w14:paraId="0A59D0B1">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22.8</w:t>
                  </w:r>
                </w:p>
              </w:tc>
              <w:tc>
                <w:tcPr>
                  <w:tcW w:w="1197" w:type="dxa"/>
                  <w:tcMar>
                    <w:top w:w="0" w:type="dxa"/>
                    <w:left w:w="28" w:type="dxa"/>
                    <w:bottom w:w="0" w:type="dxa"/>
                    <w:right w:w="28" w:type="dxa"/>
                  </w:tcMar>
                  <w:vAlign w:val="center"/>
                </w:tcPr>
                <w:p w14:paraId="02E428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r>
            <w:tr w14:paraId="1C1B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6" w:type="dxa"/>
                  <w:tcMar>
                    <w:top w:w="0" w:type="dxa"/>
                    <w:left w:w="28" w:type="dxa"/>
                    <w:bottom w:w="0" w:type="dxa"/>
                    <w:right w:w="28" w:type="dxa"/>
                  </w:tcMar>
                  <w:vAlign w:val="center"/>
                </w:tcPr>
                <w:p w14:paraId="7B31504A">
                  <w:pPr>
                    <w:adjustRightInd w:val="0"/>
                    <w:snapToGrid w:val="0"/>
                    <w:jc w:val="center"/>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纯化水系统</w:t>
                  </w:r>
                </w:p>
                <w:p w14:paraId="7D6080AD">
                  <w:pPr>
                    <w:adjustRightInd w:val="0"/>
                    <w:snapToGrid w:val="0"/>
                    <w:jc w:val="center"/>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废水</w:t>
                  </w:r>
                </w:p>
              </w:tc>
              <w:tc>
                <w:tcPr>
                  <w:tcW w:w="904" w:type="dxa"/>
                  <w:tcMar>
                    <w:top w:w="0" w:type="dxa"/>
                    <w:left w:w="28" w:type="dxa"/>
                    <w:bottom w:w="0" w:type="dxa"/>
                    <w:right w:w="28" w:type="dxa"/>
                  </w:tcMar>
                  <w:vAlign w:val="center"/>
                </w:tcPr>
                <w:p w14:paraId="58D384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120.73</w:t>
                  </w:r>
                </w:p>
              </w:tc>
              <w:tc>
                <w:tcPr>
                  <w:tcW w:w="904" w:type="dxa"/>
                  <w:tcMar>
                    <w:top w:w="0" w:type="dxa"/>
                    <w:left w:w="28" w:type="dxa"/>
                    <w:bottom w:w="0" w:type="dxa"/>
                    <w:right w:w="28" w:type="dxa"/>
                  </w:tcMar>
                  <w:vAlign w:val="center"/>
                </w:tcPr>
                <w:p w14:paraId="1B7C1E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40</w:t>
                  </w:r>
                </w:p>
              </w:tc>
              <w:tc>
                <w:tcPr>
                  <w:tcW w:w="904" w:type="dxa"/>
                  <w:tcMar>
                    <w:top w:w="0" w:type="dxa"/>
                    <w:left w:w="28" w:type="dxa"/>
                    <w:bottom w:w="0" w:type="dxa"/>
                    <w:right w:w="28" w:type="dxa"/>
                  </w:tcMar>
                  <w:vAlign w:val="center"/>
                </w:tcPr>
                <w:p w14:paraId="40AF05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w:t>
                  </w:r>
                </w:p>
              </w:tc>
              <w:tc>
                <w:tcPr>
                  <w:tcW w:w="904" w:type="dxa"/>
                  <w:tcMar>
                    <w:top w:w="0" w:type="dxa"/>
                    <w:left w:w="28" w:type="dxa"/>
                    <w:bottom w:w="0" w:type="dxa"/>
                    <w:right w:w="28" w:type="dxa"/>
                  </w:tcMar>
                  <w:vAlign w:val="center"/>
                </w:tcPr>
                <w:p w14:paraId="42C6D8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100</w:t>
                  </w:r>
                </w:p>
              </w:tc>
              <w:tc>
                <w:tcPr>
                  <w:tcW w:w="904" w:type="dxa"/>
                  <w:tcMar>
                    <w:top w:w="0" w:type="dxa"/>
                    <w:left w:w="28" w:type="dxa"/>
                    <w:bottom w:w="0" w:type="dxa"/>
                    <w:right w:w="28" w:type="dxa"/>
                  </w:tcMar>
                  <w:vAlign w:val="center"/>
                </w:tcPr>
                <w:p w14:paraId="3FE0F7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904" w:type="dxa"/>
                  <w:tcMar>
                    <w:top w:w="0" w:type="dxa"/>
                    <w:left w:w="28" w:type="dxa"/>
                    <w:bottom w:w="0" w:type="dxa"/>
                    <w:right w:w="28" w:type="dxa"/>
                  </w:tcMar>
                  <w:vAlign w:val="center"/>
                </w:tcPr>
                <w:p w14:paraId="4412D5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1197" w:type="dxa"/>
                  <w:tcMar>
                    <w:top w:w="0" w:type="dxa"/>
                    <w:left w:w="28" w:type="dxa"/>
                    <w:bottom w:w="0" w:type="dxa"/>
                    <w:right w:w="28" w:type="dxa"/>
                  </w:tcMar>
                  <w:vAlign w:val="center"/>
                </w:tcPr>
                <w:p w14:paraId="68EA8B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直接经厂废水总排口外排进入集聚区污水管网</w:t>
                  </w:r>
                </w:p>
              </w:tc>
            </w:tr>
          </w:tbl>
          <w:p w14:paraId="6DB03CCE">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70" w:firstLineChars="196"/>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可见，本项目废水中COD浓度较高，应采用厌氧处理降低COD负荷，再进行生化处理。环评要求，废水进入厂内废水处理站处理，设计处理规模为300m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d，处理工艺：气浮+混凝沉淀+厌氧+CASS生化处理，其中，厌氧可采用UASB等，CASS为一种好氧生物处理工艺，是周期循环活性污泥法的简称，是在SBR的基础上发展起来的，即在SBR池内进水端增加了一个生物选择器，实现了连续进水（沉淀期、排水期仍连续进水），间歇排水。它比传统活性污泥法节省投资20%-30%，节省土地30%以上。项目废水治理工艺</w:t>
            </w:r>
            <w:r>
              <w:rPr>
                <w:rFonts w:hint="eastAsia" w:cs="Times New Roman"/>
                <w:color w:val="000000" w:themeColor="text1"/>
                <w:sz w:val="24"/>
                <w:szCs w:val="24"/>
                <w:lang w:val="en-US" w:eastAsia="zh-CN"/>
                <w14:textFill>
                  <w14:solidFill>
                    <w14:schemeClr w14:val="tx1"/>
                  </w14:solidFill>
                </w14:textFill>
              </w:rPr>
              <w:t>《排污许可证申请与核发技术规范 制药工业—中成药生产》（HJ1064—2019）中规定的废水可行技术。</w:t>
            </w:r>
          </w:p>
          <w:p w14:paraId="0BF0043C">
            <w:pPr>
              <w:keepNext w:val="0"/>
              <w:keepLines w:val="0"/>
              <w:pageBreakBefore w:val="0"/>
              <w:widowControl w:val="0"/>
              <w:kinsoku/>
              <w:wordWrap/>
              <w:overflowPunct/>
              <w:topLinePunct w:val="0"/>
              <w:autoSpaceDE/>
              <w:autoSpaceDN/>
              <w:bidi w:val="0"/>
              <w:adjustRightInd w:val="0"/>
              <w:snapToGrid w:val="0"/>
              <w:spacing w:line="240" w:lineRule="auto"/>
              <w:ind w:firstLine="1920" w:firstLineChars="800"/>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表33    项目废水排放情况</w:t>
            </w:r>
          </w:p>
          <w:tbl>
            <w:tblPr>
              <w:tblStyle w:val="27"/>
              <w:tblW w:w="79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881"/>
              <w:gridCol w:w="901"/>
              <w:gridCol w:w="947"/>
              <w:gridCol w:w="947"/>
              <w:gridCol w:w="947"/>
              <w:gridCol w:w="947"/>
              <w:gridCol w:w="947"/>
              <w:gridCol w:w="952"/>
            </w:tblGrid>
            <w:tr w14:paraId="6293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79" w:type="dxa"/>
                  <w:gridSpan w:val="2"/>
                  <w:tcMar>
                    <w:top w:w="0" w:type="dxa"/>
                    <w:left w:w="28" w:type="dxa"/>
                    <w:bottom w:w="0" w:type="dxa"/>
                    <w:right w:w="28" w:type="dxa"/>
                  </w:tcMar>
                  <w:vAlign w:val="center"/>
                </w:tcPr>
                <w:p w14:paraId="30B41A7C">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项目</w:t>
                  </w:r>
                </w:p>
              </w:tc>
              <w:tc>
                <w:tcPr>
                  <w:tcW w:w="901" w:type="dxa"/>
                  <w:tcMar>
                    <w:top w:w="0" w:type="dxa"/>
                    <w:left w:w="28" w:type="dxa"/>
                    <w:bottom w:w="0" w:type="dxa"/>
                    <w:right w:w="28" w:type="dxa"/>
                  </w:tcMar>
                  <w:vAlign w:val="center"/>
                </w:tcPr>
                <w:p w14:paraId="1CA10D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水量</w:t>
                  </w:r>
                </w:p>
                <w:p w14:paraId="314668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vertAlign w:val="baseline"/>
                      <w:lang w:val="en-US" w:eastAsia="zh-CN"/>
                      <w14:textFill>
                        <w14:solidFill>
                          <w14:schemeClr w14:val="tx1"/>
                        </w14:solidFill>
                      </w14:textFill>
                    </w:rPr>
                    <w:t>/d)</w:t>
                  </w:r>
                </w:p>
              </w:tc>
              <w:tc>
                <w:tcPr>
                  <w:tcW w:w="947" w:type="dxa"/>
                  <w:tcMar>
                    <w:top w:w="0" w:type="dxa"/>
                    <w:left w:w="28" w:type="dxa"/>
                    <w:bottom w:w="0" w:type="dxa"/>
                    <w:right w:w="28" w:type="dxa"/>
                  </w:tcMar>
                  <w:vAlign w:val="center"/>
                </w:tcPr>
                <w:p w14:paraId="1F18DF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COD</w:t>
                  </w:r>
                </w:p>
                <w:p w14:paraId="3BDB48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(mg/L)</w:t>
                  </w:r>
                </w:p>
              </w:tc>
              <w:tc>
                <w:tcPr>
                  <w:tcW w:w="947" w:type="dxa"/>
                  <w:tcMar>
                    <w:top w:w="0" w:type="dxa"/>
                    <w:left w:w="28" w:type="dxa"/>
                    <w:bottom w:w="0" w:type="dxa"/>
                    <w:right w:w="28" w:type="dxa"/>
                  </w:tcMar>
                  <w:vAlign w:val="center"/>
                </w:tcPr>
                <w:p w14:paraId="208617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BOD</w:t>
                  </w:r>
                  <w:r>
                    <w:rPr>
                      <w:rFonts w:hint="eastAsia" w:cs="Times New Roman"/>
                      <w:color w:val="000000" w:themeColor="text1"/>
                      <w:sz w:val="21"/>
                      <w:szCs w:val="21"/>
                      <w:vertAlign w:val="subscript"/>
                      <w:lang w:val="en-US" w:eastAsia="zh-CN"/>
                      <w14:textFill>
                        <w14:solidFill>
                          <w14:schemeClr w14:val="tx1"/>
                        </w14:solidFill>
                      </w14:textFill>
                    </w:rPr>
                    <w:t>5</w:t>
                  </w:r>
                </w:p>
                <w:p w14:paraId="76CF41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(mg/L)</w:t>
                  </w:r>
                </w:p>
              </w:tc>
              <w:tc>
                <w:tcPr>
                  <w:tcW w:w="947" w:type="dxa"/>
                  <w:tcMar>
                    <w:top w:w="0" w:type="dxa"/>
                    <w:left w:w="28" w:type="dxa"/>
                    <w:bottom w:w="0" w:type="dxa"/>
                    <w:right w:w="28" w:type="dxa"/>
                  </w:tcMar>
                  <w:vAlign w:val="center"/>
                </w:tcPr>
                <w:p w14:paraId="6877CB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SS</w:t>
                  </w:r>
                </w:p>
                <w:p w14:paraId="0BE8C1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(mg/L)</w:t>
                  </w:r>
                </w:p>
              </w:tc>
              <w:tc>
                <w:tcPr>
                  <w:tcW w:w="947" w:type="dxa"/>
                  <w:tcMar>
                    <w:top w:w="0" w:type="dxa"/>
                    <w:left w:w="28" w:type="dxa"/>
                    <w:bottom w:w="0" w:type="dxa"/>
                    <w:right w:w="28" w:type="dxa"/>
                  </w:tcMar>
                  <w:vAlign w:val="center"/>
                </w:tcPr>
                <w:p w14:paraId="25132E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氨氮(mg/L)</w:t>
                  </w:r>
                </w:p>
              </w:tc>
              <w:tc>
                <w:tcPr>
                  <w:tcW w:w="947" w:type="dxa"/>
                  <w:tcMar>
                    <w:top w:w="0" w:type="dxa"/>
                    <w:left w:w="28" w:type="dxa"/>
                    <w:bottom w:w="0" w:type="dxa"/>
                    <w:right w:w="28" w:type="dxa"/>
                  </w:tcMar>
                  <w:vAlign w:val="center"/>
                </w:tcPr>
                <w:p w14:paraId="700985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色度（稀释倍数）</w:t>
                  </w:r>
                </w:p>
              </w:tc>
              <w:tc>
                <w:tcPr>
                  <w:tcW w:w="952" w:type="dxa"/>
                  <w:tcMar>
                    <w:top w:w="0" w:type="dxa"/>
                    <w:left w:w="28" w:type="dxa"/>
                    <w:bottom w:w="0" w:type="dxa"/>
                    <w:right w:w="28" w:type="dxa"/>
                  </w:tcMar>
                  <w:vAlign w:val="center"/>
                </w:tcPr>
                <w:p w14:paraId="7363E9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总磷(mg/L)</w:t>
                  </w:r>
                </w:p>
              </w:tc>
            </w:tr>
            <w:tr w14:paraId="3526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8" w:type="dxa"/>
                  <w:vMerge w:val="restart"/>
                  <w:tcMar>
                    <w:top w:w="0" w:type="dxa"/>
                    <w:left w:w="28" w:type="dxa"/>
                    <w:bottom w:w="0" w:type="dxa"/>
                    <w:right w:w="28" w:type="dxa"/>
                  </w:tcMar>
                  <w:vAlign w:val="center"/>
                </w:tcPr>
                <w:p w14:paraId="608E14A9">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厂内污水处理站</w:t>
                  </w:r>
                </w:p>
              </w:tc>
              <w:tc>
                <w:tcPr>
                  <w:tcW w:w="881" w:type="dxa"/>
                  <w:tcMar>
                    <w:top w:w="0" w:type="dxa"/>
                    <w:left w:w="28" w:type="dxa"/>
                    <w:bottom w:w="0" w:type="dxa"/>
                    <w:right w:w="28" w:type="dxa"/>
                  </w:tcMar>
                  <w:vAlign w:val="center"/>
                </w:tcPr>
                <w:p w14:paraId="06D1A777">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进口</w:t>
                  </w:r>
                </w:p>
              </w:tc>
              <w:tc>
                <w:tcPr>
                  <w:tcW w:w="901" w:type="dxa"/>
                  <w:shd w:val="clear" w:color="auto" w:fill="auto"/>
                  <w:tcMar>
                    <w:top w:w="0" w:type="dxa"/>
                    <w:left w:w="28" w:type="dxa"/>
                    <w:bottom w:w="0" w:type="dxa"/>
                    <w:right w:w="28" w:type="dxa"/>
                  </w:tcMar>
                  <w:vAlign w:val="center"/>
                </w:tcPr>
                <w:p w14:paraId="616B59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262.4</w:t>
                  </w:r>
                </w:p>
              </w:tc>
              <w:tc>
                <w:tcPr>
                  <w:tcW w:w="947" w:type="dxa"/>
                  <w:shd w:val="clear" w:color="auto" w:fill="auto"/>
                  <w:tcMar>
                    <w:top w:w="0" w:type="dxa"/>
                    <w:left w:w="28" w:type="dxa"/>
                    <w:bottom w:w="0" w:type="dxa"/>
                    <w:right w:w="28" w:type="dxa"/>
                  </w:tcMar>
                  <w:vAlign w:val="center"/>
                </w:tcPr>
                <w:p w14:paraId="30D704BA">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2798 </w:t>
                  </w:r>
                </w:p>
              </w:tc>
              <w:tc>
                <w:tcPr>
                  <w:tcW w:w="947" w:type="dxa"/>
                  <w:shd w:val="clear" w:color="auto" w:fill="auto"/>
                  <w:tcMar>
                    <w:top w:w="0" w:type="dxa"/>
                    <w:left w:w="28" w:type="dxa"/>
                    <w:bottom w:w="0" w:type="dxa"/>
                    <w:right w:w="28" w:type="dxa"/>
                  </w:tcMar>
                  <w:vAlign w:val="center"/>
                </w:tcPr>
                <w:p w14:paraId="4627AC63">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1131 </w:t>
                  </w:r>
                </w:p>
              </w:tc>
              <w:tc>
                <w:tcPr>
                  <w:tcW w:w="947" w:type="dxa"/>
                  <w:shd w:val="clear" w:color="auto" w:fill="auto"/>
                  <w:tcMar>
                    <w:top w:w="0" w:type="dxa"/>
                    <w:left w:w="28" w:type="dxa"/>
                    <w:bottom w:w="0" w:type="dxa"/>
                    <w:right w:w="28" w:type="dxa"/>
                  </w:tcMar>
                  <w:vAlign w:val="center"/>
                </w:tcPr>
                <w:p w14:paraId="05DD5FCD">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403 </w:t>
                  </w:r>
                </w:p>
              </w:tc>
              <w:tc>
                <w:tcPr>
                  <w:tcW w:w="947" w:type="dxa"/>
                  <w:shd w:val="clear" w:color="auto" w:fill="auto"/>
                  <w:tcMar>
                    <w:top w:w="0" w:type="dxa"/>
                    <w:left w:w="28" w:type="dxa"/>
                    <w:bottom w:w="0" w:type="dxa"/>
                    <w:right w:w="28" w:type="dxa"/>
                  </w:tcMar>
                  <w:vAlign w:val="center"/>
                </w:tcPr>
                <w:p w14:paraId="457DA2F8">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r>
                    <w:rPr>
                      <w:rFonts w:hint="eastAsia" w:cs="Times New Roman"/>
                      <w:i w:val="0"/>
                      <w:iCs w:val="0"/>
                      <w:color w:val="000000" w:themeColor="text1"/>
                      <w:kern w:val="0"/>
                      <w:sz w:val="21"/>
                      <w:szCs w:val="21"/>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947" w:type="dxa"/>
                  <w:tcMar>
                    <w:top w:w="0" w:type="dxa"/>
                    <w:left w:w="28" w:type="dxa"/>
                    <w:bottom w:w="0" w:type="dxa"/>
                    <w:right w:w="28" w:type="dxa"/>
                  </w:tcMar>
                  <w:vAlign w:val="center"/>
                </w:tcPr>
                <w:p w14:paraId="4EFE87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100</w:t>
                  </w:r>
                </w:p>
              </w:tc>
              <w:tc>
                <w:tcPr>
                  <w:tcW w:w="952" w:type="dxa"/>
                  <w:tcMar>
                    <w:top w:w="0" w:type="dxa"/>
                    <w:left w:w="28" w:type="dxa"/>
                    <w:bottom w:w="0" w:type="dxa"/>
                    <w:right w:w="28" w:type="dxa"/>
                  </w:tcMar>
                  <w:vAlign w:val="center"/>
                </w:tcPr>
                <w:p w14:paraId="33BE73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22.8</w:t>
                  </w:r>
                </w:p>
              </w:tc>
            </w:tr>
            <w:tr w14:paraId="1A83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8" w:type="dxa"/>
                  <w:vMerge w:val="continue"/>
                  <w:tcMar>
                    <w:top w:w="0" w:type="dxa"/>
                    <w:left w:w="28" w:type="dxa"/>
                    <w:bottom w:w="0" w:type="dxa"/>
                    <w:right w:w="28" w:type="dxa"/>
                  </w:tcMar>
                  <w:vAlign w:val="center"/>
                </w:tcPr>
                <w:p w14:paraId="5C321DA2">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p>
              </w:tc>
              <w:tc>
                <w:tcPr>
                  <w:tcW w:w="881" w:type="dxa"/>
                  <w:tcMar>
                    <w:top w:w="0" w:type="dxa"/>
                    <w:left w:w="28" w:type="dxa"/>
                    <w:bottom w:w="0" w:type="dxa"/>
                    <w:right w:w="28" w:type="dxa"/>
                  </w:tcMar>
                  <w:vAlign w:val="center"/>
                </w:tcPr>
                <w:p w14:paraId="2AFD1BD9">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去除率</w:t>
                  </w:r>
                </w:p>
              </w:tc>
              <w:tc>
                <w:tcPr>
                  <w:tcW w:w="901" w:type="dxa"/>
                  <w:tcMar>
                    <w:top w:w="0" w:type="dxa"/>
                    <w:left w:w="28" w:type="dxa"/>
                    <w:bottom w:w="0" w:type="dxa"/>
                    <w:right w:w="28" w:type="dxa"/>
                  </w:tcMar>
                  <w:vAlign w:val="center"/>
                </w:tcPr>
                <w:p w14:paraId="23CED7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947" w:type="dxa"/>
                  <w:tcMar>
                    <w:top w:w="0" w:type="dxa"/>
                    <w:left w:w="28" w:type="dxa"/>
                    <w:bottom w:w="0" w:type="dxa"/>
                    <w:right w:w="28" w:type="dxa"/>
                  </w:tcMar>
                  <w:vAlign w:val="center"/>
                </w:tcPr>
                <w:p w14:paraId="6B9B9A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97%</w:t>
                  </w:r>
                </w:p>
              </w:tc>
              <w:tc>
                <w:tcPr>
                  <w:tcW w:w="947" w:type="dxa"/>
                  <w:tcMar>
                    <w:top w:w="0" w:type="dxa"/>
                    <w:left w:w="28" w:type="dxa"/>
                    <w:bottom w:w="0" w:type="dxa"/>
                    <w:right w:w="28" w:type="dxa"/>
                  </w:tcMar>
                  <w:vAlign w:val="center"/>
                </w:tcPr>
                <w:p w14:paraId="3476F1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98.5%</w:t>
                  </w:r>
                </w:p>
              </w:tc>
              <w:tc>
                <w:tcPr>
                  <w:tcW w:w="947" w:type="dxa"/>
                  <w:tcMar>
                    <w:top w:w="0" w:type="dxa"/>
                    <w:left w:w="28" w:type="dxa"/>
                    <w:bottom w:w="0" w:type="dxa"/>
                    <w:right w:w="28" w:type="dxa"/>
                  </w:tcMar>
                  <w:vAlign w:val="center"/>
                </w:tcPr>
                <w:p w14:paraId="5AD9CD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90%</w:t>
                  </w:r>
                </w:p>
              </w:tc>
              <w:tc>
                <w:tcPr>
                  <w:tcW w:w="947" w:type="dxa"/>
                  <w:tcMar>
                    <w:top w:w="0" w:type="dxa"/>
                    <w:left w:w="28" w:type="dxa"/>
                    <w:bottom w:w="0" w:type="dxa"/>
                    <w:right w:w="28" w:type="dxa"/>
                  </w:tcMar>
                  <w:vAlign w:val="center"/>
                </w:tcPr>
                <w:p w14:paraId="27BD9F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90%</w:t>
                  </w:r>
                </w:p>
              </w:tc>
              <w:tc>
                <w:tcPr>
                  <w:tcW w:w="947" w:type="dxa"/>
                  <w:tcMar>
                    <w:top w:w="0" w:type="dxa"/>
                    <w:left w:w="28" w:type="dxa"/>
                    <w:bottom w:w="0" w:type="dxa"/>
                    <w:right w:w="28" w:type="dxa"/>
                  </w:tcMar>
                  <w:vAlign w:val="center"/>
                </w:tcPr>
                <w:p w14:paraId="57740B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80%</w:t>
                  </w:r>
                </w:p>
              </w:tc>
              <w:tc>
                <w:tcPr>
                  <w:tcW w:w="952" w:type="dxa"/>
                  <w:tcMar>
                    <w:top w:w="0" w:type="dxa"/>
                    <w:left w:w="28" w:type="dxa"/>
                    <w:bottom w:w="0" w:type="dxa"/>
                    <w:right w:w="28" w:type="dxa"/>
                  </w:tcMar>
                  <w:vAlign w:val="center"/>
                </w:tcPr>
                <w:p w14:paraId="3C4F9C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98%</w:t>
                  </w:r>
                </w:p>
              </w:tc>
            </w:tr>
            <w:tr w14:paraId="5BB1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8" w:type="dxa"/>
                  <w:vMerge w:val="continue"/>
                  <w:tcMar>
                    <w:top w:w="0" w:type="dxa"/>
                    <w:left w:w="28" w:type="dxa"/>
                    <w:bottom w:w="0" w:type="dxa"/>
                    <w:right w:w="28" w:type="dxa"/>
                  </w:tcMar>
                  <w:vAlign w:val="center"/>
                </w:tcPr>
                <w:p w14:paraId="066DCE70">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p>
              </w:tc>
              <w:tc>
                <w:tcPr>
                  <w:tcW w:w="881" w:type="dxa"/>
                  <w:tcMar>
                    <w:top w:w="0" w:type="dxa"/>
                    <w:left w:w="28" w:type="dxa"/>
                    <w:bottom w:w="0" w:type="dxa"/>
                    <w:right w:w="28" w:type="dxa"/>
                  </w:tcMar>
                  <w:vAlign w:val="center"/>
                </w:tcPr>
                <w:p w14:paraId="3480840C">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出口</w:t>
                  </w:r>
                </w:p>
              </w:tc>
              <w:tc>
                <w:tcPr>
                  <w:tcW w:w="901" w:type="dxa"/>
                  <w:tcMar>
                    <w:top w:w="0" w:type="dxa"/>
                    <w:left w:w="28" w:type="dxa"/>
                    <w:bottom w:w="0" w:type="dxa"/>
                    <w:right w:w="28" w:type="dxa"/>
                  </w:tcMar>
                  <w:vAlign w:val="center"/>
                </w:tcPr>
                <w:p w14:paraId="4275C2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262.4</w:t>
                  </w:r>
                </w:p>
              </w:tc>
              <w:tc>
                <w:tcPr>
                  <w:tcW w:w="947" w:type="dxa"/>
                  <w:tcMar>
                    <w:top w:w="0" w:type="dxa"/>
                    <w:left w:w="28" w:type="dxa"/>
                    <w:bottom w:w="0" w:type="dxa"/>
                    <w:right w:w="28" w:type="dxa"/>
                  </w:tcMar>
                  <w:vAlign w:val="center"/>
                </w:tcPr>
                <w:p w14:paraId="56D373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83.9</w:t>
                  </w:r>
                </w:p>
              </w:tc>
              <w:tc>
                <w:tcPr>
                  <w:tcW w:w="947" w:type="dxa"/>
                  <w:tcMar>
                    <w:top w:w="0" w:type="dxa"/>
                    <w:left w:w="28" w:type="dxa"/>
                    <w:bottom w:w="0" w:type="dxa"/>
                    <w:right w:w="28" w:type="dxa"/>
                  </w:tcMar>
                  <w:vAlign w:val="center"/>
                </w:tcPr>
                <w:p w14:paraId="1092A8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17</w:t>
                  </w:r>
                </w:p>
              </w:tc>
              <w:tc>
                <w:tcPr>
                  <w:tcW w:w="947" w:type="dxa"/>
                  <w:tcMar>
                    <w:top w:w="0" w:type="dxa"/>
                    <w:left w:w="28" w:type="dxa"/>
                    <w:bottom w:w="0" w:type="dxa"/>
                    <w:right w:w="28" w:type="dxa"/>
                  </w:tcMar>
                  <w:vAlign w:val="center"/>
                </w:tcPr>
                <w:p w14:paraId="3121E2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40.3</w:t>
                  </w:r>
                </w:p>
              </w:tc>
              <w:tc>
                <w:tcPr>
                  <w:tcW w:w="947" w:type="dxa"/>
                  <w:tcMar>
                    <w:top w:w="0" w:type="dxa"/>
                    <w:left w:w="28" w:type="dxa"/>
                    <w:bottom w:w="0" w:type="dxa"/>
                    <w:right w:w="28" w:type="dxa"/>
                  </w:tcMar>
                  <w:vAlign w:val="center"/>
                </w:tcPr>
                <w:p w14:paraId="1F8803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6.5</w:t>
                  </w:r>
                </w:p>
              </w:tc>
              <w:tc>
                <w:tcPr>
                  <w:tcW w:w="947" w:type="dxa"/>
                  <w:tcMar>
                    <w:top w:w="0" w:type="dxa"/>
                    <w:left w:w="28" w:type="dxa"/>
                    <w:bottom w:w="0" w:type="dxa"/>
                    <w:right w:w="28" w:type="dxa"/>
                  </w:tcMar>
                  <w:vAlign w:val="center"/>
                </w:tcPr>
                <w:p w14:paraId="4946AA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w:t>
                  </w:r>
                </w:p>
              </w:tc>
              <w:tc>
                <w:tcPr>
                  <w:tcW w:w="952" w:type="dxa"/>
                  <w:tcMar>
                    <w:top w:w="0" w:type="dxa"/>
                    <w:left w:w="28" w:type="dxa"/>
                    <w:bottom w:w="0" w:type="dxa"/>
                    <w:right w:w="28" w:type="dxa"/>
                  </w:tcMar>
                  <w:vAlign w:val="center"/>
                </w:tcPr>
                <w:p w14:paraId="31573E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0.46</w:t>
                  </w:r>
                </w:p>
              </w:tc>
            </w:tr>
            <w:tr w14:paraId="47DB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79" w:type="dxa"/>
                  <w:gridSpan w:val="2"/>
                  <w:tcMar>
                    <w:top w:w="0" w:type="dxa"/>
                    <w:left w:w="28" w:type="dxa"/>
                    <w:bottom w:w="0" w:type="dxa"/>
                    <w:right w:w="28" w:type="dxa"/>
                  </w:tcMar>
                  <w:vAlign w:val="center"/>
                </w:tcPr>
                <w:p w14:paraId="67D359D4">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GB21906-2008表2标准</w:t>
                  </w:r>
                </w:p>
              </w:tc>
              <w:tc>
                <w:tcPr>
                  <w:tcW w:w="901" w:type="dxa"/>
                  <w:tcMar>
                    <w:top w:w="0" w:type="dxa"/>
                    <w:left w:w="28" w:type="dxa"/>
                    <w:bottom w:w="0" w:type="dxa"/>
                    <w:right w:w="28" w:type="dxa"/>
                  </w:tcMar>
                  <w:vAlign w:val="center"/>
                </w:tcPr>
                <w:p w14:paraId="15D91C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947" w:type="dxa"/>
                  <w:tcMar>
                    <w:top w:w="0" w:type="dxa"/>
                    <w:left w:w="28" w:type="dxa"/>
                    <w:bottom w:w="0" w:type="dxa"/>
                    <w:right w:w="28" w:type="dxa"/>
                  </w:tcMar>
                  <w:vAlign w:val="center"/>
                </w:tcPr>
                <w:p w14:paraId="5E479D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100</w:t>
                  </w:r>
                </w:p>
              </w:tc>
              <w:tc>
                <w:tcPr>
                  <w:tcW w:w="947" w:type="dxa"/>
                  <w:tcMar>
                    <w:top w:w="0" w:type="dxa"/>
                    <w:left w:w="28" w:type="dxa"/>
                    <w:bottom w:w="0" w:type="dxa"/>
                    <w:right w:w="28" w:type="dxa"/>
                  </w:tcMar>
                  <w:vAlign w:val="center"/>
                </w:tcPr>
                <w:p w14:paraId="4BCF48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20</w:t>
                  </w:r>
                </w:p>
              </w:tc>
              <w:tc>
                <w:tcPr>
                  <w:tcW w:w="947" w:type="dxa"/>
                  <w:tcMar>
                    <w:top w:w="0" w:type="dxa"/>
                    <w:left w:w="28" w:type="dxa"/>
                    <w:bottom w:w="0" w:type="dxa"/>
                    <w:right w:w="28" w:type="dxa"/>
                  </w:tcMar>
                  <w:vAlign w:val="center"/>
                </w:tcPr>
                <w:p w14:paraId="14E4F1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50</w:t>
                  </w:r>
                </w:p>
              </w:tc>
              <w:tc>
                <w:tcPr>
                  <w:tcW w:w="947" w:type="dxa"/>
                  <w:tcMar>
                    <w:top w:w="0" w:type="dxa"/>
                    <w:left w:w="28" w:type="dxa"/>
                    <w:bottom w:w="0" w:type="dxa"/>
                    <w:right w:w="28" w:type="dxa"/>
                  </w:tcMar>
                  <w:vAlign w:val="center"/>
                </w:tcPr>
                <w:p w14:paraId="7BE154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w:t>
                  </w:r>
                </w:p>
              </w:tc>
              <w:tc>
                <w:tcPr>
                  <w:tcW w:w="947" w:type="dxa"/>
                  <w:tcMar>
                    <w:top w:w="0" w:type="dxa"/>
                    <w:left w:w="28" w:type="dxa"/>
                    <w:bottom w:w="0" w:type="dxa"/>
                    <w:right w:w="28" w:type="dxa"/>
                  </w:tcMar>
                  <w:vAlign w:val="center"/>
                </w:tcPr>
                <w:p w14:paraId="4A5719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50</w:t>
                  </w:r>
                </w:p>
              </w:tc>
              <w:tc>
                <w:tcPr>
                  <w:tcW w:w="952" w:type="dxa"/>
                  <w:tcMar>
                    <w:top w:w="0" w:type="dxa"/>
                    <w:left w:w="28" w:type="dxa"/>
                    <w:bottom w:w="0" w:type="dxa"/>
                    <w:right w:w="28" w:type="dxa"/>
                  </w:tcMar>
                  <w:vAlign w:val="center"/>
                </w:tcPr>
                <w:p w14:paraId="686473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0.5</w:t>
                  </w:r>
                </w:p>
              </w:tc>
            </w:tr>
            <w:tr w14:paraId="260A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8" w:type="dxa"/>
                  <w:vMerge w:val="restart"/>
                  <w:tcMar>
                    <w:top w:w="0" w:type="dxa"/>
                    <w:left w:w="28" w:type="dxa"/>
                    <w:bottom w:w="0" w:type="dxa"/>
                    <w:right w:w="28" w:type="dxa"/>
                  </w:tcMar>
                  <w:vAlign w:val="center"/>
                </w:tcPr>
                <w:p w14:paraId="143AD73F">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集聚区污水处理厂</w:t>
                  </w:r>
                </w:p>
              </w:tc>
              <w:tc>
                <w:tcPr>
                  <w:tcW w:w="881" w:type="dxa"/>
                  <w:tcMar>
                    <w:top w:w="0" w:type="dxa"/>
                    <w:left w:w="28" w:type="dxa"/>
                    <w:bottom w:w="0" w:type="dxa"/>
                    <w:right w:w="28" w:type="dxa"/>
                  </w:tcMar>
                  <w:vAlign w:val="center"/>
                </w:tcPr>
                <w:p w14:paraId="2E1820F0">
                  <w:pPr>
                    <w:adjustRightInd w:val="0"/>
                    <w:snapToGrid w:val="0"/>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进口</w:t>
                  </w:r>
                </w:p>
                <w:p w14:paraId="305201A7">
                  <w:pPr>
                    <w:adjustRightInd w:val="0"/>
                    <w:snapToGrid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标准</w:t>
                  </w:r>
                </w:p>
              </w:tc>
              <w:tc>
                <w:tcPr>
                  <w:tcW w:w="901" w:type="dxa"/>
                  <w:tcMar>
                    <w:top w:w="0" w:type="dxa"/>
                    <w:left w:w="28" w:type="dxa"/>
                    <w:bottom w:w="0" w:type="dxa"/>
                    <w:right w:w="28" w:type="dxa"/>
                  </w:tcMar>
                  <w:vAlign w:val="center"/>
                </w:tcPr>
                <w:p w14:paraId="7A0329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947" w:type="dxa"/>
                  <w:tcMar>
                    <w:top w:w="0" w:type="dxa"/>
                    <w:left w:w="28" w:type="dxa"/>
                    <w:bottom w:w="0" w:type="dxa"/>
                    <w:right w:w="28" w:type="dxa"/>
                  </w:tcMar>
                  <w:vAlign w:val="center"/>
                </w:tcPr>
                <w:p w14:paraId="7BD9FC2E">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450</w:t>
                  </w:r>
                </w:p>
              </w:tc>
              <w:tc>
                <w:tcPr>
                  <w:tcW w:w="947" w:type="dxa"/>
                  <w:tcMar>
                    <w:top w:w="0" w:type="dxa"/>
                    <w:left w:w="28" w:type="dxa"/>
                    <w:bottom w:w="0" w:type="dxa"/>
                    <w:right w:w="28" w:type="dxa"/>
                  </w:tcMar>
                  <w:vAlign w:val="center"/>
                </w:tcPr>
                <w:p w14:paraId="457E1CD5">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200</w:t>
                  </w:r>
                </w:p>
              </w:tc>
              <w:tc>
                <w:tcPr>
                  <w:tcW w:w="947" w:type="dxa"/>
                  <w:tcMar>
                    <w:top w:w="0" w:type="dxa"/>
                    <w:left w:w="28" w:type="dxa"/>
                    <w:bottom w:w="0" w:type="dxa"/>
                    <w:right w:w="28" w:type="dxa"/>
                  </w:tcMar>
                  <w:vAlign w:val="center"/>
                </w:tcPr>
                <w:p w14:paraId="73D07EA1">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200</w:t>
                  </w:r>
                </w:p>
              </w:tc>
              <w:tc>
                <w:tcPr>
                  <w:tcW w:w="947" w:type="dxa"/>
                  <w:tcMar>
                    <w:top w:w="0" w:type="dxa"/>
                    <w:left w:w="28" w:type="dxa"/>
                    <w:bottom w:w="0" w:type="dxa"/>
                    <w:right w:w="28" w:type="dxa"/>
                  </w:tcMar>
                  <w:vAlign w:val="center"/>
                </w:tcPr>
                <w:p w14:paraId="151F9F08">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40</w:t>
                  </w:r>
                </w:p>
              </w:tc>
              <w:tc>
                <w:tcPr>
                  <w:tcW w:w="947" w:type="dxa"/>
                  <w:tcMar>
                    <w:top w:w="0" w:type="dxa"/>
                    <w:left w:w="28" w:type="dxa"/>
                    <w:bottom w:w="0" w:type="dxa"/>
                    <w:right w:w="28" w:type="dxa"/>
                  </w:tcMar>
                  <w:vAlign w:val="center"/>
                </w:tcPr>
                <w:p w14:paraId="336ECD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952" w:type="dxa"/>
                  <w:tcMar>
                    <w:top w:w="0" w:type="dxa"/>
                    <w:left w:w="28" w:type="dxa"/>
                    <w:bottom w:w="0" w:type="dxa"/>
                    <w:right w:w="28" w:type="dxa"/>
                  </w:tcMar>
                  <w:vAlign w:val="center"/>
                </w:tcPr>
                <w:p w14:paraId="6A1B14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4.5</w:t>
                  </w:r>
                </w:p>
              </w:tc>
            </w:tr>
            <w:tr w14:paraId="1162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8" w:type="dxa"/>
                  <w:vMerge w:val="continue"/>
                  <w:tcMar>
                    <w:top w:w="0" w:type="dxa"/>
                    <w:left w:w="28" w:type="dxa"/>
                    <w:bottom w:w="0" w:type="dxa"/>
                    <w:right w:w="28" w:type="dxa"/>
                  </w:tcMar>
                  <w:vAlign w:val="center"/>
                </w:tcPr>
                <w:p w14:paraId="458CD5EF">
                  <w:pPr>
                    <w:adjustRightInd w:val="0"/>
                    <w:snapToGrid w:val="0"/>
                    <w:jc w:val="center"/>
                    <w:rPr>
                      <w:rFonts w:hint="default"/>
                      <w:color w:val="000000" w:themeColor="text1"/>
                      <w:sz w:val="21"/>
                      <w:szCs w:val="21"/>
                      <w:lang w:val="en-US" w:eastAsia="zh-CN"/>
                      <w14:textFill>
                        <w14:solidFill>
                          <w14:schemeClr w14:val="tx1"/>
                        </w14:solidFill>
                      </w14:textFill>
                    </w:rPr>
                  </w:pPr>
                </w:p>
              </w:tc>
              <w:tc>
                <w:tcPr>
                  <w:tcW w:w="881" w:type="dxa"/>
                  <w:tcMar>
                    <w:top w:w="0" w:type="dxa"/>
                    <w:left w:w="28" w:type="dxa"/>
                    <w:bottom w:w="0" w:type="dxa"/>
                    <w:right w:w="28" w:type="dxa"/>
                  </w:tcMar>
                  <w:vAlign w:val="center"/>
                </w:tcPr>
                <w:p w14:paraId="4CBAF140">
                  <w:pPr>
                    <w:adjustRightInd w:val="0"/>
                    <w:snapToGrid w:val="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出口</w:t>
                  </w:r>
                </w:p>
                <w:p w14:paraId="745FA757">
                  <w:pPr>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标准</w:t>
                  </w:r>
                </w:p>
              </w:tc>
              <w:tc>
                <w:tcPr>
                  <w:tcW w:w="901" w:type="dxa"/>
                  <w:tcMar>
                    <w:top w:w="0" w:type="dxa"/>
                    <w:left w:w="28" w:type="dxa"/>
                    <w:bottom w:w="0" w:type="dxa"/>
                    <w:right w:w="28" w:type="dxa"/>
                  </w:tcMar>
                  <w:vAlign w:val="center"/>
                </w:tcPr>
                <w:p w14:paraId="68ADD4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947" w:type="dxa"/>
                  <w:tcMar>
                    <w:top w:w="0" w:type="dxa"/>
                    <w:left w:w="28" w:type="dxa"/>
                    <w:bottom w:w="0" w:type="dxa"/>
                    <w:right w:w="28" w:type="dxa"/>
                  </w:tcMar>
                  <w:vAlign w:val="center"/>
                </w:tcPr>
                <w:p w14:paraId="4E7308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50</w:t>
                  </w:r>
                </w:p>
              </w:tc>
              <w:tc>
                <w:tcPr>
                  <w:tcW w:w="947" w:type="dxa"/>
                  <w:tcMar>
                    <w:top w:w="0" w:type="dxa"/>
                    <w:left w:w="28" w:type="dxa"/>
                    <w:bottom w:w="0" w:type="dxa"/>
                    <w:right w:w="28" w:type="dxa"/>
                  </w:tcMar>
                  <w:vAlign w:val="center"/>
                </w:tcPr>
                <w:p w14:paraId="607A26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w:t>
                  </w:r>
                </w:p>
              </w:tc>
              <w:tc>
                <w:tcPr>
                  <w:tcW w:w="947" w:type="dxa"/>
                  <w:tcMar>
                    <w:top w:w="0" w:type="dxa"/>
                    <w:left w:w="28" w:type="dxa"/>
                    <w:bottom w:w="0" w:type="dxa"/>
                    <w:right w:w="28" w:type="dxa"/>
                  </w:tcMar>
                  <w:vAlign w:val="center"/>
                </w:tcPr>
                <w:p w14:paraId="140D43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w:t>
                  </w:r>
                </w:p>
              </w:tc>
              <w:tc>
                <w:tcPr>
                  <w:tcW w:w="947" w:type="dxa"/>
                  <w:tcMar>
                    <w:top w:w="0" w:type="dxa"/>
                    <w:left w:w="28" w:type="dxa"/>
                    <w:bottom w:w="0" w:type="dxa"/>
                    <w:right w:w="28" w:type="dxa"/>
                  </w:tcMar>
                  <w:vAlign w:val="center"/>
                </w:tcPr>
                <w:p w14:paraId="14EF42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w:t>
                  </w:r>
                </w:p>
              </w:tc>
              <w:tc>
                <w:tcPr>
                  <w:tcW w:w="947" w:type="dxa"/>
                  <w:tcMar>
                    <w:top w:w="0" w:type="dxa"/>
                    <w:left w:w="28" w:type="dxa"/>
                    <w:bottom w:w="0" w:type="dxa"/>
                    <w:right w:w="28" w:type="dxa"/>
                  </w:tcMar>
                  <w:vAlign w:val="center"/>
                </w:tcPr>
                <w:p w14:paraId="5057E4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952" w:type="dxa"/>
                  <w:tcMar>
                    <w:top w:w="0" w:type="dxa"/>
                    <w:left w:w="28" w:type="dxa"/>
                    <w:bottom w:w="0" w:type="dxa"/>
                    <w:right w:w="28" w:type="dxa"/>
                  </w:tcMar>
                  <w:vAlign w:val="center"/>
                </w:tcPr>
                <w:p w14:paraId="442A1F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0.5</w:t>
                  </w:r>
                </w:p>
              </w:tc>
            </w:tr>
            <w:tr w14:paraId="7581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80" w:type="dxa"/>
                  <w:gridSpan w:val="3"/>
                  <w:tcMar>
                    <w:top w:w="0" w:type="dxa"/>
                    <w:left w:w="28" w:type="dxa"/>
                    <w:bottom w:w="0" w:type="dxa"/>
                    <w:right w:w="28" w:type="dxa"/>
                  </w:tcMar>
                  <w:vAlign w:val="center"/>
                </w:tcPr>
                <w:p w14:paraId="7F22C2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是否达标</w:t>
                  </w:r>
                </w:p>
              </w:tc>
              <w:tc>
                <w:tcPr>
                  <w:tcW w:w="947" w:type="dxa"/>
                  <w:tcMar>
                    <w:top w:w="0" w:type="dxa"/>
                    <w:left w:w="28" w:type="dxa"/>
                    <w:bottom w:w="0" w:type="dxa"/>
                    <w:right w:w="28" w:type="dxa"/>
                  </w:tcMar>
                  <w:vAlign w:val="center"/>
                </w:tcPr>
                <w:p w14:paraId="7392F2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达标</w:t>
                  </w:r>
                </w:p>
              </w:tc>
              <w:tc>
                <w:tcPr>
                  <w:tcW w:w="947" w:type="dxa"/>
                  <w:tcMar>
                    <w:top w:w="0" w:type="dxa"/>
                    <w:left w:w="28" w:type="dxa"/>
                    <w:bottom w:w="0" w:type="dxa"/>
                    <w:right w:w="28" w:type="dxa"/>
                  </w:tcMar>
                  <w:vAlign w:val="center"/>
                </w:tcPr>
                <w:p w14:paraId="032BFB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达标</w:t>
                  </w:r>
                </w:p>
              </w:tc>
              <w:tc>
                <w:tcPr>
                  <w:tcW w:w="947" w:type="dxa"/>
                  <w:tcMar>
                    <w:top w:w="0" w:type="dxa"/>
                    <w:left w:w="28" w:type="dxa"/>
                    <w:bottom w:w="0" w:type="dxa"/>
                    <w:right w:w="28" w:type="dxa"/>
                  </w:tcMar>
                  <w:vAlign w:val="center"/>
                </w:tcPr>
                <w:p w14:paraId="45EFB4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达标</w:t>
                  </w:r>
                </w:p>
              </w:tc>
              <w:tc>
                <w:tcPr>
                  <w:tcW w:w="947" w:type="dxa"/>
                  <w:tcMar>
                    <w:top w:w="0" w:type="dxa"/>
                    <w:left w:w="28" w:type="dxa"/>
                    <w:bottom w:w="0" w:type="dxa"/>
                    <w:right w:w="28" w:type="dxa"/>
                  </w:tcMar>
                  <w:vAlign w:val="center"/>
                </w:tcPr>
                <w:p w14:paraId="43DCC6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达标</w:t>
                  </w:r>
                </w:p>
              </w:tc>
              <w:tc>
                <w:tcPr>
                  <w:tcW w:w="947" w:type="dxa"/>
                  <w:tcMar>
                    <w:top w:w="0" w:type="dxa"/>
                    <w:left w:w="28" w:type="dxa"/>
                    <w:bottom w:w="0" w:type="dxa"/>
                    <w:right w:w="28" w:type="dxa"/>
                  </w:tcMar>
                  <w:vAlign w:val="center"/>
                </w:tcPr>
                <w:p w14:paraId="09C110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达标</w:t>
                  </w:r>
                </w:p>
              </w:tc>
              <w:tc>
                <w:tcPr>
                  <w:tcW w:w="952" w:type="dxa"/>
                  <w:tcMar>
                    <w:top w:w="0" w:type="dxa"/>
                    <w:left w:w="28" w:type="dxa"/>
                    <w:bottom w:w="0" w:type="dxa"/>
                    <w:right w:w="28" w:type="dxa"/>
                  </w:tcMar>
                  <w:vAlign w:val="center"/>
                </w:tcPr>
                <w:p w14:paraId="017C6D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达标</w:t>
                  </w:r>
                </w:p>
              </w:tc>
            </w:tr>
          </w:tbl>
          <w:p w14:paraId="3B0DDEC4">
            <w:pPr>
              <w:keepNext w:val="0"/>
              <w:keepLines w:val="0"/>
              <w:pageBreakBefore w:val="0"/>
              <w:widowControl w:val="0"/>
              <w:kinsoku/>
              <w:wordWrap/>
              <w:overflowPunct/>
              <w:topLinePunct w:val="0"/>
              <w:autoSpaceDE/>
              <w:autoSpaceDN/>
              <w:bidi w:val="0"/>
              <w:adjustRightInd w:val="0"/>
              <w:snapToGrid w:val="0"/>
              <w:spacing w:line="240" w:lineRule="auto"/>
              <w:ind w:firstLine="470" w:firstLineChars="196"/>
              <w:textAlignment w:val="auto"/>
              <w:rPr>
                <w:rFonts w:hint="eastAsia"/>
                <w:color w:val="000000" w:themeColor="text1"/>
                <w:sz w:val="24"/>
                <w:szCs w:val="24"/>
                <w:lang w:val="en-US" w:eastAsia="zh-CN"/>
                <w14:textFill>
                  <w14:solidFill>
                    <w14:schemeClr w14:val="tx1"/>
                  </w14:solidFill>
                </w14:textFill>
              </w:rPr>
            </w:pPr>
          </w:p>
          <w:p w14:paraId="2A0E0C76">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可见，项目废水处理后水质能够满足《中药类制药工业水污染物排放标准》（GB21906-2008）表2及集聚区污水处理厂接管标准后经过集聚区污水管网排入集聚区污水处理厂。</w:t>
            </w:r>
          </w:p>
          <w:p w14:paraId="4D572256">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根据废水水量及排放浓度可核算出废水中COD、氨氮、总磷的排放量，如下：</w:t>
            </w:r>
          </w:p>
          <w:p w14:paraId="0E2255CA">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厂污水处理站出口：COD 8.056t/a、氨氮0.51t/a、总磷0.0362t/a；</w:t>
            </w:r>
          </w:p>
          <w:p w14:paraId="5099B137">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集聚区污水处理厂出口：COD 5.385t/a、氨氮0.394t/a、总磷0.0362t/a。</w:t>
            </w:r>
          </w:p>
          <w:p w14:paraId="0D2752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项目废水</w:t>
            </w:r>
            <w:r>
              <w:rPr>
                <w:rFonts w:hint="eastAsia" w:cs="Times New Roman"/>
                <w:color w:val="000000" w:themeColor="text1"/>
                <w:sz w:val="24"/>
                <w:szCs w:val="24"/>
                <w:lang w:val="en-US" w:eastAsia="zh-CN"/>
                <w14:textFill>
                  <w14:solidFill>
                    <w14:schemeClr w14:val="tx1"/>
                  </w14:solidFill>
                </w14:textFill>
              </w:rPr>
              <w:t>监测要求</w:t>
            </w:r>
          </w:p>
          <w:p w14:paraId="54CC8697">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依据《排污单位自行监测技术指南 中药、生物药品制品、化学药品制剂制造业》（HJ 1256—2022）中废水自行监测管理要求，如下：</w:t>
            </w:r>
          </w:p>
          <w:p w14:paraId="4288FF07">
            <w:pPr>
              <w:keepNext w:val="0"/>
              <w:keepLines w:val="0"/>
              <w:pageBreakBefore w:val="0"/>
              <w:widowControl w:val="0"/>
              <w:kinsoku/>
              <w:wordWrap/>
              <w:overflowPunct/>
              <w:topLinePunct w:val="0"/>
              <w:autoSpaceDE/>
              <w:autoSpaceDN/>
              <w:bidi w:val="0"/>
              <w:adjustRightInd w:val="0"/>
              <w:snapToGrid w:val="0"/>
              <w:spacing w:line="240" w:lineRule="auto"/>
              <w:ind w:firstLine="1920" w:firstLineChars="800"/>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表34   废水自行监测计划一览表</w:t>
            </w:r>
          </w:p>
          <w:tbl>
            <w:tblPr>
              <w:tblStyle w:val="26"/>
              <w:tblW w:w="7978" w:type="dxa"/>
              <w:tblInd w:w="-6"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51" w:type="dxa"/>
                <w:bottom w:w="0" w:type="dxa"/>
                <w:right w:w="51" w:type="dxa"/>
              </w:tblCellMar>
            </w:tblPr>
            <w:tblGrid>
              <w:gridCol w:w="1155"/>
              <w:gridCol w:w="1005"/>
              <w:gridCol w:w="1365"/>
              <w:gridCol w:w="1215"/>
              <w:gridCol w:w="2220"/>
              <w:gridCol w:w="1018"/>
            </w:tblGrid>
            <w:tr w14:paraId="61F9F1A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397" w:hRule="atLeast"/>
                <w:tblHeader/>
              </w:trPr>
              <w:tc>
                <w:tcPr>
                  <w:tcW w:w="723" w:type="pct"/>
                  <w:vMerge w:val="restart"/>
                  <w:tcBorders>
                    <w:tl2br w:val="nil"/>
                    <w:tr2bl w:val="nil"/>
                  </w:tcBorders>
                  <w:noWrap w:val="0"/>
                  <w:vAlign w:val="center"/>
                </w:tcPr>
                <w:p w14:paraId="649812EC">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排放口名称及编号</w:t>
                  </w:r>
                </w:p>
              </w:tc>
              <w:tc>
                <w:tcPr>
                  <w:tcW w:w="629" w:type="pct"/>
                  <w:vMerge w:val="restart"/>
                  <w:tcBorders>
                    <w:tl2br w:val="nil"/>
                    <w:tr2bl w:val="nil"/>
                  </w:tcBorders>
                  <w:noWrap w:val="0"/>
                  <w:vAlign w:val="center"/>
                </w:tcPr>
                <w:p w14:paraId="4D738963">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类型</w:t>
                  </w:r>
                </w:p>
              </w:tc>
              <w:tc>
                <w:tcPr>
                  <w:tcW w:w="1616" w:type="pct"/>
                  <w:gridSpan w:val="2"/>
                  <w:tcBorders>
                    <w:tl2br w:val="nil"/>
                    <w:tr2bl w:val="nil"/>
                  </w:tcBorders>
                  <w:noWrap w:val="0"/>
                  <w:vAlign w:val="center"/>
                </w:tcPr>
                <w:p w14:paraId="2E97C95D">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地理坐标</w:t>
                  </w:r>
                </w:p>
              </w:tc>
              <w:tc>
                <w:tcPr>
                  <w:tcW w:w="1391" w:type="pct"/>
                  <w:vMerge w:val="restart"/>
                  <w:tcBorders>
                    <w:tl2br w:val="nil"/>
                    <w:tr2bl w:val="nil"/>
                  </w:tcBorders>
                  <w:noWrap w:val="0"/>
                  <w:vAlign w:val="center"/>
                </w:tcPr>
                <w:p w14:paraId="67A88D55">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监测因子</w:t>
                  </w:r>
                </w:p>
              </w:tc>
              <w:tc>
                <w:tcPr>
                  <w:tcW w:w="638" w:type="pct"/>
                  <w:vMerge w:val="restart"/>
                  <w:tcBorders>
                    <w:tl2br w:val="nil"/>
                    <w:tr2bl w:val="nil"/>
                  </w:tcBorders>
                  <w:noWrap w:val="0"/>
                  <w:vAlign w:val="center"/>
                </w:tcPr>
                <w:p w14:paraId="1A381135">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监测频次</w:t>
                  </w:r>
                </w:p>
              </w:tc>
            </w:tr>
            <w:tr w14:paraId="4D4815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397" w:hRule="atLeast"/>
                <w:tblHeader/>
              </w:trPr>
              <w:tc>
                <w:tcPr>
                  <w:tcW w:w="723" w:type="pct"/>
                  <w:vMerge w:val="continue"/>
                  <w:tcBorders>
                    <w:tl2br w:val="nil"/>
                    <w:tr2bl w:val="nil"/>
                  </w:tcBorders>
                  <w:noWrap w:val="0"/>
                  <w:vAlign w:val="center"/>
                </w:tcPr>
                <w:p w14:paraId="193C7D80">
                  <w:pPr>
                    <w:widowControl/>
                    <w:jc w:val="center"/>
                    <w:rPr>
                      <w:rFonts w:hint="eastAsia"/>
                      <w:color w:val="000000" w:themeColor="text1"/>
                      <w:kern w:val="0"/>
                      <w:szCs w:val="21"/>
                      <w:lang w:val="en-US" w:eastAsia="zh-CN"/>
                      <w14:textFill>
                        <w14:solidFill>
                          <w14:schemeClr w14:val="tx1"/>
                        </w14:solidFill>
                      </w14:textFill>
                    </w:rPr>
                  </w:pPr>
                </w:p>
              </w:tc>
              <w:tc>
                <w:tcPr>
                  <w:tcW w:w="629" w:type="pct"/>
                  <w:vMerge w:val="continue"/>
                  <w:tcBorders>
                    <w:tl2br w:val="nil"/>
                    <w:tr2bl w:val="nil"/>
                  </w:tcBorders>
                  <w:noWrap w:val="0"/>
                  <w:vAlign w:val="center"/>
                </w:tcPr>
                <w:p w14:paraId="77739D66">
                  <w:pPr>
                    <w:widowControl/>
                    <w:jc w:val="center"/>
                    <w:rPr>
                      <w:rFonts w:hint="eastAsia"/>
                      <w:color w:val="000000" w:themeColor="text1"/>
                      <w:kern w:val="0"/>
                      <w:szCs w:val="21"/>
                      <w:lang w:val="en-US" w:eastAsia="zh-CN"/>
                      <w14:textFill>
                        <w14:solidFill>
                          <w14:schemeClr w14:val="tx1"/>
                        </w14:solidFill>
                      </w14:textFill>
                    </w:rPr>
                  </w:pPr>
                </w:p>
              </w:tc>
              <w:tc>
                <w:tcPr>
                  <w:tcW w:w="855" w:type="pct"/>
                  <w:tcBorders>
                    <w:tl2br w:val="nil"/>
                    <w:tr2bl w:val="nil"/>
                  </w:tcBorders>
                  <w:noWrap w:val="0"/>
                  <w:vAlign w:val="center"/>
                </w:tcPr>
                <w:p w14:paraId="40472E42">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经度</w:t>
                  </w:r>
                </w:p>
              </w:tc>
              <w:tc>
                <w:tcPr>
                  <w:tcW w:w="761" w:type="pct"/>
                  <w:tcBorders>
                    <w:tl2br w:val="nil"/>
                    <w:tr2bl w:val="nil"/>
                  </w:tcBorders>
                  <w:noWrap w:val="0"/>
                  <w:vAlign w:val="center"/>
                </w:tcPr>
                <w:p w14:paraId="116257A0">
                  <w:pPr>
                    <w:widowControl/>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纬度</w:t>
                  </w:r>
                </w:p>
              </w:tc>
              <w:tc>
                <w:tcPr>
                  <w:tcW w:w="1391" w:type="pct"/>
                  <w:vMerge w:val="continue"/>
                  <w:tcBorders>
                    <w:tl2br w:val="nil"/>
                    <w:tr2bl w:val="nil"/>
                  </w:tcBorders>
                  <w:noWrap w:val="0"/>
                  <w:vAlign w:val="center"/>
                </w:tcPr>
                <w:p w14:paraId="7E97CBAF">
                  <w:pPr>
                    <w:widowControl/>
                    <w:jc w:val="center"/>
                    <w:rPr>
                      <w:rFonts w:hint="eastAsia" w:cs="Times New Roman"/>
                      <w:color w:val="000000" w:themeColor="text1"/>
                      <w:kern w:val="0"/>
                      <w:sz w:val="21"/>
                      <w:szCs w:val="21"/>
                      <w:lang w:val="en-US" w:eastAsia="zh-CN" w:bidi="ar-SA"/>
                      <w14:textFill>
                        <w14:solidFill>
                          <w14:schemeClr w14:val="tx1"/>
                        </w14:solidFill>
                      </w14:textFill>
                    </w:rPr>
                  </w:pPr>
                </w:p>
              </w:tc>
              <w:tc>
                <w:tcPr>
                  <w:tcW w:w="638" w:type="pct"/>
                  <w:vMerge w:val="continue"/>
                  <w:tcBorders>
                    <w:tl2br w:val="nil"/>
                    <w:tr2bl w:val="nil"/>
                  </w:tcBorders>
                  <w:noWrap w:val="0"/>
                  <w:vAlign w:val="center"/>
                </w:tcPr>
                <w:p w14:paraId="18627ABE">
                  <w:pPr>
                    <w:widowControl/>
                    <w:jc w:val="center"/>
                    <w:rPr>
                      <w:rFonts w:hint="eastAsia"/>
                      <w:color w:val="000000" w:themeColor="text1"/>
                      <w:kern w:val="0"/>
                      <w:szCs w:val="21"/>
                      <w:lang w:val="en-US" w:eastAsia="zh-CN"/>
                      <w14:textFill>
                        <w14:solidFill>
                          <w14:schemeClr w14:val="tx1"/>
                        </w14:solidFill>
                      </w14:textFill>
                    </w:rPr>
                  </w:pPr>
                </w:p>
              </w:tc>
            </w:tr>
            <w:tr w14:paraId="4991448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397" w:hRule="atLeast"/>
              </w:trPr>
              <w:tc>
                <w:tcPr>
                  <w:tcW w:w="723" w:type="pct"/>
                  <w:vMerge w:val="restart"/>
                  <w:tcBorders>
                    <w:tl2br w:val="nil"/>
                    <w:tr2bl w:val="nil"/>
                  </w:tcBorders>
                  <w:noWrap w:val="0"/>
                  <w:vAlign w:val="center"/>
                </w:tcPr>
                <w:p w14:paraId="3A3097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厂生产、生活废水</w:t>
                  </w:r>
                  <w:r>
                    <w:rPr>
                      <w:rFonts w:hint="eastAsia"/>
                      <w:color w:val="000000" w:themeColor="text1"/>
                      <w:kern w:val="0"/>
                      <w:szCs w:val="21"/>
                      <w:lang w:val="en-US" w:eastAsia="zh-CN"/>
                      <w14:textFill>
                        <w14:solidFill>
                          <w14:schemeClr w14:val="tx1"/>
                        </w14:solidFill>
                      </w14:textFill>
                    </w:rPr>
                    <w:t>DW002</w:t>
                  </w:r>
                </w:p>
              </w:tc>
              <w:tc>
                <w:tcPr>
                  <w:tcW w:w="629" w:type="pct"/>
                  <w:vMerge w:val="restart"/>
                  <w:tcBorders>
                    <w:tl2br w:val="nil"/>
                    <w:tr2bl w:val="nil"/>
                  </w:tcBorders>
                  <w:noWrap w:val="0"/>
                  <w:vAlign w:val="center"/>
                </w:tcPr>
                <w:p w14:paraId="78B52934">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废水总排放口</w:t>
                  </w:r>
                </w:p>
              </w:tc>
              <w:tc>
                <w:tcPr>
                  <w:tcW w:w="855" w:type="pct"/>
                  <w:vMerge w:val="restart"/>
                  <w:tcBorders>
                    <w:tl2br w:val="nil"/>
                    <w:tr2bl w:val="nil"/>
                  </w:tcBorders>
                  <w:noWrap w:val="0"/>
                  <w:vAlign w:val="center"/>
                </w:tcPr>
                <w:p w14:paraId="14BAD6C0">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114.406267°</w:t>
                  </w:r>
                </w:p>
              </w:tc>
              <w:tc>
                <w:tcPr>
                  <w:tcW w:w="761" w:type="pct"/>
                  <w:vMerge w:val="restart"/>
                  <w:tcBorders>
                    <w:tl2br w:val="nil"/>
                    <w:tr2bl w:val="nil"/>
                  </w:tcBorders>
                  <w:noWrap w:val="0"/>
                  <w:vAlign w:val="center"/>
                </w:tcPr>
                <w:p w14:paraId="62E2C79F">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35.894759°</w:t>
                  </w:r>
                </w:p>
              </w:tc>
              <w:tc>
                <w:tcPr>
                  <w:tcW w:w="1391" w:type="pct"/>
                  <w:tcBorders>
                    <w:tl2br w:val="nil"/>
                    <w:tr2bl w:val="nil"/>
                  </w:tcBorders>
                  <w:noWrap w:val="0"/>
                  <w:vAlign w:val="center"/>
                </w:tcPr>
                <w:p w14:paraId="64F99522">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流量、pH、COD、氨氮、总磷、总氮、BOD</w:t>
                  </w:r>
                  <w:r>
                    <w:rPr>
                      <w:rFonts w:hint="eastAsia" w:cs="Times New Roman"/>
                      <w:color w:val="000000" w:themeColor="text1"/>
                      <w:kern w:val="0"/>
                      <w:sz w:val="21"/>
                      <w:szCs w:val="21"/>
                      <w:vertAlign w:val="subscript"/>
                      <w:lang w:val="en-US" w:eastAsia="zh-CN" w:bidi="ar-SA"/>
                      <w14:textFill>
                        <w14:solidFill>
                          <w14:schemeClr w14:val="tx1"/>
                        </w14:solidFill>
                      </w14:textFill>
                    </w:rPr>
                    <w:t>5</w:t>
                  </w:r>
                  <w:r>
                    <w:rPr>
                      <w:rFonts w:hint="eastAsia" w:cs="Times New Roman"/>
                      <w:color w:val="000000" w:themeColor="text1"/>
                      <w:kern w:val="0"/>
                      <w:sz w:val="21"/>
                      <w:szCs w:val="21"/>
                      <w:lang w:val="en-US" w:eastAsia="zh-CN" w:bidi="ar-SA"/>
                      <w14:textFill>
                        <w14:solidFill>
                          <w14:schemeClr w14:val="tx1"/>
                        </w14:solidFill>
                      </w14:textFill>
                    </w:rPr>
                    <w:t>、SS、总氰化物、急性毒性</w:t>
                  </w:r>
                </w:p>
              </w:tc>
              <w:tc>
                <w:tcPr>
                  <w:tcW w:w="638" w:type="pct"/>
                  <w:tcBorders>
                    <w:tl2br w:val="nil"/>
                    <w:tr2bl w:val="nil"/>
                  </w:tcBorders>
                  <w:noWrap w:val="0"/>
                  <w:vAlign w:val="center"/>
                </w:tcPr>
                <w:p w14:paraId="028D7FB2">
                  <w:pPr>
                    <w:widowControl/>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1次/半年</w:t>
                  </w:r>
                </w:p>
              </w:tc>
            </w:tr>
            <w:tr w14:paraId="354E8B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397" w:hRule="atLeast"/>
              </w:trPr>
              <w:tc>
                <w:tcPr>
                  <w:tcW w:w="723" w:type="pct"/>
                  <w:vMerge w:val="continue"/>
                  <w:tcBorders>
                    <w:tl2br w:val="nil"/>
                    <w:tr2bl w:val="nil"/>
                  </w:tcBorders>
                  <w:noWrap w:val="0"/>
                  <w:vAlign w:val="center"/>
                </w:tcPr>
                <w:p w14:paraId="51A492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000000" w:themeColor="text1"/>
                      <w:szCs w:val="21"/>
                      <w:lang w:val="en-US" w:eastAsia="zh-CN"/>
                      <w14:textFill>
                        <w14:solidFill>
                          <w14:schemeClr w14:val="tx1"/>
                        </w14:solidFill>
                      </w14:textFill>
                    </w:rPr>
                  </w:pPr>
                </w:p>
              </w:tc>
              <w:tc>
                <w:tcPr>
                  <w:tcW w:w="629" w:type="pct"/>
                  <w:vMerge w:val="continue"/>
                  <w:tcBorders>
                    <w:tl2br w:val="nil"/>
                    <w:tr2bl w:val="nil"/>
                  </w:tcBorders>
                  <w:noWrap w:val="0"/>
                  <w:vAlign w:val="center"/>
                </w:tcPr>
                <w:p w14:paraId="2C0A395C">
                  <w:pPr>
                    <w:widowControl/>
                    <w:jc w:val="center"/>
                    <w:rPr>
                      <w:rFonts w:hint="eastAsia"/>
                      <w:color w:val="000000" w:themeColor="text1"/>
                      <w:kern w:val="0"/>
                      <w:szCs w:val="21"/>
                      <w:lang w:val="en-US" w:eastAsia="zh-CN"/>
                      <w14:textFill>
                        <w14:solidFill>
                          <w14:schemeClr w14:val="tx1"/>
                        </w14:solidFill>
                      </w14:textFill>
                    </w:rPr>
                  </w:pPr>
                </w:p>
              </w:tc>
              <w:tc>
                <w:tcPr>
                  <w:tcW w:w="855" w:type="pct"/>
                  <w:vMerge w:val="continue"/>
                  <w:tcBorders>
                    <w:tl2br w:val="nil"/>
                    <w:tr2bl w:val="nil"/>
                  </w:tcBorders>
                  <w:noWrap w:val="0"/>
                  <w:vAlign w:val="center"/>
                </w:tcPr>
                <w:p w14:paraId="55C8061C">
                  <w:pPr>
                    <w:widowControl/>
                    <w:jc w:val="center"/>
                    <w:rPr>
                      <w:rFonts w:hint="eastAsia"/>
                      <w:color w:val="000000" w:themeColor="text1"/>
                      <w:kern w:val="0"/>
                      <w:szCs w:val="21"/>
                      <w:lang w:val="en-US" w:eastAsia="zh-CN"/>
                      <w14:textFill>
                        <w14:solidFill>
                          <w14:schemeClr w14:val="tx1"/>
                        </w14:solidFill>
                      </w14:textFill>
                    </w:rPr>
                  </w:pPr>
                </w:p>
              </w:tc>
              <w:tc>
                <w:tcPr>
                  <w:tcW w:w="761" w:type="pct"/>
                  <w:vMerge w:val="continue"/>
                  <w:tcBorders>
                    <w:tl2br w:val="nil"/>
                    <w:tr2bl w:val="nil"/>
                  </w:tcBorders>
                  <w:noWrap w:val="0"/>
                  <w:vAlign w:val="center"/>
                </w:tcPr>
                <w:p w14:paraId="5CD9A8CB">
                  <w:pPr>
                    <w:widowControl/>
                    <w:jc w:val="center"/>
                    <w:rPr>
                      <w:rFonts w:hint="eastAsia"/>
                      <w:color w:val="000000" w:themeColor="text1"/>
                      <w:kern w:val="0"/>
                      <w:szCs w:val="21"/>
                      <w:lang w:val="en-US" w:eastAsia="zh-CN"/>
                      <w14:textFill>
                        <w14:solidFill>
                          <w14:schemeClr w14:val="tx1"/>
                        </w14:solidFill>
                      </w14:textFill>
                    </w:rPr>
                  </w:pPr>
                </w:p>
              </w:tc>
              <w:tc>
                <w:tcPr>
                  <w:tcW w:w="1391" w:type="pct"/>
                  <w:tcBorders>
                    <w:tl2br w:val="nil"/>
                    <w:tr2bl w:val="nil"/>
                  </w:tcBorders>
                  <w:noWrap w:val="0"/>
                  <w:vAlign w:val="center"/>
                </w:tcPr>
                <w:p w14:paraId="2DA27DBD">
                  <w:pPr>
                    <w:widowControl/>
                    <w:jc w:val="center"/>
                    <w:rPr>
                      <w:rFonts w:hint="default"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色度、总有机碳、动植物油</w:t>
                  </w:r>
                </w:p>
              </w:tc>
              <w:tc>
                <w:tcPr>
                  <w:tcW w:w="638" w:type="pct"/>
                  <w:tcBorders>
                    <w:tl2br w:val="nil"/>
                    <w:tr2bl w:val="nil"/>
                  </w:tcBorders>
                  <w:noWrap w:val="0"/>
                  <w:vAlign w:val="center"/>
                </w:tcPr>
                <w:p w14:paraId="04806600">
                  <w:pPr>
                    <w:widowControl/>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1次/年</w:t>
                  </w:r>
                </w:p>
              </w:tc>
            </w:tr>
          </w:tbl>
          <w:p w14:paraId="21372D5F">
            <w:pPr>
              <w:keepNext w:val="0"/>
              <w:keepLines w:val="0"/>
              <w:pageBreakBefore w:val="0"/>
              <w:widowControl/>
              <w:kinsoku/>
              <w:wordWrap/>
              <w:overflowPunct/>
              <w:topLinePunct w:val="0"/>
              <w:autoSpaceDE/>
              <w:autoSpaceDN/>
              <w:bidi w:val="0"/>
              <w:adjustRightInd w:val="0"/>
              <w:snapToGrid w:val="0"/>
              <w:spacing w:before="157" w:beforeLines="50" w:line="360" w:lineRule="auto"/>
              <w:ind w:firstLine="0" w:firstLineChars="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三</w:t>
            </w:r>
            <w:r>
              <w:rPr>
                <w:rFonts w:hint="default"/>
                <w:color w:val="000000" w:themeColor="text1"/>
                <w:sz w:val="24"/>
                <w:szCs w:val="24"/>
                <w:lang w:val="en-US" w:eastAsia="zh-CN"/>
                <w14:textFill>
                  <w14:solidFill>
                    <w14:schemeClr w14:val="tx1"/>
                  </w14:solidFill>
                </w14:textFill>
              </w:rPr>
              <w:t>、噪声</w:t>
            </w:r>
          </w:p>
          <w:p w14:paraId="0C45443E">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default"/>
                <w:color w:val="000000" w:themeColor="text1"/>
                <w:sz w:val="24"/>
                <w:szCs w:val="24"/>
                <w:lang w:val="en-US" w:eastAsia="zh-CN"/>
                <w14:textFill>
                  <w14:solidFill>
                    <w14:schemeClr w14:val="tx1"/>
                  </w14:solidFill>
                </w14:textFill>
              </w:rPr>
            </w:pPr>
            <w:r>
              <w:rPr>
                <w:rFonts w:hint="default"/>
                <w:color w:val="000000" w:themeColor="text1"/>
                <w:sz w:val="24"/>
                <w:szCs w:val="24"/>
                <w:lang w:val="en-US" w:eastAsia="zh-CN"/>
                <w14:textFill>
                  <w14:solidFill>
                    <w14:schemeClr w14:val="tx1"/>
                  </w14:solidFill>
                </w14:textFill>
              </w:rPr>
              <w:t>3.1</w:t>
            </w:r>
            <w:r>
              <w:rPr>
                <w:rFonts w:hint="eastAsia"/>
                <w:color w:val="000000" w:themeColor="text1"/>
                <w:sz w:val="24"/>
                <w:szCs w:val="24"/>
                <w:lang w:val="en-US" w:eastAsia="zh-CN"/>
                <w14:textFill>
                  <w14:solidFill>
                    <w14:schemeClr w14:val="tx1"/>
                  </w14:solidFill>
                </w14:textFill>
              </w:rPr>
              <w:t>预测模型</w:t>
            </w:r>
          </w:p>
          <w:p w14:paraId="67006F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000000" w:themeColor="text1"/>
                <w:sz w:val="24"/>
                <w:szCs w:val="24"/>
                <w:lang w:eastAsia="zh-CN"/>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根据项目建设内容及《环境影响评价技术导则—声环境》（HJ2.4-2021）的要求，项目环评采用的模型为《环境影响评价技术导则 声环境》</w:t>
            </w:r>
            <w:r>
              <w:rPr>
                <w:rFonts w:hint="eastAsia"/>
                <w:color w:val="000000" w:themeColor="text1"/>
                <w:sz w:val="24"/>
                <w:szCs w:val="24"/>
                <w:lang w:eastAsia="zh-CN"/>
                <w14:textFill>
                  <w14:solidFill>
                    <w14:schemeClr w14:val="tx1"/>
                  </w14:solidFill>
                </w14:textFill>
              </w:rPr>
              <w:t>（</w:t>
            </w:r>
            <w:r>
              <w:rPr>
                <w:rFonts w:hint="eastAsia" w:ascii="Times New Roman" w:hAnsi="Times New Roman" w:eastAsia="宋体"/>
                <w:color w:val="000000" w:themeColor="text1"/>
                <w:sz w:val="24"/>
                <w:szCs w:val="24"/>
                <w14:textFill>
                  <w14:solidFill>
                    <w14:schemeClr w14:val="tx1"/>
                  </w14:solidFill>
                </w14:textFill>
              </w:rPr>
              <w:t>HJ2.4</w:t>
            </w:r>
            <w:r>
              <w:rPr>
                <w:rFonts w:hint="eastAsia"/>
                <w:color w:val="000000" w:themeColor="text1"/>
                <w:sz w:val="24"/>
                <w:szCs w:val="24"/>
                <w:lang w:eastAsia="zh-CN"/>
                <w14:textFill>
                  <w14:solidFill>
                    <w14:schemeClr w14:val="tx1"/>
                  </w14:solidFill>
                </w14:textFill>
              </w:rPr>
              <w:t>—</w:t>
            </w:r>
            <w:r>
              <w:rPr>
                <w:rFonts w:hint="eastAsia" w:ascii="Times New Roman" w:hAnsi="Times New Roman" w:eastAsia="宋体"/>
                <w:color w:val="000000" w:themeColor="text1"/>
                <w:sz w:val="24"/>
                <w:szCs w:val="24"/>
                <w14:textFill>
                  <w14:solidFill>
                    <w14:schemeClr w14:val="tx1"/>
                  </w14:solidFill>
                </w14:textFill>
              </w:rPr>
              <w:t>2021</w:t>
            </w:r>
            <w:r>
              <w:rPr>
                <w:rFonts w:hint="eastAsia"/>
                <w:color w:val="000000" w:themeColor="text1"/>
                <w:sz w:val="24"/>
                <w:szCs w:val="24"/>
                <w:lang w:eastAsia="zh-CN"/>
                <w14:textFill>
                  <w14:solidFill>
                    <w14:schemeClr w14:val="tx1"/>
                  </w14:solidFill>
                </w14:textFill>
              </w:rPr>
              <w:t>）</w:t>
            </w:r>
            <w:r>
              <w:rPr>
                <w:rFonts w:hint="eastAsia" w:ascii="Times New Roman" w:hAnsi="Times New Roman" w:eastAsia="宋体"/>
                <w:color w:val="000000" w:themeColor="text1"/>
                <w:sz w:val="24"/>
                <w:szCs w:val="24"/>
                <w14:textFill>
                  <w14:solidFill>
                    <w14:schemeClr w14:val="tx1"/>
                  </w14:solidFill>
                </w14:textFill>
              </w:rPr>
              <w:t>附录A（规范性附录）户外声传播的衰减和附录B（规范性附录）中“B.1工业噪声预测计算模型”。</w:t>
            </w:r>
            <w:r>
              <w:rPr>
                <w:rFonts w:hint="eastAsia"/>
                <w:color w:val="000000" w:themeColor="text1"/>
                <w:sz w:val="24"/>
                <w:szCs w:val="24"/>
                <w:lang w:eastAsia="zh-CN"/>
                <w14:textFill>
                  <w14:solidFill>
                    <w14:schemeClr w14:val="tx1"/>
                  </w14:solidFill>
                </w14:textFill>
              </w:rPr>
              <w:t>声环境影响预测，一般采用声源的倍频带声功率级、A 声功率级或靠近声源某一位置的倍频带声压级、A 声级来预测计算距声源不同距离的声级。工业声源有室外和室内两种声源，应分别计算。</w:t>
            </w:r>
          </w:p>
          <w:p w14:paraId="0EFEE5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本评价选择点声源预测模式来模拟预测项目噪声源排放噪声随距离的衰减变化规律。噪声的衰减主要与声传播距离、空气吸收、阻挡物的反射与屏障等因素有关。从安全角度出发，本预测从各点源包络线开始，只考虑声传播距离这一主要因素，各噪声源可近似作为点声源处理，声源位于室内，室内声源可采用等效室外声源声功率级法进行计算。</w:t>
            </w:r>
          </w:p>
          <w:p w14:paraId="298AD3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（1）设靠近开口处（或窗户）室内、室外某倍频带的志压级分别为Lp1和Lp2。若声源所在室内声场为近似扩散声场，则室外的倍频带声压级可按下面公式近似求出：</w:t>
            </w:r>
          </w:p>
          <w:p w14:paraId="3B5F9F5C">
            <w:pPr>
              <w:keepNext w:val="0"/>
              <w:keepLines w:val="0"/>
              <w:pageBreakBefore w:val="0"/>
              <w:widowControl w:val="0"/>
              <w:kinsoku/>
              <w:wordWrap/>
              <w:overflowPunct/>
              <w:topLinePunct w:val="0"/>
              <w:autoSpaceDE/>
              <w:autoSpaceDN/>
              <w:bidi w:val="0"/>
              <w:adjustRightInd/>
              <w:snapToGrid w:val="0"/>
              <w:spacing w:line="520" w:lineRule="exact"/>
              <w:ind w:left="0" w:leftChars="0" w:firstLine="0" w:firstLineChars="0"/>
              <w:jc w:val="center"/>
              <w:textAlignment w:val="auto"/>
              <w:rPr>
                <w:color w:val="000000" w:themeColor="text1"/>
                <w:sz w:val="24"/>
                <w:szCs w:val="24"/>
                <w14:textFill>
                  <w14:solidFill>
                    <w14:schemeClr w14:val="tx1"/>
                  </w14:solidFill>
                </w14:textFill>
              </w:rPr>
            </w:pPr>
            <w:r>
              <w:rPr>
                <w:i/>
                <w:iCs/>
                <w:color w:val="000000" w:themeColor="text1"/>
                <w:sz w:val="24"/>
                <w:szCs w:val="24"/>
                <w:lang w:bidi="ar"/>
                <w14:textFill>
                  <w14:solidFill>
                    <w14:schemeClr w14:val="tx1"/>
                  </w14:solidFill>
                </w14:textFill>
              </w:rPr>
              <w:t>L</w:t>
            </w:r>
            <w:r>
              <w:rPr>
                <w:i/>
                <w:iCs/>
                <w:color w:val="000000" w:themeColor="text1"/>
                <w:position w:val="-5"/>
                <w:sz w:val="24"/>
                <w:szCs w:val="24"/>
                <w:vertAlign w:val="subscript"/>
                <w:lang w:bidi="ar"/>
                <w14:textFill>
                  <w14:solidFill>
                    <w14:schemeClr w14:val="tx1"/>
                  </w14:solidFill>
                </w14:textFill>
              </w:rPr>
              <w:t xml:space="preserve">P </w:t>
            </w:r>
            <w:r>
              <w:rPr>
                <w:color w:val="000000" w:themeColor="text1"/>
                <w:position w:val="-5"/>
                <w:sz w:val="24"/>
                <w:szCs w:val="24"/>
                <w:vertAlign w:val="subscript"/>
                <w:lang w:bidi="ar"/>
                <w14:textFill>
                  <w14:solidFill>
                    <w14:schemeClr w14:val="tx1"/>
                  </w14:solidFill>
                </w14:textFill>
              </w:rPr>
              <w:t>2</w:t>
            </w:r>
            <w:r>
              <w:rPr>
                <w:color w:val="000000" w:themeColor="text1"/>
                <w:position w:val="-5"/>
                <w:sz w:val="24"/>
                <w:szCs w:val="24"/>
                <w:lang w:bidi="ar"/>
                <w14:textFill>
                  <w14:solidFill>
                    <w14:schemeClr w14:val="tx1"/>
                  </w14:solidFill>
                </w14:textFill>
              </w:rPr>
              <w:t xml:space="preserve"> </w:t>
            </w:r>
            <w:r>
              <w:rPr>
                <w:rFonts w:ascii="Symbol" w:hAnsi="Symbol" w:cs="Symbol"/>
                <w:color w:val="000000" w:themeColor="text1"/>
                <w:sz w:val="24"/>
                <w:szCs w:val="24"/>
                <w:lang w:bidi="ar"/>
                <w14:textFill>
                  <w14:solidFill>
                    <w14:schemeClr w14:val="tx1"/>
                  </w14:solidFill>
                </w14:textFill>
              </w:rPr>
              <w:t></w:t>
            </w:r>
            <w:r>
              <w:rPr>
                <w:i/>
                <w:iCs/>
                <w:color w:val="000000" w:themeColor="text1"/>
                <w:sz w:val="24"/>
                <w:szCs w:val="24"/>
                <w:lang w:bidi="ar"/>
                <w14:textFill>
                  <w14:solidFill>
                    <w14:schemeClr w14:val="tx1"/>
                  </w14:solidFill>
                </w14:textFill>
              </w:rPr>
              <w:t>L</w:t>
            </w:r>
            <w:r>
              <w:rPr>
                <w:i/>
                <w:iCs/>
                <w:color w:val="000000" w:themeColor="text1"/>
                <w:position w:val="-5"/>
                <w:sz w:val="24"/>
                <w:szCs w:val="24"/>
                <w:vertAlign w:val="subscript"/>
                <w:lang w:bidi="ar"/>
                <w14:textFill>
                  <w14:solidFill>
                    <w14:schemeClr w14:val="tx1"/>
                  </w14:solidFill>
                </w14:textFill>
              </w:rPr>
              <w:t>P</w:t>
            </w:r>
            <w:r>
              <w:rPr>
                <w:color w:val="000000" w:themeColor="text1"/>
                <w:position w:val="-5"/>
                <w:sz w:val="24"/>
                <w:szCs w:val="24"/>
                <w:vertAlign w:val="subscript"/>
                <w:lang w:bidi="ar"/>
                <w14:textFill>
                  <w14:solidFill>
                    <w14:schemeClr w14:val="tx1"/>
                  </w14:solidFill>
                </w14:textFill>
              </w:rPr>
              <w:t>1</w:t>
            </w:r>
            <w:r>
              <w:rPr>
                <w:color w:val="000000" w:themeColor="text1"/>
                <w:position w:val="-5"/>
                <w:sz w:val="24"/>
                <w:szCs w:val="24"/>
                <w:lang w:bidi="ar"/>
                <w14:textFill>
                  <w14:solidFill>
                    <w14:schemeClr w14:val="tx1"/>
                  </w14:solidFill>
                </w14:textFill>
              </w:rPr>
              <w:t xml:space="preserve"> </w:t>
            </w:r>
            <w:r>
              <w:rPr>
                <w:rFonts w:ascii="Symbol" w:hAnsi="Symbol" w:cs="Symbol"/>
                <w:color w:val="000000" w:themeColor="text1"/>
                <w:sz w:val="24"/>
                <w:szCs w:val="24"/>
                <w:lang w:bidi="ar"/>
                <w14:textFill>
                  <w14:solidFill>
                    <w14:schemeClr w14:val="tx1"/>
                  </w14:solidFill>
                </w14:textFill>
              </w:rPr>
              <w:t></w:t>
            </w:r>
            <w:r>
              <w:rPr>
                <w:rFonts w:ascii="Symbol" w:hAnsi="Symbol" w:cs="Symbol"/>
                <w:color w:val="000000" w:themeColor="text1"/>
                <w:spacing w:val="-11"/>
                <w:sz w:val="24"/>
                <w:szCs w:val="24"/>
                <w:lang w:bidi="ar"/>
                <w14:textFill>
                  <w14:solidFill>
                    <w14:schemeClr w14:val="tx1"/>
                  </w14:solidFill>
                </w14:textFill>
              </w:rPr>
              <w:t></w:t>
            </w:r>
            <w:r>
              <w:rPr>
                <w:i/>
                <w:iCs/>
                <w:color w:val="000000" w:themeColor="text1"/>
                <w:spacing w:val="-11"/>
                <w:sz w:val="24"/>
                <w:szCs w:val="24"/>
                <w:lang w:bidi="ar"/>
                <w14:textFill>
                  <w14:solidFill>
                    <w14:schemeClr w14:val="tx1"/>
                  </w14:solidFill>
                </w14:textFill>
              </w:rPr>
              <w:t xml:space="preserve">TL </w:t>
            </w:r>
            <w:r>
              <w:rPr>
                <w:rFonts w:ascii="Symbol" w:hAnsi="Symbol" w:cs="Symbol"/>
                <w:color w:val="000000" w:themeColor="text1"/>
                <w:sz w:val="24"/>
                <w:szCs w:val="24"/>
                <w:lang w:bidi="ar"/>
                <w14:textFill>
                  <w14:solidFill>
                    <w14:schemeClr w14:val="tx1"/>
                  </w14:solidFill>
                </w14:textFill>
              </w:rPr>
              <w:t></w:t>
            </w:r>
            <w:r>
              <w:rPr>
                <w:rFonts w:ascii="Symbol" w:hAnsi="Symbol" w:cs="Symbol"/>
                <w:color w:val="000000" w:themeColor="text1"/>
                <w:spacing w:val="-42"/>
                <w:sz w:val="24"/>
                <w:szCs w:val="24"/>
                <w:lang w:bidi="ar"/>
                <w14:textFill>
                  <w14:solidFill>
                    <w14:schemeClr w14:val="tx1"/>
                  </w14:solidFill>
                </w14:textFill>
              </w:rPr>
              <w:t></w:t>
            </w:r>
            <w:r>
              <w:rPr>
                <w:color w:val="000000" w:themeColor="text1"/>
                <w:sz w:val="24"/>
                <w:szCs w:val="24"/>
                <w:lang w:bidi="ar"/>
                <w14:textFill>
                  <w14:solidFill>
                    <w14:schemeClr w14:val="tx1"/>
                  </w14:solidFill>
                </w14:textFill>
              </w:rPr>
              <w:t>6</w:t>
            </w:r>
            <w:r>
              <w:rPr>
                <w:rFonts w:ascii="Symbol" w:hAnsi="Symbol" w:cs="Symbol"/>
                <w:color w:val="000000" w:themeColor="text1"/>
                <w:sz w:val="24"/>
                <w:szCs w:val="24"/>
                <w:lang w:bidi="ar"/>
                <w14:textFill>
                  <w14:solidFill>
                    <w14:schemeClr w14:val="tx1"/>
                  </w14:solidFill>
                </w14:textFill>
              </w:rPr>
              <w:t></w:t>
            </w:r>
          </w:p>
          <w:p w14:paraId="6385D624">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式中：TL—隔墙（或窗户）倍频带的隔声量，dB（A）</w:t>
            </w:r>
          </w:p>
          <w:p w14:paraId="4C766CE9">
            <w:pPr>
              <w:keepNext w:val="0"/>
              <w:keepLines w:val="0"/>
              <w:pageBreakBefore w:val="0"/>
              <w:widowControl w:val="0"/>
              <w:kinsoku/>
              <w:wordWrap/>
              <w:overflowPunct/>
              <w:topLinePunct w:val="0"/>
              <w:autoSpaceDE/>
              <w:autoSpaceDN/>
              <w:bidi w:val="0"/>
              <w:adjustRightInd/>
              <w:snapToGrid/>
              <w:spacing w:before="157" w:beforeLines="50"/>
              <w:ind w:left="0" w:leftChars="0"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2671445" cy="1148080"/>
                  <wp:effectExtent l="0" t="0" r="14605" b="13970"/>
                  <wp:docPr id="2" name="图片 5" descr="C:\Users\zz\AppData\Local\Temp\ksohtml1760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C:\Users\zz\AppData\Local\Temp\ksohtml17608\wps3.png"/>
                          <pic:cNvPicPr>
                            <a:picLocks noChangeAspect="1"/>
                          </pic:cNvPicPr>
                        </pic:nvPicPr>
                        <pic:blipFill>
                          <a:blip r:embed="rId21"/>
                          <a:stretch>
                            <a:fillRect/>
                          </a:stretch>
                        </pic:blipFill>
                        <pic:spPr>
                          <a:xfrm>
                            <a:off x="0" y="0"/>
                            <a:ext cx="2671445" cy="1148080"/>
                          </a:xfrm>
                          <a:prstGeom prst="rect">
                            <a:avLst/>
                          </a:prstGeom>
                          <a:noFill/>
                          <a:ln>
                            <a:noFill/>
                          </a:ln>
                        </pic:spPr>
                      </pic:pic>
                    </a:graphicData>
                  </a:graphic>
                </wp:inline>
              </w:drawing>
            </w:r>
          </w:p>
          <w:p w14:paraId="433FA0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黑体" w:cs="Times New Roman"/>
                <w:b/>
                <w:bCs/>
                <w:color w:val="000000" w:themeColor="text1"/>
                <w:sz w:val="24"/>
                <w:szCs w:val="24"/>
                <w:lang w:val="en-US" w:eastAsia="zh-CN"/>
                <w14:textFill>
                  <w14:solidFill>
                    <w14:schemeClr w14:val="tx1"/>
                  </w14:solidFill>
                </w14:textFill>
              </w:rPr>
              <w:t>室内声源等效为室外声源图例</w:t>
            </w:r>
          </w:p>
          <w:p w14:paraId="76292BCB">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（2）按下面公式计算出所有室内声源在围护结构处产生的 i 倍频带叠加声压级：</w:t>
            </w:r>
          </w:p>
          <w:p w14:paraId="6FEB90CD">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imes New Roman" w:hAnsi="Times New Roman" w:eastAsia="宋体"/>
                <w:color w:val="000000" w:themeColor="text1"/>
                <w:sz w:val="24"/>
                <w:szCs w:val="24"/>
                <w14:textFill>
                  <w14:solidFill>
                    <w14:schemeClr w14:val="tx1"/>
                  </w14:solidFill>
                </w14:textFill>
              </w:rPr>
            </w:pPr>
            <w:r>
              <w:rPr>
                <w:color w:val="000000" w:themeColor="text1"/>
                <w:position w:val="-28"/>
                <w14:textFill>
                  <w14:solidFill>
                    <w14:schemeClr w14:val="tx1"/>
                  </w14:solidFill>
                </w14:textFill>
              </w:rPr>
              <w:object>
                <v:shape id="_x0000_i1025" o:spt="75" type="#_x0000_t75" style="height:38.85pt;width:121.05pt;" o:ole="t" filled="f" o:preferrelative="t" stroked="f" coordsize="21600,21600">
                  <v:path/>
                  <v:fill on="f" focussize="0,0"/>
                  <v:stroke on="f"/>
                  <v:imagedata r:id="rId23" o:title=""/>
                  <o:lock v:ext="edit" aspectratio="t"/>
                  <w10:wrap type="none"/>
                  <w10:anchorlock/>
                </v:shape>
                <o:OLEObject Type="Embed" ProgID="Equation.3" ShapeID="_x0000_i1025" DrawAspect="Content" ObjectID="_1468075725" r:id="rId22">
                  <o:LockedField>false</o:LockedField>
                </o:OLEObject>
              </w:object>
            </w:r>
          </w:p>
          <w:p w14:paraId="453D2425">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式中，L</w:t>
            </w:r>
            <w:r>
              <w:rPr>
                <w:rFonts w:hint="default" w:ascii="Times New Roman" w:hAnsi="Times New Roman" w:eastAsia="宋体" w:cs="Times New Roman"/>
                <w:color w:val="000000" w:themeColor="text1"/>
                <w:sz w:val="24"/>
                <w:szCs w:val="24"/>
                <w:vertAlign w:val="subscript"/>
                <w14:textFill>
                  <w14:solidFill>
                    <w14:schemeClr w14:val="tx1"/>
                  </w14:solidFill>
                </w14:textFill>
              </w:rPr>
              <w:t>eqg</w:t>
            </w:r>
            <w:r>
              <w:rPr>
                <w:rFonts w:hint="default" w:ascii="Times New Roman" w:hAnsi="Times New Roman" w:eastAsia="宋体" w:cs="Times New Roman"/>
                <w:color w:val="000000" w:themeColor="text1"/>
                <w:sz w:val="24"/>
                <w:szCs w:val="24"/>
                <w14:textFill>
                  <w14:solidFill>
                    <w14:schemeClr w14:val="tx1"/>
                  </w14:solidFill>
                </w14:textFill>
              </w:rPr>
              <w:t>－第i个声源对某预测点的等效声级；</w:t>
            </w:r>
          </w:p>
          <w:p w14:paraId="5C3FE2EC">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L</w:t>
            </w:r>
            <w:r>
              <w:rPr>
                <w:rFonts w:hint="default" w:ascii="Times New Roman" w:hAnsi="Times New Roman" w:eastAsia="宋体" w:cs="Times New Roman"/>
                <w:color w:val="000000" w:themeColor="text1"/>
                <w:sz w:val="24"/>
                <w:szCs w:val="24"/>
                <w:vertAlign w:val="subscript"/>
                <w14:textFill>
                  <w14:solidFill>
                    <w14:schemeClr w14:val="tx1"/>
                  </w14:solidFill>
                </w14:textFill>
              </w:rPr>
              <w:t>pi</w:t>
            </w:r>
            <w:r>
              <w:rPr>
                <w:rFonts w:hint="default" w:ascii="Times New Roman" w:hAnsi="Times New Roman" w:eastAsia="宋体" w:cs="Times New Roman"/>
                <w:color w:val="000000" w:themeColor="text1"/>
                <w:sz w:val="24"/>
                <w:szCs w:val="24"/>
                <w14:textFill>
                  <w14:solidFill>
                    <w14:schemeClr w14:val="tx1"/>
                  </w14:solidFill>
                </w14:textFill>
              </w:rPr>
              <w:t>，j—室内 j 声源 i 倍频带的声压级，dB；</w:t>
            </w:r>
          </w:p>
          <w:p w14:paraId="5E8E2FCE">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n—室内声源总数</w:t>
            </w:r>
          </w:p>
          <w:p w14:paraId="797B7D5E">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（3）在室内近似为扩散声场时，按下面公式计算出靠近室外围护结构处的声压级；</w:t>
            </w:r>
          </w:p>
          <w:p w14:paraId="091790D8">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1933" w:firstLine="454"/>
              <w:textAlignment w:val="auto"/>
              <w:rPr>
                <w:rFonts w:ascii="Symbol" w:hAnsi="Symbol" w:cs="Symbol"/>
                <w:color w:val="000000" w:themeColor="text1"/>
                <w:sz w:val="24"/>
                <w:szCs w:val="24"/>
                <w14:textFill>
                  <w14:solidFill>
                    <w14:schemeClr w14:val="tx1"/>
                  </w14:solidFill>
                </w14:textFill>
              </w:rPr>
            </w:pPr>
            <w:r>
              <w:rPr>
                <w:i/>
                <w:iCs/>
                <w:color w:val="000000" w:themeColor="text1"/>
                <w:spacing w:val="-6"/>
                <w:sz w:val="24"/>
                <w:szCs w:val="24"/>
                <w:lang w:bidi="ar"/>
                <w14:textFill>
                  <w14:solidFill>
                    <w14:schemeClr w14:val="tx1"/>
                  </w14:solidFill>
                </w14:textFill>
              </w:rPr>
              <w:t>L</w:t>
            </w:r>
            <w:r>
              <w:rPr>
                <w:i/>
                <w:iCs/>
                <w:color w:val="000000" w:themeColor="text1"/>
                <w:position w:val="-5"/>
                <w:sz w:val="24"/>
                <w:szCs w:val="24"/>
                <w:vertAlign w:val="subscript"/>
                <w:lang w:bidi="ar"/>
                <w14:textFill>
                  <w14:solidFill>
                    <w14:schemeClr w14:val="tx1"/>
                  </w14:solidFill>
                </w14:textFill>
              </w:rPr>
              <w:t>P</w:t>
            </w:r>
            <w:r>
              <w:rPr>
                <w:i/>
                <w:iCs/>
                <w:color w:val="000000" w:themeColor="text1"/>
                <w:spacing w:val="-23"/>
                <w:position w:val="-5"/>
                <w:sz w:val="24"/>
                <w:szCs w:val="24"/>
                <w:vertAlign w:val="subscript"/>
                <w:lang w:bidi="ar"/>
                <w14:textFill>
                  <w14:solidFill>
                    <w14:schemeClr w14:val="tx1"/>
                  </w14:solidFill>
                </w14:textFill>
              </w:rPr>
              <w:t xml:space="preserve"> </w:t>
            </w:r>
            <w:r>
              <w:rPr>
                <w:color w:val="000000" w:themeColor="text1"/>
                <w:spacing w:val="4"/>
                <w:position w:val="-5"/>
                <w:sz w:val="24"/>
                <w:szCs w:val="24"/>
                <w:vertAlign w:val="subscript"/>
                <w:lang w:bidi="ar"/>
                <w14:textFill>
                  <w14:solidFill>
                    <w14:schemeClr w14:val="tx1"/>
                  </w14:solidFill>
                </w14:textFill>
              </w:rPr>
              <w:t>2</w:t>
            </w:r>
            <w:r>
              <w:rPr>
                <w:i/>
                <w:iCs/>
                <w:color w:val="000000" w:themeColor="text1"/>
                <w:position w:val="-5"/>
                <w:sz w:val="24"/>
                <w:szCs w:val="24"/>
                <w:vertAlign w:val="subscript"/>
                <w:lang w:bidi="ar"/>
                <w14:textFill>
                  <w14:solidFill>
                    <w14:schemeClr w14:val="tx1"/>
                  </w14:solidFill>
                </w14:textFill>
              </w:rPr>
              <w:t>i</w:t>
            </w:r>
            <w:r>
              <w:rPr>
                <w:rFonts w:hint="eastAsia" w:cs="宋体"/>
                <w:color w:val="000000" w:themeColor="text1"/>
                <w:spacing w:val="-10"/>
                <w:sz w:val="24"/>
                <w:szCs w:val="24"/>
                <w:lang w:bidi="ar"/>
                <w14:textFill>
                  <w14:solidFill>
                    <w14:schemeClr w14:val="tx1"/>
                  </w14:solidFill>
                </w14:textFill>
              </w:rPr>
              <w:t>（</w:t>
            </w:r>
            <w:r>
              <w:rPr>
                <w:i/>
                <w:iCs/>
                <w:color w:val="000000" w:themeColor="text1"/>
                <w:sz w:val="24"/>
                <w:szCs w:val="24"/>
                <w:lang w:bidi="ar"/>
                <w14:textFill>
                  <w14:solidFill>
                    <w14:schemeClr w14:val="tx1"/>
                  </w14:solidFill>
                </w14:textFill>
              </w:rPr>
              <w:t>T</w:t>
            </w:r>
            <w:r>
              <w:rPr>
                <w:i/>
                <w:iCs/>
                <w:color w:val="000000" w:themeColor="text1"/>
                <w:spacing w:val="-32"/>
                <w:sz w:val="24"/>
                <w:szCs w:val="24"/>
                <w:lang w:bidi="ar"/>
                <w14:textFill>
                  <w14:solidFill>
                    <w14:schemeClr w14:val="tx1"/>
                  </w14:solidFill>
                </w14:textFill>
              </w:rPr>
              <w:t xml:space="preserve"> </w:t>
            </w:r>
            <w:r>
              <w:rPr>
                <w:rFonts w:hint="eastAsia" w:cs="宋体"/>
                <w:color w:val="000000" w:themeColor="text1"/>
                <w:sz w:val="24"/>
                <w:szCs w:val="24"/>
                <w:lang w:bidi="ar"/>
                <w14:textFill>
                  <w14:solidFill>
                    <w14:schemeClr w14:val="tx1"/>
                  </w14:solidFill>
                </w14:textFill>
              </w:rPr>
              <w:t>）</w:t>
            </w:r>
            <w:r>
              <w:rPr>
                <w:rFonts w:ascii="Symbol" w:hAnsi="Symbol" w:cs="Symbol"/>
                <w:color w:val="000000" w:themeColor="text1"/>
                <w:sz w:val="24"/>
                <w:szCs w:val="24"/>
                <w:lang w:bidi="ar"/>
                <w14:textFill>
                  <w14:solidFill>
                    <w14:schemeClr w14:val="tx1"/>
                  </w14:solidFill>
                </w14:textFill>
              </w:rPr>
              <w:t></w:t>
            </w:r>
            <w:r>
              <w:rPr>
                <w:color w:val="000000" w:themeColor="text1"/>
                <w:spacing w:val="5"/>
                <w:sz w:val="24"/>
                <w:szCs w:val="24"/>
                <w:lang w:bidi="ar"/>
                <w14:textFill>
                  <w14:solidFill>
                    <w14:schemeClr w14:val="tx1"/>
                  </w14:solidFill>
                </w14:textFill>
              </w:rPr>
              <w:t xml:space="preserve"> </w:t>
            </w:r>
            <w:r>
              <w:rPr>
                <w:i/>
                <w:iCs/>
                <w:color w:val="000000" w:themeColor="text1"/>
                <w:spacing w:val="-6"/>
                <w:sz w:val="24"/>
                <w:szCs w:val="24"/>
                <w:lang w:bidi="ar"/>
                <w14:textFill>
                  <w14:solidFill>
                    <w14:schemeClr w14:val="tx1"/>
                  </w14:solidFill>
                </w14:textFill>
              </w:rPr>
              <w:t>L</w:t>
            </w:r>
            <w:r>
              <w:rPr>
                <w:i/>
                <w:iCs/>
                <w:color w:val="000000" w:themeColor="text1"/>
                <w:spacing w:val="-3"/>
                <w:position w:val="-5"/>
                <w:sz w:val="24"/>
                <w:szCs w:val="24"/>
                <w:vertAlign w:val="subscript"/>
                <w:lang w:bidi="ar"/>
                <w14:textFill>
                  <w14:solidFill>
                    <w14:schemeClr w14:val="tx1"/>
                  </w14:solidFill>
                </w14:textFill>
              </w:rPr>
              <w:t>P</w:t>
            </w:r>
            <w:r>
              <w:rPr>
                <w:color w:val="000000" w:themeColor="text1"/>
                <w:spacing w:val="-7"/>
                <w:position w:val="-5"/>
                <w:sz w:val="24"/>
                <w:szCs w:val="24"/>
                <w:vertAlign w:val="subscript"/>
                <w:lang w:bidi="ar"/>
                <w14:textFill>
                  <w14:solidFill>
                    <w14:schemeClr w14:val="tx1"/>
                  </w14:solidFill>
                </w14:textFill>
              </w:rPr>
              <w:t>1</w:t>
            </w:r>
            <w:r>
              <w:rPr>
                <w:i/>
                <w:iCs/>
                <w:color w:val="000000" w:themeColor="text1"/>
                <w:position w:val="-5"/>
                <w:sz w:val="24"/>
                <w:szCs w:val="24"/>
                <w:vertAlign w:val="subscript"/>
                <w:lang w:bidi="ar"/>
                <w14:textFill>
                  <w14:solidFill>
                    <w14:schemeClr w14:val="tx1"/>
                  </w14:solidFill>
                </w14:textFill>
              </w:rPr>
              <w:t>i</w:t>
            </w:r>
            <w:r>
              <w:rPr>
                <w:rFonts w:hint="eastAsia" w:cs="宋体"/>
                <w:color w:val="000000" w:themeColor="text1"/>
                <w:spacing w:val="-10"/>
                <w:sz w:val="24"/>
                <w:szCs w:val="24"/>
                <w:lang w:bidi="ar"/>
                <w14:textFill>
                  <w14:solidFill>
                    <w14:schemeClr w14:val="tx1"/>
                  </w14:solidFill>
                </w14:textFill>
              </w:rPr>
              <w:t>（</w:t>
            </w:r>
            <w:r>
              <w:rPr>
                <w:i/>
                <w:iCs/>
                <w:color w:val="000000" w:themeColor="text1"/>
                <w:sz w:val="24"/>
                <w:szCs w:val="24"/>
                <w:lang w:bidi="ar"/>
                <w14:textFill>
                  <w14:solidFill>
                    <w14:schemeClr w14:val="tx1"/>
                  </w14:solidFill>
                </w14:textFill>
              </w:rPr>
              <w:t>T</w:t>
            </w:r>
            <w:r>
              <w:rPr>
                <w:rFonts w:hint="eastAsia" w:cs="宋体"/>
                <w:color w:val="000000" w:themeColor="text1"/>
                <w:sz w:val="24"/>
                <w:szCs w:val="24"/>
                <w:lang w:bidi="ar"/>
                <w14:textFill>
                  <w14:solidFill>
                    <w14:schemeClr w14:val="tx1"/>
                  </w14:solidFill>
                </w14:textFill>
              </w:rPr>
              <w:t>）</w:t>
            </w:r>
            <w:r>
              <w:rPr>
                <w:rFonts w:ascii="Symbol" w:hAnsi="Symbol" w:cs="Symbol"/>
                <w:color w:val="000000" w:themeColor="text1"/>
                <w:sz w:val="24"/>
                <w:szCs w:val="24"/>
                <w:lang w:bidi="ar"/>
                <w14:textFill>
                  <w14:solidFill>
                    <w14:schemeClr w14:val="tx1"/>
                  </w14:solidFill>
                </w14:textFill>
              </w:rPr>
              <w:t></w:t>
            </w:r>
            <w:r>
              <w:rPr>
                <w:color w:val="000000" w:themeColor="text1"/>
                <w:spacing w:val="-27"/>
                <w:sz w:val="24"/>
                <w:szCs w:val="24"/>
                <w:lang w:bidi="ar"/>
                <w14:textFill>
                  <w14:solidFill>
                    <w14:schemeClr w14:val="tx1"/>
                  </w14:solidFill>
                </w14:textFill>
              </w:rPr>
              <w:t xml:space="preserve"> </w:t>
            </w:r>
            <w:r>
              <w:rPr>
                <w:rFonts w:ascii="Symbol" w:hAnsi="Symbol" w:cs="Symbol"/>
                <w:color w:val="000000" w:themeColor="text1"/>
                <w:spacing w:val="-20"/>
                <w:sz w:val="24"/>
                <w:szCs w:val="24"/>
                <w:lang w:bidi="ar"/>
                <w14:textFill>
                  <w14:solidFill>
                    <w14:schemeClr w14:val="tx1"/>
                  </w14:solidFill>
                </w14:textFill>
              </w:rPr>
              <w:t></w:t>
            </w:r>
            <w:r>
              <w:rPr>
                <w:i/>
                <w:iCs/>
                <w:color w:val="000000" w:themeColor="text1"/>
                <w:sz w:val="24"/>
                <w:szCs w:val="24"/>
                <w:lang w:bidi="ar"/>
                <w14:textFill>
                  <w14:solidFill>
                    <w14:schemeClr w14:val="tx1"/>
                  </w14:solidFill>
                </w14:textFill>
              </w:rPr>
              <w:t>T</w:t>
            </w:r>
            <w:r>
              <w:rPr>
                <w:i/>
                <w:iCs/>
                <w:color w:val="000000" w:themeColor="text1"/>
                <w:spacing w:val="-16"/>
                <w:sz w:val="24"/>
                <w:szCs w:val="24"/>
                <w:lang w:bidi="ar"/>
                <w14:textFill>
                  <w14:solidFill>
                    <w14:schemeClr w14:val="tx1"/>
                  </w14:solidFill>
                </w14:textFill>
              </w:rPr>
              <w:t>L</w:t>
            </w:r>
            <w:r>
              <w:rPr>
                <w:rFonts w:hint="eastAsia"/>
                <w:i/>
                <w:iCs/>
                <w:color w:val="000000" w:themeColor="text1"/>
                <w:spacing w:val="-16"/>
                <w:sz w:val="24"/>
                <w:szCs w:val="24"/>
                <w:lang w:val="en-US" w:eastAsia="zh-CN" w:bidi="ar"/>
                <w14:textFill>
                  <w14:solidFill>
                    <w14:schemeClr w14:val="tx1"/>
                  </w14:solidFill>
                </w14:textFill>
              </w:rPr>
              <w:t xml:space="preserve"> </w:t>
            </w:r>
            <w:r>
              <w:rPr>
                <w:i/>
                <w:iCs/>
                <w:color w:val="000000" w:themeColor="text1"/>
                <w:position w:val="-5"/>
                <w:sz w:val="24"/>
                <w:szCs w:val="24"/>
                <w:vertAlign w:val="subscript"/>
                <w:lang w:bidi="ar"/>
                <w14:textFill>
                  <w14:solidFill>
                    <w14:schemeClr w14:val="tx1"/>
                  </w14:solidFill>
                </w14:textFill>
              </w:rPr>
              <w:t>i</w:t>
            </w:r>
            <w:r>
              <w:rPr>
                <w:rFonts w:ascii="Symbol" w:hAnsi="Symbol" w:cs="Symbol"/>
                <w:color w:val="000000" w:themeColor="text1"/>
                <w:sz w:val="24"/>
                <w:szCs w:val="24"/>
                <w:lang w:bidi="ar"/>
                <w14:textFill>
                  <w14:solidFill>
                    <w14:schemeClr w14:val="tx1"/>
                  </w14:solidFill>
                </w14:textFill>
              </w:rPr>
              <w:t></w:t>
            </w:r>
            <w:r>
              <w:rPr>
                <w:color w:val="000000" w:themeColor="text1"/>
                <w:spacing w:val="-23"/>
                <w:sz w:val="24"/>
                <w:szCs w:val="24"/>
                <w:lang w:bidi="ar"/>
                <w14:textFill>
                  <w14:solidFill>
                    <w14:schemeClr w14:val="tx1"/>
                  </w14:solidFill>
                </w14:textFill>
              </w:rPr>
              <w:t xml:space="preserve"> </w:t>
            </w:r>
            <w:r>
              <w:rPr>
                <w:color w:val="000000" w:themeColor="text1"/>
                <w:spacing w:val="4"/>
                <w:sz w:val="24"/>
                <w:szCs w:val="24"/>
                <w:lang w:bidi="ar"/>
                <w14:textFill>
                  <w14:solidFill>
                    <w14:schemeClr w14:val="tx1"/>
                  </w14:solidFill>
                </w14:textFill>
              </w:rPr>
              <w:t>6</w:t>
            </w:r>
            <w:r>
              <w:rPr>
                <w:rFonts w:ascii="Symbol" w:hAnsi="Symbol" w:cs="Symbol"/>
                <w:color w:val="000000" w:themeColor="text1"/>
                <w:sz w:val="24"/>
                <w:szCs w:val="24"/>
                <w:lang w:bidi="ar"/>
                <w14:textFill>
                  <w14:solidFill>
                    <w14:schemeClr w14:val="tx1"/>
                  </w14:solidFill>
                </w14:textFill>
              </w:rPr>
              <w:t></w:t>
            </w:r>
          </w:p>
          <w:p w14:paraId="7D5584BD">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式中：L</w:t>
            </w:r>
            <w:r>
              <w:rPr>
                <w:rFonts w:hint="default" w:ascii="Times New Roman" w:hAnsi="Times New Roman" w:eastAsia="宋体" w:cs="Times New Roman"/>
                <w:color w:val="000000" w:themeColor="text1"/>
                <w:sz w:val="24"/>
                <w:szCs w:val="24"/>
                <w:vertAlign w:val="subscript"/>
                <w14:textFill>
                  <w14:solidFill>
                    <w14:schemeClr w14:val="tx1"/>
                  </w14:solidFill>
                </w14:textFill>
              </w:rPr>
              <w:t>p2</w:t>
            </w:r>
            <w:r>
              <w:rPr>
                <w:rFonts w:hint="default" w:ascii="Times New Roman" w:hAnsi="Times New Roman" w:eastAsia="宋体" w:cs="Times New Roman"/>
                <w:color w:val="000000" w:themeColor="text1"/>
                <w:sz w:val="24"/>
                <w:szCs w:val="24"/>
                <w14:textFill>
                  <w14:solidFill>
                    <w14:schemeClr w14:val="tx1"/>
                  </w14:solidFill>
                </w14:textFill>
              </w:rPr>
              <w:t>，j（T）—靠近围护结构处室外N个声源i倍频带的叠加声压级，dB；</w:t>
            </w:r>
          </w:p>
          <w:p w14:paraId="7989F98E">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TL</w:t>
            </w:r>
            <w:r>
              <w:rPr>
                <w:rFonts w:hint="default" w:ascii="Times New Roman" w:hAnsi="Times New Roman" w:eastAsia="宋体" w:cs="Times New Roman"/>
                <w:color w:val="000000" w:themeColor="text1"/>
                <w:sz w:val="24"/>
                <w:szCs w:val="24"/>
                <w:vertAlign w:val="subscript"/>
                <w14:textFill>
                  <w14:solidFill>
                    <w14:schemeClr w14:val="tx1"/>
                  </w14:solidFill>
                </w14:textFill>
              </w:rPr>
              <w:t>i</w:t>
            </w:r>
            <w:r>
              <w:rPr>
                <w:rFonts w:hint="default" w:ascii="Times New Roman" w:hAnsi="Times New Roman" w:eastAsia="宋体" w:cs="Times New Roman"/>
                <w:color w:val="000000" w:themeColor="text1"/>
                <w:sz w:val="24"/>
                <w:szCs w:val="24"/>
                <w14:textFill>
                  <w14:solidFill>
                    <w14:schemeClr w14:val="tx1"/>
                  </w14:solidFill>
                </w14:textFill>
              </w:rPr>
              <w:t>—围护结构 i 倍频带的隔声量，dB。</w:t>
            </w:r>
          </w:p>
          <w:p w14:paraId="1C8189AC">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（4）将室外声源的声压级和透过面积换算成等效的室外声源，计算出中心位置于透声面积（S）处的等效声源的倍频带声功率级。</w:t>
            </w:r>
          </w:p>
          <w:p w14:paraId="74E995A4">
            <w:pPr>
              <w:keepNext w:val="0"/>
              <w:keepLines w:val="0"/>
              <w:pageBreakBefore w:val="0"/>
              <w:widowControl w:val="0"/>
              <w:kinsoku/>
              <w:wordWrap/>
              <w:overflowPunct/>
              <w:topLinePunct w:val="0"/>
              <w:autoSpaceDE/>
              <w:autoSpaceDN/>
              <w:bidi w:val="0"/>
              <w:adjustRightInd/>
              <w:snapToGrid/>
              <w:spacing w:before="157" w:beforeLines="50" w:line="520" w:lineRule="exact"/>
              <w:ind w:left="1996" w:firstLine="482"/>
              <w:textAlignment w:val="auto"/>
              <w:rPr>
                <w:color w:val="000000" w:themeColor="text1"/>
                <w:sz w:val="24"/>
                <w:szCs w:val="24"/>
                <w14:textFill>
                  <w14:solidFill>
                    <w14:schemeClr w14:val="tx1"/>
                  </w14:solidFill>
                </w14:textFill>
              </w:rPr>
            </w:pPr>
            <w:r>
              <w:rPr>
                <w:i/>
                <w:iCs/>
                <w:color w:val="000000" w:themeColor="text1"/>
                <w:sz w:val="24"/>
                <w:szCs w:val="24"/>
                <w:lang w:bidi="ar"/>
                <w14:textFill>
                  <w14:solidFill>
                    <w14:schemeClr w14:val="tx1"/>
                  </w14:solidFill>
                </w14:textFill>
              </w:rPr>
              <w:t>L</w:t>
            </w:r>
            <w:r>
              <w:rPr>
                <w:rFonts w:hint="eastAsia"/>
                <w:i/>
                <w:iCs/>
                <w:color w:val="000000" w:themeColor="text1"/>
                <w:sz w:val="24"/>
                <w:szCs w:val="24"/>
                <w:vertAlign w:val="subscript"/>
                <w:lang w:val="en-US" w:eastAsia="zh-CN" w:bidi="ar"/>
                <w14:textFill>
                  <w14:solidFill>
                    <w14:schemeClr w14:val="tx1"/>
                  </w14:solidFill>
                </w14:textFill>
              </w:rPr>
              <w:t xml:space="preserve"> </w:t>
            </w:r>
            <w:r>
              <w:rPr>
                <w:i/>
                <w:iCs/>
                <w:color w:val="000000" w:themeColor="text1"/>
                <w:sz w:val="24"/>
                <w:szCs w:val="24"/>
                <w:vertAlign w:val="subscript"/>
                <w:lang w:bidi="ar"/>
                <w14:textFill>
                  <w14:solidFill>
                    <w14:schemeClr w14:val="tx1"/>
                  </w14:solidFill>
                </w14:textFill>
              </w:rPr>
              <w:t>w</w:t>
            </w:r>
            <w:r>
              <w:rPr>
                <w:i/>
                <w:iCs/>
                <w:color w:val="000000" w:themeColor="text1"/>
                <w:spacing w:val="-8"/>
                <w:sz w:val="24"/>
                <w:szCs w:val="24"/>
                <w:lang w:bidi="ar"/>
                <w14:textFill>
                  <w14:solidFill>
                    <w14:schemeClr w14:val="tx1"/>
                  </w14:solidFill>
                </w14:textFill>
              </w:rPr>
              <w:t xml:space="preserve"> </w:t>
            </w:r>
            <w:r>
              <w:rPr>
                <w:rFonts w:ascii="Symbol" w:hAnsi="Symbol" w:cs="Symbol"/>
                <w:color w:val="000000" w:themeColor="text1"/>
                <w:sz w:val="24"/>
                <w:szCs w:val="24"/>
                <w:lang w:bidi="ar"/>
                <w14:textFill>
                  <w14:solidFill>
                    <w14:schemeClr w14:val="tx1"/>
                  </w14:solidFill>
                </w14:textFill>
              </w:rPr>
              <w:t></w:t>
            </w:r>
            <w:r>
              <w:rPr>
                <w:rFonts w:ascii="Symbol" w:hAnsi="Symbol" w:cs="Symbol"/>
                <w:color w:val="000000" w:themeColor="text1"/>
                <w:spacing w:val="5"/>
                <w:sz w:val="24"/>
                <w:szCs w:val="24"/>
                <w:lang w:bidi="ar"/>
                <w14:textFill>
                  <w14:solidFill>
                    <w14:schemeClr w14:val="tx1"/>
                  </w14:solidFill>
                </w14:textFill>
              </w:rPr>
              <w:t></w:t>
            </w:r>
            <w:r>
              <w:rPr>
                <w:i/>
                <w:iCs/>
                <w:color w:val="000000" w:themeColor="text1"/>
                <w:spacing w:val="8"/>
                <w:sz w:val="24"/>
                <w:szCs w:val="24"/>
                <w:lang w:bidi="ar"/>
                <w14:textFill>
                  <w14:solidFill>
                    <w14:schemeClr w14:val="tx1"/>
                  </w14:solidFill>
                </w14:textFill>
              </w:rPr>
              <w:t>L</w:t>
            </w:r>
            <w:r>
              <w:rPr>
                <w:i/>
                <w:iCs/>
                <w:color w:val="000000" w:themeColor="text1"/>
                <w:spacing w:val="8"/>
                <w:position w:val="-5"/>
                <w:sz w:val="24"/>
                <w:szCs w:val="24"/>
                <w:vertAlign w:val="subscript"/>
                <w:lang w:bidi="ar"/>
                <w14:textFill>
                  <w14:solidFill>
                    <w14:schemeClr w14:val="tx1"/>
                  </w14:solidFill>
                </w14:textFill>
              </w:rPr>
              <w:t>p</w:t>
            </w:r>
            <w:r>
              <w:rPr>
                <w:color w:val="000000" w:themeColor="text1"/>
                <w:position w:val="-5"/>
                <w:sz w:val="24"/>
                <w:szCs w:val="24"/>
                <w:vertAlign w:val="subscript"/>
                <w:lang w:bidi="ar"/>
                <w14:textFill>
                  <w14:solidFill>
                    <w14:schemeClr w14:val="tx1"/>
                  </w14:solidFill>
                </w14:textFill>
              </w:rPr>
              <w:t>2</w:t>
            </w:r>
            <w:r>
              <w:rPr>
                <w:rFonts w:hint="eastAsia" w:cs="宋体"/>
                <w:color w:val="000000" w:themeColor="text1"/>
                <w:spacing w:val="-6"/>
                <w:sz w:val="24"/>
                <w:szCs w:val="24"/>
                <w:lang w:bidi="ar"/>
                <w14:textFill>
                  <w14:solidFill>
                    <w14:schemeClr w14:val="tx1"/>
                  </w14:solidFill>
                </w14:textFill>
              </w:rPr>
              <w:t>（</w:t>
            </w:r>
            <w:r>
              <w:rPr>
                <w:i/>
                <w:iCs/>
                <w:color w:val="000000" w:themeColor="text1"/>
                <w:spacing w:val="-6"/>
                <w:sz w:val="24"/>
                <w:szCs w:val="24"/>
                <w:lang w:bidi="ar"/>
                <w14:textFill>
                  <w14:solidFill>
                    <w14:schemeClr w14:val="tx1"/>
                  </w14:solidFill>
                </w14:textFill>
              </w:rPr>
              <w:t>T</w:t>
            </w:r>
            <w:r>
              <w:rPr>
                <w:i/>
                <w:iCs/>
                <w:color w:val="000000" w:themeColor="text1"/>
                <w:spacing w:val="-35"/>
                <w:sz w:val="24"/>
                <w:szCs w:val="24"/>
                <w:lang w:bidi="ar"/>
                <w14:textFill>
                  <w14:solidFill>
                    <w14:schemeClr w14:val="tx1"/>
                  </w14:solidFill>
                </w14:textFill>
              </w:rPr>
              <w:t xml:space="preserve"> </w:t>
            </w:r>
            <w:r>
              <w:rPr>
                <w:rFonts w:hint="eastAsia" w:cs="宋体"/>
                <w:color w:val="000000" w:themeColor="text1"/>
                <w:sz w:val="24"/>
                <w:szCs w:val="24"/>
                <w:lang w:bidi="ar"/>
                <w14:textFill>
                  <w14:solidFill>
                    <w14:schemeClr w14:val="tx1"/>
                  </w14:solidFill>
                </w14:textFill>
              </w:rPr>
              <w:t>）</w:t>
            </w:r>
            <w:r>
              <w:rPr>
                <w:rFonts w:ascii="Symbol" w:hAnsi="Symbol" w:cs="Symbol"/>
                <w:color w:val="000000" w:themeColor="text1"/>
                <w:sz w:val="24"/>
                <w:szCs w:val="24"/>
                <w:lang w:bidi="ar"/>
                <w14:textFill>
                  <w14:solidFill>
                    <w14:schemeClr w14:val="tx1"/>
                  </w14:solidFill>
                </w14:textFill>
              </w:rPr>
              <w:t></w:t>
            </w:r>
            <w:r>
              <w:rPr>
                <w:rFonts w:ascii="Symbol" w:hAnsi="Symbol" w:cs="Symbol"/>
                <w:color w:val="000000" w:themeColor="text1"/>
                <w:spacing w:val="-38"/>
                <w:sz w:val="24"/>
                <w:szCs w:val="24"/>
                <w:lang w:bidi="ar"/>
                <w14:textFill>
                  <w14:solidFill>
                    <w14:schemeClr w14:val="tx1"/>
                  </w14:solidFill>
                </w14:textFill>
              </w:rPr>
              <w:t></w:t>
            </w:r>
            <w:r>
              <w:rPr>
                <w:color w:val="000000" w:themeColor="text1"/>
                <w:sz w:val="24"/>
                <w:szCs w:val="24"/>
                <w:lang w:bidi="ar"/>
                <w14:textFill>
                  <w14:solidFill>
                    <w14:schemeClr w14:val="tx1"/>
                  </w14:solidFill>
                </w14:textFill>
              </w:rPr>
              <w:t>10</w:t>
            </w:r>
            <w:r>
              <w:rPr>
                <w:color w:val="000000" w:themeColor="text1"/>
                <w:spacing w:val="-38"/>
                <w:sz w:val="24"/>
                <w:szCs w:val="24"/>
                <w:lang w:bidi="ar"/>
                <w14:textFill>
                  <w14:solidFill>
                    <w14:schemeClr w14:val="tx1"/>
                  </w14:solidFill>
                </w14:textFill>
              </w:rPr>
              <w:t xml:space="preserve"> </w:t>
            </w:r>
            <w:r>
              <w:rPr>
                <w:color w:val="000000" w:themeColor="text1"/>
                <w:sz w:val="24"/>
                <w:szCs w:val="24"/>
                <w:lang w:bidi="ar"/>
                <w14:textFill>
                  <w14:solidFill>
                    <w14:schemeClr w14:val="tx1"/>
                  </w14:solidFill>
                </w14:textFill>
              </w:rPr>
              <w:t>lg</w:t>
            </w:r>
            <w:r>
              <w:rPr>
                <w:color w:val="000000" w:themeColor="text1"/>
                <w:spacing w:val="-26"/>
                <w:sz w:val="24"/>
                <w:szCs w:val="24"/>
                <w:lang w:bidi="ar"/>
                <w14:textFill>
                  <w14:solidFill>
                    <w14:schemeClr w14:val="tx1"/>
                  </w14:solidFill>
                </w14:textFill>
              </w:rPr>
              <w:t xml:space="preserve"> </w:t>
            </w:r>
            <w:r>
              <w:rPr>
                <w:i/>
                <w:iCs/>
                <w:color w:val="000000" w:themeColor="text1"/>
                <w:sz w:val="24"/>
                <w:szCs w:val="24"/>
                <w:lang w:bidi="ar"/>
                <w14:textFill>
                  <w14:solidFill>
                    <w14:schemeClr w14:val="tx1"/>
                  </w14:solidFill>
                </w14:textFill>
              </w:rPr>
              <w:t>S</w:t>
            </w:r>
          </w:p>
          <w:p w14:paraId="27FDCDBF">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（5）按</w:t>
            </w:r>
            <w:r>
              <w:rPr>
                <w:rFonts w:hint="eastAsia" w:cs="Times New Roman"/>
                <w:color w:val="000000" w:themeColor="text1"/>
                <w:sz w:val="24"/>
                <w:szCs w:val="24"/>
                <w:lang w:val="en-US" w:eastAsia="zh-CN"/>
                <w14:textFill>
                  <w14:solidFill>
                    <w14:schemeClr w14:val="tx1"/>
                  </w14:solidFill>
                </w14:textFill>
              </w:rPr>
              <w:t>户</w:t>
            </w:r>
            <w:r>
              <w:rPr>
                <w:rFonts w:hint="eastAsia" w:ascii="Times New Roman" w:hAnsi="Times New Roman" w:eastAsia="宋体" w:cs="Times New Roman"/>
                <w:color w:val="000000" w:themeColor="text1"/>
                <w:sz w:val="24"/>
                <w:szCs w:val="24"/>
                <w14:textFill>
                  <w14:solidFill>
                    <w14:schemeClr w14:val="tx1"/>
                  </w14:solidFill>
                </w14:textFill>
              </w:rPr>
              <w:t>外声源预测方法</w:t>
            </w:r>
            <w:r>
              <w:rPr>
                <w:rFonts w:hint="eastAsia" w:cs="Times New Roman"/>
                <w:color w:val="000000" w:themeColor="text1"/>
                <w:sz w:val="24"/>
                <w:szCs w:val="24"/>
                <w:lang w:val="en-US" w:eastAsia="zh-CN"/>
                <w14:textFill>
                  <w14:solidFill>
                    <w14:schemeClr w14:val="tx1"/>
                  </w14:solidFill>
                </w14:textFill>
              </w:rPr>
              <w:t>计算</w:t>
            </w:r>
            <w:r>
              <w:rPr>
                <w:rFonts w:hint="eastAsia" w:ascii="Times New Roman" w:hAnsi="Times New Roman" w:eastAsia="宋体" w:cs="Times New Roman"/>
                <w:color w:val="000000" w:themeColor="text1"/>
                <w:sz w:val="24"/>
                <w:szCs w:val="24"/>
                <w14:textFill>
                  <w14:solidFill>
                    <w14:schemeClr w14:val="tx1"/>
                  </w14:solidFill>
                </w14:textFill>
              </w:rPr>
              <w:t>预测点处的A声级</w:t>
            </w:r>
            <w:r>
              <w:rPr>
                <w:rFonts w:hint="eastAsia" w:cs="Times New Roman"/>
                <w:color w:val="000000" w:themeColor="text1"/>
                <w:sz w:val="24"/>
                <w:szCs w:val="24"/>
                <w:lang w:eastAsia="zh-CN"/>
                <w14:textFill>
                  <w14:solidFill>
                    <w14:schemeClr w14:val="tx1"/>
                  </w14:solidFill>
                </w14:textFill>
              </w:rPr>
              <w:t>。</w:t>
            </w:r>
          </w:p>
          <w:p w14:paraId="3E8F096B">
            <w:pPr>
              <w:keepNext w:val="0"/>
              <w:keepLines w:val="0"/>
              <w:pageBreakBefore w:val="0"/>
              <w:widowControl w:val="0"/>
              <w:kinsoku/>
              <w:wordWrap/>
              <w:overflowPunct/>
              <w:topLinePunct w:val="0"/>
              <w:autoSpaceDE/>
              <w:autoSpaceDN/>
              <w:bidi w:val="0"/>
              <w:adjustRightInd/>
              <w:snapToGrid/>
              <w:spacing w:before="157" w:beforeLines="50" w:line="520" w:lineRule="exact"/>
              <w:ind w:left="1996" w:firstLine="482"/>
              <w:textAlignment w:val="auto"/>
              <w:rPr>
                <w:color w:val="000000" w:themeColor="text1"/>
                <w:sz w:val="24"/>
                <w:szCs w:val="24"/>
                <w14:textFill>
                  <w14:solidFill>
                    <w14:schemeClr w14:val="tx1"/>
                  </w14:solidFill>
                </w14:textFill>
              </w:rPr>
            </w:pPr>
            <w:r>
              <w:rPr>
                <w:i/>
                <w:iCs/>
                <w:color w:val="000000" w:themeColor="text1"/>
                <w:sz w:val="24"/>
                <w:szCs w:val="24"/>
                <w:lang w:bidi="ar"/>
                <w14:textFill>
                  <w14:solidFill>
                    <w14:schemeClr w14:val="tx1"/>
                  </w14:solidFill>
                </w14:textFill>
              </w:rPr>
              <w:t>L</w:t>
            </w:r>
            <w:r>
              <w:rPr>
                <w:rFonts w:hint="eastAsia"/>
                <w:i/>
                <w:iCs/>
                <w:color w:val="000000" w:themeColor="text1"/>
                <w:sz w:val="24"/>
                <w:szCs w:val="24"/>
                <w:vertAlign w:val="subscript"/>
                <w:lang w:val="en-US" w:eastAsia="zh-CN" w:bidi="ar"/>
                <w14:textFill>
                  <w14:solidFill>
                    <w14:schemeClr w14:val="tx1"/>
                  </w14:solidFill>
                </w14:textFill>
              </w:rPr>
              <w:t xml:space="preserve"> p</w:t>
            </w:r>
            <w:r>
              <w:rPr>
                <w:rFonts w:hint="eastAsia" w:cs="宋体"/>
                <w:color w:val="000000" w:themeColor="text1"/>
                <w:spacing w:val="-6"/>
                <w:sz w:val="24"/>
                <w:szCs w:val="24"/>
                <w:lang w:bidi="ar"/>
                <w14:textFill>
                  <w14:solidFill>
                    <w14:schemeClr w14:val="tx1"/>
                  </w14:solidFill>
                </w14:textFill>
              </w:rPr>
              <w:t>（</w:t>
            </w:r>
            <w:r>
              <w:rPr>
                <w:rFonts w:hint="eastAsia"/>
                <w:i/>
                <w:iCs/>
                <w:color w:val="000000" w:themeColor="text1"/>
                <w:spacing w:val="-6"/>
                <w:sz w:val="24"/>
                <w:szCs w:val="24"/>
                <w:lang w:val="en-US" w:eastAsia="zh-CN" w:bidi="ar"/>
                <w14:textFill>
                  <w14:solidFill>
                    <w14:schemeClr w14:val="tx1"/>
                  </w14:solidFill>
                </w14:textFill>
              </w:rPr>
              <w:t>r</w:t>
            </w:r>
            <w:r>
              <w:rPr>
                <w:i/>
                <w:iCs/>
                <w:color w:val="000000" w:themeColor="text1"/>
                <w:spacing w:val="-35"/>
                <w:sz w:val="24"/>
                <w:szCs w:val="24"/>
                <w:lang w:bidi="ar"/>
                <w14:textFill>
                  <w14:solidFill>
                    <w14:schemeClr w14:val="tx1"/>
                  </w14:solidFill>
                </w14:textFill>
              </w:rPr>
              <w:t xml:space="preserve"> </w:t>
            </w:r>
            <w:r>
              <w:rPr>
                <w:rFonts w:hint="eastAsia" w:cs="宋体"/>
                <w:color w:val="000000" w:themeColor="text1"/>
                <w:sz w:val="24"/>
                <w:szCs w:val="24"/>
                <w:lang w:bidi="ar"/>
                <w14:textFill>
                  <w14:solidFill>
                    <w14:schemeClr w14:val="tx1"/>
                  </w14:solidFill>
                </w14:textFill>
              </w:rPr>
              <w:t>）</w:t>
            </w:r>
            <w:r>
              <w:rPr>
                <w:rFonts w:ascii="Symbol" w:hAnsi="Symbol" w:cs="Symbol"/>
                <w:color w:val="000000" w:themeColor="text1"/>
                <w:sz w:val="24"/>
                <w:szCs w:val="24"/>
                <w:lang w:bidi="ar"/>
                <w14:textFill>
                  <w14:solidFill>
                    <w14:schemeClr w14:val="tx1"/>
                  </w14:solidFill>
                </w14:textFill>
              </w:rPr>
              <w:t></w:t>
            </w:r>
            <w:r>
              <w:rPr>
                <w:rFonts w:ascii="Symbol" w:hAnsi="Symbol" w:cs="Symbol"/>
                <w:color w:val="000000" w:themeColor="text1"/>
                <w:spacing w:val="5"/>
                <w:sz w:val="24"/>
                <w:szCs w:val="24"/>
                <w:lang w:bidi="ar"/>
                <w14:textFill>
                  <w14:solidFill>
                    <w14:schemeClr w14:val="tx1"/>
                  </w14:solidFill>
                </w14:textFill>
              </w:rPr>
              <w:t></w:t>
            </w:r>
            <w:r>
              <w:rPr>
                <w:i/>
                <w:iCs/>
                <w:color w:val="000000" w:themeColor="text1"/>
                <w:spacing w:val="8"/>
                <w:sz w:val="24"/>
                <w:szCs w:val="24"/>
                <w:lang w:bidi="ar"/>
                <w14:textFill>
                  <w14:solidFill>
                    <w14:schemeClr w14:val="tx1"/>
                  </w14:solidFill>
                </w14:textFill>
              </w:rPr>
              <w:t>L</w:t>
            </w:r>
            <w:r>
              <w:rPr>
                <w:i/>
                <w:iCs/>
                <w:color w:val="000000" w:themeColor="text1"/>
                <w:spacing w:val="8"/>
                <w:position w:val="-5"/>
                <w:sz w:val="24"/>
                <w:szCs w:val="24"/>
                <w:vertAlign w:val="subscript"/>
                <w:lang w:bidi="ar"/>
                <w14:textFill>
                  <w14:solidFill>
                    <w14:schemeClr w14:val="tx1"/>
                  </w14:solidFill>
                </w14:textFill>
              </w:rPr>
              <w:t>p</w:t>
            </w:r>
            <w:r>
              <w:rPr>
                <w:rFonts w:hint="eastAsia" w:cs="宋体"/>
                <w:color w:val="000000" w:themeColor="text1"/>
                <w:spacing w:val="-6"/>
                <w:sz w:val="24"/>
                <w:szCs w:val="24"/>
                <w:lang w:bidi="ar"/>
                <w14:textFill>
                  <w14:solidFill>
                    <w14:schemeClr w14:val="tx1"/>
                  </w14:solidFill>
                </w14:textFill>
              </w:rPr>
              <w:t>（</w:t>
            </w:r>
            <w:r>
              <w:rPr>
                <w:rFonts w:hint="eastAsia"/>
                <w:i/>
                <w:iCs/>
                <w:color w:val="000000" w:themeColor="text1"/>
                <w:spacing w:val="-6"/>
                <w:sz w:val="24"/>
                <w:szCs w:val="24"/>
                <w:lang w:val="en-US" w:eastAsia="zh-CN" w:bidi="ar"/>
                <w14:textFill>
                  <w14:solidFill>
                    <w14:schemeClr w14:val="tx1"/>
                  </w14:solidFill>
                </w14:textFill>
              </w:rPr>
              <w:t>r</w:t>
            </w:r>
            <w:r>
              <w:rPr>
                <w:rFonts w:hint="eastAsia"/>
                <w:i/>
                <w:iCs/>
                <w:color w:val="000000" w:themeColor="text1"/>
                <w:spacing w:val="-6"/>
                <w:sz w:val="24"/>
                <w:szCs w:val="24"/>
                <w:vertAlign w:val="subscript"/>
                <w:lang w:val="en-US" w:eastAsia="zh-CN" w:bidi="ar"/>
                <w14:textFill>
                  <w14:solidFill>
                    <w14:schemeClr w14:val="tx1"/>
                  </w14:solidFill>
                </w14:textFill>
              </w:rPr>
              <w:t>0</w:t>
            </w:r>
            <w:r>
              <w:rPr>
                <w:i/>
                <w:iCs/>
                <w:color w:val="000000" w:themeColor="text1"/>
                <w:spacing w:val="-35"/>
                <w:sz w:val="24"/>
                <w:szCs w:val="24"/>
                <w:lang w:bidi="ar"/>
                <w14:textFill>
                  <w14:solidFill>
                    <w14:schemeClr w14:val="tx1"/>
                  </w14:solidFill>
                </w14:textFill>
              </w:rPr>
              <w:t xml:space="preserve"> </w:t>
            </w:r>
            <w:r>
              <w:rPr>
                <w:rFonts w:hint="eastAsia" w:cs="宋体"/>
                <w:color w:val="000000" w:themeColor="text1"/>
                <w:sz w:val="24"/>
                <w:szCs w:val="24"/>
                <w:lang w:bidi="ar"/>
                <w14:textFill>
                  <w14:solidFill>
                    <w14:schemeClr w14:val="tx1"/>
                  </w14:solidFill>
                </w14:textFill>
              </w:rPr>
              <w:t>）</w:t>
            </w:r>
            <w:r>
              <w:rPr>
                <w:rFonts w:hint="eastAsia" w:ascii="Symbol" w:hAnsi="Symbol" w:cs="Symbol"/>
                <w:color w:val="000000" w:themeColor="text1"/>
                <w:sz w:val="24"/>
                <w:szCs w:val="24"/>
                <w:lang w:val="en-US" w:eastAsia="zh-CN" w:bidi="ar"/>
                <w14:textFill>
                  <w14:solidFill>
                    <w14:schemeClr w14:val="tx1"/>
                  </w14:solidFill>
                </w14:textFill>
              </w:rPr>
              <w:t>-</w:t>
            </w:r>
            <w:r>
              <w:rPr>
                <w:rFonts w:ascii="Symbol" w:hAnsi="Symbol" w:cs="Symbol"/>
                <w:color w:val="000000" w:themeColor="text1"/>
                <w:spacing w:val="-38"/>
                <w:sz w:val="24"/>
                <w:szCs w:val="24"/>
                <w:lang w:bidi="ar"/>
                <w14:textFill>
                  <w14:solidFill>
                    <w14:schemeClr w14:val="tx1"/>
                  </w14:solidFill>
                </w14:textFill>
              </w:rPr>
              <w:t></w:t>
            </w:r>
            <w:r>
              <w:rPr>
                <w:rFonts w:hint="eastAsia"/>
                <w:color w:val="000000" w:themeColor="text1"/>
                <w:sz w:val="24"/>
                <w:szCs w:val="24"/>
                <w:lang w:val="en-US" w:eastAsia="zh-CN" w:bidi="ar"/>
                <w14:textFill>
                  <w14:solidFill>
                    <w14:schemeClr w14:val="tx1"/>
                  </w14:solidFill>
                </w14:textFill>
              </w:rPr>
              <w:t>2</w:t>
            </w:r>
            <w:r>
              <w:rPr>
                <w:color w:val="000000" w:themeColor="text1"/>
                <w:sz w:val="24"/>
                <w:szCs w:val="24"/>
                <w:lang w:bidi="ar"/>
                <w14:textFill>
                  <w14:solidFill>
                    <w14:schemeClr w14:val="tx1"/>
                  </w14:solidFill>
                </w14:textFill>
              </w:rPr>
              <w:t>0</w:t>
            </w:r>
            <w:r>
              <w:rPr>
                <w:color w:val="000000" w:themeColor="text1"/>
                <w:spacing w:val="-38"/>
                <w:sz w:val="24"/>
                <w:szCs w:val="24"/>
                <w:lang w:bidi="ar"/>
                <w14:textFill>
                  <w14:solidFill>
                    <w14:schemeClr w14:val="tx1"/>
                  </w14:solidFill>
                </w14:textFill>
              </w:rPr>
              <w:t xml:space="preserve"> </w:t>
            </w:r>
            <w:r>
              <w:rPr>
                <w:color w:val="000000" w:themeColor="text1"/>
                <w:sz w:val="24"/>
                <w:szCs w:val="24"/>
                <w:lang w:bidi="ar"/>
                <w14:textFill>
                  <w14:solidFill>
                    <w14:schemeClr w14:val="tx1"/>
                  </w14:solidFill>
                </w14:textFill>
              </w:rPr>
              <w:t>lg</w:t>
            </w:r>
            <w:r>
              <w:rPr>
                <w:rFonts w:hint="eastAsia" w:cs="宋体"/>
                <w:color w:val="000000" w:themeColor="text1"/>
                <w:spacing w:val="-6"/>
                <w:sz w:val="24"/>
                <w:szCs w:val="24"/>
                <w:lang w:bidi="ar"/>
                <w14:textFill>
                  <w14:solidFill>
                    <w14:schemeClr w14:val="tx1"/>
                  </w14:solidFill>
                </w14:textFill>
              </w:rPr>
              <w:t>（</w:t>
            </w:r>
            <w:r>
              <w:rPr>
                <w:rFonts w:hint="eastAsia"/>
                <w:i/>
                <w:iCs/>
                <w:color w:val="000000" w:themeColor="text1"/>
                <w:spacing w:val="-6"/>
                <w:sz w:val="24"/>
                <w:szCs w:val="24"/>
                <w:lang w:val="en-US" w:eastAsia="zh-CN" w:bidi="ar"/>
                <w14:textFill>
                  <w14:solidFill>
                    <w14:schemeClr w14:val="tx1"/>
                  </w14:solidFill>
                </w14:textFill>
              </w:rPr>
              <w:t>r/r</w:t>
            </w:r>
            <w:r>
              <w:rPr>
                <w:rFonts w:hint="eastAsia"/>
                <w:i/>
                <w:iCs/>
                <w:color w:val="000000" w:themeColor="text1"/>
                <w:spacing w:val="-6"/>
                <w:sz w:val="24"/>
                <w:szCs w:val="24"/>
                <w:vertAlign w:val="subscript"/>
                <w:lang w:val="en-US" w:eastAsia="zh-CN" w:bidi="ar"/>
                <w14:textFill>
                  <w14:solidFill>
                    <w14:schemeClr w14:val="tx1"/>
                  </w14:solidFill>
                </w14:textFill>
              </w:rPr>
              <w:t>0</w:t>
            </w:r>
            <w:r>
              <w:rPr>
                <w:i/>
                <w:iCs/>
                <w:color w:val="000000" w:themeColor="text1"/>
                <w:spacing w:val="-35"/>
                <w:sz w:val="24"/>
                <w:szCs w:val="24"/>
                <w:lang w:bidi="ar"/>
                <w14:textFill>
                  <w14:solidFill>
                    <w14:schemeClr w14:val="tx1"/>
                  </w14:solidFill>
                </w14:textFill>
              </w:rPr>
              <w:t xml:space="preserve"> </w:t>
            </w:r>
            <w:r>
              <w:rPr>
                <w:rFonts w:hint="eastAsia" w:cs="宋体"/>
                <w:color w:val="000000" w:themeColor="text1"/>
                <w:sz w:val="24"/>
                <w:szCs w:val="24"/>
                <w:lang w:bidi="ar"/>
                <w14:textFill>
                  <w14:solidFill>
                    <w14:schemeClr w14:val="tx1"/>
                  </w14:solidFill>
                </w14:textFill>
              </w:rPr>
              <w:t>）</w:t>
            </w:r>
          </w:p>
          <w:p w14:paraId="1CAAAF6F">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 xml:space="preserve">式中：Lp(r) </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预测点处声压级，dB；</w:t>
            </w:r>
          </w:p>
          <w:p w14:paraId="29C4F8F7">
            <w:pPr>
              <w:keepNext w:val="0"/>
              <w:keepLines w:val="0"/>
              <w:pageBreakBefore w:val="0"/>
              <w:widowControl w:val="0"/>
              <w:kinsoku/>
              <w:wordWrap/>
              <w:overflowPunct/>
              <w:topLinePunct w:val="0"/>
              <w:autoSpaceDE/>
              <w:autoSpaceDN/>
              <w:bidi w:val="0"/>
              <w:adjustRightInd/>
              <w:snapToGrid/>
              <w:spacing w:line="520" w:lineRule="exact"/>
              <w:ind w:firstLine="1200" w:firstLineChars="500"/>
              <w:jc w:val="left"/>
              <w:textAlignment w:val="auto"/>
              <w:rPr>
                <w:rFonts w:hint="eastAsia"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Lp(r</w:t>
            </w:r>
            <w:r>
              <w:rPr>
                <w:rFonts w:hint="eastAsia" w:ascii="Times New Roman" w:hAnsi="Times New Roman" w:eastAsia="宋体" w:cs="Times New Roman"/>
                <w:color w:val="000000" w:themeColor="text1"/>
                <w:sz w:val="24"/>
                <w:szCs w:val="24"/>
                <w:vertAlign w:val="subscript"/>
                <w14:textFill>
                  <w14:solidFill>
                    <w14:schemeClr w14:val="tx1"/>
                  </w14:solidFill>
                </w14:textFill>
              </w:rPr>
              <w:t>0</w:t>
            </w:r>
            <w:r>
              <w:rPr>
                <w:rFonts w:hint="eastAsia" w:ascii="Times New Roman" w:hAnsi="Times New Roman" w:eastAsia="宋体" w:cs="Times New Roman"/>
                <w:color w:val="000000" w:themeColor="text1"/>
                <w:sz w:val="24"/>
                <w:szCs w:val="24"/>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参考位置r</w:t>
            </w:r>
            <w:r>
              <w:rPr>
                <w:rFonts w:hint="eastAsia" w:ascii="Times New Roman" w:hAnsi="Times New Roman" w:eastAsia="宋体" w:cs="Times New Roman"/>
                <w:color w:val="000000" w:themeColor="text1"/>
                <w:sz w:val="24"/>
                <w:szCs w:val="24"/>
                <w:vertAlign w:val="subscript"/>
                <w14:textFill>
                  <w14:solidFill>
                    <w14:schemeClr w14:val="tx1"/>
                  </w14:solidFill>
                </w14:textFill>
              </w:rPr>
              <w:t>0</w:t>
            </w:r>
            <w:r>
              <w:rPr>
                <w:rFonts w:hint="eastAsia" w:ascii="Times New Roman" w:hAnsi="Times New Roman" w:eastAsia="宋体" w:cs="Times New Roman"/>
                <w:color w:val="000000" w:themeColor="text1"/>
                <w:sz w:val="24"/>
                <w:szCs w:val="24"/>
                <w14:textFill>
                  <w14:solidFill>
                    <w14:schemeClr w14:val="tx1"/>
                  </w14:solidFill>
                </w14:textFill>
              </w:rPr>
              <w:t>处的声压级，dB；</w:t>
            </w:r>
          </w:p>
          <w:p w14:paraId="59417C08">
            <w:pPr>
              <w:keepNext w:val="0"/>
              <w:keepLines w:val="0"/>
              <w:pageBreakBefore w:val="0"/>
              <w:widowControl w:val="0"/>
              <w:kinsoku/>
              <w:wordWrap/>
              <w:overflowPunct/>
              <w:topLinePunct w:val="0"/>
              <w:autoSpaceDE/>
              <w:autoSpaceDN/>
              <w:bidi w:val="0"/>
              <w:adjustRightInd/>
              <w:snapToGrid/>
              <w:spacing w:line="520" w:lineRule="exact"/>
              <w:ind w:firstLine="1200" w:firstLineChars="500"/>
              <w:jc w:val="left"/>
              <w:textAlignment w:val="auto"/>
              <w:rPr>
                <w:rFonts w:hint="eastAsia"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 xml:space="preserve">r </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预测点距声源的距离；</w:t>
            </w:r>
          </w:p>
          <w:p w14:paraId="7F72AE21">
            <w:pPr>
              <w:keepNext w:val="0"/>
              <w:keepLines w:val="0"/>
              <w:pageBreakBefore w:val="0"/>
              <w:widowControl w:val="0"/>
              <w:kinsoku/>
              <w:wordWrap/>
              <w:overflowPunct/>
              <w:topLinePunct w:val="0"/>
              <w:autoSpaceDE/>
              <w:autoSpaceDN/>
              <w:bidi w:val="0"/>
              <w:adjustRightInd/>
              <w:snapToGrid/>
              <w:spacing w:line="520" w:lineRule="exact"/>
              <w:ind w:firstLine="1200" w:firstLineChars="500"/>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r0</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参考位置距声源的距离</w:t>
            </w:r>
          </w:p>
          <w:p w14:paraId="171ABA2F">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3.2 源强调查</w:t>
            </w:r>
          </w:p>
          <w:p w14:paraId="39D9B2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本次建立坐标系，</w:t>
            </w:r>
            <w:r>
              <w:rPr>
                <w:rFonts w:hint="eastAsia" w:ascii="Times New Roman" w:hAnsi="Times New Roman" w:eastAsia="宋体"/>
                <w:color w:val="000000" w:themeColor="text1"/>
                <w:sz w:val="24"/>
                <w:szCs w:val="24"/>
                <w14:textFill>
                  <w14:solidFill>
                    <w14:schemeClr w14:val="tx1"/>
                  </w14:solidFill>
                </w14:textFill>
              </w:rPr>
              <w:t>坐标以厂界中心为坐标原点，正东向为X轴正方向，正北向为Y轴正方向</w:t>
            </w:r>
            <w:r>
              <w:rPr>
                <w:rFonts w:hint="eastAsia"/>
                <w:color w:val="000000" w:themeColor="text1"/>
                <w:sz w:val="24"/>
                <w:szCs w:val="24"/>
                <w:lang w:eastAsia="zh-CN"/>
                <w14:textFill>
                  <w14:solidFill>
                    <w14:schemeClr w14:val="tx1"/>
                  </w14:solidFill>
                </w14:textFill>
              </w:rPr>
              <w:t>，</w:t>
            </w:r>
            <w:r>
              <w:rPr>
                <w:rFonts w:hint="eastAsia" w:ascii="Times New Roman" w:hAnsi="Times New Roman" w:eastAsia="宋体"/>
                <w:color w:val="000000" w:themeColor="text1"/>
                <w:sz w:val="24"/>
                <w:szCs w:val="24"/>
                <w14:textFill>
                  <w14:solidFill>
                    <w14:schemeClr w14:val="tx1"/>
                  </w14:solidFill>
                </w14:textFill>
              </w:rPr>
              <w:t>各噪声源</w:t>
            </w:r>
            <w:r>
              <w:rPr>
                <w:rFonts w:hint="eastAsia"/>
                <w:color w:val="000000" w:themeColor="text1"/>
                <w:sz w:val="24"/>
                <w:szCs w:val="24"/>
                <w:lang w:val="en-US" w:eastAsia="zh-CN"/>
                <w14:textFill>
                  <w14:solidFill>
                    <w14:schemeClr w14:val="tx1"/>
                  </w14:solidFill>
                </w14:textFill>
              </w:rPr>
              <w:t>调查</w:t>
            </w:r>
            <w:r>
              <w:rPr>
                <w:rFonts w:hint="eastAsia" w:ascii="Times New Roman" w:hAnsi="Times New Roman" w:eastAsia="宋体"/>
                <w:color w:val="000000" w:themeColor="text1"/>
                <w:sz w:val="24"/>
                <w:szCs w:val="24"/>
                <w14:textFill>
                  <w14:solidFill>
                    <w14:schemeClr w14:val="tx1"/>
                  </w14:solidFill>
                </w14:textFill>
              </w:rPr>
              <w:t>情况见</w:t>
            </w:r>
            <w:r>
              <w:rPr>
                <w:rFonts w:hint="eastAsia"/>
                <w:color w:val="000000" w:themeColor="text1"/>
                <w:sz w:val="24"/>
                <w:szCs w:val="24"/>
                <w:lang w:val="en-US" w:eastAsia="zh-CN"/>
                <w14:textFill>
                  <w14:solidFill>
                    <w14:schemeClr w14:val="tx1"/>
                  </w14:solidFill>
                </w14:textFill>
              </w:rPr>
              <w:t>下表</w:t>
            </w:r>
            <w:r>
              <w:rPr>
                <w:rFonts w:hint="eastAsia"/>
                <w:color w:val="000000" w:themeColor="text1"/>
                <w:sz w:val="24"/>
                <w:szCs w:val="24"/>
                <w:lang w:eastAsia="zh-CN"/>
                <w14:textFill>
                  <w14:solidFill>
                    <w14:schemeClr w14:val="tx1"/>
                  </w14:solidFill>
                </w14:textFill>
              </w:rPr>
              <w:t>。</w:t>
            </w:r>
          </w:p>
          <w:p w14:paraId="3213915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1478" w:firstLineChars="616"/>
              <w:textAlignment w:val="auto"/>
              <w:rPr>
                <w:rFonts w:hint="eastAsia" w:eastAsia="宋体" w:cs="Times New Roman"/>
                <w:color w:val="000000" w:themeColor="text1"/>
                <w:sz w:val="24"/>
                <w:szCs w:val="24"/>
                <w:lang w:val="en-US" w:eastAsia="zh-CN"/>
                <w14:textFill>
                  <w14:solidFill>
                    <w14:schemeClr w14:val="tx1"/>
                  </w14:solidFill>
                </w14:textFill>
              </w:rPr>
            </w:pPr>
          </w:p>
          <w:p w14:paraId="1E5133A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1478" w:firstLineChars="616"/>
              <w:textAlignment w:val="auto"/>
              <w:rPr>
                <w:rFonts w:hint="eastAsia" w:eastAsia="宋体" w:cs="Times New Roman"/>
                <w:color w:val="000000" w:themeColor="text1"/>
                <w:sz w:val="24"/>
                <w:szCs w:val="24"/>
                <w:lang w:val="en-US" w:eastAsia="zh-CN"/>
                <w14:textFill>
                  <w14:solidFill>
                    <w14:schemeClr w14:val="tx1"/>
                  </w14:solidFill>
                </w14:textFill>
              </w:rPr>
            </w:pPr>
          </w:p>
          <w:p w14:paraId="04915C2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1478" w:firstLineChars="616"/>
              <w:textAlignment w:val="auto"/>
              <w:rPr>
                <w:rFonts w:hint="default" w:eastAsia="宋体" w:cs="Times New Roman"/>
                <w:color w:val="000000" w:themeColor="text1"/>
                <w:sz w:val="24"/>
                <w:szCs w:val="24"/>
                <w:lang w:val="en-US" w:eastAsia="zh-CN"/>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表3</w:t>
            </w:r>
            <w:r>
              <w:rPr>
                <w:rFonts w:hint="eastAsia" w:cs="Times New Roman"/>
                <w:color w:val="000000" w:themeColor="text1"/>
                <w:sz w:val="24"/>
                <w:szCs w:val="24"/>
                <w:lang w:val="en-US" w:eastAsia="zh-CN"/>
                <w14:textFill>
                  <w14:solidFill>
                    <w14:schemeClr w14:val="tx1"/>
                  </w14:solidFill>
                </w14:textFill>
              </w:rPr>
              <w:t>5</w:t>
            </w:r>
            <w:r>
              <w:rPr>
                <w:rFonts w:hint="eastAsia" w:eastAsia="宋体" w:cs="Times New Roman"/>
                <w:color w:val="000000" w:themeColor="text1"/>
                <w:sz w:val="24"/>
                <w:szCs w:val="24"/>
                <w:lang w:val="en-US" w:eastAsia="zh-CN"/>
                <w14:textFill>
                  <w14:solidFill>
                    <w14:schemeClr w14:val="tx1"/>
                  </w14:solidFill>
                </w14:textFill>
              </w:rPr>
              <w:t xml:space="preserve">  企业噪声源强调查清单（室外声源）</w:t>
            </w:r>
          </w:p>
          <w:tbl>
            <w:tblPr>
              <w:tblStyle w:val="26"/>
              <w:tblW w:w="4993" w:type="pct"/>
              <w:tblInd w:w="6"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28" w:type="dxa"/>
                <w:bottom w:w="0" w:type="dxa"/>
                <w:right w:w="28" w:type="dxa"/>
              </w:tblCellMar>
            </w:tblPr>
            <w:tblGrid>
              <w:gridCol w:w="367"/>
              <w:gridCol w:w="1464"/>
              <w:gridCol w:w="604"/>
              <w:gridCol w:w="822"/>
              <w:gridCol w:w="822"/>
              <w:gridCol w:w="825"/>
              <w:gridCol w:w="897"/>
              <w:gridCol w:w="1657"/>
              <w:gridCol w:w="499"/>
            </w:tblGrid>
            <w:tr w14:paraId="49FF4CB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0" w:hRule="atLeast"/>
                <w:tblHeader/>
              </w:trPr>
              <w:tc>
                <w:tcPr>
                  <w:tcW w:w="230" w:type="pct"/>
                  <w:vMerge w:val="restart"/>
                  <w:tcBorders>
                    <w:tl2br w:val="nil"/>
                    <w:tr2bl w:val="nil"/>
                  </w:tcBorders>
                  <w:noWrap w:val="0"/>
                  <w:vAlign w:val="center"/>
                </w:tcPr>
                <w:p w14:paraId="06559B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14:textFill>
                        <w14:solidFill>
                          <w14:schemeClr w14:val="tx1"/>
                        </w14:solidFill>
                      </w14:textFill>
                    </w:rPr>
                  </w:pPr>
                  <w:r>
                    <w:rPr>
                      <w:rFonts w:hint="eastAsia" w:ascii="Times New Roman" w:hAnsi="Times New Roman" w:eastAsia="宋体"/>
                      <w:color w:val="000000" w:themeColor="text1"/>
                      <w:szCs w:val="21"/>
                      <w14:textFill>
                        <w14:solidFill>
                          <w14:schemeClr w14:val="tx1"/>
                        </w14:solidFill>
                      </w14:textFill>
                    </w:rPr>
                    <w:t>序</w:t>
                  </w:r>
                </w:p>
                <w:p w14:paraId="4DDDAC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eastAsia="zh-CN"/>
                      <w14:textFill>
                        <w14:solidFill>
                          <w14:schemeClr w14:val="tx1"/>
                        </w14:solidFill>
                      </w14:textFill>
                    </w:rPr>
                  </w:pPr>
                  <w:r>
                    <w:rPr>
                      <w:rFonts w:hint="eastAsia" w:ascii="Times New Roman" w:hAnsi="Times New Roman" w:eastAsia="宋体"/>
                      <w:color w:val="000000" w:themeColor="text1"/>
                      <w:szCs w:val="21"/>
                      <w14:textFill>
                        <w14:solidFill>
                          <w14:schemeClr w14:val="tx1"/>
                        </w14:solidFill>
                      </w14:textFill>
                    </w:rPr>
                    <w:t>号</w:t>
                  </w:r>
                </w:p>
              </w:tc>
              <w:tc>
                <w:tcPr>
                  <w:tcW w:w="919" w:type="pct"/>
                  <w:vMerge w:val="restart"/>
                  <w:tcBorders>
                    <w:tl2br w:val="nil"/>
                    <w:tr2bl w:val="nil"/>
                  </w:tcBorders>
                  <w:noWrap w:val="0"/>
                  <w:vAlign w:val="center"/>
                </w:tcPr>
                <w:p w14:paraId="3509A7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14:textFill>
                        <w14:solidFill>
                          <w14:schemeClr w14:val="tx1"/>
                        </w14:solidFill>
                      </w14:textFill>
                    </w:rPr>
                    <w:t>声源名称</w:t>
                  </w:r>
                </w:p>
              </w:tc>
              <w:tc>
                <w:tcPr>
                  <w:tcW w:w="379" w:type="pct"/>
                  <w:vMerge w:val="restart"/>
                  <w:tcBorders>
                    <w:tl2br w:val="nil"/>
                    <w:tr2bl w:val="nil"/>
                  </w:tcBorders>
                  <w:noWrap w:val="0"/>
                  <w:vAlign w:val="center"/>
                </w:tcPr>
                <w:p w14:paraId="33B125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数量（台）</w:t>
                  </w:r>
                </w:p>
              </w:tc>
              <w:tc>
                <w:tcPr>
                  <w:tcW w:w="1551" w:type="pct"/>
                  <w:gridSpan w:val="3"/>
                  <w:tcBorders>
                    <w:tl2br w:val="nil"/>
                    <w:tr2bl w:val="nil"/>
                  </w:tcBorders>
                  <w:noWrap w:val="0"/>
                  <w:vAlign w:val="center"/>
                </w:tcPr>
                <w:p w14:paraId="53B00E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空间相对位置/m</w:t>
                  </w:r>
                </w:p>
              </w:tc>
              <w:tc>
                <w:tcPr>
                  <w:tcW w:w="563" w:type="pct"/>
                  <w:vMerge w:val="restart"/>
                  <w:tcBorders>
                    <w:tl2br w:val="nil"/>
                    <w:tr2bl w:val="nil"/>
                  </w:tcBorders>
                  <w:noWrap w:val="0"/>
                  <w:vAlign w:val="center"/>
                </w:tcPr>
                <w:p w14:paraId="238743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声功率级</w:t>
                  </w:r>
                  <w:r>
                    <w:rPr>
                      <w:rFonts w:hint="eastAsia" w:cs="Times New Roman"/>
                      <w:color w:val="000000" w:themeColor="text1"/>
                      <w:kern w:val="2"/>
                      <w:sz w:val="21"/>
                      <w:szCs w:val="21"/>
                      <w:lang w:val="en-US" w:eastAsia="zh-CN" w:bidi="ar-SA"/>
                      <w14:textFill>
                        <w14:solidFill>
                          <w14:schemeClr w14:val="tx1"/>
                        </w14:solidFill>
                      </w14:textFill>
                    </w:rPr>
                    <w:t>/dB(A)</w:t>
                  </w:r>
                </w:p>
              </w:tc>
              <w:tc>
                <w:tcPr>
                  <w:tcW w:w="1041" w:type="pct"/>
                  <w:vMerge w:val="restart"/>
                  <w:tcBorders>
                    <w:tl2br w:val="nil"/>
                    <w:tr2bl w:val="nil"/>
                  </w:tcBorders>
                  <w:noWrap w:val="0"/>
                  <w:vAlign w:val="center"/>
                </w:tcPr>
                <w:p w14:paraId="73E63D9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声源控制</w:t>
                  </w:r>
                  <w:r>
                    <w:rPr>
                      <w:rFonts w:hint="eastAsia" w:ascii="Times New Roman" w:hAnsi="Times New Roman" w:eastAsia="宋体"/>
                      <w:color w:val="000000" w:themeColor="text1"/>
                      <w:szCs w:val="21"/>
                      <w14:textFill>
                        <w14:solidFill>
                          <w14:schemeClr w14:val="tx1"/>
                        </w14:solidFill>
                      </w14:textFill>
                    </w:rPr>
                    <w:t>措施</w:t>
                  </w:r>
                </w:p>
              </w:tc>
              <w:tc>
                <w:tcPr>
                  <w:tcW w:w="313" w:type="pct"/>
                  <w:vMerge w:val="restart"/>
                  <w:tcBorders>
                    <w:tl2br w:val="nil"/>
                    <w:tr2bl w:val="nil"/>
                  </w:tcBorders>
                  <w:noWrap w:val="0"/>
                  <w:vAlign w:val="center"/>
                </w:tcPr>
                <w:p w14:paraId="261D96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运行时段</w:t>
                  </w:r>
                </w:p>
              </w:tc>
            </w:tr>
            <w:tr w14:paraId="1AB05FE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230" w:type="pct"/>
                  <w:vMerge w:val="continue"/>
                  <w:tcBorders>
                    <w:tl2br w:val="nil"/>
                    <w:tr2bl w:val="nil"/>
                  </w:tcBorders>
                  <w:noWrap w:val="0"/>
                  <w:vAlign w:val="center"/>
                </w:tcPr>
                <w:p w14:paraId="2B0596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lang w:eastAsia="zh-CN"/>
                      <w14:textFill>
                        <w14:solidFill>
                          <w14:schemeClr w14:val="tx1"/>
                        </w14:solidFill>
                      </w14:textFill>
                    </w:rPr>
                  </w:pPr>
                </w:p>
              </w:tc>
              <w:tc>
                <w:tcPr>
                  <w:tcW w:w="919" w:type="pct"/>
                  <w:vMerge w:val="continue"/>
                  <w:tcBorders>
                    <w:tl2br w:val="nil"/>
                    <w:tr2bl w:val="nil"/>
                  </w:tcBorders>
                  <w:noWrap w:val="0"/>
                  <w:vAlign w:val="center"/>
                </w:tcPr>
                <w:p w14:paraId="02D8CE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379" w:type="pct"/>
                  <w:vMerge w:val="continue"/>
                  <w:tcBorders>
                    <w:tl2br w:val="nil"/>
                    <w:tr2bl w:val="nil"/>
                  </w:tcBorders>
                  <w:noWrap w:val="0"/>
                  <w:vAlign w:val="center"/>
                </w:tcPr>
                <w:p w14:paraId="6C23CC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516" w:type="pct"/>
                  <w:tcBorders>
                    <w:tl2br w:val="nil"/>
                    <w:tr2bl w:val="nil"/>
                  </w:tcBorders>
                  <w:noWrap w:val="0"/>
                  <w:vAlign w:val="center"/>
                </w:tcPr>
                <w:p w14:paraId="71D15E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X</w:t>
                  </w:r>
                </w:p>
              </w:tc>
              <w:tc>
                <w:tcPr>
                  <w:tcW w:w="516" w:type="pct"/>
                  <w:tcBorders>
                    <w:tl2br w:val="nil"/>
                    <w:tr2bl w:val="nil"/>
                  </w:tcBorders>
                  <w:noWrap w:val="0"/>
                  <w:vAlign w:val="center"/>
                </w:tcPr>
                <w:p w14:paraId="5A01C8D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Y</w:t>
                  </w:r>
                </w:p>
              </w:tc>
              <w:tc>
                <w:tcPr>
                  <w:tcW w:w="518" w:type="pct"/>
                  <w:tcBorders>
                    <w:tl2br w:val="nil"/>
                    <w:tr2bl w:val="nil"/>
                  </w:tcBorders>
                  <w:noWrap w:val="0"/>
                  <w:vAlign w:val="center"/>
                </w:tcPr>
                <w:p w14:paraId="792C77F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Z</w:t>
                  </w:r>
                </w:p>
              </w:tc>
              <w:tc>
                <w:tcPr>
                  <w:tcW w:w="563" w:type="pct"/>
                  <w:vMerge w:val="continue"/>
                  <w:tcBorders>
                    <w:tl2br w:val="nil"/>
                    <w:tr2bl w:val="nil"/>
                  </w:tcBorders>
                  <w:noWrap w:val="0"/>
                  <w:vAlign w:val="center"/>
                </w:tcPr>
                <w:p w14:paraId="0707BD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14:textFill>
                        <w14:solidFill>
                          <w14:schemeClr w14:val="tx1"/>
                        </w14:solidFill>
                      </w14:textFill>
                    </w:rPr>
                  </w:pPr>
                </w:p>
              </w:tc>
              <w:tc>
                <w:tcPr>
                  <w:tcW w:w="1041" w:type="pct"/>
                  <w:vMerge w:val="continue"/>
                  <w:tcBorders>
                    <w:tl2br w:val="nil"/>
                    <w:tr2bl w:val="nil"/>
                  </w:tcBorders>
                  <w:noWrap w:val="0"/>
                  <w:vAlign w:val="center"/>
                </w:tcPr>
                <w:p w14:paraId="6338EF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14:textFill>
                        <w14:solidFill>
                          <w14:schemeClr w14:val="tx1"/>
                        </w14:solidFill>
                      </w14:textFill>
                    </w:rPr>
                  </w:pPr>
                </w:p>
              </w:tc>
              <w:tc>
                <w:tcPr>
                  <w:tcW w:w="313" w:type="pct"/>
                  <w:vMerge w:val="continue"/>
                  <w:tcBorders>
                    <w:tl2br w:val="nil"/>
                    <w:tr2bl w:val="nil"/>
                  </w:tcBorders>
                  <w:noWrap w:val="0"/>
                  <w:vAlign w:val="center"/>
                </w:tcPr>
                <w:p w14:paraId="2FA9C1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14:textFill>
                        <w14:solidFill>
                          <w14:schemeClr w14:val="tx1"/>
                        </w14:solidFill>
                      </w14:textFill>
                    </w:rPr>
                  </w:pPr>
                </w:p>
              </w:tc>
            </w:tr>
            <w:tr w14:paraId="4B6D2A4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230" w:type="pct"/>
                  <w:tcBorders>
                    <w:tl2br w:val="nil"/>
                    <w:tr2bl w:val="nil"/>
                  </w:tcBorders>
                  <w:noWrap w:val="0"/>
                  <w:vAlign w:val="center"/>
                </w:tcPr>
                <w:p w14:paraId="13968D3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w:t>
                  </w:r>
                </w:p>
              </w:tc>
              <w:tc>
                <w:tcPr>
                  <w:tcW w:w="919" w:type="pct"/>
                  <w:tcBorders>
                    <w:tl2br w:val="nil"/>
                    <w:tr2bl w:val="nil"/>
                  </w:tcBorders>
                  <w:shd w:val="clear" w:color="auto" w:fill="FFFFFF"/>
                  <w:noWrap w:val="0"/>
                  <w:vAlign w:val="center"/>
                </w:tcPr>
                <w:p w14:paraId="1C4BBC3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冷却塔</w:t>
                  </w:r>
                </w:p>
              </w:tc>
              <w:tc>
                <w:tcPr>
                  <w:tcW w:w="379" w:type="pct"/>
                  <w:tcBorders>
                    <w:tl2br w:val="nil"/>
                    <w:tr2bl w:val="nil"/>
                  </w:tcBorders>
                  <w:noWrap w:val="0"/>
                  <w:vAlign w:val="center"/>
                </w:tcPr>
                <w:p w14:paraId="040A4EF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w:t>
                  </w:r>
                </w:p>
              </w:tc>
              <w:tc>
                <w:tcPr>
                  <w:tcW w:w="822" w:type="dxa"/>
                  <w:tcBorders>
                    <w:tl2br w:val="nil"/>
                    <w:tr2bl w:val="nil"/>
                  </w:tcBorders>
                  <w:shd w:val="clear" w:color="auto" w:fill="FFFFFF"/>
                  <w:noWrap w:val="0"/>
                  <w:vAlign w:val="center"/>
                </w:tcPr>
                <w:p w14:paraId="15DBBA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-7.1</w:t>
                  </w:r>
                </w:p>
              </w:tc>
              <w:tc>
                <w:tcPr>
                  <w:tcW w:w="822" w:type="dxa"/>
                  <w:tcBorders>
                    <w:tl2br w:val="nil"/>
                    <w:tr2bl w:val="nil"/>
                  </w:tcBorders>
                  <w:shd w:val="clear" w:color="auto" w:fill="FFFFFF"/>
                  <w:noWrap w:val="0"/>
                  <w:vAlign w:val="center"/>
                </w:tcPr>
                <w:p w14:paraId="3AF1BC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-151</w:t>
                  </w:r>
                </w:p>
              </w:tc>
              <w:tc>
                <w:tcPr>
                  <w:tcW w:w="825" w:type="dxa"/>
                  <w:tcBorders>
                    <w:tl2br w:val="nil"/>
                    <w:tr2bl w:val="nil"/>
                  </w:tcBorders>
                  <w:shd w:val="clear" w:color="auto" w:fill="FFFFFF"/>
                  <w:noWrap w:val="0"/>
                  <w:vAlign w:val="center"/>
                </w:tcPr>
                <w:p w14:paraId="42386A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563" w:type="pct"/>
                  <w:tcBorders>
                    <w:tl2br w:val="nil"/>
                    <w:tr2bl w:val="nil"/>
                  </w:tcBorders>
                  <w:shd w:val="clear" w:color="auto" w:fill="FFFFFF"/>
                  <w:noWrap w:val="0"/>
                  <w:vAlign w:val="center"/>
                </w:tcPr>
                <w:p w14:paraId="179DC4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85</w:t>
                  </w:r>
                </w:p>
              </w:tc>
              <w:tc>
                <w:tcPr>
                  <w:tcW w:w="1041" w:type="pct"/>
                  <w:tcBorders>
                    <w:tl2br w:val="nil"/>
                    <w:tr2bl w:val="nil"/>
                  </w:tcBorders>
                  <w:shd w:val="clear" w:color="auto" w:fill="FFFFFF"/>
                  <w:noWrap w:val="0"/>
                  <w:vAlign w:val="center"/>
                </w:tcPr>
                <w:p w14:paraId="550A84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14:textFill>
                        <w14:solidFill>
                          <w14:schemeClr w14:val="tx1"/>
                        </w14:solidFill>
                      </w14:textFill>
                    </w:rPr>
                    <w:t>基础减振+软连接</w:t>
                  </w:r>
                </w:p>
              </w:tc>
              <w:tc>
                <w:tcPr>
                  <w:tcW w:w="313" w:type="pct"/>
                  <w:tcBorders>
                    <w:tl2br w:val="nil"/>
                    <w:tr2bl w:val="nil"/>
                  </w:tcBorders>
                  <w:shd w:val="clear" w:color="auto" w:fill="FFFFFF"/>
                  <w:noWrap w:val="0"/>
                  <w:vAlign w:val="center"/>
                </w:tcPr>
                <w:p w14:paraId="010B9C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14:textFill>
                        <w14:solidFill>
                          <w14:schemeClr w14:val="tx1"/>
                        </w14:solidFill>
                      </w14:textFill>
                    </w:rPr>
                    <w:t>24</w:t>
                  </w:r>
                </w:p>
              </w:tc>
            </w:tr>
          </w:tbl>
          <w:p w14:paraId="349CAE01">
            <w:pPr>
              <w:keepNext w:val="0"/>
              <w:keepLines w:val="0"/>
              <w:pageBreakBefore w:val="0"/>
              <w:widowControl w:val="0"/>
              <w:kinsoku/>
              <w:wordWrap/>
              <w:overflowPunct/>
              <w:topLinePunct w:val="0"/>
              <w:autoSpaceDE/>
              <w:autoSpaceDN/>
              <w:bidi w:val="0"/>
              <w:adjustRightInd w:val="0"/>
              <w:snapToGrid w:val="0"/>
              <w:spacing w:before="157" w:beforeLines="50" w:line="240" w:lineRule="auto"/>
              <w:ind w:left="0" w:leftChars="0" w:firstLine="1478" w:firstLineChars="616"/>
              <w:textAlignment w:val="auto"/>
              <w:rPr>
                <w:rFonts w:hint="default" w:eastAsia="宋体" w:cs="Times New Roman"/>
                <w:color w:val="000000" w:themeColor="text1"/>
                <w:sz w:val="24"/>
                <w:szCs w:val="24"/>
                <w:lang w:val="en-US" w:eastAsia="zh-CN"/>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表3</w:t>
            </w:r>
            <w:r>
              <w:rPr>
                <w:rFonts w:hint="eastAsia" w:cs="Times New Roman"/>
                <w:color w:val="000000" w:themeColor="text1"/>
                <w:sz w:val="24"/>
                <w:szCs w:val="24"/>
                <w:lang w:val="en-US" w:eastAsia="zh-CN"/>
                <w14:textFill>
                  <w14:solidFill>
                    <w14:schemeClr w14:val="tx1"/>
                  </w14:solidFill>
                </w14:textFill>
              </w:rPr>
              <w:t>6</w:t>
            </w:r>
            <w:r>
              <w:rPr>
                <w:rFonts w:hint="eastAsia" w:eastAsia="宋体" w:cs="Times New Roman"/>
                <w:color w:val="000000" w:themeColor="text1"/>
                <w:sz w:val="24"/>
                <w:szCs w:val="24"/>
                <w:lang w:val="en-US" w:eastAsia="zh-CN"/>
                <w14:textFill>
                  <w14:solidFill>
                    <w14:schemeClr w14:val="tx1"/>
                  </w14:solidFill>
                </w14:textFill>
              </w:rPr>
              <w:t xml:space="preserve">  企业噪声源强调查清单（室内声源）</w:t>
            </w:r>
          </w:p>
          <w:tbl>
            <w:tblPr>
              <w:tblStyle w:val="26"/>
              <w:tblW w:w="4994" w:type="pct"/>
              <w:tblInd w:w="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32"/>
              <w:gridCol w:w="855"/>
              <w:gridCol w:w="510"/>
              <w:gridCol w:w="677"/>
              <w:gridCol w:w="688"/>
              <w:gridCol w:w="412"/>
              <w:gridCol w:w="412"/>
              <w:gridCol w:w="413"/>
              <w:gridCol w:w="424"/>
              <w:gridCol w:w="424"/>
              <w:gridCol w:w="424"/>
              <w:gridCol w:w="425"/>
              <w:gridCol w:w="266"/>
              <w:gridCol w:w="424"/>
              <w:gridCol w:w="424"/>
              <w:gridCol w:w="424"/>
              <w:gridCol w:w="425"/>
            </w:tblGrid>
            <w:tr w14:paraId="2BFFDC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tblHeader/>
              </w:trPr>
              <w:tc>
                <w:tcPr>
                  <w:tcW w:w="208" w:type="pct"/>
                  <w:vMerge w:val="restart"/>
                  <w:tcBorders>
                    <w:tl2br w:val="nil"/>
                    <w:tr2bl w:val="nil"/>
                  </w:tcBorders>
                  <w:noWrap w:val="0"/>
                  <w:vAlign w:val="center"/>
                </w:tcPr>
                <w:p w14:paraId="137D73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14:textFill>
                        <w14:solidFill>
                          <w14:schemeClr w14:val="tx1"/>
                        </w14:solidFill>
                      </w14:textFill>
                    </w:rPr>
                  </w:pPr>
                  <w:r>
                    <w:rPr>
                      <w:rFonts w:hint="eastAsia" w:ascii="Times New Roman" w:hAnsi="Times New Roman" w:eastAsia="宋体"/>
                      <w:color w:val="000000" w:themeColor="text1"/>
                      <w:szCs w:val="21"/>
                      <w14:textFill>
                        <w14:solidFill>
                          <w14:schemeClr w14:val="tx1"/>
                        </w14:solidFill>
                      </w14:textFill>
                    </w:rPr>
                    <w:t>序</w:t>
                  </w:r>
                </w:p>
                <w:p w14:paraId="5FA66D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eastAsia="zh-CN"/>
                      <w14:textFill>
                        <w14:solidFill>
                          <w14:schemeClr w14:val="tx1"/>
                        </w14:solidFill>
                      </w14:textFill>
                    </w:rPr>
                  </w:pPr>
                  <w:r>
                    <w:rPr>
                      <w:rFonts w:hint="eastAsia" w:ascii="Times New Roman" w:hAnsi="Times New Roman" w:eastAsia="宋体"/>
                      <w:color w:val="000000" w:themeColor="text1"/>
                      <w:szCs w:val="21"/>
                      <w14:textFill>
                        <w14:solidFill>
                          <w14:schemeClr w14:val="tx1"/>
                        </w14:solidFill>
                      </w14:textFill>
                    </w:rPr>
                    <w:t>号</w:t>
                  </w:r>
                </w:p>
              </w:tc>
              <w:tc>
                <w:tcPr>
                  <w:tcW w:w="537" w:type="pct"/>
                  <w:vMerge w:val="restart"/>
                  <w:tcBorders>
                    <w:tl2br w:val="nil"/>
                    <w:tr2bl w:val="nil"/>
                  </w:tcBorders>
                  <w:noWrap w:val="0"/>
                  <w:vAlign w:val="center"/>
                </w:tcPr>
                <w:p w14:paraId="41CE29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14:textFill>
                        <w14:solidFill>
                          <w14:schemeClr w14:val="tx1"/>
                        </w14:solidFill>
                      </w14:textFill>
                    </w:rPr>
                    <w:t>声源名称</w:t>
                  </w:r>
                </w:p>
              </w:tc>
              <w:tc>
                <w:tcPr>
                  <w:tcW w:w="320" w:type="pct"/>
                  <w:vMerge w:val="restart"/>
                  <w:tcBorders>
                    <w:tl2br w:val="nil"/>
                    <w:tr2bl w:val="nil"/>
                  </w:tcBorders>
                  <w:noWrap w:val="0"/>
                  <w:vAlign w:val="center"/>
                </w:tcPr>
                <w:p w14:paraId="3ACAD5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数量</w:t>
                  </w:r>
                </w:p>
                <w:p w14:paraId="3AC05D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(台)</w:t>
                  </w:r>
                </w:p>
              </w:tc>
              <w:tc>
                <w:tcPr>
                  <w:tcW w:w="425" w:type="pct"/>
                  <w:vMerge w:val="restart"/>
                  <w:tcBorders>
                    <w:tl2br w:val="nil"/>
                    <w:tr2bl w:val="nil"/>
                  </w:tcBorders>
                  <w:noWrap w:val="0"/>
                  <w:vAlign w:val="center"/>
                </w:tcPr>
                <w:p w14:paraId="794FCE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声源源强</w:t>
                  </w:r>
                </w:p>
                <w:p w14:paraId="08ED14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/dB(A)</w:t>
                  </w:r>
                </w:p>
              </w:tc>
              <w:tc>
                <w:tcPr>
                  <w:tcW w:w="432" w:type="pct"/>
                  <w:vMerge w:val="restart"/>
                  <w:tcBorders>
                    <w:tl2br w:val="nil"/>
                    <w:tr2bl w:val="nil"/>
                  </w:tcBorders>
                  <w:noWrap w:val="0"/>
                  <w:vAlign w:val="center"/>
                </w:tcPr>
                <w:p w14:paraId="41528B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声源控制</w:t>
                  </w:r>
                  <w:r>
                    <w:rPr>
                      <w:rFonts w:hint="eastAsia" w:ascii="Times New Roman" w:hAnsi="Times New Roman" w:eastAsia="宋体"/>
                      <w:color w:val="000000" w:themeColor="text1"/>
                      <w:szCs w:val="21"/>
                      <w14:textFill>
                        <w14:solidFill>
                          <w14:schemeClr w14:val="tx1"/>
                        </w14:solidFill>
                      </w14:textFill>
                    </w:rPr>
                    <w:t>措施</w:t>
                  </w:r>
                </w:p>
              </w:tc>
              <w:tc>
                <w:tcPr>
                  <w:tcW w:w="777" w:type="pct"/>
                  <w:gridSpan w:val="3"/>
                  <w:tcBorders>
                    <w:tl2br w:val="nil"/>
                    <w:tr2bl w:val="nil"/>
                  </w:tcBorders>
                  <w:noWrap w:val="0"/>
                  <w:vAlign w:val="center"/>
                </w:tcPr>
                <w:p w14:paraId="62FC7B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空间相对位置/m</w:t>
                  </w:r>
                </w:p>
              </w:tc>
              <w:tc>
                <w:tcPr>
                  <w:tcW w:w="1066" w:type="pct"/>
                  <w:gridSpan w:val="4"/>
                  <w:tcBorders>
                    <w:tl2br w:val="nil"/>
                    <w:tr2bl w:val="nil"/>
                  </w:tcBorders>
                  <w:noWrap w:val="0"/>
                  <w:vAlign w:val="center"/>
                </w:tcPr>
                <w:p w14:paraId="12D8FD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14:textFill>
                        <w14:solidFill>
                          <w14:schemeClr w14:val="tx1"/>
                        </w14:solidFill>
                      </w14:textFill>
                    </w:rPr>
                  </w:pPr>
                  <w:r>
                    <w:rPr>
                      <w:rFonts w:hint="eastAsia" w:ascii="Times New Roman" w:hAnsi="Times New Roman" w:eastAsia="宋体"/>
                      <w:color w:val="000000" w:themeColor="text1"/>
                      <w:szCs w:val="21"/>
                      <w14:textFill>
                        <w14:solidFill>
                          <w14:schemeClr w14:val="tx1"/>
                        </w14:solidFill>
                      </w14:textFill>
                    </w:rPr>
                    <w:t>距室内边界距离/m</w:t>
                  </w:r>
                </w:p>
              </w:tc>
              <w:tc>
                <w:tcPr>
                  <w:tcW w:w="167" w:type="pct"/>
                  <w:vMerge w:val="restart"/>
                  <w:tcBorders>
                    <w:tl2br w:val="nil"/>
                    <w:tr2bl w:val="nil"/>
                  </w:tcBorders>
                  <w:noWrap w:val="0"/>
                  <w:vAlign w:val="center"/>
                </w:tcPr>
                <w:p w14:paraId="4E7468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运行</w:t>
                  </w:r>
                </w:p>
                <w:p w14:paraId="15F370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时段</w:t>
                  </w:r>
                </w:p>
              </w:tc>
              <w:tc>
                <w:tcPr>
                  <w:tcW w:w="1066" w:type="pct"/>
                  <w:gridSpan w:val="4"/>
                  <w:tcBorders>
                    <w:tl2br w:val="nil"/>
                    <w:tr2bl w:val="nil"/>
                  </w:tcBorders>
                  <w:noWrap w:val="0"/>
                  <w:vAlign w:val="center"/>
                </w:tcPr>
                <w:p w14:paraId="68031A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建筑物插入损失</w:t>
                  </w:r>
                  <w:r>
                    <w:rPr>
                      <w:rFonts w:hint="default" w:ascii="Times New Roman" w:hAnsi="Times New Roman" w:eastAsia="宋体"/>
                      <w:color w:val="000000" w:themeColor="text1"/>
                      <w:szCs w:val="21"/>
                      <w:lang w:val="en-US" w:eastAsia="zh-CN"/>
                      <w14:textFill>
                        <w14:solidFill>
                          <w14:schemeClr w14:val="tx1"/>
                        </w14:solidFill>
                      </w14:textFill>
                    </w:rPr>
                    <w:t>/dB(A)</w:t>
                  </w:r>
                </w:p>
              </w:tc>
            </w:tr>
            <w:tr w14:paraId="6B0091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12" w:hRule="atLeast"/>
              </w:trPr>
              <w:tc>
                <w:tcPr>
                  <w:tcW w:w="208" w:type="pct"/>
                  <w:vMerge w:val="continue"/>
                  <w:tcBorders>
                    <w:tl2br w:val="nil"/>
                    <w:tr2bl w:val="nil"/>
                  </w:tcBorders>
                  <w:noWrap w:val="0"/>
                  <w:vAlign w:val="center"/>
                </w:tcPr>
                <w:p w14:paraId="44004F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eastAsia="zh-CN"/>
                      <w14:textFill>
                        <w14:solidFill>
                          <w14:schemeClr w14:val="tx1"/>
                        </w14:solidFill>
                      </w14:textFill>
                    </w:rPr>
                  </w:pPr>
                </w:p>
              </w:tc>
              <w:tc>
                <w:tcPr>
                  <w:tcW w:w="537" w:type="pct"/>
                  <w:vMerge w:val="continue"/>
                  <w:tcBorders>
                    <w:tl2br w:val="nil"/>
                    <w:tr2bl w:val="nil"/>
                  </w:tcBorders>
                  <w:noWrap w:val="0"/>
                  <w:vAlign w:val="center"/>
                </w:tcPr>
                <w:p w14:paraId="192887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320" w:type="pct"/>
                  <w:vMerge w:val="continue"/>
                  <w:tcBorders>
                    <w:tl2br w:val="nil"/>
                    <w:tr2bl w:val="nil"/>
                  </w:tcBorders>
                  <w:noWrap w:val="0"/>
                  <w:vAlign w:val="center"/>
                </w:tcPr>
                <w:p w14:paraId="35C151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425" w:type="pct"/>
                  <w:vMerge w:val="continue"/>
                  <w:tcBorders>
                    <w:tl2br w:val="nil"/>
                    <w:tr2bl w:val="nil"/>
                  </w:tcBorders>
                  <w:noWrap w:val="0"/>
                  <w:vAlign w:val="center"/>
                </w:tcPr>
                <w:p w14:paraId="7546C3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432" w:type="pct"/>
                  <w:vMerge w:val="continue"/>
                  <w:tcBorders>
                    <w:tl2br w:val="nil"/>
                    <w:tr2bl w:val="nil"/>
                  </w:tcBorders>
                  <w:noWrap w:val="0"/>
                  <w:vAlign w:val="center"/>
                </w:tcPr>
                <w:p w14:paraId="599BF6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14:textFill>
                        <w14:solidFill>
                          <w14:schemeClr w14:val="tx1"/>
                        </w14:solidFill>
                      </w14:textFill>
                    </w:rPr>
                  </w:pPr>
                </w:p>
              </w:tc>
              <w:tc>
                <w:tcPr>
                  <w:tcW w:w="258" w:type="pct"/>
                  <w:tcBorders>
                    <w:tl2br w:val="nil"/>
                    <w:tr2bl w:val="nil"/>
                  </w:tcBorders>
                  <w:noWrap w:val="0"/>
                  <w:vAlign w:val="center"/>
                </w:tcPr>
                <w:p w14:paraId="3F113B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X</w:t>
                  </w:r>
                </w:p>
              </w:tc>
              <w:tc>
                <w:tcPr>
                  <w:tcW w:w="258" w:type="pct"/>
                  <w:tcBorders>
                    <w:tl2br w:val="nil"/>
                    <w:tr2bl w:val="nil"/>
                  </w:tcBorders>
                  <w:noWrap w:val="0"/>
                  <w:vAlign w:val="center"/>
                </w:tcPr>
                <w:p w14:paraId="41F8C9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Y</w:t>
                  </w:r>
                </w:p>
              </w:tc>
              <w:tc>
                <w:tcPr>
                  <w:tcW w:w="259" w:type="pct"/>
                  <w:tcBorders>
                    <w:tl2br w:val="nil"/>
                    <w:tr2bl w:val="nil"/>
                  </w:tcBorders>
                  <w:noWrap w:val="0"/>
                  <w:vAlign w:val="center"/>
                </w:tcPr>
                <w:p w14:paraId="6CD2DC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Z</w:t>
                  </w:r>
                </w:p>
              </w:tc>
              <w:tc>
                <w:tcPr>
                  <w:tcW w:w="266" w:type="pct"/>
                  <w:tcBorders>
                    <w:tl2br w:val="nil"/>
                    <w:tr2bl w:val="nil"/>
                  </w:tcBorders>
                  <w:shd w:val="clear" w:color="auto" w:fill="auto"/>
                  <w:noWrap w:val="0"/>
                  <w:vAlign w:val="center"/>
                </w:tcPr>
                <w:p w14:paraId="1C01C1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东</w:t>
                  </w:r>
                </w:p>
              </w:tc>
              <w:tc>
                <w:tcPr>
                  <w:tcW w:w="266" w:type="pct"/>
                  <w:tcBorders>
                    <w:tl2br w:val="nil"/>
                    <w:tr2bl w:val="nil"/>
                  </w:tcBorders>
                  <w:shd w:val="clear" w:color="auto" w:fill="auto"/>
                  <w:noWrap w:val="0"/>
                  <w:vAlign w:val="center"/>
                </w:tcPr>
                <w:p w14:paraId="441615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南</w:t>
                  </w:r>
                </w:p>
              </w:tc>
              <w:tc>
                <w:tcPr>
                  <w:tcW w:w="266" w:type="pct"/>
                  <w:tcBorders>
                    <w:tl2br w:val="nil"/>
                    <w:tr2bl w:val="nil"/>
                  </w:tcBorders>
                  <w:shd w:val="clear" w:color="auto" w:fill="auto"/>
                  <w:noWrap w:val="0"/>
                  <w:vAlign w:val="center"/>
                </w:tcPr>
                <w:p w14:paraId="42CDFB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西</w:t>
                  </w:r>
                </w:p>
              </w:tc>
              <w:tc>
                <w:tcPr>
                  <w:tcW w:w="266" w:type="pct"/>
                  <w:tcBorders>
                    <w:tl2br w:val="nil"/>
                    <w:tr2bl w:val="nil"/>
                  </w:tcBorders>
                  <w:shd w:val="clear" w:color="auto" w:fill="auto"/>
                  <w:noWrap w:val="0"/>
                  <w:vAlign w:val="center"/>
                </w:tcPr>
                <w:p w14:paraId="794503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北</w:t>
                  </w:r>
                </w:p>
              </w:tc>
              <w:tc>
                <w:tcPr>
                  <w:tcW w:w="167" w:type="pct"/>
                  <w:vMerge w:val="continue"/>
                  <w:tcBorders>
                    <w:tl2br w:val="nil"/>
                    <w:tr2bl w:val="nil"/>
                  </w:tcBorders>
                  <w:noWrap w:val="0"/>
                  <w:vAlign w:val="center"/>
                </w:tcPr>
                <w:p w14:paraId="1569A8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14:textFill>
                        <w14:solidFill>
                          <w14:schemeClr w14:val="tx1"/>
                        </w14:solidFill>
                      </w14:textFill>
                    </w:rPr>
                  </w:pPr>
                </w:p>
              </w:tc>
              <w:tc>
                <w:tcPr>
                  <w:tcW w:w="266" w:type="pct"/>
                  <w:tcBorders>
                    <w:tl2br w:val="nil"/>
                    <w:tr2bl w:val="nil"/>
                  </w:tcBorders>
                  <w:shd w:val="clear" w:color="auto" w:fill="auto"/>
                  <w:noWrap w:val="0"/>
                  <w:vAlign w:val="center"/>
                </w:tcPr>
                <w:p w14:paraId="3BF0D9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东</w:t>
                  </w:r>
                </w:p>
              </w:tc>
              <w:tc>
                <w:tcPr>
                  <w:tcW w:w="266" w:type="pct"/>
                  <w:tcBorders>
                    <w:tl2br w:val="nil"/>
                    <w:tr2bl w:val="nil"/>
                  </w:tcBorders>
                  <w:shd w:val="clear" w:color="auto" w:fill="auto"/>
                  <w:noWrap w:val="0"/>
                  <w:vAlign w:val="center"/>
                </w:tcPr>
                <w:p w14:paraId="7BA940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南</w:t>
                  </w:r>
                </w:p>
              </w:tc>
              <w:tc>
                <w:tcPr>
                  <w:tcW w:w="266" w:type="pct"/>
                  <w:tcBorders>
                    <w:tl2br w:val="nil"/>
                    <w:tr2bl w:val="nil"/>
                  </w:tcBorders>
                  <w:shd w:val="clear" w:color="auto" w:fill="auto"/>
                  <w:noWrap w:val="0"/>
                  <w:vAlign w:val="center"/>
                </w:tcPr>
                <w:p w14:paraId="15E1B1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西</w:t>
                  </w:r>
                </w:p>
              </w:tc>
              <w:tc>
                <w:tcPr>
                  <w:tcW w:w="266" w:type="pct"/>
                  <w:tcBorders>
                    <w:tl2br w:val="nil"/>
                    <w:tr2bl w:val="nil"/>
                  </w:tcBorders>
                  <w:shd w:val="clear" w:color="auto" w:fill="auto"/>
                  <w:noWrap w:val="0"/>
                  <w:vAlign w:val="center"/>
                </w:tcPr>
                <w:p w14:paraId="3D9DCE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北</w:t>
                  </w:r>
                </w:p>
              </w:tc>
            </w:tr>
            <w:tr w14:paraId="1BD8FE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4FBA9E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w:t>
                  </w:r>
                </w:p>
              </w:tc>
              <w:tc>
                <w:tcPr>
                  <w:tcW w:w="537" w:type="pct"/>
                  <w:tcBorders>
                    <w:tl2br w:val="nil"/>
                    <w:tr2bl w:val="nil"/>
                  </w:tcBorders>
                  <w:noWrap w:val="0"/>
                  <w:vAlign w:val="center"/>
                </w:tcPr>
                <w:p w14:paraId="381DC2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default" w:ascii="Times New Roman" w:hAnsi="Times New Roman" w:eastAsia="宋体"/>
                      <w:color w:val="000000" w:themeColor="text1"/>
                      <w:szCs w:val="21"/>
                      <w:lang w:val="en-US" w:eastAsia="zh-CN"/>
                      <w14:textFill>
                        <w14:solidFill>
                          <w14:schemeClr w14:val="tx1"/>
                        </w14:solidFill>
                      </w14:textFill>
                    </w:rPr>
                    <w:t>热风循环式烘箱</w:t>
                  </w:r>
                </w:p>
              </w:tc>
              <w:tc>
                <w:tcPr>
                  <w:tcW w:w="320" w:type="pct"/>
                  <w:tcBorders>
                    <w:tl2br w:val="nil"/>
                    <w:tr2bl w:val="nil"/>
                  </w:tcBorders>
                  <w:noWrap w:val="0"/>
                  <w:vAlign w:val="center"/>
                </w:tcPr>
                <w:p w14:paraId="06AE1E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20</w:t>
                  </w:r>
                </w:p>
              </w:tc>
              <w:tc>
                <w:tcPr>
                  <w:tcW w:w="425" w:type="pct"/>
                  <w:tcBorders>
                    <w:tl2br w:val="nil"/>
                    <w:tr2bl w:val="nil"/>
                  </w:tcBorders>
                  <w:shd w:val="clear" w:color="auto" w:fill="FFFFFF"/>
                  <w:noWrap w:val="0"/>
                  <w:vAlign w:val="center"/>
                </w:tcPr>
                <w:p w14:paraId="6F0FDC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75</w:t>
                  </w:r>
                </w:p>
              </w:tc>
              <w:tc>
                <w:tcPr>
                  <w:tcW w:w="432" w:type="pct"/>
                  <w:tcBorders>
                    <w:tl2br w:val="nil"/>
                    <w:tr2bl w:val="nil"/>
                  </w:tcBorders>
                  <w:shd w:val="clear" w:color="auto" w:fill="FFFFFF"/>
                  <w:noWrap w:val="0"/>
                  <w:vAlign w:val="center"/>
                </w:tcPr>
                <w:p w14:paraId="5F7283B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4D21C5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4.5</w:t>
                  </w:r>
                </w:p>
              </w:tc>
              <w:tc>
                <w:tcPr>
                  <w:tcW w:w="258" w:type="pct"/>
                  <w:tcBorders>
                    <w:tl2br w:val="nil"/>
                    <w:tr2bl w:val="nil"/>
                  </w:tcBorders>
                  <w:shd w:val="clear" w:color="auto" w:fill="FFFFFF"/>
                  <w:noWrap w:val="0"/>
                  <w:vAlign w:val="center"/>
                </w:tcPr>
                <w:p w14:paraId="1D308E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-93.4</w:t>
                  </w:r>
                </w:p>
              </w:tc>
              <w:tc>
                <w:tcPr>
                  <w:tcW w:w="259" w:type="pct"/>
                  <w:tcBorders>
                    <w:tl2br w:val="nil"/>
                    <w:tr2bl w:val="nil"/>
                  </w:tcBorders>
                  <w:shd w:val="clear" w:color="auto" w:fill="FFFFFF"/>
                  <w:noWrap w:val="0"/>
                  <w:vAlign w:val="center"/>
                </w:tcPr>
                <w:p w14:paraId="58D711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732878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23.2</w:t>
                  </w:r>
                </w:p>
              </w:tc>
              <w:tc>
                <w:tcPr>
                  <w:tcW w:w="266" w:type="pct"/>
                  <w:tcBorders>
                    <w:tl2br w:val="nil"/>
                    <w:tr2bl w:val="nil"/>
                  </w:tcBorders>
                  <w:shd w:val="clear" w:color="auto" w:fill="FFFFFF"/>
                  <w:noWrap w:val="0"/>
                  <w:vAlign w:val="center"/>
                </w:tcPr>
                <w:p w14:paraId="4217BD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54.5</w:t>
                  </w:r>
                </w:p>
              </w:tc>
              <w:tc>
                <w:tcPr>
                  <w:tcW w:w="266" w:type="pct"/>
                  <w:tcBorders>
                    <w:tl2br w:val="nil"/>
                    <w:tr2bl w:val="nil"/>
                  </w:tcBorders>
                  <w:shd w:val="clear" w:color="auto" w:fill="FFFFFF"/>
                  <w:noWrap w:val="0"/>
                  <w:vAlign w:val="center"/>
                </w:tcPr>
                <w:p w14:paraId="549C08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10.8</w:t>
                  </w:r>
                </w:p>
              </w:tc>
              <w:tc>
                <w:tcPr>
                  <w:tcW w:w="266" w:type="pct"/>
                  <w:tcBorders>
                    <w:tl2br w:val="nil"/>
                    <w:tr2bl w:val="nil"/>
                  </w:tcBorders>
                  <w:shd w:val="clear" w:color="auto" w:fill="FFFFFF"/>
                  <w:noWrap w:val="0"/>
                  <w:vAlign w:val="center"/>
                </w:tcPr>
                <w:p w14:paraId="3A8935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16.5</w:t>
                  </w:r>
                </w:p>
              </w:tc>
              <w:tc>
                <w:tcPr>
                  <w:tcW w:w="167" w:type="pct"/>
                  <w:tcBorders>
                    <w:tl2br w:val="nil"/>
                    <w:tr2bl w:val="nil"/>
                  </w:tcBorders>
                  <w:shd w:val="clear" w:color="auto" w:fill="FFFFFF"/>
                  <w:noWrap w:val="0"/>
                  <w:vAlign w:val="center"/>
                </w:tcPr>
                <w:p w14:paraId="32CE67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15E6BC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31.2</w:t>
                  </w:r>
                </w:p>
              </w:tc>
              <w:tc>
                <w:tcPr>
                  <w:tcW w:w="266" w:type="pct"/>
                  <w:tcBorders>
                    <w:tl2br w:val="nil"/>
                    <w:tr2bl w:val="nil"/>
                  </w:tcBorders>
                  <w:shd w:val="clear" w:color="auto" w:fill="FFFFFF"/>
                  <w:noWrap w:val="0"/>
                  <w:vAlign w:val="center"/>
                </w:tcPr>
                <w:p w14:paraId="28021D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31.2</w:t>
                  </w:r>
                </w:p>
              </w:tc>
              <w:tc>
                <w:tcPr>
                  <w:tcW w:w="266" w:type="pct"/>
                  <w:tcBorders>
                    <w:tl2br w:val="nil"/>
                    <w:tr2bl w:val="nil"/>
                  </w:tcBorders>
                  <w:shd w:val="clear" w:color="auto" w:fill="FFFFFF"/>
                  <w:noWrap w:val="0"/>
                  <w:vAlign w:val="center"/>
                </w:tcPr>
                <w:p w14:paraId="7BBBFC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31.4</w:t>
                  </w:r>
                </w:p>
              </w:tc>
              <w:tc>
                <w:tcPr>
                  <w:tcW w:w="266" w:type="pct"/>
                  <w:tcBorders>
                    <w:tl2br w:val="nil"/>
                    <w:tr2bl w:val="nil"/>
                  </w:tcBorders>
                  <w:shd w:val="clear" w:color="auto" w:fill="FFFFFF"/>
                  <w:noWrap w:val="0"/>
                  <w:vAlign w:val="center"/>
                </w:tcPr>
                <w:p w14:paraId="04714C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31.3</w:t>
                  </w:r>
                </w:p>
              </w:tc>
            </w:tr>
            <w:tr w14:paraId="3AA808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54315C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w:t>
                  </w:r>
                </w:p>
              </w:tc>
              <w:tc>
                <w:tcPr>
                  <w:tcW w:w="537" w:type="pct"/>
                  <w:tcBorders>
                    <w:tl2br w:val="nil"/>
                    <w:tr2bl w:val="nil"/>
                  </w:tcBorders>
                  <w:noWrap w:val="0"/>
                  <w:vAlign w:val="center"/>
                </w:tcPr>
                <w:p w14:paraId="7E9C3B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真空泵</w:t>
                  </w:r>
                </w:p>
              </w:tc>
              <w:tc>
                <w:tcPr>
                  <w:tcW w:w="320" w:type="pct"/>
                  <w:tcBorders>
                    <w:tl2br w:val="nil"/>
                    <w:tr2bl w:val="nil"/>
                  </w:tcBorders>
                  <w:noWrap w:val="0"/>
                  <w:vAlign w:val="center"/>
                </w:tcPr>
                <w:p w14:paraId="2C250C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6</w:t>
                  </w:r>
                </w:p>
              </w:tc>
              <w:tc>
                <w:tcPr>
                  <w:tcW w:w="425" w:type="pct"/>
                  <w:tcBorders>
                    <w:tl2br w:val="nil"/>
                    <w:tr2bl w:val="nil"/>
                  </w:tcBorders>
                  <w:shd w:val="clear" w:color="auto" w:fill="FFFFFF"/>
                  <w:noWrap w:val="0"/>
                  <w:vAlign w:val="center"/>
                </w:tcPr>
                <w:p w14:paraId="424A29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75</w:t>
                  </w:r>
                </w:p>
              </w:tc>
              <w:tc>
                <w:tcPr>
                  <w:tcW w:w="432" w:type="pct"/>
                  <w:tcBorders>
                    <w:tl2br w:val="nil"/>
                    <w:tr2bl w:val="nil"/>
                  </w:tcBorders>
                  <w:shd w:val="clear" w:color="auto" w:fill="FFFFFF"/>
                  <w:noWrap w:val="0"/>
                  <w:vAlign w:val="center"/>
                </w:tcPr>
                <w:p w14:paraId="5B115E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5E400E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2.6</w:t>
                  </w:r>
                </w:p>
              </w:tc>
              <w:tc>
                <w:tcPr>
                  <w:tcW w:w="258" w:type="pct"/>
                  <w:tcBorders>
                    <w:tl2br w:val="nil"/>
                    <w:tr2bl w:val="nil"/>
                  </w:tcBorders>
                  <w:shd w:val="clear" w:color="auto" w:fill="FFFFFF"/>
                  <w:noWrap w:val="0"/>
                  <w:vAlign w:val="center"/>
                </w:tcPr>
                <w:p w14:paraId="2FF5DD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-106.5</w:t>
                  </w:r>
                </w:p>
              </w:tc>
              <w:tc>
                <w:tcPr>
                  <w:tcW w:w="259" w:type="pct"/>
                  <w:tcBorders>
                    <w:tl2br w:val="nil"/>
                    <w:tr2bl w:val="nil"/>
                  </w:tcBorders>
                  <w:shd w:val="clear" w:color="auto" w:fill="FFFFFF"/>
                  <w:noWrap w:val="0"/>
                  <w:vAlign w:val="center"/>
                </w:tcPr>
                <w:p w14:paraId="27D511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05928F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23.1</w:t>
                  </w:r>
                </w:p>
              </w:tc>
              <w:tc>
                <w:tcPr>
                  <w:tcW w:w="266" w:type="pct"/>
                  <w:tcBorders>
                    <w:tl2br w:val="nil"/>
                    <w:tr2bl w:val="nil"/>
                  </w:tcBorders>
                  <w:shd w:val="clear" w:color="auto" w:fill="FFFFFF"/>
                  <w:noWrap w:val="0"/>
                  <w:vAlign w:val="center"/>
                </w:tcPr>
                <w:p w14:paraId="0040B7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41.3</w:t>
                  </w:r>
                </w:p>
              </w:tc>
              <w:tc>
                <w:tcPr>
                  <w:tcW w:w="266" w:type="pct"/>
                  <w:tcBorders>
                    <w:tl2br w:val="nil"/>
                    <w:tr2bl w:val="nil"/>
                  </w:tcBorders>
                  <w:shd w:val="clear" w:color="auto" w:fill="FFFFFF"/>
                  <w:noWrap w:val="0"/>
                  <w:vAlign w:val="center"/>
                </w:tcPr>
                <w:p w14:paraId="234482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10.9</w:t>
                  </w:r>
                </w:p>
              </w:tc>
              <w:tc>
                <w:tcPr>
                  <w:tcW w:w="266" w:type="pct"/>
                  <w:tcBorders>
                    <w:tl2br w:val="nil"/>
                    <w:tr2bl w:val="nil"/>
                  </w:tcBorders>
                  <w:shd w:val="clear" w:color="auto" w:fill="FFFFFF"/>
                  <w:noWrap w:val="0"/>
                  <w:vAlign w:val="center"/>
                </w:tcPr>
                <w:p w14:paraId="3B2949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29.7</w:t>
                  </w:r>
                </w:p>
              </w:tc>
              <w:tc>
                <w:tcPr>
                  <w:tcW w:w="167" w:type="pct"/>
                  <w:tcBorders>
                    <w:tl2br w:val="nil"/>
                    <w:tr2bl w:val="nil"/>
                  </w:tcBorders>
                  <w:shd w:val="clear" w:color="auto" w:fill="FFFFFF"/>
                  <w:noWrap w:val="0"/>
                  <w:vAlign w:val="center"/>
                </w:tcPr>
                <w:p w14:paraId="589731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101891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31.2</w:t>
                  </w:r>
                </w:p>
              </w:tc>
              <w:tc>
                <w:tcPr>
                  <w:tcW w:w="266" w:type="pct"/>
                  <w:tcBorders>
                    <w:tl2br w:val="nil"/>
                    <w:tr2bl w:val="nil"/>
                  </w:tcBorders>
                  <w:shd w:val="clear" w:color="auto" w:fill="FFFFFF"/>
                  <w:noWrap w:val="0"/>
                  <w:vAlign w:val="center"/>
                </w:tcPr>
                <w:p w14:paraId="79DF51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31.2</w:t>
                  </w:r>
                </w:p>
              </w:tc>
              <w:tc>
                <w:tcPr>
                  <w:tcW w:w="266" w:type="pct"/>
                  <w:tcBorders>
                    <w:tl2br w:val="nil"/>
                    <w:tr2bl w:val="nil"/>
                  </w:tcBorders>
                  <w:shd w:val="clear" w:color="auto" w:fill="FFFFFF"/>
                  <w:noWrap w:val="0"/>
                  <w:vAlign w:val="center"/>
                </w:tcPr>
                <w:p w14:paraId="63C940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31.4</w:t>
                  </w:r>
                </w:p>
              </w:tc>
              <w:tc>
                <w:tcPr>
                  <w:tcW w:w="266" w:type="pct"/>
                  <w:tcBorders>
                    <w:tl2br w:val="nil"/>
                    <w:tr2bl w:val="nil"/>
                  </w:tcBorders>
                  <w:shd w:val="clear" w:color="auto" w:fill="FFFFFF"/>
                  <w:noWrap w:val="0"/>
                  <w:vAlign w:val="center"/>
                </w:tcPr>
                <w:p w14:paraId="1CAC75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31.2</w:t>
                  </w:r>
                </w:p>
              </w:tc>
            </w:tr>
            <w:tr w14:paraId="706E67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41B3FC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w:t>
                  </w:r>
                </w:p>
              </w:tc>
              <w:tc>
                <w:tcPr>
                  <w:tcW w:w="537" w:type="pct"/>
                  <w:tcBorders>
                    <w:tl2br w:val="nil"/>
                    <w:tr2bl w:val="nil"/>
                  </w:tcBorders>
                  <w:noWrap w:val="0"/>
                  <w:vAlign w:val="center"/>
                </w:tcPr>
                <w:p w14:paraId="6B54DF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粉碎机</w:t>
                  </w:r>
                </w:p>
              </w:tc>
              <w:tc>
                <w:tcPr>
                  <w:tcW w:w="320" w:type="pct"/>
                  <w:tcBorders>
                    <w:tl2br w:val="nil"/>
                    <w:tr2bl w:val="nil"/>
                  </w:tcBorders>
                  <w:noWrap w:val="0"/>
                  <w:vAlign w:val="center"/>
                </w:tcPr>
                <w:p w14:paraId="48C89D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2</w:t>
                  </w:r>
                </w:p>
              </w:tc>
              <w:tc>
                <w:tcPr>
                  <w:tcW w:w="425" w:type="pct"/>
                  <w:tcBorders>
                    <w:tl2br w:val="nil"/>
                    <w:tr2bl w:val="nil"/>
                  </w:tcBorders>
                  <w:shd w:val="clear" w:color="auto" w:fill="FFFFFF"/>
                  <w:noWrap w:val="0"/>
                  <w:vAlign w:val="center"/>
                </w:tcPr>
                <w:p w14:paraId="5E6B31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85</w:t>
                  </w:r>
                </w:p>
              </w:tc>
              <w:tc>
                <w:tcPr>
                  <w:tcW w:w="432" w:type="pct"/>
                  <w:tcBorders>
                    <w:tl2br w:val="nil"/>
                    <w:tr2bl w:val="nil"/>
                  </w:tcBorders>
                  <w:shd w:val="clear" w:color="auto" w:fill="FFFFFF"/>
                  <w:noWrap w:val="0"/>
                  <w:vAlign w:val="center"/>
                </w:tcPr>
                <w:p w14:paraId="145AC0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4EC69B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-63.7</w:t>
                  </w:r>
                </w:p>
              </w:tc>
              <w:tc>
                <w:tcPr>
                  <w:tcW w:w="258" w:type="pct"/>
                  <w:tcBorders>
                    <w:tl2br w:val="nil"/>
                    <w:tr2bl w:val="nil"/>
                  </w:tcBorders>
                  <w:shd w:val="clear" w:color="auto" w:fill="FFFFFF"/>
                  <w:noWrap w:val="0"/>
                  <w:vAlign w:val="center"/>
                </w:tcPr>
                <w:p w14:paraId="4469B1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-33.5</w:t>
                  </w:r>
                </w:p>
              </w:tc>
              <w:tc>
                <w:tcPr>
                  <w:tcW w:w="259" w:type="pct"/>
                  <w:tcBorders>
                    <w:tl2br w:val="nil"/>
                    <w:tr2bl w:val="nil"/>
                  </w:tcBorders>
                  <w:shd w:val="clear" w:color="auto" w:fill="FFFFFF"/>
                  <w:noWrap w:val="0"/>
                  <w:vAlign w:val="center"/>
                </w:tcPr>
                <w:p w14:paraId="618F4C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7FDABF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56.3</w:t>
                  </w:r>
                </w:p>
              </w:tc>
              <w:tc>
                <w:tcPr>
                  <w:tcW w:w="266" w:type="pct"/>
                  <w:tcBorders>
                    <w:tl2br w:val="nil"/>
                    <w:tr2bl w:val="nil"/>
                  </w:tcBorders>
                  <w:shd w:val="clear" w:color="auto" w:fill="FFFFFF"/>
                  <w:noWrap w:val="0"/>
                  <w:vAlign w:val="center"/>
                </w:tcPr>
                <w:p w14:paraId="726D49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16.0</w:t>
                  </w:r>
                </w:p>
              </w:tc>
              <w:tc>
                <w:tcPr>
                  <w:tcW w:w="266" w:type="pct"/>
                  <w:tcBorders>
                    <w:tl2br w:val="nil"/>
                    <w:tr2bl w:val="nil"/>
                  </w:tcBorders>
                  <w:shd w:val="clear" w:color="auto" w:fill="FFFFFF"/>
                  <w:noWrap w:val="0"/>
                  <w:vAlign w:val="center"/>
                </w:tcPr>
                <w:p w14:paraId="039D12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15.9</w:t>
                  </w:r>
                </w:p>
              </w:tc>
              <w:tc>
                <w:tcPr>
                  <w:tcW w:w="266" w:type="pct"/>
                  <w:tcBorders>
                    <w:tl2br w:val="nil"/>
                    <w:tr2bl w:val="nil"/>
                  </w:tcBorders>
                  <w:shd w:val="clear" w:color="auto" w:fill="FFFFFF"/>
                  <w:noWrap w:val="0"/>
                  <w:vAlign w:val="center"/>
                </w:tcPr>
                <w:p w14:paraId="46481F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53.7</w:t>
                  </w:r>
                </w:p>
              </w:tc>
              <w:tc>
                <w:tcPr>
                  <w:tcW w:w="167" w:type="pct"/>
                  <w:tcBorders>
                    <w:tl2br w:val="nil"/>
                    <w:tr2bl w:val="nil"/>
                  </w:tcBorders>
                  <w:shd w:val="clear" w:color="auto" w:fill="FFFFFF"/>
                  <w:noWrap w:val="0"/>
                  <w:vAlign w:val="center"/>
                </w:tcPr>
                <w:p w14:paraId="370862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2F8DC8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3B67F6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20D216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5B27D4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r>
            <w:tr w14:paraId="65A405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663BBE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w:t>
                  </w:r>
                </w:p>
              </w:tc>
              <w:tc>
                <w:tcPr>
                  <w:tcW w:w="537" w:type="pct"/>
                  <w:tcBorders>
                    <w:tl2br w:val="nil"/>
                    <w:tr2bl w:val="nil"/>
                  </w:tcBorders>
                  <w:noWrap w:val="0"/>
                  <w:vAlign w:val="center"/>
                </w:tcPr>
                <w:p w14:paraId="7BED41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混合机</w:t>
                  </w:r>
                </w:p>
              </w:tc>
              <w:tc>
                <w:tcPr>
                  <w:tcW w:w="320" w:type="pct"/>
                  <w:tcBorders>
                    <w:tl2br w:val="nil"/>
                    <w:tr2bl w:val="nil"/>
                  </w:tcBorders>
                  <w:noWrap w:val="0"/>
                  <w:vAlign w:val="center"/>
                </w:tcPr>
                <w:p w14:paraId="3AAEE9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3</w:t>
                  </w:r>
                </w:p>
              </w:tc>
              <w:tc>
                <w:tcPr>
                  <w:tcW w:w="425" w:type="pct"/>
                  <w:tcBorders>
                    <w:tl2br w:val="nil"/>
                    <w:tr2bl w:val="nil"/>
                  </w:tcBorders>
                  <w:shd w:val="clear" w:color="auto" w:fill="FFFFFF"/>
                  <w:noWrap w:val="0"/>
                  <w:vAlign w:val="center"/>
                </w:tcPr>
                <w:p w14:paraId="640903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80</w:t>
                  </w:r>
                </w:p>
              </w:tc>
              <w:tc>
                <w:tcPr>
                  <w:tcW w:w="432" w:type="pct"/>
                  <w:tcBorders>
                    <w:tl2br w:val="nil"/>
                    <w:tr2bl w:val="nil"/>
                  </w:tcBorders>
                  <w:shd w:val="clear" w:color="auto" w:fill="FFFFFF"/>
                  <w:noWrap w:val="0"/>
                  <w:vAlign w:val="center"/>
                </w:tcPr>
                <w:p w14:paraId="40C3D9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58AC9C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-56.1</w:t>
                  </w:r>
                </w:p>
              </w:tc>
              <w:tc>
                <w:tcPr>
                  <w:tcW w:w="258" w:type="pct"/>
                  <w:tcBorders>
                    <w:tl2br w:val="nil"/>
                    <w:tr2bl w:val="nil"/>
                  </w:tcBorders>
                  <w:shd w:val="clear" w:color="auto" w:fill="FFFFFF"/>
                  <w:noWrap w:val="0"/>
                  <w:vAlign w:val="center"/>
                </w:tcPr>
                <w:p w14:paraId="0B3A99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-34.5</w:t>
                  </w:r>
                </w:p>
              </w:tc>
              <w:tc>
                <w:tcPr>
                  <w:tcW w:w="259" w:type="pct"/>
                  <w:tcBorders>
                    <w:tl2br w:val="nil"/>
                    <w:tr2bl w:val="nil"/>
                  </w:tcBorders>
                  <w:shd w:val="clear" w:color="auto" w:fill="FFFFFF"/>
                  <w:noWrap w:val="0"/>
                  <w:vAlign w:val="center"/>
                </w:tcPr>
                <w:p w14:paraId="6CB2555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31F360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48.7</w:t>
                  </w:r>
                </w:p>
              </w:tc>
              <w:tc>
                <w:tcPr>
                  <w:tcW w:w="266" w:type="pct"/>
                  <w:tcBorders>
                    <w:tl2br w:val="nil"/>
                    <w:tr2bl w:val="nil"/>
                  </w:tcBorders>
                  <w:shd w:val="clear" w:color="auto" w:fill="FFFFFF"/>
                  <w:noWrap w:val="0"/>
                  <w:vAlign w:val="center"/>
                </w:tcPr>
                <w:p w14:paraId="073D68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16.2</w:t>
                  </w:r>
                </w:p>
              </w:tc>
              <w:tc>
                <w:tcPr>
                  <w:tcW w:w="266" w:type="pct"/>
                  <w:tcBorders>
                    <w:tl2br w:val="nil"/>
                    <w:tr2bl w:val="nil"/>
                  </w:tcBorders>
                  <w:shd w:val="clear" w:color="auto" w:fill="FFFFFF"/>
                  <w:noWrap w:val="0"/>
                  <w:vAlign w:val="center"/>
                </w:tcPr>
                <w:p w14:paraId="24353E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23.5</w:t>
                  </w:r>
                </w:p>
              </w:tc>
              <w:tc>
                <w:tcPr>
                  <w:tcW w:w="266" w:type="pct"/>
                  <w:tcBorders>
                    <w:tl2br w:val="nil"/>
                    <w:tr2bl w:val="nil"/>
                  </w:tcBorders>
                  <w:shd w:val="clear" w:color="auto" w:fill="FFFFFF"/>
                  <w:noWrap w:val="0"/>
                  <w:vAlign w:val="center"/>
                </w:tcPr>
                <w:p w14:paraId="7EE7F4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53.7</w:t>
                  </w:r>
                </w:p>
              </w:tc>
              <w:tc>
                <w:tcPr>
                  <w:tcW w:w="167" w:type="pct"/>
                  <w:tcBorders>
                    <w:tl2br w:val="nil"/>
                    <w:tr2bl w:val="nil"/>
                  </w:tcBorders>
                  <w:shd w:val="clear" w:color="auto" w:fill="FFFFFF"/>
                  <w:noWrap w:val="0"/>
                  <w:vAlign w:val="center"/>
                </w:tcPr>
                <w:p w14:paraId="658932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11C710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70C630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615955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3E461A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r>
            <w:tr w14:paraId="276D3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4A6FD0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w:t>
                  </w:r>
                </w:p>
              </w:tc>
              <w:tc>
                <w:tcPr>
                  <w:tcW w:w="537" w:type="pct"/>
                  <w:tcBorders>
                    <w:tl2br w:val="nil"/>
                    <w:tr2bl w:val="nil"/>
                  </w:tcBorders>
                  <w:noWrap w:val="0"/>
                  <w:vAlign w:val="center"/>
                </w:tcPr>
                <w:p w14:paraId="43BD7F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颗粒机</w:t>
                  </w:r>
                </w:p>
              </w:tc>
              <w:tc>
                <w:tcPr>
                  <w:tcW w:w="320" w:type="pct"/>
                  <w:tcBorders>
                    <w:tl2br w:val="nil"/>
                    <w:tr2bl w:val="nil"/>
                  </w:tcBorders>
                  <w:noWrap w:val="0"/>
                  <w:vAlign w:val="center"/>
                </w:tcPr>
                <w:p w14:paraId="4D0687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8</w:t>
                  </w:r>
                </w:p>
              </w:tc>
              <w:tc>
                <w:tcPr>
                  <w:tcW w:w="425" w:type="pct"/>
                  <w:tcBorders>
                    <w:tl2br w:val="nil"/>
                    <w:tr2bl w:val="nil"/>
                  </w:tcBorders>
                  <w:shd w:val="clear" w:color="auto" w:fill="FFFFFF"/>
                  <w:noWrap w:val="0"/>
                  <w:vAlign w:val="center"/>
                </w:tcPr>
                <w:p w14:paraId="209C37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85</w:t>
                  </w:r>
                </w:p>
              </w:tc>
              <w:tc>
                <w:tcPr>
                  <w:tcW w:w="432" w:type="pct"/>
                  <w:tcBorders>
                    <w:tl2br w:val="nil"/>
                    <w:tr2bl w:val="nil"/>
                  </w:tcBorders>
                  <w:shd w:val="clear" w:color="auto" w:fill="FFFFFF"/>
                  <w:noWrap w:val="0"/>
                  <w:vAlign w:val="center"/>
                </w:tcPr>
                <w:p w14:paraId="3BF6B2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0C9F82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-53.4</w:t>
                  </w:r>
                </w:p>
              </w:tc>
              <w:tc>
                <w:tcPr>
                  <w:tcW w:w="258" w:type="pct"/>
                  <w:tcBorders>
                    <w:tl2br w:val="nil"/>
                    <w:tr2bl w:val="nil"/>
                  </w:tcBorders>
                  <w:shd w:val="clear" w:color="auto" w:fill="FFFFFF"/>
                  <w:noWrap w:val="0"/>
                  <w:vAlign w:val="center"/>
                </w:tcPr>
                <w:p w14:paraId="66022D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-21</w:t>
                  </w:r>
                </w:p>
              </w:tc>
              <w:tc>
                <w:tcPr>
                  <w:tcW w:w="259" w:type="pct"/>
                  <w:tcBorders>
                    <w:tl2br w:val="nil"/>
                    <w:tr2bl w:val="nil"/>
                  </w:tcBorders>
                  <w:shd w:val="clear" w:color="auto" w:fill="FFFFFF"/>
                  <w:noWrap w:val="0"/>
                  <w:vAlign w:val="center"/>
                </w:tcPr>
                <w:p w14:paraId="369EE5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5163CE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48.1</w:t>
                  </w:r>
                </w:p>
              </w:tc>
              <w:tc>
                <w:tcPr>
                  <w:tcW w:w="266" w:type="pct"/>
                  <w:tcBorders>
                    <w:tl2br w:val="nil"/>
                    <w:tr2bl w:val="nil"/>
                  </w:tcBorders>
                  <w:shd w:val="clear" w:color="auto" w:fill="FFFFFF"/>
                  <w:noWrap w:val="0"/>
                  <w:vAlign w:val="center"/>
                </w:tcPr>
                <w:p w14:paraId="57AF99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29.9</w:t>
                  </w:r>
                </w:p>
              </w:tc>
              <w:tc>
                <w:tcPr>
                  <w:tcW w:w="266" w:type="pct"/>
                  <w:tcBorders>
                    <w:tl2br w:val="nil"/>
                    <w:tr2bl w:val="nil"/>
                  </w:tcBorders>
                  <w:shd w:val="clear" w:color="auto" w:fill="FFFFFF"/>
                  <w:noWrap w:val="0"/>
                  <w:vAlign w:val="center"/>
                </w:tcPr>
                <w:p w14:paraId="5D9BE3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24.0</w:t>
                  </w:r>
                </w:p>
              </w:tc>
              <w:tc>
                <w:tcPr>
                  <w:tcW w:w="266" w:type="pct"/>
                  <w:tcBorders>
                    <w:tl2br w:val="nil"/>
                    <w:tr2bl w:val="nil"/>
                  </w:tcBorders>
                  <w:shd w:val="clear" w:color="auto" w:fill="FFFFFF"/>
                  <w:noWrap w:val="0"/>
                  <w:vAlign w:val="center"/>
                </w:tcPr>
                <w:p w14:paraId="297EA5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40.0</w:t>
                  </w:r>
                </w:p>
              </w:tc>
              <w:tc>
                <w:tcPr>
                  <w:tcW w:w="167" w:type="pct"/>
                  <w:tcBorders>
                    <w:tl2br w:val="nil"/>
                    <w:tr2bl w:val="nil"/>
                  </w:tcBorders>
                  <w:shd w:val="clear" w:color="auto" w:fill="FFFFFF"/>
                  <w:noWrap w:val="0"/>
                  <w:vAlign w:val="center"/>
                </w:tcPr>
                <w:p w14:paraId="59CFFE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52F02B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42D8436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419F10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133CC4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r>
            <w:tr w14:paraId="1BBF9A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5923C57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w:t>
                  </w:r>
                </w:p>
              </w:tc>
              <w:tc>
                <w:tcPr>
                  <w:tcW w:w="537" w:type="pct"/>
                  <w:tcBorders>
                    <w:tl2br w:val="nil"/>
                    <w:tr2bl w:val="nil"/>
                  </w:tcBorders>
                  <w:noWrap w:val="0"/>
                  <w:vAlign w:val="center"/>
                </w:tcPr>
                <w:p w14:paraId="03ACD0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沸腾干燥机</w:t>
                  </w:r>
                </w:p>
              </w:tc>
              <w:tc>
                <w:tcPr>
                  <w:tcW w:w="320" w:type="pct"/>
                  <w:tcBorders>
                    <w:tl2br w:val="nil"/>
                    <w:tr2bl w:val="nil"/>
                  </w:tcBorders>
                  <w:noWrap w:val="0"/>
                  <w:vAlign w:val="center"/>
                </w:tcPr>
                <w:p w14:paraId="600110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3</w:t>
                  </w:r>
                </w:p>
              </w:tc>
              <w:tc>
                <w:tcPr>
                  <w:tcW w:w="425" w:type="pct"/>
                  <w:tcBorders>
                    <w:tl2br w:val="nil"/>
                    <w:tr2bl w:val="nil"/>
                  </w:tcBorders>
                  <w:shd w:val="clear" w:color="auto" w:fill="FFFFFF"/>
                  <w:noWrap w:val="0"/>
                  <w:vAlign w:val="center"/>
                </w:tcPr>
                <w:p w14:paraId="7D3DFA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85</w:t>
                  </w:r>
                </w:p>
              </w:tc>
              <w:tc>
                <w:tcPr>
                  <w:tcW w:w="432" w:type="pct"/>
                  <w:tcBorders>
                    <w:tl2br w:val="nil"/>
                    <w:tr2bl w:val="nil"/>
                  </w:tcBorders>
                  <w:shd w:val="clear" w:color="auto" w:fill="FFFFFF"/>
                  <w:noWrap w:val="0"/>
                  <w:vAlign w:val="center"/>
                </w:tcPr>
                <w:p w14:paraId="10FD7C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7DE8F84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-42.8</w:t>
                  </w:r>
                </w:p>
              </w:tc>
              <w:tc>
                <w:tcPr>
                  <w:tcW w:w="258" w:type="pct"/>
                  <w:tcBorders>
                    <w:tl2br w:val="nil"/>
                    <w:tr2bl w:val="nil"/>
                  </w:tcBorders>
                  <w:shd w:val="clear" w:color="auto" w:fill="FFFFFF"/>
                  <w:noWrap w:val="0"/>
                  <w:vAlign w:val="center"/>
                </w:tcPr>
                <w:p w14:paraId="3B786F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-22.4</w:t>
                  </w:r>
                </w:p>
              </w:tc>
              <w:tc>
                <w:tcPr>
                  <w:tcW w:w="259" w:type="pct"/>
                  <w:tcBorders>
                    <w:tl2br w:val="nil"/>
                    <w:tr2bl w:val="nil"/>
                  </w:tcBorders>
                  <w:shd w:val="clear" w:color="auto" w:fill="FFFFFF"/>
                  <w:noWrap w:val="0"/>
                  <w:vAlign w:val="center"/>
                </w:tcPr>
                <w:p w14:paraId="14F728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273519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37.4</w:t>
                  </w:r>
                </w:p>
              </w:tc>
              <w:tc>
                <w:tcPr>
                  <w:tcW w:w="266" w:type="pct"/>
                  <w:tcBorders>
                    <w:tl2br w:val="nil"/>
                    <w:tr2bl w:val="nil"/>
                  </w:tcBorders>
                  <w:shd w:val="clear" w:color="auto" w:fill="FFFFFF"/>
                  <w:noWrap w:val="0"/>
                  <w:vAlign w:val="center"/>
                </w:tcPr>
                <w:p w14:paraId="32AFDE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30.1</w:t>
                  </w:r>
                </w:p>
              </w:tc>
              <w:tc>
                <w:tcPr>
                  <w:tcW w:w="266" w:type="pct"/>
                  <w:tcBorders>
                    <w:tl2br w:val="nil"/>
                    <w:tr2bl w:val="nil"/>
                  </w:tcBorders>
                  <w:shd w:val="clear" w:color="auto" w:fill="FFFFFF"/>
                  <w:noWrap w:val="0"/>
                  <w:vAlign w:val="center"/>
                </w:tcPr>
                <w:p w14:paraId="0E17E4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34.6</w:t>
                  </w:r>
                </w:p>
              </w:tc>
              <w:tc>
                <w:tcPr>
                  <w:tcW w:w="266" w:type="pct"/>
                  <w:tcBorders>
                    <w:tl2br w:val="nil"/>
                    <w:tr2bl w:val="nil"/>
                  </w:tcBorders>
                  <w:shd w:val="clear" w:color="auto" w:fill="FFFFFF"/>
                  <w:noWrap w:val="0"/>
                  <w:vAlign w:val="center"/>
                </w:tcPr>
                <w:p w14:paraId="3FCFB8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39.9</w:t>
                  </w:r>
                </w:p>
              </w:tc>
              <w:tc>
                <w:tcPr>
                  <w:tcW w:w="167" w:type="pct"/>
                  <w:tcBorders>
                    <w:tl2br w:val="nil"/>
                    <w:tr2bl w:val="nil"/>
                  </w:tcBorders>
                  <w:shd w:val="clear" w:color="auto" w:fill="FFFFFF"/>
                  <w:noWrap w:val="0"/>
                  <w:vAlign w:val="center"/>
                </w:tcPr>
                <w:p w14:paraId="10F0DC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55F8AB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355CBA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362317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6FD670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r>
            <w:tr w14:paraId="33A752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5C1439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w:t>
                  </w:r>
                </w:p>
              </w:tc>
              <w:tc>
                <w:tcPr>
                  <w:tcW w:w="537" w:type="pct"/>
                  <w:tcBorders>
                    <w:tl2br w:val="nil"/>
                    <w:tr2bl w:val="nil"/>
                  </w:tcBorders>
                  <w:noWrap w:val="0"/>
                  <w:vAlign w:val="center"/>
                </w:tcPr>
                <w:p w14:paraId="387912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旋振筛</w:t>
                  </w:r>
                </w:p>
              </w:tc>
              <w:tc>
                <w:tcPr>
                  <w:tcW w:w="320" w:type="pct"/>
                  <w:tcBorders>
                    <w:tl2br w:val="nil"/>
                    <w:tr2bl w:val="nil"/>
                  </w:tcBorders>
                  <w:noWrap w:val="0"/>
                  <w:vAlign w:val="center"/>
                </w:tcPr>
                <w:p w14:paraId="3266DD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3</w:t>
                  </w:r>
                </w:p>
              </w:tc>
              <w:tc>
                <w:tcPr>
                  <w:tcW w:w="425" w:type="pct"/>
                  <w:tcBorders>
                    <w:tl2br w:val="nil"/>
                    <w:tr2bl w:val="nil"/>
                  </w:tcBorders>
                  <w:shd w:val="clear" w:color="auto" w:fill="FFFFFF"/>
                  <w:noWrap w:val="0"/>
                  <w:vAlign w:val="center"/>
                </w:tcPr>
                <w:p w14:paraId="76D2F9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85</w:t>
                  </w:r>
                </w:p>
              </w:tc>
              <w:tc>
                <w:tcPr>
                  <w:tcW w:w="432" w:type="pct"/>
                  <w:tcBorders>
                    <w:tl2br w:val="nil"/>
                    <w:tr2bl w:val="nil"/>
                  </w:tcBorders>
                  <w:shd w:val="clear" w:color="auto" w:fill="FFFFFF"/>
                  <w:noWrap w:val="0"/>
                  <w:vAlign w:val="center"/>
                </w:tcPr>
                <w:p w14:paraId="1CBF05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74D6C4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-34.6</w:t>
                  </w:r>
                </w:p>
              </w:tc>
              <w:tc>
                <w:tcPr>
                  <w:tcW w:w="258" w:type="pct"/>
                  <w:tcBorders>
                    <w:tl2br w:val="nil"/>
                    <w:tr2bl w:val="nil"/>
                  </w:tcBorders>
                  <w:shd w:val="clear" w:color="auto" w:fill="FFFFFF"/>
                  <w:noWrap w:val="0"/>
                  <w:vAlign w:val="center"/>
                </w:tcPr>
                <w:p w14:paraId="261585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-23.9</w:t>
                  </w:r>
                </w:p>
              </w:tc>
              <w:tc>
                <w:tcPr>
                  <w:tcW w:w="259" w:type="pct"/>
                  <w:tcBorders>
                    <w:tl2br w:val="nil"/>
                    <w:tr2bl w:val="nil"/>
                  </w:tcBorders>
                  <w:shd w:val="clear" w:color="auto" w:fill="FFFFFF"/>
                  <w:noWrap w:val="0"/>
                  <w:vAlign w:val="center"/>
                </w:tcPr>
                <w:p w14:paraId="180022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319C58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29.1</w:t>
                  </w:r>
                </w:p>
              </w:tc>
              <w:tc>
                <w:tcPr>
                  <w:tcW w:w="266" w:type="pct"/>
                  <w:tcBorders>
                    <w:tl2br w:val="nil"/>
                    <w:tr2bl w:val="nil"/>
                  </w:tcBorders>
                  <w:shd w:val="clear" w:color="auto" w:fill="FFFFFF"/>
                  <w:noWrap w:val="0"/>
                  <w:vAlign w:val="center"/>
                </w:tcPr>
                <w:p w14:paraId="0FCF5A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29.8</w:t>
                  </w:r>
                </w:p>
              </w:tc>
              <w:tc>
                <w:tcPr>
                  <w:tcW w:w="266" w:type="pct"/>
                  <w:tcBorders>
                    <w:tl2br w:val="nil"/>
                    <w:tr2bl w:val="nil"/>
                  </w:tcBorders>
                  <w:shd w:val="clear" w:color="auto" w:fill="FFFFFF"/>
                  <w:noWrap w:val="0"/>
                  <w:vAlign w:val="center"/>
                </w:tcPr>
                <w:p w14:paraId="65C278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43.0</w:t>
                  </w:r>
                </w:p>
              </w:tc>
              <w:tc>
                <w:tcPr>
                  <w:tcW w:w="266" w:type="pct"/>
                  <w:tcBorders>
                    <w:tl2br w:val="nil"/>
                    <w:tr2bl w:val="nil"/>
                  </w:tcBorders>
                  <w:shd w:val="clear" w:color="auto" w:fill="FFFFFF"/>
                  <w:noWrap w:val="0"/>
                  <w:vAlign w:val="center"/>
                </w:tcPr>
                <w:p w14:paraId="37B065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40.3</w:t>
                  </w:r>
                </w:p>
              </w:tc>
              <w:tc>
                <w:tcPr>
                  <w:tcW w:w="167" w:type="pct"/>
                  <w:tcBorders>
                    <w:tl2br w:val="nil"/>
                    <w:tr2bl w:val="nil"/>
                  </w:tcBorders>
                  <w:shd w:val="clear" w:color="auto" w:fill="FFFFFF"/>
                  <w:noWrap w:val="0"/>
                  <w:vAlign w:val="center"/>
                </w:tcPr>
                <w:p w14:paraId="07D569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475B13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1150C0F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2CC78B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77A7A2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r>
            <w:tr w14:paraId="368E9D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0D022D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w:t>
                  </w:r>
                </w:p>
              </w:tc>
              <w:tc>
                <w:tcPr>
                  <w:tcW w:w="537" w:type="pct"/>
                  <w:tcBorders>
                    <w:tl2br w:val="nil"/>
                    <w:tr2bl w:val="nil"/>
                  </w:tcBorders>
                  <w:noWrap w:val="0"/>
                  <w:vAlign w:val="center"/>
                </w:tcPr>
                <w:p w14:paraId="6270E3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压片机</w:t>
                  </w:r>
                </w:p>
              </w:tc>
              <w:tc>
                <w:tcPr>
                  <w:tcW w:w="320" w:type="pct"/>
                  <w:tcBorders>
                    <w:tl2br w:val="nil"/>
                    <w:tr2bl w:val="nil"/>
                  </w:tcBorders>
                  <w:noWrap w:val="0"/>
                  <w:vAlign w:val="center"/>
                </w:tcPr>
                <w:p w14:paraId="3EAA5C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4</w:t>
                  </w:r>
                </w:p>
              </w:tc>
              <w:tc>
                <w:tcPr>
                  <w:tcW w:w="425" w:type="pct"/>
                  <w:tcBorders>
                    <w:tl2br w:val="nil"/>
                    <w:tr2bl w:val="nil"/>
                  </w:tcBorders>
                  <w:shd w:val="clear" w:color="auto" w:fill="FFFFFF"/>
                  <w:noWrap w:val="0"/>
                  <w:vAlign w:val="center"/>
                </w:tcPr>
                <w:p w14:paraId="232B42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80</w:t>
                  </w:r>
                </w:p>
              </w:tc>
              <w:tc>
                <w:tcPr>
                  <w:tcW w:w="432" w:type="pct"/>
                  <w:tcBorders>
                    <w:tl2br w:val="nil"/>
                    <w:tr2bl w:val="nil"/>
                  </w:tcBorders>
                  <w:shd w:val="clear" w:color="auto" w:fill="FFFFFF"/>
                  <w:noWrap w:val="0"/>
                  <w:vAlign w:val="center"/>
                </w:tcPr>
                <w:p w14:paraId="4DAB2F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5C28AE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-51.5</w:t>
                  </w:r>
                </w:p>
              </w:tc>
              <w:tc>
                <w:tcPr>
                  <w:tcW w:w="258" w:type="pct"/>
                  <w:tcBorders>
                    <w:tl2br w:val="nil"/>
                    <w:tr2bl w:val="nil"/>
                  </w:tcBorders>
                  <w:shd w:val="clear" w:color="auto" w:fill="FFFFFF"/>
                  <w:noWrap w:val="0"/>
                  <w:vAlign w:val="center"/>
                </w:tcPr>
                <w:p w14:paraId="1BCB3D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-9.4</w:t>
                  </w:r>
                </w:p>
              </w:tc>
              <w:tc>
                <w:tcPr>
                  <w:tcW w:w="259" w:type="pct"/>
                  <w:tcBorders>
                    <w:tl2br w:val="nil"/>
                    <w:tr2bl w:val="nil"/>
                  </w:tcBorders>
                  <w:shd w:val="clear" w:color="auto" w:fill="FFFFFF"/>
                  <w:noWrap w:val="0"/>
                  <w:vAlign w:val="center"/>
                </w:tcPr>
                <w:p w14:paraId="0E94FE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285B85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48.1</w:t>
                  </w:r>
                </w:p>
              </w:tc>
              <w:tc>
                <w:tcPr>
                  <w:tcW w:w="266" w:type="pct"/>
                  <w:tcBorders>
                    <w:tl2br w:val="nil"/>
                    <w:tr2bl w:val="nil"/>
                  </w:tcBorders>
                  <w:shd w:val="clear" w:color="auto" w:fill="FFFFFF"/>
                  <w:noWrap w:val="0"/>
                  <w:vAlign w:val="center"/>
                </w:tcPr>
                <w:p w14:paraId="192E54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41.7</w:t>
                  </w:r>
                </w:p>
              </w:tc>
              <w:tc>
                <w:tcPr>
                  <w:tcW w:w="266" w:type="pct"/>
                  <w:tcBorders>
                    <w:tl2br w:val="nil"/>
                    <w:tr2bl w:val="nil"/>
                  </w:tcBorders>
                  <w:shd w:val="clear" w:color="auto" w:fill="FFFFFF"/>
                  <w:noWrap w:val="0"/>
                  <w:vAlign w:val="center"/>
                </w:tcPr>
                <w:p w14:paraId="427D68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23.9</w:t>
                  </w:r>
                </w:p>
              </w:tc>
              <w:tc>
                <w:tcPr>
                  <w:tcW w:w="266" w:type="pct"/>
                  <w:tcBorders>
                    <w:tl2br w:val="nil"/>
                    <w:tr2bl w:val="nil"/>
                  </w:tcBorders>
                  <w:shd w:val="clear" w:color="auto" w:fill="FFFFFF"/>
                  <w:noWrap w:val="0"/>
                  <w:vAlign w:val="center"/>
                </w:tcPr>
                <w:p w14:paraId="5DE3A0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28.2</w:t>
                  </w:r>
                </w:p>
              </w:tc>
              <w:tc>
                <w:tcPr>
                  <w:tcW w:w="167" w:type="pct"/>
                  <w:tcBorders>
                    <w:tl2br w:val="nil"/>
                    <w:tr2bl w:val="nil"/>
                  </w:tcBorders>
                  <w:shd w:val="clear" w:color="auto" w:fill="FFFFFF"/>
                  <w:noWrap w:val="0"/>
                  <w:vAlign w:val="center"/>
                </w:tcPr>
                <w:p w14:paraId="76F2E6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6784ED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458496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788657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685335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r>
            <w:tr w14:paraId="50E271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01FDBB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9</w:t>
                  </w:r>
                </w:p>
              </w:tc>
              <w:tc>
                <w:tcPr>
                  <w:tcW w:w="537" w:type="pct"/>
                  <w:tcBorders>
                    <w:tl2br w:val="nil"/>
                    <w:tr2bl w:val="nil"/>
                  </w:tcBorders>
                  <w:noWrap w:val="0"/>
                  <w:vAlign w:val="center"/>
                </w:tcPr>
                <w:p w14:paraId="363AE7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包衣机</w:t>
                  </w:r>
                </w:p>
              </w:tc>
              <w:tc>
                <w:tcPr>
                  <w:tcW w:w="320" w:type="pct"/>
                  <w:tcBorders>
                    <w:tl2br w:val="nil"/>
                    <w:tr2bl w:val="nil"/>
                  </w:tcBorders>
                  <w:noWrap w:val="0"/>
                  <w:vAlign w:val="center"/>
                </w:tcPr>
                <w:p w14:paraId="138D7F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12</w:t>
                  </w:r>
                </w:p>
              </w:tc>
              <w:tc>
                <w:tcPr>
                  <w:tcW w:w="425" w:type="pct"/>
                  <w:tcBorders>
                    <w:tl2br w:val="nil"/>
                    <w:tr2bl w:val="nil"/>
                  </w:tcBorders>
                  <w:shd w:val="clear" w:color="auto" w:fill="FFFFFF"/>
                  <w:noWrap w:val="0"/>
                  <w:vAlign w:val="center"/>
                </w:tcPr>
                <w:p w14:paraId="004EC6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80</w:t>
                  </w:r>
                </w:p>
              </w:tc>
              <w:tc>
                <w:tcPr>
                  <w:tcW w:w="432" w:type="pct"/>
                  <w:tcBorders>
                    <w:tl2br w:val="nil"/>
                    <w:tr2bl w:val="nil"/>
                  </w:tcBorders>
                  <w:shd w:val="clear" w:color="auto" w:fill="FFFFFF"/>
                  <w:noWrap w:val="0"/>
                  <w:vAlign w:val="center"/>
                </w:tcPr>
                <w:p w14:paraId="01F300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0FD326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-44</w:t>
                  </w:r>
                </w:p>
              </w:tc>
              <w:tc>
                <w:tcPr>
                  <w:tcW w:w="258" w:type="pct"/>
                  <w:tcBorders>
                    <w:tl2br w:val="nil"/>
                    <w:tr2bl w:val="nil"/>
                  </w:tcBorders>
                  <w:shd w:val="clear" w:color="auto" w:fill="FFFFFF"/>
                  <w:noWrap w:val="0"/>
                  <w:vAlign w:val="center"/>
                </w:tcPr>
                <w:p w14:paraId="015512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-10.6</w:t>
                  </w:r>
                </w:p>
              </w:tc>
              <w:tc>
                <w:tcPr>
                  <w:tcW w:w="259" w:type="pct"/>
                  <w:tcBorders>
                    <w:tl2br w:val="nil"/>
                    <w:tr2bl w:val="nil"/>
                  </w:tcBorders>
                  <w:shd w:val="clear" w:color="auto" w:fill="FFFFFF"/>
                  <w:noWrap w:val="0"/>
                  <w:vAlign w:val="center"/>
                </w:tcPr>
                <w:p w14:paraId="6BEFB6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0D5245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40.5</w:t>
                  </w:r>
                </w:p>
              </w:tc>
              <w:tc>
                <w:tcPr>
                  <w:tcW w:w="266" w:type="pct"/>
                  <w:tcBorders>
                    <w:tl2br w:val="nil"/>
                    <w:tr2bl w:val="nil"/>
                  </w:tcBorders>
                  <w:shd w:val="clear" w:color="auto" w:fill="FFFFFF"/>
                  <w:noWrap w:val="0"/>
                  <w:vAlign w:val="center"/>
                </w:tcPr>
                <w:p w14:paraId="35FB18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41.6</w:t>
                  </w:r>
                </w:p>
              </w:tc>
              <w:tc>
                <w:tcPr>
                  <w:tcW w:w="266" w:type="pct"/>
                  <w:tcBorders>
                    <w:tl2br w:val="nil"/>
                    <w:tr2bl w:val="nil"/>
                  </w:tcBorders>
                  <w:shd w:val="clear" w:color="auto" w:fill="FFFFFF"/>
                  <w:noWrap w:val="0"/>
                  <w:vAlign w:val="center"/>
                </w:tcPr>
                <w:p w14:paraId="10015A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31.5</w:t>
                  </w:r>
                </w:p>
              </w:tc>
              <w:tc>
                <w:tcPr>
                  <w:tcW w:w="266" w:type="pct"/>
                  <w:tcBorders>
                    <w:tl2br w:val="nil"/>
                    <w:tr2bl w:val="nil"/>
                  </w:tcBorders>
                  <w:shd w:val="clear" w:color="auto" w:fill="FFFFFF"/>
                  <w:noWrap w:val="0"/>
                  <w:vAlign w:val="center"/>
                </w:tcPr>
                <w:p w14:paraId="501562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28.4</w:t>
                  </w:r>
                </w:p>
              </w:tc>
              <w:tc>
                <w:tcPr>
                  <w:tcW w:w="167" w:type="pct"/>
                  <w:tcBorders>
                    <w:tl2br w:val="nil"/>
                    <w:tr2bl w:val="nil"/>
                  </w:tcBorders>
                  <w:shd w:val="clear" w:color="auto" w:fill="FFFFFF"/>
                  <w:noWrap w:val="0"/>
                  <w:vAlign w:val="center"/>
                </w:tcPr>
                <w:p w14:paraId="01D939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6DE6BF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0AFF96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5AD6AEA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2AC792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r>
            <w:tr w14:paraId="237AC7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320324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w:t>
                  </w:r>
                </w:p>
              </w:tc>
              <w:tc>
                <w:tcPr>
                  <w:tcW w:w="537" w:type="pct"/>
                  <w:tcBorders>
                    <w:tl2br w:val="nil"/>
                    <w:tr2bl w:val="nil"/>
                  </w:tcBorders>
                  <w:noWrap w:val="0"/>
                  <w:vAlign w:val="center"/>
                </w:tcPr>
                <w:p w14:paraId="45FADA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炼药机</w:t>
                  </w:r>
                </w:p>
              </w:tc>
              <w:tc>
                <w:tcPr>
                  <w:tcW w:w="320" w:type="pct"/>
                  <w:tcBorders>
                    <w:tl2br w:val="nil"/>
                    <w:tr2bl w:val="nil"/>
                  </w:tcBorders>
                  <w:noWrap w:val="0"/>
                  <w:vAlign w:val="center"/>
                </w:tcPr>
                <w:p w14:paraId="75A040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1</w:t>
                  </w:r>
                </w:p>
              </w:tc>
              <w:tc>
                <w:tcPr>
                  <w:tcW w:w="425" w:type="pct"/>
                  <w:tcBorders>
                    <w:tl2br w:val="nil"/>
                    <w:tr2bl w:val="nil"/>
                  </w:tcBorders>
                  <w:shd w:val="clear" w:color="auto" w:fill="FFFFFF"/>
                  <w:noWrap w:val="0"/>
                  <w:vAlign w:val="center"/>
                </w:tcPr>
                <w:p w14:paraId="7A461D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80</w:t>
                  </w:r>
                </w:p>
              </w:tc>
              <w:tc>
                <w:tcPr>
                  <w:tcW w:w="432" w:type="pct"/>
                  <w:tcBorders>
                    <w:tl2br w:val="nil"/>
                    <w:tr2bl w:val="nil"/>
                  </w:tcBorders>
                  <w:shd w:val="clear" w:color="auto" w:fill="FFFFFF"/>
                  <w:noWrap w:val="0"/>
                  <w:vAlign w:val="center"/>
                </w:tcPr>
                <w:p w14:paraId="6B3B6C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3C916E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-58</w:t>
                  </w:r>
                </w:p>
              </w:tc>
              <w:tc>
                <w:tcPr>
                  <w:tcW w:w="258" w:type="pct"/>
                  <w:tcBorders>
                    <w:tl2br w:val="nil"/>
                    <w:tr2bl w:val="nil"/>
                  </w:tcBorders>
                  <w:shd w:val="clear" w:color="auto" w:fill="FFFFFF"/>
                  <w:noWrap w:val="0"/>
                  <w:vAlign w:val="center"/>
                </w:tcPr>
                <w:p w14:paraId="470637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2.7</w:t>
                  </w:r>
                </w:p>
              </w:tc>
              <w:tc>
                <w:tcPr>
                  <w:tcW w:w="259" w:type="pct"/>
                  <w:tcBorders>
                    <w:tl2br w:val="nil"/>
                    <w:tr2bl w:val="nil"/>
                  </w:tcBorders>
                  <w:shd w:val="clear" w:color="auto" w:fill="FFFFFF"/>
                  <w:noWrap w:val="0"/>
                  <w:vAlign w:val="center"/>
                </w:tcPr>
                <w:p w14:paraId="7BBA089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286E19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56.4</w:t>
                  </w:r>
                </w:p>
              </w:tc>
              <w:tc>
                <w:tcPr>
                  <w:tcW w:w="266" w:type="pct"/>
                  <w:tcBorders>
                    <w:tl2br w:val="nil"/>
                    <w:tr2bl w:val="nil"/>
                  </w:tcBorders>
                  <w:shd w:val="clear" w:color="auto" w:fill="FFFFFF"/>
                  <w:noWrap w:val="0"/>
                  <w:vAlign w:val="center"/>
                </w:tcPr>
                <w:p w14:paraId="400B2D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52.7</w:t>
                  </w:r>
                </w:p>
              </w:tc>
              <w:tc>
                <w:tcPr>
                  <w:tcW w:w="266" w:type="pct"/>
                  <w:tcBorders>
                    <w:tl2br w:val="nil"/>
                    <w:tr2bl w:val="nil"/>
                  </w:tcBorders>
                  <w:shd w:val="clear" w:color="auto" w:fill="FFFFFF"/>
                  <w:noWrap w:val="0"/>
                  <w:vAlign w:val="center"/>
                </w:tcPr>
                <w:p w14:paraId="5C528B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15.5</w:t>
                  </w:r>
                </w:p>
              </w:tc>
              <w:tc>
                <w:tcPr>
                  <w:tcW w:w="266" w:type="pct"/>
                  <w:tcBorders>
                    <w:tl2br w:val="nil"/>
                    <w:tr2bl w:val="nil"/>
                  </w:tcBorders>
                  <w:shd w:val="clear" w:color="auto" w:fill="FFFFFF"/>
                  <w:noWrap w:val="0"/>
                  <w:vAlign w:val="center"/>
                </w:tcPr>
                <w:p w14:paraId="04A074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17.1</w:t>
                  </w:r>
                </w:p>
              </w:tc>
              <w:tc>
                <w:tcPr>
                  <w:tcW w:w="167" w:type="pct"/>
                  <w:tcBorders>
                    <w:tl2br w:val="nil"/>
                    <w:tr2bl w:val="nil"/>
                  </w:tcBorders>
                  <w:shd w:val="clear" w:color="auto" w:fill="FFFFFF"/>
                  <w:noWrap w:val="0"/>
                  <w:vAlign w:val="center"/>
                </w:tcPr>
                <w:p w14:paraId="15B63C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40E6F7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61E3F9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3E3B0B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47022C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r>
            <w:tr w14:paraId="77FE1A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4FCC507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11</w:t>
                  </w:r>
                </w:p>
              </w:tc>
              <w:tc>
                <w:tcPr>
                  <w:tcW w:w="537" w:type="pct"/>
                  <w:tcBorders>
                    <w:tl2br w:val="nil"/>
                    <w:tr2bl w:val="nil"/>
                  </w:tcBorders>
                  <w:noWrap w:val="0"/>
                  <w:vAlign w:val="center"/>
                </w:tcPr>
                <w:p w14:paraId="52EE42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中药制丸机</w:t>
                  </w:r>
                </w:p>
              </w:tc>
              <w:tc>
                <w:tcPr>
                  <w:tcW w:w="320" w:type="pct"/>
                  <w:tcBorders>
                    <w:tl2br w:val="nil"/>
                    <w:tr2bl w:val="nil"/>
                  </w:tcBorders>
                  <w:noWrap w:val="0"/>
                  <w:vAlign w:val="center"/>
                </w:tcPr>
                <w:p w14:paraId="3A2F30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1</w:t>
                  </w:r>
                </w:p>
              </w:tc>
              <w:tc>
                <w:tcPr>
                  <w:tcW w:w="425" w:type="pct"/>
                  <w:tcBorders>
                    <w:tl2br w:val="nil"/>
                    <w:tr2bl w:val="nil"/>
                  </w:tcBorders>
                  <w:shd w:val="clear" w:color="auto" w:fill="FFFFFF"/>
                  <w:noWrap w:val="0"/>
                  <w:vAlign w:val="center"/>
                </w:tcPr>
                <w:p w14:paraId="7B7A59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80</w:t>
                  </w:r>
                </w:p>
              </w:tc>
              <w:tc>
                <w:tcPr>
                  <w:tcW w:w="432" w:type="pct"/>
                  <w:tcBorders>
                    <w:tl2br w:val="nil"/>
                    <w:tr2bl w:val="nil"/>
                  </w:tcBorders>
                  <w:shd w:val="clear" w:color="auto" w:fill="FFFFFF"/>
                  <w:noWrap w:val="0"/>
                  <w:vAlign w:val="center"/>
                </w:tcPr>
                <w:p w14:paraId="6E24F6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66A2B4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-49.8</w:t>
                  </w:r>
                </w:p>
              </w:tc>
              <w:tc>
                <w:tcPr>
                  <w:tcW w:w="258" w:type="pct"/>
                  <w:tcBorders>
                    <w:tl2br w:val="nil"/>
                    <w:tr2bl w:val="nil"/>
                  </w:tcBorders>
                  <w:shd w:val="clear" w:color="auto" w:fill="FFFFFF"/>
                  <w:noWrap w:val="0"/>
                  <w:vAlign w:val="center"/>
                </w:tcPr>
                <w:p w14:paraId="6E62EC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1.5</w:t>
                  </w:r>
                </w:p>
              </w:tc>
              <w:tc>
                <w:tcPr>
                  <w:tcW w:w="259" w:type="pct"/>
                  <w:tcBorders>
                    <w:tl2br w:val="nil"/>
                    <w:tr2bl w:val="nil"/>
                  </w:tcBorders>
                  <w:shd w:val="clear" w:color="auto" w:fill="FFFFFF"/>
                  <w:noWrap w:val="0"/>
                  <w:vAlign w:val="center"/>
                </w:tcPr>
                <w:p w14:paraId="7EE2BD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22A1F1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48.1</w:t>
                  </w:r>
                </w:p>
              </w:tc>
              <w:tc>
                <w:tcPr>
                  <w:tcW w:w="266" w:type="pct"/>
                  <w:tcBorders>
                    <w:tl2br w:val="nil"/>
                    <w:tr2bl w:val="nil"/>
                  </w:tcBorders>
                  <w:shd w:val="clear" w:color="auto" w:fill="FFFFFF"/>
                  <w:noWrap w:val="0"/>
                  <w:vAlign w:val="center"/>
                </w:tcPr>
                <w:p w14:paraId="2B16CE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52.7</w:t>
                  </w:r>
                </w:p>
              </w:tc>
              <w:tc>
                <w:tcPr>
                  <w:tcW w:w="266" w:type="pct"/>
                  <w:tcBorders>
                    <w:tl2br w:val="nil"/>
                    <w:tr2bl w:val="nil"/>
                  </w:tcBorders>
                  <w:shd w:val="clear" w:color="auto" w:fill="FFFFFF"/>
                  <w:noWrap w:val="0"/>
                  <w:vAlign w:val="center"/>
                </w:tcPr>
                <w:p w14:paraId="04FAD1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23.8</w:t>
                  </w:r>
                </w:p>
              </w:tc>
              <w:tc>
                <w:tcPr>
                  <w:tcW w:w="266" w:type="pct"/>
                  <w:tcBorders>
                    <w:tl2br w:val="nil"/>
                    <w:tr2bl w:val="nil"/>
                  </w:tcBorders>
                  <w:shd w:val="clear" w:color="auto" w:fill="FFFFFF"/>
                  <w:noWrap w:val="0"/>
                  <w:vAlign w:val="center"/>
                </w:tcPr>
                <w:p w14:paraId="7B91DF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17.2</w:t>
                  </w:r>
                </w:p>
              </w:tc>
              <w:tc>
                <w:tcPr>
                  <w:tcW w:w="167" w:type="pct"/>
                  <w:tcBorders>
                    <w:tl2br w:val="nil"/>
                    <w:tr2bl w:val="nil"/>
                  </w:tcBorders>
                  <w:shd w:val="clear" w:color="auto" w:fill="FFFFFF"/>
                  <w:noWrap w:val="0"/>
                  <w:vAlign w:val="center"/>
                </w:tcPr>
                <w:p w14:paraId="663DCD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0F5287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4F80A6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210983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c>
                <w:tcPr>
                  <w:tcW w:w="266" w:type="pct"/>
                  <w:tcBorders>
                    <w:tl2br w:val="nil"/>
                    <w:tr2bl w:val="nil"/>
                  </w:tcBorders>
                  <w:shd w:val="clear" w:color="auto" w:fill="FFFFFF"/>
                  <w:noWrap w:val="0"/>
                  <w:vAlign w:val="center"/>
                </w:tcPr>
                <w:p w14:paraId="0C8D90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37.9</w:t>
                  </w:r>
                </w:p>
              </w:tc>
            </w:tr>
            <w:tr w14:paraId="184ABD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08" w:type="pct"/>
                  <w:tcBorders>
                    <w:tl2br w:val="nil"/>
                    <w:tr2bl w:val="nil"/>
                  </w:tcBorders>
                  <w:noWrap w:val="0"/>
                  <w:vAlign w:val="center"/>
                </w:tcPr>
                <w:p w14:paraId="57AB1A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537" w:type="pct"/>
                  <w:tcBorders>
                    <w:tl2br w:val="nil"/>
                    <w:tr2bl w:val="nil"/>
                  </w:tcBorders>
                  <w:noWrap w:val="0"/>
                  <w:vAlign w:val="center"/>
                </w:tcPr>
                <w:p w14:paraId="44AEEE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丸粒滚筒筛</w:t>
                  </w:r>
                </w:p>
              </w:tc>
              <w:tc>
                <w:tcPr>
                  <w:tcW w:w="320" w:type="pct"/>
                  <w:tcBorders>
                    <w:tl2br w:val="nil"/>
                    <w:tr2bl w:val="nil"/>
                  </w:tcBorders>
                  <w:noWrap w:val="0"/>
                  <w:vAlign w:val="center"/>
                </w:tcPr>
                <w:p w14:paraId="05BAD1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Calibri" w:cs="Times New Roman"/>
                      <w:color w:val="000000" w:themeColor="text1"/>
                      <w:kern w:val="2"/>
                      <w:sz w:val="21"/>
                      <w:szCs w:val="21"/>
                      <w:lang w:val="en-US" w:eastAsia="zh-CN" w:bidi="ar-SA"/>
                      <w14:textFill>
                        <w14:solidFill>
                          <w14:schemeClr w14:val="tx1"/>
                        </w14:solidFill>
                      </w14:textFill>
                    </w:rPr>
                  </w:pPr>
                  <w:r>
                    <w:rPr>
                      <w:rFonts w:hint="eastAsia" w:eastAsia="Calibri" w:cs="Times New Roman"/>
                      <w:color w:val="000000" w:themeColor="text1"/>
                      <w:kern w:val="2"/>
                      <w:sz w:val="21"/>
                      <w:szCs w:val="21"/>
                      <w:lang w:val="en-US" w:eastAsia="zh-CN" w:bidi="ar-SA"/>
                      <w14:textFill>
                        <w14:solidFill>
                          <w14:schemeClr w14:val="tx1"/>
                        </w14:solidFill>
                      </w14:textFill>
                    </w:rPr>
                    <w:t>1</w:t>
                  </w:r>
                </w:p>
              </w:tc>
              <w:tc>
                <w:tcPr>
                  <w:tcW w:w="425" w:type="pct"/>
                  <w:tcBorders>
                    <w:tl2br w:val="nil"/>
                    <w:tr2bl w:val="nil"/>
                  </w:tcBorders>
                  <w:shd w:val="clear" w:color="auto" w:fill="FFFFFF"/>
                  <w:noWrap w:val="0"/>
                  <w:vAlign w:val="center"/>
                </w:tcPr>
                <w:p w14:paraId="596761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85</w:t>
                  </w:r>
                </w:p>
              </w:tc>
              <w:tc>
                <w:tcPr>
                  <w:tcW w:w="432" w:type="pct"/>
                  <w:tcBorders>
                    <w:tl2br w:val="nil"/>
                    <w:tr2bl w:val="nil"/>
                  </w:tcBorders>
                  <w:shd w:val="clear" w:color="auto" w:fill="FFFFFF"/>
                  <w:noWrap w:val="0"/>
                  <w:vAlign w:val="center"/>
                </w:tcPr>
                <w:p w14:paraId="751C05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基础减振</w:t>
                  </w:r>
                </w:p>
              </w:tc>
              <w:tc>
                <w:tcPr>
                  <w:tcW w:w="258" w:type="pct"/>
                  <w:tcBorders>
                    <w:tl2br w:val="nil"/>
                    <w:tr2bl w:val="nil"/>
                  </w:tcBorders>
                  <w:shd w:val="clear" w:color="auto" w:fill="FFFFFF"/>
                  <w:noWrap w:val="0"/>
                  <w:vAlign w:val="center"/>
                </w:tcPr>
                <w:p w14:paraId="153397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-42.3</w:t>
                  </w:r>
                </w:p>
              </w:tc>
              <w:tc>
                <w:tcPr>
                  <w:tcW w:w="258" w:type="pct"/>
                  <w:tcBorders>
                    <w:tl2br w:val="nil"/>
                    <w:tr2bl w:val="nil"/>
                  </w:tcBorders>
                  <w:shd w:val="clear" w:color="auto" w:fill="FFFFFF"/>
                  <w:noWrap w:val="0"/>
                  <w:vAlign w:val="center"/>
                </w:tcPr>
                <w:p w14:paraId="6875EB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0.3</w:t>
                  </w:r>
                </w:p>
              </w:tc>
              <w:tc>
                <w:tcPr>
                  <w:tcW w:w="259" w:type="pct"/>
                  <w:tcBorders>
                    <w:tl2br w:val="nil"/>
                    <w:tr2bl w:val="nil"/>
                  </w:tcBorders>
                  <w:shd w:val="clear" w:color="auto" w:fill="FFFFFF"/>
                  <w:noWrap w:val="0"/>
                  <w:vAlign w:val="center"/>
                </w:tcPr>
                <w:p w14:paraId="6E508F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266" w:type="pct"/>
                  <w:tcBorders>
                    <w:tl2br w:val="nil"/>
                    <w:tr2bl w:val="nil"/>
                  </w:tcBorders>
                  <w:shd w:val="clear" w:color="auto" w:fill="FFFFFF"/>
                  <w:noWrap w:val="0"/>
                  <w:vAlign w:val="center"/>
                </w:tcPr>
                <w:p w14:paraId="6F6958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40.5</w:t>
                  </w:r>
                </w:p>
              </w:tc>
              <w:tc>
                <w:tcPr>
                  <w:tcW w:w="266" w:type="pct"/>
                  <w:tcBorders>
                    <w:tl2br w:val="nil"/>
                    <w:tr2bl w:val="nil"/>
                  </w:tcBorders>
                  <w:shd w:val="clear" w:color="auto" w:fill="FFFFFF"/>
                  <w:noWrap w:val="0"/>
                  <w:vAlign w:val="center"/>
                </w:tcPr>
                <w:p w14:paraId="28ADF4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52.6</w:t>
                  </w:r>
                </w:p>
              </w:tc>
              <w:tc>
                <w:tcPr>
                  <w:tcW w:w="266" w:type="pct"/>
                  <w:tcBorders>
                    <w:tl2br w:val="nil"/>
                    <w:tr2bl w:val="nil"/>
                  </w:tcBorders>
                  <w:shd w:val="clear" w:color="auto" w:fill="FFFFFF"/>
                  <w:noWrap w:val="0"/>
                  <w:vAlign w:val="center"/>
                </w:tcPr>
                <w:p w14:paraId="16E621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31.4</w:t>
                  </w:r>
                </w:p>
              </w:tc>
              <w:tc>
                <w:tcPr>
                  <w:tcW w:w="266" w:type="pct"/>
                  <w:tcBorders>
                    <w:tl2br w:val="nil"/>
                    <w:tr2bl w:val="nil"/>
                  </w:tcBorders>
                  <w:shd w:val="clear" w:color="auto" w:fill="FFFFFF"/>
                  <w:noWrap w:val="0"/>
                  <w:vAlign w:val="center"/>
                </w:tcPr>
                <w:p w14:paraId="67F6DB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17.4</w:t>
                  </w:r>
                </w:p>
              </w:tc>
              <w:tc>
                <w:tcPr>
                  <w:tcW w:w="167" w:type="pct"/>
                  <w:tcBorders>
                    <w:tl2br w:val="nil"/>
                    <w:tr2bl w:val="nil"/>
                  </w:tcBorders>
                  <w:shd w:val="clear" w:color="auto" w:fill="FFFFFF"/>
                  <w:noWrap w:val="0"/>
                  <w:vAlign w:val="center"/>
                </w:tcPr>
                <w:p w14:paraId="359E2C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w:t>
                  </w:r>
                </w:p>
              </w:tc>
              <w:tc>
                <w:tcPr>
                  <w:tcW w:w="266" w:type="pct"/>
                  <w:tcBorders>
                    <w:tl2br w:val="nil"/>
                    <w:tr2bl w:val="nil"/>
                  </w:tcBorders>
                  <w:shd w:val="clear" w:color="auto" w:fill="FFFFFF"/>
                  <w:noWrap w:val="0"/>
                  <w:vAlign w:val="center"/>
                </w:tcPr>
                <w:p w14:paraId="05DCB7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3D8D7F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4346CD4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c>
                <w:tcPr>
                  <w:tcW w:w="266" w:type="pct"/>
                  <w:tcBorders>
                    <w:tl2br w:val="nil"/>
                    <w:tr2bl w:val="nil"/>
                  </w:tcBorders>
                  <w:shd w:val="clear" w:color="auto" w:fill="FFFFFF"/>
                  <w:noWrap w:val="0"/>
                  <w:vAlign w:val="center"/>
                </w:tcPr>
                <w:p w14:paraId="52D2DB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42.9</w:t>
                  </w:r>
                </w:p>
              </w:tc>
            </w:tr>
          </w:tbl>
          <w:p w14:paraId="77801D71">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default"/>
                <w:color w:val="000000" w:themeColor="text1"/>
                <w:sz w:val="24"/>
                <w:szCs w:val="24"/>
                <w:lang w:val="en-US" w:eastAsia="zh-CN"/>
                <w14:textFill>
                  <w14:solidFill>
                    <w14:schemeClr w14:val="tx1"/>
                  </w14:solidFill>
                </w14:textFill>
              </w:rPr>
            </w:pPr>
            <w:r>
              <w:rPr>
                <w:rFonts w:hint="default"/>
                <w:color w:val="000000" w:themeColor="text1"/>
                <w:sz w:val="24"/>
                <w:szCs w:val="24"/>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3</w:t>
            </w:r>
            <w:r>
              <w:rPr>
                <w:rFonts w:hint="default"/>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预测结果</w:t>
            </w:r>
          </w:p>
          <w:p w14:paraId="40F2621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噪声值预测结果见下表。</w:t>
            </w:r>
          </w:p>
          <w:p w14:paraId="1DEF6BA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2100" w:firstLineChars="875"/>
              <w:jc w:val="both"/>
              <w:textAlignment w:val="auto"/>
              <w:rPr>
                <w:rFonts w:hint="default"/>
                <w:b w:val="0"/>
                <w:bCs w:val="0"/>
                <w:color w:val="000000" w:themeColor="text1"/>
                <w:sz w:val="24"/>
                <w:lang w:val="en-US" w:eastAsia="zh-CN"/>
                <w14:textFill>
                  <w14:solidFill>
                    <w14:schemeClr w14:val="tx1"/>
                  </w14:solidFill>
                </w14:textFill>
              </w:rPr>
            </w:pPr>
            <w:r>
              <w:rPr>
                <w:rFonts w:hint="default"/>
                <w:color w:val="000000" w:themeColor="text1"/>
                <w:sz w:val="24"/>
                <w:lang w:val="en-US" w:eastAsia="zh-CN"/>
                <w14:textFill>
                  <w14:solidFill>
                    <w14:schemeClr w14:val="tx1"/>
                  </w14:solidFill>
                </w14:textFill>
              </w:rPr>
              <w:t xml:space="preserve">  </w:t>
            </w:r>
            <w:r>
              <w:rPr>
                <w:rFonts w:hint="default"/>
                <w:b w:val="0"/>
                <w:bCs w:val="0"/>
                <w:color w:val="000000" w:themeColor="text1"/>
                <w:sz w:val="24"/>
                <w:lang w:val="en-US" w:eastAsia="zh-CN"/>
                <w14:textFill>
                  <w14:solidFill>
                    <w14:schemeClr w14:val="tx1"/>
                  </w14:solidFill>
                </w14:textFill>
              </w:rPr>
              <w:t xml:space="preserve"> </w:t>
            </w:r>
          </w:p>
          <w:p w14:paraId="62B8629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2100" w:firstLineChars="875"/>
              <w:jc w:val="both"/>
              <w:textAlignment w:val="auto"/>
              <w:rPr>
                <w:rFonts w:hint="default" w:cs="Times New Roman"/>
                <w:color w:val="000000" w:themeColor="text1"/>
                <w:sz w:val="24"/>
                <w:szCs w:val="24"/>
                <w:lang w:val="en-US" w:eastAsia="zh-CN"/>
                <w14:textFill>
                  <w14:solidFill>
                    <w14:schemeClr w14:val="tx1"/>
                  </w14:solidFill>
                </w14:textFill>
              </w:rPr>
            </w:pPr>
            <w:r>
              <w:rPr>
                <w:rFonts w:hint="default" w:cs="Times New Roman"/>
                <w:color w:val="000000" w:themeColor="text1"/>
                <w:sz w:val="24"/>
                <w:szCs w:val="24"/>
                <w:lang w:val="en-US" w:eastAsia="zh-CN"/>
                <w14:textFill>
                  <w14:solidFill>
                    <w14:schemeClr w14:val="tx1"/>
                  </w14:solidFill>
                </w14:textFill>
              </w:rPr>
              <w:t>表</w:t>
            </w:r>
            <w:r>
              <w:rPr>
                <w:rFonts w:hint="eastAsia" w:cs="Times New Roman"/>
                <w:color w:val="000000" w:themeColor="text1"/>
                <w:sz w:val="24"/>
                <w:szCs w:val="24"/>
                <w:lang w:val="en-US" w:eastAsia="zh-CN"/>
                <w14:textFill>
                  <w14:solidFill>
                    <w14:schemeClr w14:val="tx1"/>
                  </w14:solidFill>
                </w14:textFill>
              </w:rPr>
              <w:t xml:space="preserve">37  </w:t>
            </w:r>
            <w:r>
              <w:rPr>
                <w:rFonts w:hint="default" w:cs="Times New Roman"/>
                <w:color w:val="000000" w:themeColor="text1"/>
                <w:sz w:val="24"/>
                <w:szCs w:val="24"/>
                <w:lang w:val="en-US" w:eastAsia="zh-CN"/>
                <w14:textFill>
                  <w14:solidFill>
                    <w14:schemeClr w14:val="tx1"/>
                  </w14:solidFill>
                </w14:textFill>
              </w:rPr>
              <w:t xml:space="preserve"> </w:t>
            </w:r>
            <w:r>
              <w:rPr>
                <w:rFonts w:hint="eastAsia" w:cs="Times New Roman"/>
                <w:color w:val="000000" w:themeColor="text1"/>
                <w:sz w:val="24"/>
                <w:szCs w:val="24"/>
                <w:lang w:val="en-US" w:eastAsia="zh-CN"/>
                <w14:textFill>
                  <w14:solidFill>
                    <w14:schemeClr w14:val="tx1"/>
                  </w14:solidFill>
                </w14:textFill>
              </w:rPr>
              <w:t>项目</w:t>
            </w:r>
            <w:r>
              <w:rPr>
                <w:rFonts w:hint="default" w:cs="Times New Roman"/>
                <w:color w:val="000000" w:themeColor="text1"/>
                <w:sz w:val="24"/>
                <w:szCs w:val="24"/>
                <w:lang w:val="en-US" w:eastAsia="zh-CN"/>
                <w14:textFill>
                  <w14:solidFill>
                    <w14:schemeClr w14:val="tx1"/>
                  </w14:solidFill>
                </w14:textFill>
              </w:rPr>
              <w:t>噪声预测结果一览表</w:t>
            </w:r>
          </w:p>
          <w:tbl>
            <w:tblPr>
              <w:tblStyle w:val="26"/>
              <w:tblW w:w="499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015"/>
              <w:gridCol w:w="860"/>
              <w:gridCol w:w="860"/>
              <w:gridCol w:w="865"/>
              <w:gridCol w:w="750"/>
              <w:gridCol w:w="1311"/>
              <w:gridCol w:w="1311"/>
              <w:gridCol w:w="990"/>
            </w:tblGrid>
            <w:tr w14:paraId="747142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blHeader/>
                <w:jc w:val="center"/>
              </w:trPr>
              <w:tc>
                <w:tcPr>
                  <w:tcW w:w="637" w:type="pct"/>
                  <w:vMerge w:val="restart"/>
                  <w:tcBorders>
                    <w:tl2br w:val="nil"/>
                    <w:tr2bl w:val="nil"/>
                  </w:tcBorders>
                  <w:noWrap w:val="0"/>
                  <w:vAlign w:val="center"/>
                </w:tcPr>
                <w:p w14:paraId="758AD2E5">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预测点</w:t>
                  </w:r>
                </w:p>
              </w:tc>
              <w:tc>
                <w:tcPr>
                  <w:tcW w:w="1623" w:type="pct"/>
                  <w:gridSpan w:val="3"/>
                  <w:tcBorders>
                    <w:tl2br w:val="nil"/>
                    <w:tr2bl w:val="nil"/>
                  </w:tcBorders>
                  <w:noWrap w:val="0"/>
                  <w:vAlign w:val="center"/>
                </w:tcPr>
                <w:p w14:paraId="298E430E">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最大值点空间相对位置/m</w:t>
                  </w:r>
                </w:p>
              </w:tc>
              <w:tc>
                <w:tcPr>
                  <w:tcW w:w="470" w:type="pct"/>
                  <w:vMerge w:val="restart"/>
                  <w:tcBorders>
                    <w:tl2br w:val="nil"/>
                    <w:tr2bl w:val="nil"/>
                  </w:tcBorders>
                  <w:noWrap w:val="0"/>
                  <w:vAlign w:val="center"/>
                </w:tcPr>
                <w:p w14:paraId="61F608D1">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时段</w:t>
                  </w:r>
                </w:p>
              </w:tc>
              <w:tc>
                <w:tcPr>
                  <w:tcW w:w="823" w:type="pct"/>
                  <w:vMerge w:val="restart"/>
                  <w:tcBorders>
                    <w:tl2br w:val="nil"/>
                    <w:tr2bl w:val="nil"/>
                  </w:tcBorders>
                  <w:noWrap w:val="0"/>
                  <w:vAlign w:val="center"/>
                </w:tcPr>
                <w:p w14:paraId="7FFD3573">
                  <w:pPr>
                    <w:keepNext w:val="0"/>
                    <w:keepLines w:val="0"/>
                    <w:pageBreakBefore w:val="0"/>
                    <w:widowControl w:val="0"/>
                    <w:kinsoku/>
                    <w:wordWrap/>
                    <w:overflowPunct/>
                    <w:topLinePunct w:val="0"/>
                    <w:bidi w:val="0"/>
                    <w:snapToGrid/>
                    <w:spacing w:line="360" w:lineRule="exact"/>
                    <w:jc w:val="center"/>
                    <w:textAlignment w:val="auto"/>
                    <w:rPr>
                      <w:rFonts w:hint="eastAsia" w:ascii="Times New Roman" w:hAnsi="Times New Roman"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贡献值</w:t>
                  </w:r>
                  <w:r>
                    <w:rPr>
                      <w:rFonts w:ascii="Times New Roman" w:hAnsi="Times New Roman" w:eastAsia="宋体"/>
                      <w:color w:val="000000" w:themeColor="text1"/>
                      <w:sz w:val="21"/>
                      <w:szCs w:val="21"/>
                      <w14:textFill>
                        <w14:solidFill>
                          <w14:schemeClr w14:val="tx1"/>
                        </w14:solidFill>
                      </w14:textFill>
                    </w:rPr>
                    <w:t>dB(A)</w:t>
                  </w:r>
                </w:p>
              </w:tc>
              <w:tc>
                <w:tcPr>
                  <w:tcW w:w="823" w:type="pct"/>
                  <w:vMerge w:val="restart"/>
                  <w:tcBorders>
                    <w:tl2br w:val="nil"/>
                    <w:tr2bl w:val="nil"/>
                  </w:tcBorders>
                  <w:noWrap w:val="0"/>
                  <w:vAlign w:val="center"/>
                </w:tcPr>
                <w:p w14:paraId="47D9D64F">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标准值dB(A)</w:t>
                  </w:r>
                </w:p>
              </w:tc>
              <w:tc>
                <w:tcPr>
                  <w:tcW w:w="621" w:type="pct"/>
                  <w:vMerge w:val="restart"/>
                  <w:tcBorders>
                    <w:tl2br w:val="nil"/>
                    <w:tr2bl w:val="nil"/>
                  </w:tcBorders>
                  <w:noWrap w:val="0"/>
                  <w:vAlign w:val="center"/>
                </w:tcPr>
                <w:p w14:paraId="0E785987">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达标情况</w:t>
                  </w:r>
                </w:p>
              </w:tc>
            </w:tr>
            <w:tr w14:paraId="1FED1D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blHeader/>
                <w:jc w:val="center"/>
              </w:trPr>
              <w:tc>
                <w:tcPr>
                  <w:tcW w:w="637" w:type="pct"/>
                  <w:vMerge w:val="continue"/>
                  <w:tcBorders>
                    <w:tl2br w:val="nil"/>
                    <w:tr2bl w:val="nil"/>
                  </w:tcBorders>
                  <w:noWrap w:val="0"/>
                  <w:vAlign w:val="center"/>
                </w:tcPr>
                <w:p w14:paraId="4770C678">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40" w:type="pct"/>
                  <w:tcBorders>
                    <w:tl2br w:val="nil"/>
                    <w:tr2bl w:val="nil"/>
                  </w:tcBorders>
                  <w:noWrap w:val="0"/>
                  <w:vAlign w:val="center"/>
                </w:tcPr>
                <w:p w14:paraId="645EE0CC">
                  <w:pPr>
                    <w:keepNext w:val="0"/>
                    <w:keepLines w:val="0"/>
                    <w:pageBreakBefore w:val="0"/>
                    <w:widowControl w:val="0"/>
                    <w:kinsoku/>
                    <w:wordWrap/>
                    <w:overflowPunct/>
                    <w:topLinePunct w:val="0"/>
                    <w:bidi w:val="0"/>
                    <w:snapToGrid/>
                    <w:spacing w:line="360" w:lineRule="exact"/>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X</w:t>
                  </w:r>
                </w:p>
              </w:tc>
              <w:tc>
                <w:tcPr>
                  <w:tcW w:w="540" w:type="pct"/>
                  <w:tcBorders>
                    <w:tl2br w:val="nil"/>
                    <w:tr2bl w:val="nil"/>
                  </w:tcBorders>
                  <w:noWrap w:val="0"/>
                  <w:vAlign w:val="center"/>
                </w:tcPr>
                <w:p w14:paraId="4162FD3C">
                  <w:pPr>
                    <w:keepNext w:val="0"/>
                    <w:keepLines w:val="0"/>
                    <w:pageBreakBefore w:val="0"/>
                    <w:widowControl w:val="0"/>
                    <w:kinsoku/>
                    <w:wordWrap/>
                    <w:overflowPunct/>
                    <w:topLinePunct w:val="0"/>
                    <w:bidi w:val="0"/>
                    <w:snapToGrid/>
                    <w:spacing w:line="360" w:lineRule="exact"/>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Y</w:t>
                  </w:r>
                </w:p>
              </w:tc>
              <w:tc>
                <w:tcPr>
                  <w:tcW w:w="543" w:type="pct"/>
                  <w:tcBorders>
                    <w:tl2br w:val="nil"/>
                    <w:tr2bl w:val="nil"/>
                  </w:tcBorders>
                  <w:noWrap w:val="0"/>
                  <w:vAlign w:val="center"/>
                </w:tcPr>
                <w:p w14:paraId="752A98E4">
                  <w:pPr>
                    <w:keepNext w:val="0"/>
                    <w:keepLines w:val="0"/>
                    <w:pageBreakBefore w:val="0"/>
                    <w:widowControl w:val="0"/>
                    <w:kinsoku/>
                    <w:wordWrap/>
                    <w:overflowPunct/>
                    <w:topLinePunct w:val="0"/>
                    <w:bidi w:val="0"/>
                    <w:snapToGrid/>
                    <w:spacing w:line="360" w:lineRule="exact"/>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Z</w:t>
                  </w:r>
                </w:p>
              </w:tc>
              <w:tc>
                <w:tcPr>
                  <w:tcW w:w="470" w:type="pct"/>
                  <w:vMerge w:val="continue"/>
                  <w:tcBorders>
                    <w:tl2br w:val="nil"/>
                    <w:tr2bl w:val="nil"/>
                  </w:tcBorders>
                  <w:noWrap w:val="0"/>
                  <w:vAlign w:val="center"/>
                </w:tcPr>
                <w:p w14:paraId="2D5A31B0">
                  <w:pPr>
                    <w:keepNext w:val="0"/>
                    <w:keepLines w:val="0"/>
                    <w:pageBreakBefore w:val="0"/>
                    <w:widowControl w:val="0"/>
                    <w:kinsoku/>
                    <w:wordWrap/>
                    <w:overflowPunct/>
                    <w:topLinePunct w:val="0"/>
                    <w:bidi w:val="0"/>
                    <w:snapToGrid/>
                    <w:spacing w:line="360" w:lineRule="exact"/>
                    <w:jc w:val="center"/>
                    <w:textAlignment w:val="auto"/>
                    <w:rPr>
                      <w:rFonts w:hint="eastAsia"/>
                      <w:color w:val="000000" w:themeColor="text1"/>
                      <w:sz w:val="21"/>
                      <w:szCs w:val="21"/>
                      <w:lang w:val="en-US" w:eastAsia="zh-CN"/>
                      <w14:textFill>
                        <w14:solidFill>
                          <w14:schemeClr w14:val="tx1"/>
                        </w14:solidFill>
                      </w14:textFill>
                    </w:rPr>
                  </w:pPr>
                </w:p>
              </w:tc>
              <w:tc>
                <w:tcPr>
                  <w:tcW w:w="823" w:type="pct"/>
                  <w:vMerge w:val="continue"/>
                  <w:tcBorders>
                    <w:tl2br w:val="nil"/>
                    <w:tr2bl w:val="nil"/>
                  </w:tcBorders>
                  <w:noWrap w:val="0"/>
                  <w:vAlign w:val="center"/>
                </w:tcPr>
                <w:p w14:paraId="464953AF">
                  <w:pPr>
                    <w:keepNext w:val="0"/>
                    <w:keepLines w:val="0"/>
                    <w:pageBreakBefore w:val="0"/>
                    <w:widowControl w:val="0"/>
                    <w:kinsoku/>
                    <w:wordWrap/>
                    <w:overflowPunct/>
                    <w:topLinePunct w:val="0"/>
                    <w:bidi w:val="0"/>
                    <w:snapToGrid/>
                    <w:spacing w:line="360" w:lineRule="exact"/>
                    <w:jc w:val="center"/>
                    <w:textAlignment w:val="auto"/>
                    <w:rPr>
                      <w:rFonts w:hint="eastAsia"/>
                      <w:color w:val="000000" w:themeColor="text1"/>
                      <w:sz w:val="21"/>
                      <w:szCs w:val="21"/>
                      <w:lang w:val="en-US" w:eastAsia="zh-CN"/>
                      <w14:textFill>
                        <w14:solidFill>
                          <w14:schemeClr w14:val="tx1"/>
                        </w14:solidFill>
                      </w14:textFill>
                    </w:rPr>
                  </w:pPr>
                </w:p>
              </w:tc>
              <w:tc>
                <w:tcPr>
                  <w:tcW w:w="823" w:type="pct"/>
                  <w:vMerge w:val="continue"/>
                  <w:tcBorders>
                    <w:tl2br w:val="nil"/>
                    <w:tr2bl w:val="nil"/>
                  </w:tcBorders>
                  <w:noWrap w:val="0"/>
                  <w:vAlign w:val="center"/>
                </w:tcPr>
                <w:p w14:paraId="6934B971">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p>
              </w:tc>
              <w:tc>
                <w:tcPr>
                  <w:tcW w:w="621" w:type="pct"/>
                  <w:vMerge w:val="continue"/>
                  <w:tcBorders>
                    <w:tl2br w:val="nil"/>
                    <w:tr2bl w:val="nil"/>
                  </w:tcBorders>
                  <w:noWrap w:val="0"/>
                  <w:vAlign w:val="center"/>
                </w:tcPr>
                <w:p w14:paraId="6A8FE4A3">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p>
              </w:tc>
            </w:tr>
            <w:tr w14:paraId="28178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637" w:type="pct"/>
                  <w:vMerge w:val="restart"/>
                  <w:tcBorders>
                    <w:tl2br w:val="nil"/>
                    <w:tr2bl w:val="nil"/>
                  </w:tcBorders>
                  <w:noWrap w:val="0"/>
                  <w:vAlign w:val="center"/>
                </w:tcPr>
                <w:p w14:paraId="164AC2E5">
                  <w:pPr>
                    <w:keepNext w:val="0"/>
                    <w:keepLines w:val="0"/>
                    <w:pageBreakBefore w:val="0"/>
                    <w:widowControl w:val="0"/>
                    <w:kinsoku/>
                    <w:wordWrap/>
                    <w:overflowPunct/>
                    <w:topLinePunct w:val="0"/>
                    <w:bidi w:val="0"/>
                    <w:snapToGrid/>
                    <w:spacing w:line="360" w:lineRule="exact"/>
                    <w:jc w:val="center"/>
                    <w:textAlignment w:val="auto"/>
                    <w:rPr>
                      <w:rFonts w:hint="eastAsia" w:ascii="Times New Roman" w:hAnsi="Times New Roman" w:eastAsia="宋体"/>
                      <w:color w:val="000000" w:themeColor="text1"/>
                      <w:sz w:val="21"/>
                      <w:szCs w:val="21"/>
                      <w:lang w:eastAsia="zh-CN"/>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东厂界</w:t>
                  </w:r>
                </w:p>
              </w:tc>
              <w:tc>
                <w:tcPr>
                  <w:tcW w:w="540" w:type="pct"/>
                  <w:tcBorders>
                    <w:tl2br w:val="nil"/>
                    <w:tr2bl w:val="nil"/>
                  </w:tcBorders>
                  <w:shd w:val="clear" w:color="auto" w:fill="FFFFFF"/>
                  <w:noWrap w:val="0"/>
                  <w:vAlign w:val="center"/>
                </w:tcPr>
                <w:p w14:paraId="2BEE404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80.7</w:t>
                  </w:r>
                </w:p>
              </w:tc>
              <w:tc>
                <w:tcPr>
                  <w:tcW w:w="540" w:type="pct"/>
                  <w:tcBorders>
                    <w:tl2br w:val="nil"/>
                    <w:tr2bl w:val="nil"/>
                  </w:tcBorders>
                  <w:shd w:val="clear" w:color="auto" w:fill="FFFFFF"/>
                  <w:noWrap w:val="0"/>
                  <w:vAlign w:val="center"/>
                </w:tcPr>
                <w:p w14:paraId="4BC6DC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-31.2</w:t>
                  </w:r>
                </w:p>
              </w:tc>
              <w:tc>
                <w:tcPr>
                  <w:tcW w:w="543" w:type="pct"/>
                  <w:tcBorders>
                    <w:tl2br w:val="nil"/>
                    <w:tr2bl w:val="nil"/>
                  </w:tcBorders>
                  <w:shd w:val="clear" w:color="auto" w:fill="FFFFFF"/>
                  <w:noWrap w:val="0"/>
                  <w:vAlign w:val="center"/>
                </w:tcPr>
                <w:p w14:paraId="7E0A8D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470" w:type="pct"/>
                  <w:tcBorders>
                    <w:tl2br w:val="nil"/>
                    <w:tr2bl w:val="nil"/>
                  </w:tcBorders>
                  <w:shd w:val="clear" w:color="auto" w:fill="auto"/>
                  <w:noWrap w:val="0"/>
                  <w:vAlign w:val="center"/>
                </w:tcPr>
                <w:p w14:paraId="10A060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昼间</w:t>
                  </w:r>
                </w:p>
              </w:tc>
              <w:tc>
                <w:tcPr>
                  <w:tcW w:w="823" w:type="pct"/>
                  <w:tcBorders>
                    <w:tl2br w:val="nil"/>
                    <w:tr2bl w:val="nil"/>
                  </w:tcBorders>
                  <w:shd w:val="clear" w:color="auto" w:fill="FFFFFF"/>
                  <w:noWrap w:val="0"/>
                  <w:vAlign w:val="center"/>
                </w:tcPr>
                <w:p w14:paraId="6F1CCC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34</w:t>
                  </w:r>
                </w:p>
              </w:tc>
              <w:tc>
                <w:tcPr>
                  <w:tcW w:w="823" w:type="pct"/>
                  <w:tcBorders>
                    <w:tl2br w:val="nil"/>
                    <w:tr2bl w:val="nil"/>
                  </w:tcBorders>
                  <w:shd w:val="clear" w:color="auto" w:fill="FFFFFF"/>
                  <w:noWrap w:val="0"/>
                  <w:vAlign w:val="center"/>
                </w:tcPr>
                <w:p w14:paraId="5362DD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65</w:t>
                  </w:r>
                </w:p>
              </w:tc>
              <w:tc>
                <w:tcPr>
                  <w:tcW w:w="621" w:type="pct"/>
                  <w:tcBorders>
                    <w:tl2br w:val="nil"/>
                    <w:tr2bl w:val="nil"/>
                  </w:tcBorders>
                  <w:noWrap w:val="0"/>
                  <w:vAlign w:val="center"/>
                </w:tcPr>
                <w:p w14:paraId="6DAFE415">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达标</w:t>
                  </w:r>
                </w:p>
              </w:tc>
            </w:tr>
            <w:tr w14:paraId="44DDEE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637" w:type="pct"/>
                  <w:vMerge w:val="continue"/>
                  <w:tcBorders>
                    <w:tl2br w:val="nil"/>
                    <w:tr2bl w:val="nil"/>
                  </w:tcBorders>
                  <w:noWrap w:val="0"/>
                  <w:vAlign w:val="center"/>
                </w:tcPr>
                <w:p w14:paraId="061F8BF4">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40" w:type="pct"/>
                  <w:tcBorders>
                    <w:tl2br w:val="nil"/>
                    <w:tr2bl w:val="nil"/>
                  </w:tcBorders>
                  <w:shd w:val="clear" w:color="auto" w:fill="FFFFFF"/>
                  <w:noWrap w:val="0"/>
                  <w:vAlign w:val="center"/>
                </w:tcPr>
                <w:p w14:paraId="7860AE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80.7</w:t>
                  </w:r>
                </w:p>
              </w:tc>
              <w:tc>
                <w:tcPr>
                  <w:tcW w:w="540" w:type="pct"/>
                  <w:tcBorders>
                    <w:tl2br w:val="nil"/>
                    <w:tr2bl w:val="nil"/>
                  </w:tcBorders>
                  <w:shd w:val="clear" w:color="auto" w:fill="FFFFFF"/>
                  <w:noWrap w:val="0"/>
                  <w:vAlign w:val="center"/>
                </w:tcPr>
                <w:p w14:paraId="2F1910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-31.2</w:t>
                  </w:r>
                </w:p>
              </w:tc>
              <w:tc>
                <w:tcPr>
                  <w:tcW w:w="543" w:type="pct"/>
                  <w:tcBorders>
                    <w:tl2br w:val="nil"/>
                    <w:tr2bl w:val="nil"/>
                  </w:tcBorders>
                  <w:shd w:val="clear" w:color="auto" w:fill="FFFFFF"/>
                  <w:noWrap w:val="0"/>
                  <w:vAlign w:val="center"/>
                </w:tcPr>
                <w:p w14:paraId="48DF22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470" w:type="pct"/>
                  <w:tcBorders>
                    <w:tl2br w:val="nil"/>
                    <w:tr2bl w:val="nil"/>
                  </w:tcBorders>
                  <w:shd w:val="clear" w:color="auto" w:fill="auto"/>
                  <w:noWrap w:val="0"/>
                  <w:vAlign w:val="center"/>
                </w:tcPr>
                <w:p w14:paraId="6113B3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夜间</w:t>
                  </w:r>
                </w:p>
              </w:tc>
              <w:tc>
                <w:tcPr>
                  <w:tcW w:w="823" w:type="pct"/>
                  <w:tcBorders>
                    <w:tl2br w:val="nil"/>
                    <w:tr2bl w:val="nil"/>
                  </w:tcBorders>
                  <w:shd w:val="clear" w:color="auto" w:fill="FFFFFF"/>
                  <w:noWrap w:val="0"/>
                  <w:vAlign w:val="center"/>
                </w:tcPr>
                <w:p w14:paraId="475CF8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34</w:t>
                  </w:r>
                </w:p>
              </w:tc>
              <w:tc>
                <w:tcPr>
                  <w:tcW w:w="823" w:type="pct"/>
                  <w:tcBorders>
                    <w:tl2br w:val="nil"/>
                    <w:tr2bl w:val="nil"/>
                  </w:tcBorders>
                  <w:shd w:val="clear" w:color="auto" w:fill="FFFFFF"/>
                  <w:noWrap w:val="0"/>
                  <w:vAlign w:val="center"/>
                </w:tcPr>
                <w:p w14:paraId="302C12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55</w:t>
                  </w:r>
                </w:p>
              </w:tc>
              <w:tc>
                <w:tcPr>
                  <w:tcW w:w="621" w:type="pct"/>
                  <w:tcBorders>
                    <w:tl2br w:val="nil"/>
                    <w:tr2bl w:val="nil"/>
                  </w:tcBorders>
                  <w:noWrap w:val="0"/>
                  <w:vAlign w:val="center"/>
                </w:tcPr>
                <w:p w14:paraId="41774863">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达标</w:t>
                  </w:r>
                </w:p>
              </w:tc>
            </w:tr>
            <w:tr w14:paraId="533472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637" w:type="pct"/>
                  <w:vMerge w:val="restart"/>
                  <w:tcBorders>
                    <w:tl2br w:val="nil"/>
                    <w:tr2bl w:val="nil"/>
                  </w:tcBorders>
                  <w:noWrap w:val="0"/>
                  <w:vAlign w:val="center"/>
                </w:tcPr>
                <w:p w14:paraId="132C99C8">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南厂界</w:t>
                  </w:r>
                </w:p>
              </w:tc>
              <w:tc>
                <w:tcPr>
                  <w:tcW w:w="540" w:type="pct"/>
                  <w:tcBorders>
                    <w:tl2br w:val="nil"/>
                    <w:tr2bl w:val="nil"/>
                  </w:tcBorders>
                  <w:shd w:val="clear" w:color="auto" w:fill="FFFFFF"/>
                  <w:noWrap w:val="0"/>
                  <w:vAlign w:val="center"/>
                </w:tcPr>
                <w:p w14:paraId="599D0D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33.1</w:t>
                  </w:r>
                </w:p>
              </w:tc>
              <w:tc>
                <w:tcPr>
                  <w:tcW w:w="540" w:type="pct"/>
                  <w:tcBorders>
                    <w:tl2br w:val="nil"/>
                    <w:tr2bl w:val="nil"/>
                  </w:tcBorders>
                  <w:shd w:val="clear" w:color="auto" w:fill="FFFFFF"/>
                  <w:noWrap w:val="0"/>
                  <w:vAlign w:val="center"/>
                </w:tcPr>
                <w:p w14:paraId="1AB0FE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-165.7</w:t>
                  </w:r>
                </w:p>
              </w:tc>
              <w:tc>
                <w:tcPr>
                  <w:tcW w:w="543" w:type="pct"/>
                  <w:tcBorders>
                    <w:tl2br w:val="nil"/>
                    <w:tr2bl w:val="nil"/>
                  </w:tcBorders>
                  <w:shd w:val="clear" w:color="auto" w:fill="FFFFFF"/>
                  <w:noWrap w:val="0"/>
                  <w:vAlign w:val="center"/>
                </w:tcPr>
                <w:p w14:paraId="229013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470" w:type="pct"/>
                  <w:tcBorders>
                    <w:tl2br w:val="nil"/>
                    <w:tr2bl w:val="nil"/>
                  </w:tcBorders>
                  <w:shd w:val="clear" w:color="auto" w:fill="auto"/>
                  <w:noWrap w:val="0"/>
                  <w:vAlign w:val="center"/>
                </w:tcPr>
                <w:p w14:paraId="4C2DD38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昼间</w:t>
                  </w:r>
                </w:p>
              </w:tc>
              <w:tc>
                <w:tcPr>
                  <w:tcW w:w="823" w:type="pct"/>
                  <w:tcBorders>
                    <w:tl2br w:val="nil"/>
                    <w:tr2bl w:val="nil"/>
                  </w:tcBorders>
                  <w:shd w:val="clear" w:color="auto" w:fill="FFFFFF"/>
                  <w:noWrap w:val="0"/>
                  <w:vAlign w:val="center"/>
                </w:tcPr>
                <w:p w14:paraId="3BA489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44.9</w:t>
                  </w:r>
                </w:p>
              </w:tc>
              <w:tc>
                <w:tcPr>
                  <w:tcW w:w="823" w:type="pct"/>
                  <w:tcBorders>
                    <w:tl2br w:val="nil"/>
                    <w:tr2bl w:val="nil"/>
                  </w:tcBorders>
                  <w:shd w:val="clear" w:color="auto" w:fill="FFFFFF"/>
                  <w:noWrap w:val="0"/>
                  <w:vAlign w:val="center"/>
                </w:tcPr>
                <w:p w14:paraId="04D255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65</w:t>
                  </w:r>
                </w:p>
              </w:tc>
              <w:tc>
                <w:tcPr>
                  <w:tcW w:w="621" w:type="pct"/>
                  <w:tcBorders>
                    <w:tl2br w:val="nil"/>
                    <w:tr2bl w:val="nil"/>
                  </w:tcBorders>
                  <w:noWrap w:val="0"/>
                  <w:vAlign w:val="center"/>
                </w:tcPr>
                <w:p w14:paraId="5CD95E6A">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达标</w:t>
                  </w:r>
                </w:p>
              </w:tc>
            </w:tr>
            <w:tr w14:paraId="2658F0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637" w:type="pct"/>
                  <w:vMerge w:val="continue"/>
                  <w:tcBorders>
                    <w:tl2br w:val="nil"/>
                    <w:tr2bl w:val="nil"/>
                  </w:tcBorders>
                  <w:noWrap w:val="0"/>
                  <w:vAlign w:val="center"/>
                </w:tcPr>
                <w:p w14:paraId="3D787238">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40" w:type="pct"/>
                  <w:tcBorders>
                    <w:tl2br w:val="nil"/>
                    <w:tr2bl w:val="nil"/>
                  </w:tcBorders>
                  <w:shd w:val="clear" w:color="auto" w:fill="FFFFFF"/>
                  <w:noWrap w:val="0"/>
                  <w:vAlign w:val="center"/>
                </w:tcPr>
                <w:p w14:paraId="263181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33.1</w:t>
                  </w:r>
                </w:p>
              </w:tc>
              <w:tc>
                <w:tcPr>
                  <w:tcW w:w="540" w:type="pct"/>
                  <w:tcBorders>
                    <w:tl2br w:val="nil"/>
                    <w:tr2bl w:val="nil"/>
                  </w:tcBorders>
                  <w:shd w:val="clear" w:color="auto" w:fill="FFFFFF"/>
                  <w:noWrap w:val="0"/>
                  <w:vAlign w:val="center"/>
                </w:tcPr>
                <w:p w14:paraId="50571E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-165.7</w:t>
                  </w:r>
                </w:p>
              </w:tc>
              <w:tc>
                <w:tcPr>
                  <w:tcW w:w="543" w:type="pct"/>
                  <w:tcBorders>
                    <w:tl2br w:val="nil"/>
                    <w:tr2bl w:val="nil"/>
                  </w:tcBorders>
                  <w:shd w:val="clear" w:color="auto" w:fill="FFFFFF"/>
                  <w:noWrap w:val="0"/>
                  <w:vAlign w:val="center"/>
                </w:tcPr>
                <w:p w14:paraId="26551B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470" w:type="pct"/>
                  <w:tcBorders>
                    <w:tl2br w:val="nil"/>
                    <w:tr2bl w:val="nil"/>
                  </w:tcBorders>
                  <w:shd w:val="clear" w:color="auto" w:fill="auto"/>
                  <w:noWrap w:val="0"/>
                  <w:vAlign w:val="center"/>
                </w:tcPr>
                <w:p w14:paraId="67684E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夜间</w:t>
                  </w:r>
                </w:p>
              </w:tc>
              <w:tc>
                <w:tcPr>
                  <w:tcW w:w="823" w:type="pct"/>
                  <w:tcBorders>
                    <w:tl2br w:val="nil"/>
                    <w:tr2bl w:val="nil"/>
                  </w:tcBorders>
                  <w:shd w:val="clear" w:color="auto" w:fill="FFFFFF"/>
                  <w:noWrap w:val="0"/>
                  <w:vAlign w:val="center"/>
                </w:tcPr>
                <w:p w14:paraId="68C7C8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44.9</w:t>
                  </w:r>
                </w:p>
              </w:tc>
              <w:tc>
                <w:tcPr>
                  <w:tcW w:w="823" w:type="pct"/>
                  <w:tcBorders>
                    <w:tl2br w:val="nil"/>
                    <w:tr2bl w:val="nil"/>
                  </w:tcBorders>
                  <w:shd w:val="clear" w:color="auto" w:fill="FFFFFF"/>
                  <w:noWrap w:val="0"/>
                  <w:vAlign w:val="center"/>
                </w:tcPr>
                <w:p w14:paraId="40C8AB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55</w:t>
                  </w:r>
                </w:p>
              </w:tc>
              <w:tc>
                <w:tcPr>
                  <w:tcW w:w="621" w:type="pct"/>
                  <w:tcBorders>
                    <w:tl2br w:val="nil"/>
                    <w:tr2bl w:val="nil"/>
                  </w:tcBorders>
                  <w:noWrap w:val="0"/>
                  <w:vAlign w:val="center"/>
                </w:tcPr>
                <w:p w14:paraId="657E5C59">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达标</w:t>
                  </w:r>
                </w:p>
              </w:tc>
            </w:tr>
            <w:tr w14:paraId="61C36F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637" w:type="pct"/>
                  <w:vMerge w:val="restart"/>
                  <w:tcBorders>
                    <w:tl2br w:val="nil"/>
                    <w:tr2bl w:val="nil"/>
                  </w:tcBorders>
                  <w:noWrap w:val="0"/>
                  <w:vAlign w:val="center"/>
                </w:tcPr>
                <w:p w14:paraId="55782224">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西厂界</w:t>
                  </w:r>
                </w:p>
              </w:tc>
              <w:tc>
                <w:tcPr>
                  <w:tcW w:w="540" w:type="pct"/>
                  <w:tcBorders>
                    <w:tl2br w:val="nil"/>
                    <w:tr2bl w:val="nil"/>
                  </w:tcBorders>
                  <w:shd w:val="clear" w:color="auto" w:fill="FFFFFF"/>
                  <w:noWrap w:val="0"/>
                  <w:vAlign w:val="center"/>
                </w:tcPr>
                <w:p w14:paraId="4CBE49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-113.5</w:t>
                  </w:r>
                </w:p>
              </w:tc>
              <w:tc>
                <w:tcPr>
                  <w:tcW w:w="540" w:type="pct"/>
                  <w:tcBorders>
                    <w:tl2br w:val="nil"/>
                    <w:tr2bl w:val="nil"/>
                  </w:tcBorders>
                  <w:shd w:val="clear" w:color="auto" w:fill="FFFFFF"/>
                  <w:noWrap w:val="0"/>
                  <w:vAlign w:val="center"/>
                </w:tcPr>
                <w:p w14:paraId="513691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-2.7</w:t>
                  </w:r>
                </w:p>
              </w:tc>
              <w:tc>
                <w:tcPr>
                  <w:tcW w:w="543" w:type="pct"/>
                  <w:tcBorders>
                    <w:tl2br w:val="nil"/>
                    <w:tr2bl w:val="nil"/>
                  </w:tcBorders>
                  <w:shd w:val="clear" w:color="auto" w:fill="FFFFFF"/>
                  <w:noWrap w:val="0"/>
                  <w:vAlign w:val="center"/>
                </w:tcPr>
                <w:p w14:paraId="0D5F0F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470" w:type="pct"/>
                  <w:tcBorders>
                    <w:tl2br w:val="nil"/>
                    <w:tr2bl w:val="nil"/>
                  </w:tcBorders>
                  <w:shd w:val="clear" w:color="auto" w:fill="auto"/>
                  <w:noWrap w:val="0"/>
                  <w:vAlign w:val="center"/>
                </w:tcPr>
                <w:p w14:paraId="4EAA29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昼间</w:t>
                  </w:r>
                </w:p>
              </w:tc>
              <w:tc>
                <w:tcPr>
                  <w:tcW w:w="823" w:type="pct"/>
                  <w:tcBorders>
                    <w:tl2br w:val="nil"/>
                    <w:tr2bl w:val="nil"/>
                  </w:tcBorders>
                  <w:shd w:val="clear" w:color="auto" w:fill="FFFFFF"/>
                  <w:noWrap w:val="0"/>
                  <w:vAlign w:val="center"/>
                </w:tcPr>
                <w:p w14:paraId="68EE69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43.9</w:t>
                  </w:r>
                </w:p>
              </w:tc>
              <w:tc>
                <w:tcPr>
                  <w:tcW w:w="823" w:type="pct"/>
                  <w:tcBorders>
                    <w:tl2br w:val="nil"/>
                    <w:tr2bl w:val="nil"/>
                  </w:tcBorders>
                  <w:shd w:val="clear" w:color="auto" w:fill="FFFFFF"/>
                  <w:noWrap w:val="0"/>
                  <w:vAlign w:val="center"/>
                </w:tcPr>
                <w:p w14:paraId="2C550D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65</w:t>
                  </w:r>
                </w:p>
              </w:tc>
              <w:tc>
                <w:tcPr>
                  <w:tcW w:w="621" w:type="pct"/>
                  <w:tcBorders>
                    <w:tl2br w:val="nil"/>
                    <w:tr2bl w:val="nil"/>
                  </w:tcBorders>
                  <w:noWrap w:val="0"/>
                  <w:vAlign w:val="center"/>
                </w:tcPr>
                <w:p w14:paraId="6E048C63">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达标</w:t>
                  </w:r>
                </w:p>
              </w:tc>
            </w:tr>
            <w:tr w14:paraId="34B2D0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637" w:type="pct"/>
                  <w:vMerge w:val="continue"/>
                  <w:tcBorders>
                    <w:tl2br w:val="nil"/>
                    <w:tr2bl w:val="nil"/>
                  </w:tcBorders>
                  <w:noWrap w:val="0"/>
                  <w:vAlign w:val="center"/>
                </w:tcPr>
                <w:p w14:paraId="242D0970">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40" w:type="pct"/>
                  <w:tcBorders>
                    <w:tl2br w:val="nil"/>
                    <w:tr2bl w:val="nil"/>
                  </w:tcBorders>
                  <w:shd w:val="clear" w:color="auto" w:fill="FFFFFF"/>
                  <w:noWrap w:val="0"/>
                  <w:vAlign w:val="center"/>
                </w:tcPr>
                <w:p w14:paraId="4C31D7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-113.5</w:t>
                  </w:r>
                </w:p>
              </w:tc>
              <w:tc>
                <w:tcPr>
                  <w:tcW w:w="540" w:type="pct"/>
                  <w:tcBorders>
                    <w:tl2br w:val="nil"/>
                    <w:tr2bl w:val="nil"/>
                  </w:tcBorders>
                  <w:shd w:val="clear" w:color="auto" w:fill="FFFFFF"/>
                  <w:noWrap w:val="0"/>
                  <w:vAlign w:val="center"/>
                </w:tcPr>
                <w:p w14:paraId="35FDE2B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-2.7</w:t>
                  </w:r>
                </w:p>
              </w:tc>
              <w:tc>
                <w:tcPr>
                  <w:tcW w:w="543" w:type="pct"/>
                  <w:tcBorders>
                    <w:tl2br w:val="nil"/>
                    <w:tr2bl w:val="nil"/>
                  </w:tcBorders>
                  <w:shd w:val="clear" w:color="auto" w:fill="FFFFFF"/>
                  <w:noWrap w:val="0"/>
                  <w:vAlign w:val="center"/>
                </w:tcPr>
                <w:p w14:paraId="681554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470" w:type="pct"/>
                  <w:tcBorders>
                    <w:tl2br w:val="nil"/>
                    <w:tr2bl w:val="nil"/>
                  </w:tcBorders>
                  <w:shd w:val="clear" w:color="auto" w:fill="auto"/>
                  <w:noWrap w:val="0"/>
                  <w:vAlign w:val="center"/>
                </w:tcPr>
                <w:p w14:paraId="14720B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夜间</w:t>
                  </w:r>
                </w:p>
              </w:tc>
              <w:tc>
                <w:tcPr>
                  <w:tcW w:w="823" w:type="pct"/>
                  <w:tcBorders>
                    <w:tl2br w:val="nil"/>
                    <w:tr2bl w:val="nil"/>
                  </w:tcBorders>
                  <w:shd w:val="clear" w:color="auto" w:fill="FFFFFF"/>
                  <w:noWrap w:val="0"/>
                  <w:vAlign w:val="center"/>
                </w:tcPr>
                <w:p w14:paraId="497011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43.9</w:t>
                  </w:r>
                </w:p>
              </w:tc>
              <w:tc>
                <w:tcPr>
                  <w:tcW w:w="823" w:type="pct"/>
                  <w:tcBorders>
                    <w:tl2br w:val="nil"/>
                    <w:tr2bl w:val="nil"/>
                  </w:tcBorders>
                  <w:shd w:val="clear" w:color="auto" w:fill="FFFFFF"/>
                  <w:noWrap w:val="0"/>
                  <w:vAlign w:val="center"/>
                </w:tcPr>
                <w:p w14:paraId="708EFD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55</w:t>
                  </w:r>
                </w:p>
              </w:tc>
              <w:tc>
                <w:tcPr>
                  <w:tcW w:w="621" w:type="pct"/>
                  <w:tcBorders>
                    <w:tl2br w:val="nil"/>
                    <w:tr2bl w:val="nil"/>
                  </w:tcBorders>
                  <w:noWrap w:val="0"/>
                  <w:vAlign w:val="center"/>
                </w:tcPr>
                <w:p w14:paraId="76B1A9CB">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达标</w:t>
                  </w:r>
                </w:p>
              </w:tc>
            </w:tr>
            <w:tr w14:paraId="617C0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637" w:type="pct"/>
                  <w:vMerge w:val="restart"/>
                  <w:tcBorders>
                    <w:tl2br w:val="nil"/>
                    <w:tr2bl w:val="nil"/>
                  </w:tcBorders>
                  <w:noWrap w:val="0"/>
                  <w:vAlign w:val="center"/>
                </w:tcPr>
                <w:p w14:paraId="5F25CC2C">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北厂界</w:t>
                  </w:r>
                </w:p>
              </w:tc>
              <w:tc>
                <w:tcPr>
                  <w:tcW w:w="540" w:type="pct"/>
                  <w:tcBorders>
                    <w:tl2br w:val="nil"/>
                    <w:tr2bl w:val="nil"/>
                  </w:tcBorders>
                  <w:shd w:val="clear" w:color="auto" w:fill="FFFFFF"/>
                  <w:noWrap w:val="0"/>
                  <w:vAlign w:val="center"/>
                </w:tcPr>
                <w:p w14:paraId="6CBEBF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88.5</w:t>
                  </w:r>
                </w:p>
              </w:tc>
              <w:tc>
                <w:tcPr>
                  <w:tcW w:w="540" w:type="pct"/>
                  <w:tcBorders>
                    <w:tl2br w:val="nil"/>
                    <w:tr2bl w:val="nil"/>
                  </w:tcBorders>
                  <w:shd w:val="clear" w:color="auto" w:fill="FFFFFF"/>
                  <w:noWrap w:val="0"/>
                  <w:vAlign w:val="center"/>
                </w:tcPr>
                <w:p w14:paraId="159961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w:t>
                  </w:r>
                </w:p>
              </w:tc>
              <w:tc>
                <w:tcPr>
                  <w:tcW w:w="543" w:type="pct"/>
                  <w:tcBorders>
                    <w:tl2br w:val="nil"/>
                    <w:tr2bl w:val="nil"/>
                  </w:tcBorders>
                  <w:shd w:val="clear" w:color="auto" w:fill="FFFFFF"/>
                  <w:noWrap w:val="0"/>
                  <w:vAlign w:val="center"/>
                </w:tcPr>
                <w:p w14:paraId="627D0A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470" w:type="pct"/>
                  <w:tcBorders>
                    <w:tl2br w:val="nil"/>
                    <w:tr2bl w:val="nil"/>
                  </w:tcBorders>
                  <w:shd w:val="clear" w:color="auto" w:fill="auto"/>
                  <w:noWrap w:val="0"/>
                  <w:vAlign w:val="center"/>
                </w:tcPr>
                <w:p w14:paraId="4F16C3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昼间</w:t>
                  </w:r>
                </w:p>
              </w:tc>
              <w:tc>
                <w:tcPr>
                  <w:tcW w:w="823" w:type="pct"/>
                  <w:tcBorders>
                    <w:tl2br w:val="nil"/>
                    <w:tr2bl w:val="nil"/>
                  </w:tcBorders>
                  <w:shd w:val="clear" w:color="auto" w:fill="FFFFFF"/>
                  <w:noWrap w:val="0"/>
                  <w:vAlign w:val="center"/>
                </w:tcPr>
                <w:p w14:paraId="3CD506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32</w:t>
                  </w:r>
                </w:p>
              </w:tc>
              <w:tc>
                <w:tcPr>
                  <w:tcW w:w="823" w:type="pct"/>
                  <w:tcBorders>
                    <w:tl2br w:val="nil"/>
                    <w:tr2bl w:val="nil"/>
                  </w:tcBorders>
                  <w:shd w:val="clear" w:color="auto" w:fill="FFFFFF"/>
                  <w:noWrap w:val="0"/>
                  <w:vAlign w:val="center"/>
                </w:tcPr>
                <w:p w14:paraId="4AF250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65</w:t>
                  </w:r>
                </w:p>
              </w:tc>
              <w:tc>
                <w:tcPr>
                  <w:tcW w:w="621" w:type="pct"/>
                  <w:tcBorders>
                    <w:tl2br w:val="nil"/>
                    <w:tr2bl w:val="nil"/>
                  </w:tcBorders>
                  <w:noWrap w:val="0"/>
                  <w:vAlign w:val="center"/>
                </w:tcPr>
                <w:p w14:paraId="26598721">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达标</w:t>
                  </w:r>
                </w:p>
              </w:tc>
            </w:tr>
            <w:tr w14:paraId="22CBB8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7" w:hRule="atLeast"/>
                <w:jc w:val="center"/>
              </w:trPr>
              <w:tc>
                <w:tcPr>
                  <w:tcW w:w="637" w:type="pct"/>
                  <w:vMerge w:val="continue"/>
                  <w:tcBorders>
                    <w:tl2br w:val="nil"/>
                    <w:tr2bl w:val="nil"/>
                  </w:tcBorders>
                  <w:noWrap w:val="0"/>
                  <w:vAlign w:val="center"/>
                </w:tcPr>
                <w:p w14:paraId="426C44D3">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40" w:type="pct"/>
                  <w:tcBorders>
                    <w:tl2br w:val="nil"/>
                    <w:tr2bl w:val="nil"/>
                  </w:tcBorders>
                  <w:shd w:val="clear" w:color="auto" w:fill="FFFFFF"/>
                  <w:noWrap w:val="0"/>
                  <w:vAlign w:val="center"/>
                </w:tcPr>
                <w:p w14:paraId="737BF02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88.5</w:t>
                  </w:r>
                </w:p>
              </w:tc>
              <w:tc>
                <w:tcPr>
                  <w:tcW w:w="540" w:type="pct"/>
                  <w:tcBorders>
                    <w:tl2br w:val="nil"/>
                    <w:tr2bl w:val="nil"/>
                  </w:tcBorders>
                  <w:shd w:val="clear" w:color="auto" w:fill="FFFFFF"/>
                  <w:noWrap w:val="0"/>
                  <w:vAlign w:val="center"/>
                </w:tcPr>
                <w:p w14:paraId="53908A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w:t>
                  </w:r>
                </w:p>
              </w:tc>
              <w:tc>
                <w:tcPr>
                  <w:tcW w:w="543" w:type="pct"/>
                  <w:tcBorders>
                    <w:tl2br w:val="nil"/>
                    <w:tr2bl w:val="nil"/>
                  </w:tcBorders>
                  <w:shd w:val="clear" w:color="auto" w:fill="FFFFFF"/>
                  <w:noWrap w:val="0"/>
                  <w:vAlign w:val="center"/>
                </w:tcPr>
                <w:p w14:paraId="6C2E97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470" w:type="pct"/>
                  <w:tcBorders>
                    <w:tl2br w:val="nil"/>
                    <w:tr2bl w:val="nil"/>
                  </w:tcBorders>
                  <w:shd w:val="clear" w:color="auto" w:fill="auto"/>
                  <w:noWrap w:val="0"/>
                  <w:vAlign w:val="center"/>
                </w:tcPr>
                <w:p w14:paraId="15EC47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夜间</w:t>
                  </w:r>
                </w:p>
              </w:tc>
              <w:tc>
                <w:tcPr>
                  <w:tcW w:w="823" w:type="pct"/>
                  <w:tcBorders>
                    <w:tl2br w:val="nil"/>
                    <w:tr2bl w:val="nil"/>
                  </w:tcBorders>
                  <w:shd w:val="clear" w:color="auto" w:fill="FFFFFF"/>
                  <w:noWrap w:val="0"/>
                  <w:vAlign w:val="center"/>
                </w:tcPr>
                <w:p w14:paraId="69A125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32</w:t>
                  </w:r>
                </w:p>
              </w:tc>
              <w:tc>
                <w:tcPr>
                  <w:tcW w:w="823" w:type="pct"/>
                  <w:tcBorders>
                    <w:tl2br w:val="nil"/>
                    <w:tr2bl w:val="nil"/>
                  </w:tcBorders>
                  <w:shd w:val="clear" w:color="auto" w:fill="FFFFFF"/>
                  <w:noWrap w:val="0"/>
                  <w:vAlign w:val="center"/>
                </w:tcPr>
                <w:p w14:paraId="57BDD2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olor w:val="000000" w:themeColor="text1"/>
                      <w:szCs w:val="21"/>
                      <w:lang w:val="en-GB"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55</w:t>
                  </w:r>
                </w:p>
              </w:tc>
              <w:tc>
                <w:tcPr>
                  <w:tcW w:w="621" w:type="pct"/>
                  <w:tcBorders>
                    <w:tl2br w:val="nil"/>
                    <w:tr2bl w:val="nil"/>
                  </w:tcBorders>
                  <w:noWrap w:val="0"/>
                  <w:vAlign w:val="center"/>
                </w:tcPr>
                <w:p w14:paraId="0464092C">
                  <w:pPr>
                    <w:keepNext w:val="0"/>
                    <w:keepLines w:val="0"/>
                    <w:pageBreakBefore w:val="0"/>
                    <w:widowControl w:val="0"/>
                    <w:kinsoku/>
                    <w:wordWrap/>
                    <w:overflowPunct/>
                    <w:topLinePunct w:val="0"/>
                    <w:bidi w:val="0"/>
                    <w:snapToGrid/>
                    <w:spacing w:line="360" w:lineRule="exact"/>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达标</w:t>
                  </w:r>
                </w:p>
              </w:tc>
            </w:tr>
          </w:tbl>
          <w:p w14:paraId="175898E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2100" w:firstLineChars="875"/>
              <w:jc w:val="both"/>
              <w:textAlignment w:val="auto"/>
              <w:rPr>
                <w:rFonts w:hint="default" w:cs="Times New Roman"/>
                <w:color w:val="000000" w:themeColor="text1"/>
                <w:sz w:val="24"/>
                <w:szCs w:val="24"/>
                <w:lang w:val="en-US" w:eastAsia="zh-CN"/>
                <w14:textFill>
                  <w14:solidFill>
                    <w14:schemeClr w14:val="tx1"/>
                  </w14:solidFill>
                </w14:textFill>
              </w:rPr>
            </w:pPr>
          </w:p>
          <w:p w14:paraId="64CDCD8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600" w:firstLineChars="250"/>
              <w:textAlignment w:val="auto"/>
              <w:outlineLvl w:val="9"/>
              <w:rPr>
                <w:rFonts w:hint="default"/>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由表可知，</w:t>
            </w:r>
            <w:r>
              <w:rPr>
                <w:rFonts w:hint="eastAsia" w:cs="Times New Roman"/>
                <w:color w:val="000000" w:themeColor="text1"/>
                <w:sz w:val="24"/>
                <w:szCs w:val="24"/>
                <w:lang w:val="en-US" w:eastAsia="zh-CN"/>
                <w14:textFill>
                  <w14:solidFill>
                    <w14:schemeClr w14:val="tx1"/>
                  </w14:solidFill>
                </w14:textFill>
              </w:rPr>
              <w:t>项目东、南、西、北厂界贡献值</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能够</w:t>
            </w:r>
            <w:r>
              <w:rPr>
                <w:rFonts w:hint="default"/>
                <w:color w:val="000000" w:themeColor="text1"/>
                <w:sz w:val="24"/>
                <w:szCs w:val="24"/>
                <w:lang w:val="en-US" w:eastAsia="zh-CN"/>
                <w14:textFill>
                  <w14:solidFill>
                    <w14:schemeClr w14:val="tx1"/>
                  </w14:solidFill>
                </w14:textFill>
              </w:rPr>
              <w:t>满足</w:t>
            </w:r>
            <w:r>
              <w:rPr>
                <w:rFonts w:hint="default"/>
                <w:color w:val="000000" w:themeColor="text1"/>
                <w:sz w:val="24"/>
                <w14:textFill>
                  <w14:solidFill>
                    <w14:schemeClr w14:val="tx1"/>
                  </w14:solidFill>
                </w14:textFill>
              </w:rPr>
              <w:t>《工业企业厂界环境噪声排放标准》（GB12348-2008）</w:t>
            </w:r>
            <w:r>
              <w:rPr>
                <w:rFonts w:hint="eastAsia"/>
                <w:color w:val="000000" w:themeColor="text1"/>
                <w:sz w:val="24"/>
                <w:lang w:val="en-US" w:eastAsia="zh-CN"/>
                <w14:textFill>
                  <w14:solidFill>
                    <w14:schemeClr w14:val="tx1"/>
                  </w14:solidFill>
                </w14:textFill>
              </w:rPr>
              <w:t>3</w:t>
            </w:r>
            <w:r>
              <w:rPr>
                <w:rFonts w:hint="default"/>
                <w:color w:val="000000" w:themeColor="text1"/>
                <w:sz w:val="24"/>
                <w14:textFill>
                  <w14:solidFill>
                    <w14:schemeClr w14:val="tx1"/>
                  </w14:solidFill>
                </w14:textFill>
              </w:rPr>
              <w:t>类</w:t>
            </w:r>
            <w:r>
              <w:rPr>
                <w:rFonts w:hint="default"/>
                <w:color w:val="000000" w:themeColor="text1"/>
                <w:sz w:val="24"/>
                <w:lang w:val="en-US" w:eastAsia="zh-CN"/>
                <w14:textFill>
                  <w14:solidFill>
                    <w14:schemeClr w14:val="tx1"/>
                  </w14:solidFill>
                </w14:textFill>
              </w:rPr>
              <w:t>标准要求：昼间6</w:t>
            </w:r>
            <w:r>
              <w:rPr>
                <w:rFonts w:hint="eastAsia"/>
                <w:color w:val="000000" w:themeColor="text1"/>
                <w:sz w:val="24"/>
                <w:lang w:val="en-US" w:eastAsia="zh-CN"/>
                <w14:textFill>
                  <w14:solidFill>
                    <w14:schemeClr w14:val="tx1"/>
                  </w14:solidFill>
                </w14:textFill>
              </w:rPr>
              <w:t>5</w:t>
            </w:r>
            <w:r>
              <w:rPr>
                <w:rFonts w:hint="default"/>
                <w:color w:val="000000" w:themeColor="text1"/>
                <w:sz w:val="24"/>
                <w:szCs w:val="24"/>
                <w14:textFill>
                  <w14:solidFill>
                    <w14:schemeClr w14:val="tx1"/>
                  </w14:solidFill>
                </w14:textFill>
              </w:rPr>
              <w:t>dB(A)</w:t>
            </w:r>
            <w:r>
              <w:rPr>
                <w:rFonts w:hint="default"/>
                <w:color w:val="000000" w:themeColor="text1"/>
                <w:sz w:val="24"/>
                <w:szCs w:val="24"/>
                <w:lang w:eastAsia="zh-CN"/>
                <w14:textFill>
                  <w14:solidFill>
                    <w14:schemeClr w14:val="tx1"/>
                  </w14:solidFill>
                </w14:textFill>
              </w:rPr>
              <w:t>，</w:t>
            </w:r>
            <w:r>
              <w:rPr>
                <w:rFonts w:hint="default"/>
                <w:color w:val="000000" w:themeColor="text1"/>
                <w:sz w:val="24"/>
                <w:lang w:val="en-US" w:eastAsia="zh-CN"/>
                <w14:textFill>
                  <w14:solidFill>
                    <w14:schemeClr w14:val="tx1"/>
                  </w14:solidFill>
                </w14:textFill>
              </w:rPr>
              <w:t>夜间5</w:t>
            </w:r>
            <w:r>
              <w:rPr>
                <w:rFonts w:hint="eastAsia"/>
                <w:color w:val="000000" w:themeColor="text1"/>
                <w:sz w:val="24"/>
                <w:lang w:val="en-US" w:eastAsia="zh-CN"/>
                <w14:textFill>
                  <w14:solidFill>
                    <w14:schemeClr w14:val="tx1"/>
                  </w14:solidFill>
                </w14:textFill>
              </w:rPr>
              <w:t>5</w:t>
            </w:r>
            <w:r>
              <w:rPr>
                <w:rFonts w:hint="default"/>
                <w:color w:val="000000" w:themeColor="text1"/>
                <w:sz w:val="24"/>
                <w:szCs w:val="24"/>
                <w14:textFill>
                  <w14:solidFill>
                    <w14:schemeClr w14:val="tx1"/>
                  </w14:solidFill>
                </w14:textFill>
              </w:rPr>
              <w:t>dB(A)</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厂界</w:t>
            </w:r>
            <w:r>
              <w:rPr>
                <w:rFonts w:hint="default"/>
                <w:color w:val="000000" w:themeColor="text1"/>
                <w:sz w:val="24"/>
                <w:szCs w:val="24"/>
                <w:lang w:val="en-US" w:eastAsia="zh-CN"/>
                <w14:textFill>
                  <w14:solidFill>
                    <w14:schemeClr w14:val="tx1"/>
                  </w14:solidFill>
                </w14:textFill>
              </w:rPr>
              <w:t>外50米范围内</w:t>
            </w:r>
            <w:r>
              <w:rPr>
                <w:rFonts w:hint="default"/>
                <w:color w:val="000000" w:themeColor="text1"/>
                <w:sz w:val="24"/>
                <w:lang w:val="en-US" w:eastAsia="zh-CN"/>
                <w14:textFill>
                  <w14:solidFill>
                    <w14:schemeClr w14:val="tx1"/>
                  </w14:solidFill>
                </w14:textFill>
              </w:rPr>
              <w:t>无</w:t>
            </w:r>
            <w:r>
              <w:rPr>
                <w:rFonts w:hint="default"/>
                <w:color w:val="000000" w:themeColor="text1"/>
                <w:sz w:val="24"/>
                <w14:textFill>
                  <w14:solidFill>
                    <w14:schemeClr w14:val="tx1"/>
                  </w14:solidFill>
                </w14:textFill>
              </w:rPr>
              <w:t>声环境保护目标</w:t>
            </w:r>
            <w:r>
              <w:rPr>
                <w:rFonts w:hint="default"/>
                <w:color w:val="000000" w:themeColor="text1"/>
                <w:sz w:val="24"/>
                <w:lang w:eastAsia="zh-CN"/>
                <w14:textFill>
                  <w14:solidFill>
                    <w14:schemeClr w14:val="tx1"/>
                  </w14:solidFill>
                </w14:textFill>
              </w:rPr>
              <w:t>，</w:t>
            </w:r>
            <w:r>
              <w:rPr>
                <w:rFonts w:hint="default"/>
                <w:color w:val="000000" w:themeColor="text1"/>
                <w:sz w:val="24"/>
                <w:lang w:val="en-US" w:eastAsia="zh-CN"/>
                <w14:textFill>
                  <w14:solidFill>
                    <w14:schemeClr w14:val="tx1"/>
                  </w14:solidFill>
                </w14:textFill>
              </w:rPr>
              <w:t>因此，</w:t>
            </w:r>
            <w:r>
              <w:rPr>
                <w:rFonts w:hint="default"/>
                <w:color w:val="000000" w:themeColor="text1"/>
                <w:sz w:val="24"/>
                <w:szCs w:val="24"/>
                <w14:textFill>
                  <w14:solidFill>
                    <w14:schemeClr w14:val="tx1"/>
                  </w14:solidFill>
                </w14:textFill>
              </w:rPr>
              <w:t>本项目</w:t>
            </w:r>
            <w:r>
              <w:rPr>
                <w:rFonts w:hint="eastAsia"/>
                <w:color w:val="000000" w:themeColor="text1"/>
                <w:sz w:val="24"/>
                <w:szCs w:val="24"/>
                <w:lang w:val="en-US" w:eastAsia="zh-CN"/>
                <w14:textFill>
                  <w14:solidFill>
                    <w14:schemeClr w14:val="tx1"/>
                  </w14:solidFill>
                </w14:textFill>
              </w:rPr>
              <w:t>在</w:t>
            </w:r>
            <w:r>
              <w:rPr>
                <w:rFonts w:hint="default"/>
                <w:color w:val="000000" w:themeColor="text1"/>
                <w:sz w:val="24"/>
                <w:szCs w:val="24"/>
                <w14:textFill>
                  <w14:solidFill>
                    <w14:schemeClr w14:val="tx1"/>
                  </w14:solidFill>
                </w14:textFill>
              </w:rPr>
              <w:t>采取以上措施</w:t>
            </w:r>
            <w:r>
              <w:rPr>
                <w:rFonts w:hint="default"/>
                <w:color w:val="000000" w:themeColor="text1"/>
                <w:sz w:val="24"/>
                <w:szCs w:val="24"/>
                <w:lang w:val="en-US" w:eastAsia="zh-CN"/>
                <w14:textFill>
                  <w14:solidFill>
                    <w14:schemeClr w14:val="tx1"/>
                  </w14:solidFill>
                </w14:textFill>
              </w:rPr>
              <w:t>后</w:t>
            </w:r>
            <w:r>
              <w:rPr>
                <w:rFonts w:hint="default"/>
                <w:color w:val="000000" w:themeColor="text1"/>
                <w:sz w:val="24"/>
                <w:szCs w:val="24"/>
                <w14:textFill>
                  <w14:solidFill>
                    <w14:schemeClr w14:val="tx1"/>
                  </w14:solidFill>
                </w14:textFill>
              </w:rPr>
              <w:t>对周围环境影响较小。</w:t>
            </w:r>
          </w:p>
          <w:p w14:paraId="6FD4B3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color w:val="000000" w:themeColor="text1"/>
                <w:sz w:val="24"/>
                <w:szCs w:val="24"/>
                <w:highlight w:val="yellow"/>
                <w:lang w:val="en-US" w:eastAsia="zh-CN"/>
                <w14:textFill>
                  <w14:solidFill>
                    <w14:schemeClr w14:val="tx1"/>
                  </w14:solidFill>
                </w14:textFill>
              </w:rPr>
            </w:pPr>
            <w:r>
              <w:rPr>
                <w:rFonts w:hint="default"/>
                <w:color w:val="000000" w:themeColor="text1"/>
                <w:sz w:val="24"/>
                <w:szCs w:val="24"/>
                <w:highlight w:val="none"/>
                <w:lang w:val="en-US" w:eastAsia="zh-CN"/>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3</w:t>
            </w:r>
            <w:r>
              <w:rPr>
                <w:rFonts w:hint="default"/>
                <w:color w:val="000000" w:themeColor="text1"/>
                <w:sz w:val="24"/>
                <w:szCs w:val="24"/>
                <w:highlight w:val="none"/>
                <w:lang w:val="en-US" w:eastAsia="zh-CN"/>
                <w14:textFill>
                  <w14:solidFill>
                    <w14:schemeClr w14:val="tx1"/>
                  </w14:solidFill>
                </w14:textFill>
              </w:rPr>
              <w:t xml:space="preserve"> 噪声</w:t>
            </w:r>
            <w:r>
              <w:rPr>
                <w:rFonts w:hint="eastAsia"/>
                <w:color w:val="000000" w:themeColor="text1"/>
                <w:sz w:val="24"/>
                <w:szCs w:val="24"/>
                <w:highlight w:val="none"/>
                <w:lang w:val="en-US" w:eastAsia="zh-CN"/>
                <w14:textFill>
                  <w14:solidFill>
                    <w14:schemeClr w14:val="tx1"/>
                  </w14:solidFill>
                </w14:textFill>
              </w:rPr>
              <w:t>监测要求</w:t>
            </w:r>
          </w:p>
          <w:p w14:paraId="55BAD6C7">
            <w:pPr>
              <w:keepNext w:val="0"/>
              <w:overflowPunct/>
              <w:adjustRightInd w:val="0"/>
              <w:spacing w:line="360" w:lineRule="auto"/>
              <w:ind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本次评价建议噪声监测要求见下表。</w:t>
            </w:r>
          </w:p>
          <w:p w14:paraId="2E5B0EDE">
            <w:pPr>
              <w:keepNext w:val="0"/>
              <w:keepLines w:val="0"/>
              <w:pageBreakBefore w:val="0"/>
              <w:widowControl w:val="0"/>
              <w:kinsoku/>
              <w:wordWrap/>
              <w:overflowPunct/>
              <w:topLinePunct w:val="0"/>
              <w:autoSpaceDE/>
              <w:autoSpaceDN/>
              <w:bidi w:val="0"/>
              <w:adjustRightInd w:val="0"/>
              <w:snapToGrid/>
              <w:spacing w:before="0" w:beforeLines="0" w:line="240" w:lineRule="auto"/>
              <w:ind w:left="0" w:leftChars="0" w:firstLine="0" w:firstLineChars="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表</w:t>
            </w:r>
            <w:r>
              <w:rPr>
                <w:rFonts w:hint="eastAsia" w:cs="Times New Roman"/>
                <w:b w:val="0"/>
                <w:bCs w:val="0"/>
                <w:color w:val="000000" w:themeColor="text1"/>
                <w:spacing w:val="0"/>
                <w:sz w:val="24"/>
                <w:szCs w:val="24"/>
                <w:lang w:val="en-US" w:eastAsia="zh-CN"/>
                <w14:textFill>
                  <w14:solidFill>
                    <w14:schemeClr w14:val="tx1"/>
                  </w14:solidFill>
                </w14:textFill>
              </w:rPr>
              <w:t>38</w:t>
            </w:r>
            <w:r>
              <w:rPr>
                <w:rFonts w:hint="default"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t xml:space="preserve">   项目噪声监测要求</w:t>
            </w:r>
            <w:r>
              <w:rPr>
                <w:rFonts w:hint="default" w:ascii="Times New Roman" w:hAnsi="Times New Roman" w:eastAsia="宋体" w:cs="Times New Roman"/>
                <w:b w:val="0"/>
                <w:bCs w:val="0"/>
                <w:color w:val="000000" w:themeColor="text1"/>
                <w:spacing w:val="0"/>
                <w:sz w:val="24"/>
                <w:szCs w:val="24"/>
                <w14:textFill>
                  <w14:solidFill>
                    <w14:schemeClr w14:val="tx1"/>
                  </w14:solidFill>
                </w14:textFill>
              </w:rPr>
              <w:t>一览表</w:t>
            </w:r>
          </w:p>
          <w:tbl>
            <w:tblPr>
              <w:tblStyle w:val="26"/>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2283"/>
              <w:gridCol w:w="2580"/>
              <w:gridCol w:w="1634"/>
            </w:tblGrid>
            <w:tr w14:paraId="2BAB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4" w:type="pct"/>
                  <w:noWrap w:val="0"/>
                  <w:vAlign w:val="center"/>
                </w:tcPr>
                <w:p w14:paraId="76178B2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监测点位</w:t>
                  </w:r>
                </w:p>
              </w:tc>
              <w:tc>
                <w:tcPr>
                  <w:tcW w:w="1428" w:type="pct"/>
                  <w:noWrap w:val="0"/>
                  <w:vAlign w:val="center"/>
                </w:tcPr>
                <w:p w14:paraId="1FA36B8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监测因子</w:t>
                  </w:r>
                </w:p>
              </w:tc>
              <w:tc>
                <w:tcPr>
                  <w:tcW w:w="1614" w:type="pct"/>
                  <w:noWrap w:val="0"/>
                  <w:vAlign w:val="center"/>
                </w:tcPr>
                <w:p w14:paraId="4AF9372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监测位置</w:t>
                  </w:r>
                </w:p>
              </w:tc>
              <w:tc>
                <w:tcPr>
                  <w:tcW w:w="1022" w:type="pct"/>
                  <w:noWrap w:val="0"/>
                  <w:vAlign w:val="center"/>
                </w:tcPr>
                <w:p w14:paraId="2C29B32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监测频次</w:t>
                  </w:r>
                </w:p>
              </w:tc>
            </w:tr>
            <w:tr w14:paraId="3763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4" w:type="pct"/>
                  <w:noWrap w:val="0"/>
                  <w:vAlign w:val="center"/>
                </w:tcPr>
                <w:p w14:paraId="1FFE087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厂界四周</w:t>
                  </w:r>
                </w:p>
              </w:tc>
              <w:tc>
                <w:tcPr>
                  <w:tcW w:w="1428" w:type="pct"/>
                  <w:noWrap w:val="0"/>
                  <w:vAlign w:val="center"/>
                </w:tcPr>
                <w:p w14:paraId="6D6D792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等效声级、最大声级</w:t>
                  </w:r>
                </w:p>
              </w:tc>
              <w:tc>
                <w:tcPr>
                  <w:tcW w:w="1614" w:type="pct"/>
                  <w:noWrap w:val="0"/>
                  <w:vAlign w:val="center"/>
                </w:tcPr>
                <w:p w14:paraId="279DF0C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东、南、西、北厂界</w:t>
                  </w:r>
                </w:p>
              </w:tc>
              <w:tc>
                <w:tcPr>
                  <w:tcW w:w="1022" w:type="pct"/>
                  <w:noWrap w:val="0"/>
                  <w:vAlign w:val="center"/>
                </w:tcPr>
                <w:p w14:paraId="7D02663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1次/季度</w:t>
                  </w:r>
                </w:p>
              </w:tc>
            </w:tr>
          </w:tbl>
          <w:p w14:paraId="4B99D7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000000" w:themeColor="text1"/>
                <w:sz w:val="24"/>
                <w:szCs w:val="24"/>
                <w:highlight w:val="none"/>
                <w:lang w:val="en-US" w:eastAsia="zh-CN"/>
                <w14:textFill>
                  <w14:solidFill>
                    <w14:schemeClr w14:val="tx1"/>
                  </w14:solidFill>
                </w14:textFill>
              </w:rPr>
            </w:pPr>
          </w:p>
          <w:p w14:paraId="008BC73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四</w:t>
            </w:r>
            <w:r>
              <w:rPr>
                <w:rFonts w:hint="default"/>
                <w:color w:val="000000" w:themeColor="text1"/>
                <w:sz w:val="24"/>
                <w:szCs w:val="24"/>
                <w:highlight w:val="none"/>
                <w:lang w:val="en-US" w:eastAsia="zh-CN"/>
                <w14:textFill>
                  <w14:solidFill>
                    <w14:schemeClr w14:val="tx1"/>
                  </w14:solidFill>
                </w14:textFill>
              </w:rPr>
              <w:t>、固体废物</w:t>
            </w:r>
          </w:p>
          <w:p w14:paraId="42000A2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textAlignment w:val="auto"/>
              <w:outlineLvl w:val="9"/>
              <w:rPr>
                <w:rFonts w:hint="default"/>
                <w:color w:val="000000" w:themeColor="text1"/>
                <w:sz w:val="24"/>
                <w:szCs w:val="24"/>
                <w:lang w:val="en-US" w:eastAsia="zh-CN"/>
                <w14:textFill>
                  <w14:solidFill>
                    <w14:schemeClr w14:val="tx1"/>
                  </w14:solidFill>
                </w14:textFill>
              </w:rPr>
            </w:pPr>
            <w:r>
              <w:rPr>
                <w:rFonts w:hint="default"/>
                <w:color w:val="000000" w:themeColor="text1"/>
                <w:sz w:val="24"/>
                <w:szCs w:val="24"/>
                <w:lang w:val="en-US" w:eastAsia="zh-CN"/>
                <w14:textFill>
                  <w14:solidFill>
                    <w14:schemeClr w14:val="tx1"/>
                  </w14:solidFill>
                </w14:textFill>
              </w:rPr>
              <w:t>4.1固废产生及处置情况</w:t>
            </w:r>
          </w:p>
          <w:p w14:paraId="504D64EA">
            <w:pPr>
              <w:autoSpaceDE w:val="0"/>
              <w:autoSpaceDN w:val="0"/>
              <w:adjustRightInd w:val="0"/>
              <w:snapToGrid w:val="0"/>
              <w:spacing w:line="360" w:lineRule="auto"/>
              <w:ind w:firstLine="480" w:firstLineChars="200"/>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lang w:eastAsia="en-US"/>
                <w14:textFill>
                  <w14:solidFill>
                    <w14:schemeClr w14:val="tx1"/>
                  </w14:solidFill>
                </w14:textFill>
              </w:rPr>
              <w:t>本项目</w:t>
            </w:r>
            <w:r>
              <w:rPr>
                <w:rFonts w:hint="eastAsia"/>
                <w:color w:val="000000" w:themeColor="text1"/>
                <w:sz w:val="24"/>
                <w:szCs w:val="24"/>
                <w:lang w:val="en-US" w:eastAsia="zh-CN"/>
                <w14:textFill>
                  <w14:solidFill>
                    <w14:schemeClr w14:val="tx1"/>
                  </w14:solidFill>
                </w14:textFill>
              </w:rPr>
              <w:t>固废主要为拣选废弃物、废中药渣、除尘灰、废弃包装物、废滤芯、废活性炭、生化污泥等一般固废，配液废滤渣、物化污泥、废催化剂等危险废物，以及职工生活垃圾。</w:t>
            </w:r>
          </w:p>
          <w:p w14:paraId="59D2607C">
            <w:pPr>
              <w:autoSpaceDE w:val="0"/>
              <w:autoSpaceDN w:val="0"/>
              <w:adjustRightInd w:val="0"/>
              <w:snapToGrid w:val="0"/>
              <w:spacing w:line="360" w:lineRule="auto"/>
              <w:ind w:firstLine="480" w:firstLineChars="20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4.1.1 一般固废</w:t>
            </w:r>
          </w:p>
          <w:p w14:paraId="186F820D">
            <w:pPr>
              <w:autoSpaceDE w:val="0"/>
              <w:autoSpaceDN w:val="0"/>
              <w:adjustRightInd w:val="0"/>
              <w:snapToGrid w:val="0"/>
              <w:spacing w:line="360" w:lineRule="auto"/>
              <w:ind w:firstLine="480" w:firstLineChars="200"/>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拣选废弃物</w:t>
            </w:r>
          </w:p>
          <w:p w14:paraId="2D661D94">
            <w:pPr>
              <w:autoSpaceDE w:val="0"/>
              <w:autoSpaceDN w:val="0"/>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中药拣选过程选出</w:t>
            </w:r>
            <w:r>
              <w:rPr>
                <w:rFonts w:hint="default" w:ascii="Times New Roman" w:hAnsi="Times New Roman" w:eastAsia="宋体" w:cs="Times New Roman"/>
                <w:color w:val="000000" w:themeColor="text1"/>
                <w:sz w:val="24"/>
                <w:lang w:eastAsia="zh-CN"/>
                <w14:textFill>
                  <w14:solidFill>
                    <w14:schemeClr w14:val="tx1"/>
                  </w14:solidFill>
                </w14:textFill>
              </w:rPr>
              <w:t>虫蛀、霉变、异物、杂质</w:t>
            </w:r>
            <w:r>
              <w:rPr>
                <w:rFonts w:hint="eastAsia"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非药用部位</w:t>
            </w:r>
            <w:r>
              <w:rPr>
                <w:rFonts w:hint="eastAsia" w:cs="Times New Roman"/>
                <w:color w:val="000000" w:themeColor="text1"/>
                <w:sz w:val="24"/>
                <w:lang w:val="en-US" w:eastAsia="zh-CN"/>
                <w14:textFill>
                  <w14:solidFill>
                    <w14:schemeClr w14:val="tx1"/>
                  </w14:solidFill>
                </w14:textFill>
              </w:rPr>
              <w:t>以及泥沙等废物，为一般固废。拣选废弃物一般不超过5%，拣选中药材总重约为5949.84t/a，可计算出拣选废弃物产生量为297.5t/a。全部储存于中药渣库，定期外运综合利用。</w:t>
            </w:r>
          </w:p>
          <w:p w14:paraId="0B518CBF">
            <w:pPr>
              <w:autoSpaceDE w:val="0"/>
              <w:autoSpaceDN w:val="0"/>
              <w:adjustRightInd w:val="0"/>
              <w:snapToGrid w:val="0"/>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（2）废中药渣</w:t>
            </w:r>
          </w:p>
          <w:p w14:paraId="18ED1033">
            <w:pPr>
              <w:autoSpaceDE w:val="0"/>
              <w:autoSpaceDN w:val="0"/>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中药水提或醇提过程会产生大量废中药渣，经压滤后含水率约为70~80%，为一般固废。不同的中药材产生的废药渣量也不同，根据物料平衡可知废中药渣总干重约为4111.5</w:t>
            </w:r>
            <w:r>
              <w:rPr>
                <w:rFonts w:hint="eastAsia" w:cs="Times New Roman"/>
                <w:color w:val="000000" w:themeColor="text1"/>
                <w:sz w:val="24"/>
                <w:lang w:val="en-US" w:eastAsia="zh-CN"/>
                <w14:textFill>
                  <w14:solidFill>
                    <w14:schemeClr w14:val="tx1"/>
                  </w14:solidFill>
                </w14:textFill>
              </w:rPr>
              <w:t>t/a</w:t>
            </w:r>
            <w:r>
              <w:rPr>
                <w:rFonts w:hint="eastAsia"/>
                <w:color w:val="000000" w:themeColor="text1"/>
                <w:sz w:val="24"/>
                <w:szCs w:val="24"/>
                <w:lang w:val="en-US" w:eastAsia="zh-CN"/>
                <w14:textFill>
                  <w14:solidFill>
                    <w14:schemeClr w14:val="tx1"/>
                  </w14:solidFill>
                </w14:textFill>
              </w:rPr>
              <w:t>，折算成含水率75%的水提废中药渣产生量为16446</w:t>
            </w:r>
            <w:r>
              <w:rPr>
                <w:rFonts w:hint="eastAsia" w:cs="Times New Roman"/>
                <w:color w:val="000000" w:themeColor="text1"/>
                <w:sz w:val="24"/>
                <w:lang w:val="en-US" w:eastAsia="zh-CN"/>
                <w14:textFill>
                  <w14:solidFill>
                    <w14:schemeClr w14:val="tx1"/>
                  </w14:solidFill>
                </w14:textFill>
              </w:rPr>
              <w:t>t/a。全部储存于中药渣库，定期外运综合利用。</w:t>
            </w:r>
          </w:p>
          <w:p w14:paraId="007A7977">
            <w:pPr>
              <w:autoSpaceDE w:val="0"/>
              <w:autoSpaceDN w:val="0"/>
              <w:adjustRightInd w:val="0"/>
              <w:snapToGrid w:val="0"/>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（3）除尘灰</w:t>
            </w:r>
          </w:p>
          <w:p w14:paraId="29892935">
            <w:pPr>
              <w:autoSpaceDE w:val="0"/>
              <w:autoSpaceDN w:val="0"/>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本项目共设置六台袋式除尘器，收集的除尘灰主要为废中药材，为一般固废。根据废气产排污分析，收集的除尘灰总量约为118.26</w:t>
            </w:r>
            <w:r>
              <w:rPr>
                <w:rFonts w:hint="eastAsia" w:cs="Times New Roman"/>
                <w:color w:val="000000" w:themeColor="text1"/>
                <w:sz w:val="24"/>
                <w:lang w:val="en-US" w:eastAsia="zh-CN"/>
                <w14:textFill>
                  <w14:solidFill>
                    <w14:schemeClr w14:val="tx1"/>
                  </w14:solidFill>
                </w14:textFill>
              </w:rPr>
              <w:t>t/a。全部储存于中药渣库，定期外运综合利用。</w:t>
            </w:r>
          </w:p>
          <w:p w14:paraId="13AB8951">
            <w:pPr>
              <w:autoSpaceDE w:val="0"/>
              <w:autoSpaceDN w:val="0"/>
              <w:adjustRightInd w:val="0"/>
              <w:snapToGrid w:val="0"/>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（4）废弃包装物</w:t>
            </w:r>
          </w:p>
          <w:p w14:paraId="412C5DE7">
            <w:pPr>
              <w:autoSpaceDE w:val="0"/>
              <w:autoSpaceDN w:val="0"/>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废弃包装物来源于原料中药材外包装，为一般固废。中药材包装一般采用25kg编织袋，原料总重约</w:t>
            </w:r>
            <w:r>
              <w:rPr>
                <w:rFonts w:hint="eastAsia" w:cs="Times New Roman"/>
                <w:color w:val="000000" w:themeColor="text1"/>
                <w:sz w:val="24"/>
                <w:lang w:val="en-US" w:eastAsia="zh-CN"/>
                <w14:textFill>
                  <w14:solidFill>
                    <w14:schemeClr w14:val="tx1"/>
                  </w14:solidFill>
                </w14:textFill>
              </w:rPr>
              <w:t>5949.84</w:t>
            </w:r>
            <w:r>
              <w:rPr>
                <w:rFonts w:hint="eastAsia"/>
                <w:color w:val="000000" w:themeColor="text1"/>
                <w:sz w:val="24"/>
                <w:szCs w:val="24"/>
                <w:lang w:val="en-US" w:eastAsia="zh-CN"/>
                <w14:textFill>
                  <w14:solidFill>
                    <w14:schemeClr w14:val="tx1"/>
                  </w14:solidFill>
                </w14:textFill>
              </w:rPr>
              <w:t>t/a，单个编织袋重100g，经计算废弃包装物产生量为23.8</w:t>
            </w:r>
            <w:r>
              <w:rPr>
                <w:rFonts w:hint="eastAsia" w:cs="Times New Roman"/>
                <w:color w:val="000000" w:themeColor="text1"/>
                <w:sz w:val="24"/>
                <w:lang w:val="en-US" w:eastAsia="zh-CN"/>
                <w14:textFill>
                  <w14:solidFill>
                    <w14:schemeClr w14:val="tx1"/>
                  </w14:solidFill>
                </w14:textFill>
              </w:rPr>
              <w:t>t/a。全部储存于一般固废间，定期外运综合利用。</w:t>
            </w:r>
          </w:p>
          <w:p w14:paraId="091BF169">
            <w:pPr>
              <w:autoSpaceDE w:val="0"/>
              <w:autoSpaceDN w:val="0"/>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（5）废滤芯、废活性炭</w:t>
            </w:r>
          </w:p>
          <w:p w14:paraId="384BC044">
            <w:pPr>
              <w:autoSpaceDE w:val="0"/>
              <w:autoSpaceDN w:val="0"/>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纯水系统会产生废滤芯与废活性炭，无毒无害，均为一般固废。保安过滤器中滤芯寿命可达6个月，单套滤芯重2kg，按一年更换2次计算废滤芯产生量为0.004t；纯水机中的活性炭一般一年更换一次，单套活性炭重约500kg，计算废滤芯产生量为0.5t；</w:t>
            </w:r>
            <w:r>
              <w:rPr>
                <w:rFonts w:hint="eastAsia" w:cs="Times New Roman"/>
                <w:color w:val="000000" w:themeColor="text1"/>
                <w:sz w:val="24"/>
                <w:lang w:val="en-US" w:eastAsia="zh-CN"/>
                <w14:textFill>
                  <w14:solidFill>
                    <w14:schemeClr w14:val="tx1"/>
                  </w14:solidFill>
                </w14:textFill>
              </w:rPr>
              <w:t>全部储存于一般固废间，定期外运综合利用。</w:t>
            </w:r>
          </w:p>
          <w:p w14:paraId="18043A98">
            <w:pPr>
              <w:autoSpaceDE w:val="0"/>
              <w:autoSpaceDN w:val="0"/>
              <w:adjustRightInd w:val="0"/>
              <w:snapToGrid w:val="0"/>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（6）生化污泥</w:t>
            </w:r>
          </w:p>
          <w:p w14:paraId="1B4D6474">
            <w:pPr>
              <w:autoSpaceDE w:val="0"/>
              <w:autoSpaceDN w:val="0"/>
              <w:adjustRightInd w:val="0"/>
              <w:snapToGrid w:val="0"/>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污水处理站厌氧及CASS生化处理过程会产生少量生化污泥，为一般固废。类比同行业污水处理站运营情况，本项目污水处理站日处理300吨，生化污泥产生量约为720t/a，全部储存于污水处理站污泥间，定期外运综合利用。</w:t>
            </w:r>
          </w:p>
          <w:p w14:paraId="154E15C3">
            <w:pPr>
              <w:autoSpaceDE w:val="0"/>
              <w:autoSpaceDN w:val="0"/>
              <w:adjustRightInd w:val="0"/>
              <w:snapToGrid w:val="0"/>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（7）生活垃圾</w:t>
            </w:r>
          </w:p>
          <w:p w14:paraId="76E43742">
            <w:pPr>
              <w:autoSpaceDE w:val="0"/>
              <w:autoSpaceDN w:val="0"/>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本项目劳动定员新增180人，生活垃圾一般按0.5kg/（人·d）计，可计算出生活垃圾产生量为90kg/d，27t/a，由厂内垃圾桶收集后定期由环卫清运。</w:t>
            </w:r>
          </w:p>
          <w:p w14:paraId="686CC401">
            <w:pPr>
              <w:keepNext w:val="0"/>
              <w:keepLines w:val="0"/>
              <w:pageBreakBefore w:val="0"/>
              <w:widowControl w:val="0"/>
              <w:kinsoku/>
              <w:wordWrap/>
              <w:overflowPunct/>
              <w:topLinePunct w:val="0"/>
              <w:autoSpaceDE/>
              <w:autoSpaceDN/>
              <w:bidi w:val="0"/>
              <w:adjustRightInd w:val="0"/>
              <w:snapToGrid/>
              <w:spacing w:before="0" w:beforeLines="0" w:line="240" w:lineRule="auto"/>
              <w:ind w:left="0" w:leftChars="0"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表</w:t>
            </w:r>
            <w:r>
              <w:rPr>
                <w:rFonts w:hint="eastAsia" w:ascii="Times New Roman" w:hAnsi="Times New Roman" w:eastAsia="宋体" w:cs="Times New Roman"/>
                <w:color w:val="000000" w:themeColor="text1"/>
                <w:sz w:val="24"/>
                <w:lang w:val="en-US" w:eastAsia="zh-CN"/>
                <w14:textFill>
                  <w14:solidFill>
                    <w14:schemeClr w14:val="tx1"/>
                  </w14:solidFill>
                </w14:textFill>
              </w:rPr>
              <w:t>3</w:t>
            </w:r>
            <w:r>
              <w:rPr>
                <w:rFonts w:hint="eastAsia" w:cs="Times New Roman"/>
                <w:color w:val="000000" w:themeColor="text1"/>
                <w:sz w:val="24"/>
                <w:lang w:val="en-US" w:eastAsia="zh-CN"/>
                <w14:textFill>
                  <w14:solidFill>
                    <w14:schemeClr w14:val="tx1"/>
                  </w14:solidFill>
                </w14:textFill>
              </w:rPr>
              <w:t>9</w:t>
            </w:r>
            <w:r>
              <w:rPr>
                <w:rFonts w:hint="default" w:ascii="Times New Roman" w:hAnsi="Times New Roman" w:eastAsia="宋体" w:cs="Times New Roman"/>
                <w:color w:val="000000" w:themeColor="text1"/>
                <w:sz w:val="24"/>
                <w:lang w:val="en-US" w:eastAsia="zh-CN"/>
                <w14:textFill>
                  <w14:solidFill>
                    <w14:schemeClr w14:val="tx1"/>
                  </w14:solidFill>
                </w14:textFill>
              </w:rPr>
              <w:t xml:space="preserve">  本项目一般固废产生、处理处置情况</w:t>
            </w:r>
            <w:r>
              <w:rPr>
                <w:rFonts w:hint="eastAsia" w:ascii="Times New Roman" w:hAnsi="Times New Roman" w:eastAsia="宋体" w:cs="Times New Roman"/>
                <w:color w:val="000000" w:themeColor="text1"/>
                <w:sz w:val="24"/>
                <w:lang w:val="en-US" w:eastAsia="zh-CN"/>
                <w14:textFill>
                  <w14:solidFill>
                    <w14:schemeClr w14:val="tx1"/>
                  </w14:solidFill>
                </w14:textFill>
              </w:rPr>
              <w:t>汇总</w:t>
            </w:r>
          </w:p>
          <w:tbl>
            <w:tblPr>
              <w:tblStyle w:val="26"/>
              <w:tblW w:w="4996" w:type="pct"/>
              <w:tblInd w:w="-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85"/>
              <w:gridCol w:w="934"/>
              <w:gridCol w:w="934"/>
              <w:gridCol w:w="1279"/>
              <w:gridCol w:w="590"/>
              <w:gridCol w:w="715"/>
              <w:gridCol w:w="715"/>
              <w:gridCol w:w="934"/>
              <w:gridCol w:w="1376"/>
            </w:tblGrid>
            <w:tr w14:paraId="3C6BB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304" w:type="pct"/>
                  <w:tcBorders>
                    <w:tl2br w:val="nil"/>
                    <w:tr2bl w:val="nil"/>
                  </w:tcBorders>
                  <w:noWrap w:val="0"/>
                  <w:vAlign w:val="center"/>
                </w:tcPr>
                <w:p w14:paraId="20C0F5D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序号</w:t>
                  </w:r>
                </w:p>
              </w:tc>
              <w:tc>
                <w:tcPr>
                  <w:tcW w:w="586" w:type="pct"/>
                  <w:tcBorders>
                    <w:tl2br w:val="nil"/>
                    <w:tr2bl w:val="nil"/>
                  </w:tcBorders>
                  <w:noWrap w:val="0"/>
                  <w:vAlign w:val="center"/>
                </w:tcPr>
                <w:p w14:paraId="37A5AFE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固废名称</w:t>
                  </w:r>
                </w:p>
              </w:tc>
              <w:tc>
                <w:tcPr>
                  <w:tcW w:w="586" w:type="pct"/>
                  <w:tcBorders>
                    <w:tl2br w:val="nil"/>
                    <w:tr2bl w:val="nil"/>
                  </w:tcBorders>
                  <w:noWrap w:val="0"/>
                  <w:vAlign w:val="center"/>
                </w:tcPr>
                <w:p w14:paraId="0B14E216">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属性</w:t>
                  </w:r>
                </w:p>
              </w:tc>
              <w:tc>
                <w:tcPr>
                  <w:tcW w:w="803" w:type="pct"/>
                  <w:tcBorders>
                    <w:tl2br w:val="nil"/>
                    <w:tr2bl w:val="nil"/>
                  </w:tcBorders>
                  <w:noWrap w:val="0"/>
                  <w:vAlign w:val="center"/>
                </w:tcPr>
                <w:p w14:paraId="441620E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产生环节</w:t>
                  </w:r>
                </w:p>
              </w:tc>
              <w:tc>
                <w:tcPr>
                  <w:tcW w:w="370" w:type="pct"/>
                  <w:tcBorders>
                    <w:tl2br w:val="nil"/>
                    <w:tr2bl w:val="nil"/>
                  </w:tcBorders>
                  <w:noWrap w:val="0"/>
                  <w:vAlign w:val="center"/>
                </w:tcPr>
                <w:p w14:paraId="51F5BC6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物理性状</w:t>
                  </w:r>
                </w:p>
              </w:tc>
              <w:tc>
                <w:tcPr>
                  <w:tcW w:w="449" w:type="pct"/>
                  <w:tcBorders>
                    <w:tl2br w:val="nil"/>
                    <w:tr2bl w:val="nil"/>
                  </w:tcBorders>
                  <w:noWrap w:val="0"/>
                  <w:vAlign w:val="center"/>
                </w:tcPr>
                <w:p w14:paraId="0D5F8C9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产生量t/a</w:t>
                  </w:r>
                </w:p>
              </w:tc>
              <w:tc>
                <w:tcPr>
                  <w:tcW w:w="449" w:type="pct"/>
                  <w:tcBorders>
                    <w:tl2br w:val="nil"/>
                    <w:tr2bl w:val="nil"/>
                  </w:tcBorders>
                  <w:noWrap w:val="0"/>
                  <w:vAlign w:val="center"/>
                </w:tcPr>
                <w:p w14:paraId="1492966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利用或</w:t>
                  </w:r>
                </w:p>
                <w:p w14:paraId="09A2D73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处置量t/a</w:t>
                  </w:r>
                </w:p>
              </w:tc>
              <w:tc>
                <w:tcPr>
                  <w:tcW w:w="586" w:type="pct"/>
                  <w:tcBorders>
                    <w:tl2br w:val="nil"/>
                    <w:tr2bl w:val="nil"/>
                  </w:tcBorders>
                  <w:noWrap w:val="0"/>
                  <w:vAlign w:val="center"/>
                </w:tcPr>
                <w:p w14:paraId="2D71F9E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贮存方式</w:t>
                  </w:r>
                </w:p>
              </w:tc>
              <w:tc>
                <w:tcPr>
                  <w:tcW w:w="864" w:type="pct"/>
                  <w:tcBorders>
                    <w:tl2br w:val="nil"/>
                    <w:tr2bl w:val="nil"/>
                  </w:tcBorders>
                  <w:noWrap w:val="0"/>
                  <w:vAlign w:val="center"/>
                </w:tcPr>
                <w:p w14:paraId="4B64691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利用处置方式</w:t>
                  </w:r>
                </w:p>
                <w:p w14:paraId="54D5246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和去向</w:t>
                  </w:r>
                </w:p>
              </w:tc>
            </w:tr>
            <w:tr w14:paraId="3857DA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304" w:type="pct"/>
                  <w:tcBorders>
                    <w:tl2br w:val="nil"/>
                    <w:tr2bl w:val="nil"/>
                  </w:tcBorders>
                  <w:noWrap w:val="0"/>
                  <w:vAlign w:val="center"/>
                </w:tcPr>
                <w:p w14:paraId="61F930B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p>
              </w:tc>
              <w:tc>
                <w:tcPr>
                  <w:tcW w:w="586" w:type="pct"/>
                  <w:tcBorders>
                    <w:tl2br w:val="nil"/>
                    <w:tr2bl w:val="nil"/>
                  </w:tcBorders>
                  <w:shd w:val="clear" w:color="auto" w:fill="auto"/>
                  <w:noWrap w:val="0"/>
                  <w:vAlign w:val="center"/>
                </w:tcPr>
                <w:p w14:paraId="1EECF1F6">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拣选废弃物</w:t>
                  </w:r>
                </w:p>
              </w:tc>
              <w:tc>
                <w:tcPr>
                  <w:tcW w:w="586" w:type="pct"/>
                  <w:tcBorders>
                    <w:tl2br w:val="nil"/>
                    <w:tr2bl w:val="nil"/>
                  </w:tcBorders>
                  <w:noWrap w:val="0"/>
                  <w:vAlign w:val="center"/>
                </w:tcPr>
                <w:p w14:paraId="618E53E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一般固废</w:t>
                  </w:r>
                </w:p>
              </w:tc>
              <w:tc>
                <w:tcPr>
                  <w:tcW w:w="803" w:type="pct"/>
                  <w:tcBorders>
                    <w:tl2br w:val="nil"/>
                    <w:tr2bl w:val="nil"/>
                  </w:tcBorders>
                  <w:noWrap w:val="0"/>
                  <w:vAlign w:val="center"/>
                </w:tcPr>
                <w:p w14:paraId="016B9F9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中药拣选台及拣选机</w:t>
                  </w:r>
                </w:p>
              </w:tc>
              <w:tc>
                <w:tcPr>
                  <w:tcW w:w="370" w:type="pct"/>
                  <w:tcBorders>
                    <w:tl2br w:val="nil"/>
                    <w:tr2bl w:val="nil"/>
                  </w:tcBorders>
                  <w:noWrap w:val="0"/>
                  <w:vAlign w:val="center"/>
                </w:tcPr>
                <w:p w14:paraId="1780A45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固态</w:t>
                  </w:r>
                </w:p>
              </w:tc>
              <w:tc>
                <w:tcPr>
                  <w:tcW w:w="449" w:type="pct"/>
                  <w:tcBorders>
                    <w:tl2br w:val="nil"/>
                    <w:tr2bl w:val="nil"/>
                  </w:tcBorders>
                  <w:noWrap w:val="0"/>
                  <w:vAlign w:val="center"/>
                </w:tcPr>
                <w:p w14:paraId="04119D3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297.5</w:t>
                  </w:r>
                </w:p>
              </w:tc>
              <w:tc>
                <w:tcPr>
                  <w:tcW w:w="449" w:type="pct"/>
                  <w:tcBorders>
                    <w:tl2br w:val="nil"/>
                    <w:tr2bl w:val="nil"/>
                  </w:tcBorders>
                  <w:shd w:val="clear" w:color="auto" w:fill="auto"/>
                  <w:noWrap w:val="0"/>
                  <w:vAlign w:val="center"/>
                </w:tcPr>
                <w:p w14:paraId="12865CC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297.5</w:t>
                  </w:r>
                </w:p>
              </w:tc>
              <w:tc>
                <w:tcPr>
                  <w:tcW w:w="586" w:type="pct"/>
                  <w:vMerge w:val="restart"/>
                  <w:tcBorders>
                    <w:tl2br w:val="nil"/>
                    <w:tr2bl w:val="nil"/>
                  </w:tcBorders>
                  <w:noWrap w:val="0"/>
                  <w:vAlign w:val="center"/>
                </w:tcPr>
                <w:p w14:paraId="6E70D8A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中药渣库</w:t>
                  </w:r>
                  <w:r>
                    <w:rPr>
                      <w:rFonts w:hint="eastAsia" w:cs="Times New Roman"/>
                      <w:color w:val="000000" w:themeColor="text1"/>
                      <w:sz w:val="21"/>
                      <w:szCs w:val="21"/>
                      <w:lang w:val="en-US" w:eastAsia="zh-CN"/>
                      <w14:textFill>
                        <w14:solidFill>
                          <w14:schemeClr w14:val="tx1"/>
                        </w14:solidFill>
                      </w14:textFill>
                    </w:rPr>
                    <w:t>500</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p>
              </w:tc>
              <w:tc>
                <w:tcPr>
                  <w:tcW w:w="864" w:type="pct"/>
                  <w:vMerge w:val="restart"/>
                  <w:tcBorders>
                    <w:tl2br w:val="nil"/>
                    <w:tr2bl w:val="nil"/>
                  </w:tcBorders>
                  <w:noWrap w:val="0"/>
                  <w:vAlign w:val="center"/>
                </w:tcPr>
                <w:p w14:paraId="13F4A9A6">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定期外运综合利用</w:t>
                  </w:r>
                </w:p>
              </w:tc>
            </w:tr>
            <w:tr w14:paraId="5A0AC4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304" w:type="pct"/>
                  <w:tcBorders>
                    <w:tl2br w:val="nil"/>
                    <w:tr2bl w:val="nil"/>
                  </w:tcBorders>
                  <w:noWrap w:val="0"/>
                  <w:vAlign w:val="center"/>
                </w:tcPr>
                <w:p w14:paraId="08549DC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p>
              </w:tc>
              <w:tc>
                <w:tcPr>
                  <w:tcW w:w="586" w:type="pct"/>
                  <w:tcBorders>
                    <w:tl2br w:val="nil"/>
                    <w:tr2bl w:val="nil"/>
                  </w:tcBorders>
                  <w:shd w:val="clear" w:color="auto" w:fill="auto"/>
                  <w:noWrap w:val="0"/>
                  <w:vAlign w:val="center"/>
                </w:tcPr>
                <w:p w14:paraId="24438508">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废中药渣（含水率75%）</w:t>
                  </w:r>
                </w:p>
              </w:tc>
              <w:tc>
                <w:tcPr>
                  <w:tcW w:w="586" w:type="pct"/>
                  <w:tcBorders>
                    <w:tl2br w:val="nil"/>
                    <w:tr2bl w:val="nil"/>
                  </w:tcBorders>
                  <w:noWrap w:val="0"/>
                  <w:vAlign w:val="center"/>
                </w:tcPr>
                <w:p w14:paraId="1035BA9F">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一般固废</w:t>
                  </w:r>
                </w:p>
              </w:tc>
              <w:tc>
                <w:tcPr>
                  <w:tcW w:w="803" w:type="pct"/>
                  <w:tcBorders>
                    <w:tl2br w:val="nil"/>
                    <w:tr2bl w:val="nil"/>
                  </w:tcBorders>
                  <w:noWrap w:val="0"/>
                  <w:vAlign w:val="center"/>
                </w:tcPr>
                <w:p w14:paraId="52D3A16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中药水提</w:t>
                  </w:r>
                </w:p>
              </w:tc>
              <w:tc>
                <w:tcPr>
                  <w:tcW w:w="370" w:type="pct"/>
                  <w:tcBorders>
                    <w:tl2br w:val="nil"/>
                    <w:tr2bl w:val="nil"/>
                  </w:tcBorders>
                  <w:noWrap w:val="0"/>
                  <w:vAlign w:val="center"/>
                </w:tcPr>
                <w:p w14:paraId="3C048FC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固态</w:t>
                  </w:r>
                </w:p>
              </w:tc>
              <w:tc>
                <w:tcPr>
                  <w:tcW w:w="449" w:type="pct"/>
                  <w:tcBorders>
                    <w:tl2br w:val="nil"/>
                    <w:tr2bl w:val="nil"/>
                  </w:tcBorders>
                  <w:noWrap w:val="0"/>
                  <w:vAlign w:val="center"/>
                </w:tcPr>
                <w:p w14:paraId="17464BD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16446</w:t>
                  </w:r>
                </w:p>
              </w:tc>
              <w:tc>
                <w:tcPr>
                  <w:tcW w:w="449" w:type="pct"/>
                  <w:tcBorders>
                    <w:tl2br w:val="nil"/>
                    <w:tr2bl w:val="nil"/>
                  </w:tcBorders>
                  <w:shd w:val="clear" w:color="auto" w:fill="auto"/>
                  <w:noWrap w:val="0"/>
                  <w:vAlign w:val="center"/>
                </w:tcPr>
                <w:p w14:paraId="0696CEF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16446</w:t>
                  </w:r>
                </w:p>
              </w:tc>
              <w:tc>
                <w:tcPr>
                  <w:tcW w:w="586" w:type="pct"/>
                  <w:vMerge w:val="continue"/>
                  <w:tcBorders>
                    <w:tl2br w:val="nil"/>
                    <w:tr2bl w:val="nil"/>
                  </w:tcBorders>
                  <w:noWrap w:val="0"/>
                  <w:vAlign w:val="center"/>
                </w:tcPr>
                <w:p w14:paraId="4E49BCC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64" w:type="pct"/>
                  <w:vMerge w:val="continue"/>
                  <w:tcBorders>
                    <w:tl2br w:val="nil"/>
                    <w:tr2bl w:val="nil"/>
                  </w:tcBorders>
                  <w:noWrap w:val="0"/>
                  <w:vAlign w:val="center"/>
                </w:tcPr>
                <w:p w14:paraId="41F85E7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p>
              </w:tc>
            </w:tr>
            <w:tr w14:paraId="201F32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304" w:type="pct"/>
                  <w:tcBorders>
                    <w:tl2br w:val="nil"/>
                    <w:tr2bl w:val="nil"/>
                  </w:tcBorders>
                  <w:noWrap w:val="0"/>
                  <w:vAlign w:val="center"/>
                </w:tcPr>
                <w:p w14:paraId="25501DA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p>
              </w:tc>
              <w:tc>
                <w:tcPr>
                  <w:tcW w:w="586" w:type="pct"/>
                  <w:tcBorders>
                    <w:tl2br w:val="nil"/>
                    <w:tr2bl w:val="nil"/>
                  </w:tcBorders>
                  <w:shd w:val="clear" w:color="auto" w:fill="auto"/>
                  <w:noWrap w:val="0"/>
                  <w:vAlign w:val="center"/>
                </w:tcPr>
                <w:p w14:paraId="58BE97EF">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除尘灰</w:t>
                  </w:r>
                </w:p>
              </w:tc>
              <w:tc>
                <w:tcPr>
                  <w:tcW w:w="586" w:type="pct"/>
                  <w:tcBorders>
                    <w:tl2br w:val="nil"/>
                    <w:tr2bl w:val="nil"/>
                  </w:tcBorders>
                  <w:noWrap w:val="0"/>
                  <w:vAlign w:val="center"/>
                </w:tcPr>
                <w:p w14:paraId="327E3EA0">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一般固废</w:t>
                  </w:r>
                </w:p>
              </w:tc>
              <w:tc>
                <w:tcPr>
                  <w:tcW w:w="803" w:type="pct"/>
                  <w:tcBorders>
                    <w:tl2br w:val="nil"/>
                    <w:tr2bl w:val="nil"/>
                  </w:tcBorders>
                  <w:noWrap w:val="0"/>
                  <w:vAlign w:val="center"/>
                </w:tcPr>
                <w:p w14:paraId="3152869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袋式除尘器</w:t>
                  </w:r>
                </w:p>
              </w:tc>
              <w:tc>
                <w:tcPr>
                  <w:tcW w:w="370" w:type="pct"/>
                  <w:tcBorders>
                    <w:tl2br w:val="nil"/>
                    <w:tr2bl w:val="nil"/>
                  </w:tcBorders>
                  <w:noWrap w:val="0"/>
                  <w:vAlign w:val="center"/>
                </w:tcPr>
                <w:p w14:paraId="273ECC2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固态</w:t>
                  </w:r>
                </w:p>
              </w:tc>
              <w:tc>
                <w:tcPr>
                  <w:tcW w:w="449" w:type="pct"/>
                  <w:tcBorders>
                    <w:tl2br w:val="nil"/>
                    <w:tr2bl w:val="nil"/>
                  </w:tcBorders>
                  <w:noWrap w:val="0"/>
                  <w:vAlign w:val="center"/>
                </w:tcPr>
                <w:p w14:paraId="2F9D4EE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118.26</w:t>
                  </w:r>
                </w:p>
              </w:tc>
              <w:tc>
                <w:tcPr>
                  <w:tcW w:w="449" w:type="pct"/>
                  <w:tcBorders>
                    <w:tl2br w:val="nil"/>
                    <w:tr2bl w:val="nil"/>
                  </w:tcBorders>
                  <w:shd w:val="clear" w:color="auto" w:fill="auto"/>
                  <w:noWrap w:val="0"/>
                  <w:vAlign w:val="center"/>
                </w:tcPr>
                <w:p w14:paraId="0BC2E89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118.26</w:t>
                  </w:r>
                </w:p>
              </w:tc>
              <w:tc>
                <w:tcPr>
                  <w:tcW w:w="586" w:type="pct"/>
                  <w:vMerge w:val="continue"/>
                  <w:tcBorders>
                    <w:tl2br w:val="nil"/>
                    <w:tr2bl w:val="nil"/>
                  </w:tcBorders>
                  <w:noWrap w:val="0"/>
                  <w:vAlign w:val="center"/>
                </w:tcPr>
                <w:p w14:paraId="43109D2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64" w:type="pct"/>
                  <w:vMerge w:val="continue"/>
                  <w:tcBorders>
                    <w:tl2br w:val="nil"/>
                    <w:tr2bl w:val="nil"/>
                  </w:tcBorders>
                  <w:noWrap w:val="0"/>
                  <w:vAlign w:val="center"/>
                </w:tcPr>
                <w:p w14:paraId="2CF4919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r>
            <w:tr w14:paraId="6BCA3B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304" w:type="pct"/>
                  <w:tcBorders>
                    <w:tl2br w:val="nil"/>
                    <w:tr2bl w:val="nil"/>
                  </w:tcBorders>
                  <w:noWrap w:val="0"/>
                  <w:vAlign w:val="center"/>
                </w:tcPr>
                <w:p w14:paraId="0982400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586" w:type="pct"/>
                  <w:tcBorders>
                    <w:tl2br w:val="nil"/>
                    <w:tr2bl w:val="nil"/>
                  </w:tcBorders>
                  <w:shd w:val="clear" w:color="auto" w:fill="auto"/>
                  <w:noWrap w:val="0"/>
                  <w:vAlign w:val="center"/>
                </w:tcPr>
                <w:p w14:paraId="465F0871">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废弃包装物</w:t>
                  </w:r>
                </w:p>
              </w:tc>
              <w:tc>
                <w:tcPr>
                  <w:tcW w:w="586" w:type="pct"/>
                  <w:tcBorders>
                    <w:tl2br w:val="nil"/>
                    <w:tr2bl w:val="nil"/>
                  </w:tcBorders>
                  <w:shd w:val="clear" w:color="auto" w:fill="auto"/>
                  <w:noWrap w:val="0"/>
                  <w:vAlign w:val="center"/>
                </w:tcPr>
                <w:p w14:paraId="53E11F82">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一般固废</w:t>
                  </w:r>
                </w:p>
              </w:tc>
              <w:tc>
                <w:tcPr>
                  <w:tcW w:w="803" w:type="pct"/>
                  <w:tcBorders>
                    <w:tl2br w:val="nil"/>
                    <w:tr2bl w:val="nil"/>
                  </w:tcBorders>
                  <w:shd w:val="clear" w:color="auto" w:fill="auto"/>
                  <w:noWrap w:val="0"/>
                  <w:vAlign w:val="center"/>
                </w:tcPr>
                <w:p w14:paraId="3430329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中药材包装</w:t>
                  </w:r>
                </w:p>
              </w:tc>
              <w:tc>
                <w:tcPr>
                  <w:tcW w:w="370" w:type="pct"/>
                  <w:tcBorders>
                    <w:tl2br w:val="nil"/>
                    <w:tr2bl w:val="nil"/>
                  </w:tcBorders>
                  <w:shd w:val="clear" w:color="auto" w:fill="auto"/>
                  <w:noWrap w:val="0"/>
                  <w:vAlign w:val="center"/>
                </w:tcPr>
                <w:p w14:paraId="6B58490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固态</w:t>
                  </w:r>
                </w:p>
              </w:tc>
              <w:tc>
                <w:tcPr>
                  <w:tcW w:w="449" w:type="pct"/>
                  <w:tcBorders>
                    <w:tl2br w:val="nil"/>
                    <w:tr2bl w:val="nil"/>
                  </w:tcBorders>
                  <w:shd w:val="clear" w:color="auto" w:fill="auto"/>
                  <w:noWrap w:val="0"/>
                  <w:vAlign w:val="center"/>
                </w:tcPr>
                <w:p w14:paraId="3228C40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23.8</w:t>
                  </w:r>
                </w:p>
              </w:tc>
              <w:tc>
                <w:tcPr>
                  <w:tcW w:w="449" w:type="pct"/>
                  <w:tcBorders>
                    <w:tl2br w:val="nil"/>
                    <w:tr2bl w:val="nil"/>
                  </w:tcBorders>
                  <w:shd w:val="clear" w:color="auto" w:fill="auto"/>
                  <w:noWrap w:val="0"/>
                  <w:vAlign w:val="center"/>
                </w:tcPr>
                <w:p w14:paraId="01616C1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23.8</w:t>
                  </w:r>
                </w:p>
              </w:tc>
              <w:tc>
                <w:tcPr>
                  <w:tcW w:w="586" w:type="pct"/>
                  <w:vMerge w:val="restart"/>
                  <w:tcBorders>
                    <w:tl2br w:val="nil"/>
                    <w:tr2bl w:val="nil"/>
                  </w:tcBorders>
                  <w:noWrap w:val="0"/>
                  <w:vAlign w:val="center"/>
                </w:tcPr>
                <w:p w14:paraId="62FDF14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一般固废间1</w:t>
                  </w:r>
                  <w:r>
                    <w:rPr>
                      <w:rFonts w:hint="eastAsia" w:cs="Times New Roman"/>
                      <w:color w:val="000000" w:themeColor="text1"/>
                      <w:sz w:val="21"/>
                      <w:szCs w:val="21"/>
                      <w:lang w:val="en-US" w:eastAsia="zh-CN"/>
                      <w14:textFill>
                        <w14:solidFill>
                          <w14:schemeClr w14:val="tx1"/>
                        </w14:solidFill>
                      </w14:textFill>
                    </w:rPr>
                    <w:t>00</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p>
              </w:tc>
              <w:tc>
                <w:tcPr>
                  <w:tcW w:w="864" w:type="pct"/>
                  <w:vMerge w:val="restart"/>
                  <w:tcBorders>
                    <w:tl2br w:val="nil"/>
                    <w:tr2bl w:val="nil"/>
                  </w:tcBorders>
                  <w:noWrap w:val="0"/>
                  <w:vAlign w:val="center"/>
                </w:tcPr>
                <w:p w14:paraId="5B7CE09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定期外运综合利用</w:t>
                  </w:r>
                </w:p>
              </w:tc>
            </w:tr>
            <w:tr w14:paraId="4500F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304" w:type="pct"/>
                  <w:tcBorders>
                    <w:tl2br w:val="nil"/>
                    <w:tr2bl w:val="nil"/>
                  </w:tcBorders>
                  <w:noWrap w:val="0"/>
                  <w:vAlign w:val="center"/>
                </w:tcPr>
                <w:p w14:paraId="5993669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w:t>
                  </w:r>
                </w:p>
              </w:tc>
              <w:tc>
                <w:tcPr>
                  <w:tcW w:w="586" w:type="pct"/>
                  <w:tcBorders>
                    <w:tl2br w:val="nil"/>
                    <w:tr2bl w:val="nil"/>
                  </w:tcBorders>
                  <w:shd w:val="clear" w:color="auto" w:fill="auto"/>
                  <w:noWrap w:val="0"/>
                  <w:vAlign w:val="center"/>
                </w:tcPr>
                <w:p w14:paraId="27CA04CC">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废滤芯</w:t>
                  </w:r>
                </w:p>
              </w:tc>
              <w:tc>
                <w:tcPr>
                  <w:tcW w:w="586" w:type="pct"/>
                  <w:tcBorders>
                    <w:tl2br w:val="nil"/>
                    <w:tr2bl w:val="nil"/>
                  </w:tcBorders>
                  <w:noWrap w:val="0"/>
                  <w:vAlign w:val="center"/>
                </w:tcPr>
                <w:p w14:paraId="3A5CA2E3">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一般固废</w:t>
                  </w:r>
                </w:p>
              </w:tc>
              <w:tc>
                <w:tcPr>
                  <w:tcW w:w="803" w:type="pct"/>
                  <w:tcBorders>
                    <w:tl2br w:val="nil"/>
                    <w:tr2bl w:val="nil"/>
                  </w:tcBorders>
                  <w:noWrap w:val="0"/>
                  <w:vAlign w:val="center"/>
                </w:tcPr>
                <w:p w14:paraId="71A8268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纯水系统</w:t>
                  </w:r>
                </w:p>
              </w:tc>
              <w:tc>
                <w:tcPr>
                  <w:tcW w:w="370" w:type="pct"/>
                  <w:tcBorders>
                    <w:tl2br w:val="nil"/>
                    <w:tr2bl w:val="nil"/>
                  </w:tcBorders>
                  <w:noWrap w:val="0"/>
                  <w:vAlign w:val="center"/>
                </w:tcPr>
                <w:p w14:paraId="3810DE6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固态</w:t>
                  </w:r>
                </w:p>
              </w:tc>
              <w:tc>
                <w:tcPr>
                  <w:tcW w:w="449" w:type="pct"/>
                  <w:tcBorders>
                    <w:tl2br w:val="nil"/>
                    <w:tr2bl w:val="nil"/>
                  </w:tcBorders>
                  <w:noWrap w:val="0"/>
                  <w:vAlign w:val="center"/>
                </w:tcPr>
                <w:p w14:paraId="0598AEC6">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0.004</w:t>
                  </w:r>
                </w:p>
              </w:tc>
              <w:tc>
                <w:tcPr>
                  <w:tcW w:w="449" w:type="pct"/>
                  <w:tcBorders>
                    <w:tl2br w:val="nil"/>
                    <w:tr2bl w:val="nil"/>
                  </w:tcBorders>
                  <w:shd w:val="clear" w:color="auto" w:fill="auto"/>
                  <w:noWrap w:val="0"/>
                  <w:vAlign w:val="center"/>
                </w:tcPr>
                <w:p w14:paraId="1C0A71B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0.004</w:t>
                  </w:r>
                </w:p>
              </w:tc>
              <w:tc>
                <w:tcPr>
                  <w:tcW w:w="586" w:type="pct"/>
                  <w:vMerge w:val="continue"/>
                  <w:tcBorders>
                    <w:tl2br w:val="nil"/>
                    <w:tr2bl w:val="nil"/>
                  </w:tcBorders>
                  <w:noWrap w:val="0"/>
                  <w:vAlign w:val="center"/>
                </w:tcPr>
                <w:p w14:paraId="66E37B9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64" w:type="pct"/>
                  <w:vMerge w:val="continue"/>
                  <w:tcBorders>
                    <w:tl2br w:val="nil"/>
                    <w:tr2bl w:val="nil"/>
                  </w:tcBorders>
                  <w:noWrap w:val="0"/>
                  <w:vAlign w:val="center"/>
                </w:tcPr>
                <w:p w14:paraId="105F741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p>
              </w:tc>
            </w:tr>
            <w:tr w14:paraId="78D4DD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304" w:type="pct"/>
                  <w:tcBorders>
                    <w:tl2br w:val="nil"/>
                    <w:tr2bl w:val="nil"/>
                  </w:tcBorders>
                  <w:noWrap w:val="0"/>
                  <w:vAlign w:val="center"/>
                </w:tcPr>
                <w:p w14:paraId="6CD48C5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586" w:type="pct"/>
                  <w:tcBorders>
                    <w:tl2br w:val="nil"/>
                    <w:tr2bl w:val="nil"/>
                  </w:tcBorders>
                  <w:shd w:val="clear" w:color="auto" w:fill="auto"/>
                  <w:noWrap w:val="0"/>
                  <w:vAlign w:val="center"/>
                </w:tcPr>
                <w:p w14:paraId="49C20CF0">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废活性炭</w:t>
                  </w:r>
                </w:p>
              </w:tc>
              <w:tc>
                <w:tcPr>
                  <w:tcW w:w="586" w:type="pct"/>
                  <w:tcBorders>
                    <w:tl2br w:val="nil"/>
                    <w:tr2bl w:val="nil"/>
                  </w:tcBorders>
                  <w:noWrap w:val="0"/>
                  <w:vAlign w:val="center"/>
                </w:tcPr>
                <w:p w14:paraId="708B8B6F">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一般固废</w:t>
                  </w:r>
                </w:p>
              </w:tc>
              <w:tc>
                <w:tcPr>
                  <w:tcW w:w="803" w:type="pct"/>
                  <w:tcBorders>
                    <w:tl2br w:val="nil"/>
                    <w:tr2bl w:val="nil"/>
                  </w:tcBorders>
                  <w:noWrap w:val="0"/>
                  <w:vAlign w:val="center"/>
                </w:tcPr>
                <w:p w14:paraId="79B28F9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纯水系统</w:t>
                  </w:r>
                </w:p>
              </w:tc>
              <w:tc>
                <w:tcPr>
                  <w:tcW w:w="370" w:type="pct"/>
                  <w:tcBorders>
                    <w:tl2br w:val="nil"/>
                    <w:tr2bl w:val="nil"/>
                  </w:tcBorders>
                  <w:noWrap w:val="0"/>
                  <w:vAlign w:val="center"/>
                </w:tcPr>
                <w:p w14:paraId="380CCDF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固态</w:t>
                  </w:r>
                </w:p>
              </w:tc>
              <w:tc>
                <w:tcPr>
                  <w:tcW w:w="449" w:type="pct"/>
                  <w:tcBorders>
                    <w:tl2br w:val="nil"/>
                    <w:tr2bl w:val="nil"/>
                  </w:tcBorders>
                  <w:noWrap w:val="0"/>
                  <w:vAlign w:val="center"/>
                </w:tcPr>
                <w:p w14:paraId="1DB32AD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0.5</w:t>
                  </w:r>
                </w:p>
              </w:tc>
              <w:tc>
                <w:tcPr>
                  <w:tcW w:w="449" w:type="pct"/>
                  <w:tcBorders>
                    <w:tl2br w:val="nil"/>
                    <w:tr2bl w:val="nil"/>
                  </w:tcBorders>
                  <w:shd w:val="clear" w:color="auto" w:fill="auto"/>
                  <w:noWrap w:val="0"/>
                  <w:vAlign w:val="center"/>
                </w:tcPr>
                <w:p w14:paraId="5FA3AF7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0.5</w:t>
                  </w:r>
                </w:p>
              </w:tc>
              <w:tc>
                <w:tcPr>
                  <w:tcW w:w="586" w:type="pct"/>
                  <w:vMerge w:val="continue"/>
                  <w:tcBorders>
                    <w:tl2br w:val="nil"/>
                    <w:tr2bl w:val="nil"/>
                  </w:tcBorders>
                  <w:noWrap w:val="0"/>
                  <w:vAlign w:val="center"/>
                </w:tcPr>
                <w:p w14:paraId="78A76AF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64" w:type="pct"/>
                  <w:vMerge w:val="continue"/>
                  <w:tcBorders>
                    <w:tl2br w:val="nil"/>
                    <w:tr2bl w:val="nil"/>
                  </w:tcBorders>
                  <w:noWrap w:val="0"/>
                  <w:vAlign w:val="center"/>
                </w:tcPr>
                <w:p w14:paraId="6AF2E2D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p>
              </w:tc>
            </w:tr>
            <w:tr w14:paraId="3CF62C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304" w:type="pct"/>
                  <w:tcBorders>
                    <w:tl2br w:val="nil"/>
                    <w:tr2bl w:val="nil"/>
                  </w:tcBorders>
                  <w:noWrap w:val="0"/>
                  <w:vAlign w:val="center"/>
                </w:tcPr>
                <w:p w14:paraId="5D606ED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w:t>
                  </w:r>
                </w:p>
              </w:tc>
              <w:tc>
                <w:tcPr>
                  <w:tcW w:w="586" w:type="pct"/>
                  <w:tcBorders>
                    <w:tl2br w:val="nil"/>
                    <w:tr2bl w:val="nil"/>
                  </w:tcBorders>
                  <w:shd w:val="clear" w:color="auto" w:fill="auto"/>
                  <w:noWrap w:val="0"/>
                  <w:vAlign w:val="center"/>
                </w:tcPr>
                <w:p w14:paraId="7AFB5C75">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生化污泥</w:t>
                  </w:r>
                </w:p>
              </w:tc>
              <w:tc>
                <w:tcPr>
                  <w:tcW w:w="586" w:type="pct"/>
                  <w:tcBorders>
                    <w:tl2br w:val="nil"/>
                    <w:tr2bl w:val="nil"/>
                  </w:tcBorders>
                  <w:noWrap w:val="0"/>
                  <w:vAlign w:val="center"/>
                </w:tcPr>
                <w:p w14:paraId="2CF3E567">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一般固废</w:t>
                  </w:r>
                </w:p>
              </w:tc>
              <w:tc>
                <w:tcPr>
                  <w:tcW w:w="803" w:type="pct"/>
                  <w:tcBorders>
                    <w:tl2br w:val="nil"/>
                    <w:tr2bl w:val="nil"/>
                  </w:tcBorders>
                  <w:noWrap w:val="0"/>
                  <w:vAlign w:val="center"/>
                </w:tcPr>
                <w:p w14:paraId="2CB4B7B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污水处理</w:t>
                  </w:r>
                </w:p>
              </w:tc>
              <w:tc>
                <w:tcPr>
                  <w:tcW w:w="370" w:type="pct"/>
                  <w:tcBorders>
                    <w:tl2br w:val="nil"/>
                    <w:tr2bl w:val="nil"/>
                  </w:tcBorders>
                  <w:noWrap w:val="0"/>
                  <w:vAlign w:val="center"/>
                </w:tcPr>
                <w:p w14:paraId="6CAEB50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固态</w:t>
                  </w:r>
                </w:p>
              </w:tc>
              <w:tc>
                <w:tcPr>
                  <w:tcW w:w="449" w:type="pct"/>
                  <w:tcBorders>
                    <w:tl2br w:val="nil"/>
                    <w:tr2bl w:val="nil"/>
                  </w:tcBorders>
                  <w:noWrap w:val="0"/>
                  <w:vAlign w:val="center"/>
                </w:tcPr>
                <w:p w14:paraId="72D839B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720</w:t>
                  </w:r>
                </w:p>
              </w:tc>
              <w:tc>
                <w:tcPr>
                  <w:tcW w:w="449" w:type="pct"/>
                  <w:tcBorders>
                    <w:tl2br w:val="nil"/>
                    <w:tr2bl w:val="nil"/>
                  </w:tcBorders>
                  <w:shd w:val="clear" w:color="auto" w:fill="auto"/>
                  <w:noWrap w:val="0"/>
                  <w:vAlign w:val="center"/>
                </w:tcPr>
                <w:p w14:paraId="63DFAC3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720</w:t>
                  </w:r>
                </w:p>
              </w:tc>
              <w:tc>
                <w:tcPr>
                  <w:tcW w:w="586" w:type="pct"/>
                  <w:tcBorders>
                    <w:tl2br w:val="nil"/>
                    <w:tr2bl w:val="nil"/>
                  </w:tcBorders>
                  <w:noWrap w:val="0"/>
                  <w:vAlign w:val="center"/>
                </w:tcPr>
                <w:p w14:paraId="543F0E0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污泥间10</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p>
              </w:tc>
              <w:tc>
                <w:tcPr>
                  <w:tcW w:w="864" w:type="pct"/>
                  <w:tcBorders>
                    <w:tl2br w:val="nil"/>
                    <w:tr2bl w:val="nil"/>
                  </w:tcBorders>
                  <w:noWrap w:val="0"/>
                  <w:vAlign w:val="center"/>
                </w:tcPr>
                <w:p w14:paraId="5580DF1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定期外运综合利用</w:t>
                  </w:r>
                </w:p>
              </w:tc>
            </w:tr>
            <w:tr w14:paraId="5234C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304" w:type="pct"/>
                  <w:tcBorders>
                    <w:tl2br w:val="nil"/>
                    <w:tr2bl w:val="nil"/>
                  </w:tcBorders>
                  <w:noWrap w:val="0"/>
                  <w:vAlign w:val="center"/>
                </w:tcPr>
                <w:p w14:paraId="0BA1871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w:t>
                  </w:r>
                </w:p>
              </w:tc>
              <w:tc>
                <w:tcPr>
                  <w:tcW w:w="586" w:type="pct"/>
                  <w:tcBorders>
                    <w:tl2br w:val="nil"/>
                    <w:tr2bl w:val="nil"/>
                  </w:tcBorders>
                  <w:noWrap w:val="0"/>
                  <w:vAlign w:val="center"/>
                </w:tcPr>
                <w:p w14:paraId="57CB5EC2">
                  <w:pPr>
                    <w:keepNext w:val="0"/>
                    <w:keepLines w:val="0"/>
                    <w:pageBreakBefore w:val="0"/>
                    <w:kinsoku/>
                    <w:wordWrap/>
                    <w:overflowPunct/>
                    <w:topLinePunct w:val="0"/>
                    <w:bidi w:val="0"/>
                    <w:adjustRightInd w:val="0"/>
                    <w:snapToGrid/>
                    <w:spacing w:line="360" w:lineRule="exact"/>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生活垃圾</w:t>
                  </w:r>
                </w:p>
              </w:tc>
              <w:tc>
                <w:tcPr>
                  <w:tcW w:w="586" w:type="pct"/>
                  <w:tcBorders>
                    <w:tl2br w:val="nil"/>
                    <w:tr2bl w:val="nil"/>
                  </w:tcBorders>
                  <w:noWrap w:val="0"/>
                  <w:vAlign w:val="center"/>
                </w:tcPr>
                <w:p w14:paraId="0F8FAF01">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一般固废</w:t>
                  </w:r>
                </w:p>
              </w:tc>
              <w:tc>
                <w:tcPr>
                  <w:tcW w:w="803" w:type="pct"/>
                  <w:tcBorders>
                    <w:tl2br w:val="nil"/>
                    <w:tr2bl w:val="nil"/>
                  </w:tcBorders>
                  <w:noWrap w:val="0"/>
                  <w:vAlign w:val="center"/>
                </w:tcPr>
                <w:p w14:paraId="50A43C0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职工生活</w:t>
                  </w:r>
                </w:p>
              </w:tc>
              <w:tc>
                <w:tcPr>
                  <w:tcW w:w="370" w:type="pct"/>
                  <w:tcBorders>
                    <w:tl2br w:val="nil"/>
                    <w:tr2bl w:val="nil"/>
                  </w:tcBorders>
                  <w:noWrap w:val="0"/>
                  <w:vAlign w:val="center"/>
                </w:tcPr>
                <w:p w14:paraId="274FBC1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固态</w:t>
                  </w:r>
                </w:p>
              </w:tc>
              <w:tc>
                <w:tcPr>
                  <w:tcW w:w="449" w:type="pct"/>
                  <w:tcBorders>
                    <w:tl2br w:val="nil"/>
                    <w:tr2bl w:val="nil"/>
                  </w:tcBorders>
                  <w:noWrap w:val="0"/>
                  <w:vAlign w:val="center"/>
                </w:tcPr>
                <w:p w14:paraId="749FB1B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27</w:t>
                  </w:r>
                </w:p>
              </w:tc>
              <w:tc>
                <w:tcPr>
                  <w:tcW w:w="449" w:type="pct"/>
                  <w:tcBorders>
                    <w:tl2br w:val="nil"/>
                    <w:tr2bl w:val="nil"/>
                  </w:tcBorders>
                  <w:noWrap w:val="0"/>
                  <w:vAlign w:val="center"/>
                </w:tcPr>
                <w:p w14:paraId="47198D3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27</w:t>
                  </w:r>
                </w:p>
              </w:tc>
              <w:tc>
                <w:tcPr>
                  <w:tcW w:w="586" w:type="pct"/>
                  <w:tcBorders>
                    <w:tl2br w:val="nil"/>
                    <w:tr2bl w:val="nil"/>
                  </w:tcBorders>
                  <w:noWrap w:val="0"/>
                  <w:vAlign w:val="center"/>
                </w:tcPr>
                <w:p w14:paraId="40DE2D8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垃圾桶</w:t>
                  </w:r>
                </w:p>
              </w:tc>
              <w:tc>
                <w:tcPr>
                  <w:tcW w:w="864" w:type="pct"/>
                  <w:tcBorders>
                    <w:tl2br w:val="nil"/>
                    <w:tr2bl w:val="nil"/>
                  </w:tcBorders>
                  <w:noWrap w:val="0"/>
                  <w:vAlign w:val="center"/>
                </w:tcPr>
                <w:p w14:paraId="3D57DD9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由环卫清运</w:t>
                  </w:r>
                </w:p>
              </w:tc>
            </w:tr>
          </w:tbl>
          <w:p w14:paraId="1D87E05E">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w:t>
            </w:r>
            <w:r>
              <w:rPr>
                <w:rFonts w:hint="eastAsia" w:cs="Times New Roman"/>
                <w:color w:val="000000" w:themeColor="text1"/>
                <w:sz w:val="24"/>
                <w:szCs w:val="24"/>
                <w:lang w:val="en-US" w:eastAsia="zh-CN"/>
                <w14:textFill>
                  <w14:solidFill>
                    <w14:schemeClr w14:val="tx1"/>
                  </w14:solidFill>
                </w14:textFill>
              </w:rPr>
              <w:t>新建中药渣库500m</w:t>
            </w:r>
            <w:r>
              <w:rPr>
                <w:rFonts w:hint="eastAsia" w:cs="Times New Roman"/>
                <w:color w:val="000000" w:themeColor="text1"/>
                <w:sz w:val="24"/>
                <w:szCs w:val="24"/>
                <w:vertAlign w:val="superscript"/>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一般固废间</w:t>
            </w:r>
            <w:r>
              <w:rPr>
                <w:rFonts w:hint="eastAsia" w:cs="Times New Roman"/>
                <w:color w:val="000000" w:themeColor="text1"/>
                <w:sz w:val="24"/>
                <w:szCs w:val="24"/>
                <w:lang w:val="en-US" w:eastAsia="zh-CN"/>
                <w14:textFill>
                  <w14:solidFill>
                    <w14:schemeClr w14:val="tx1"/>
                  </w14:solidFill>
                </w14:textFill>
              </w:rPr>
              <w:t>10</w:t>
            </w:r>
            <w:r>
              <w:rPr>
                <w:rFonts w:hint="default" w:ascii="Times New Roman" w:hAnsi="Times New Roman" w:cs="Times New Roman"/>
                <w:color w:val="000000" w:themeColor="text1"/>
                <w:sz w:val="24"/>
                <w:szCs w:val="24"/>
                <w:lang w:val="en-US" w:eastAsia="zh-CN"/>
                <w14:textFill>
                  <w14:solidFill>
                    <w14:schemeClr w14:val="tx1"/>
                  </w14:solidFill>
                </w14:textFill>
              </w:rPr>
              <w:t>0m</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一间，污泥间10</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一间，</w:t>
            </w:r>
            <w:r>
              <w:rPr>
                <w:rFonts w:hint="default" w:ascii="Times New Roman" w:hAnsi="Times New Roman" w:cs="Times New Roman"/>
                <w:color w:val="000000" w:themeColor="text1"/>
                <w:sz w:val="24"/>
                <w:szCs w:val="24"/>
                <w:lang w:val="en-US" w:eastAsia="zh-CN"/>
                <w14:textFill>
                  <w14:solidFill>
                    <w14:schemeClr w14:val="tx1"/>
                  </w14:solidFill>
                </w14:textFill>
              </w:rPr>
              <w:t>能</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够满足《一般工业固体废物贮存和填埋污染控制标准》（GB 18599-2020）的要求，</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建筑</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面积能够满足本项目一般固废贮存的需求。</w:t>
            </w:r>
          </w:p>
          <w:p w14:paraId="35A376C9">
            <w:pPr>
              <w:autoSpaceDE w:val="0"/>
              <w:autoSpaceDN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4.1.2 危险废物</w:t>
            </w:r>
          </w:p>
          <w:p w14:paraId="740DD561">
            <w:pPr>
              <w:autoSpaceDE w:val="0"/>
              <w:autoSpaceDN w:val="0"/>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eastAsia"/>
                <w:color w:val="000000" w:themeColor="text1"/>
                <w:sz w:val="24"/>
                <w:szCs w:val="24"/>
                <w:lang w:val="en-US" w:eastAsia="zh-CN"/>
                <w14:textFill>
                  <w14:solidFill>
                    <w14:schemeClr w14:val="tx1"/>
                  </w14:solidFill>
                </w14:textFill>
              </w:rPr>
              <w:t>配液废滤渣</w:t>
            </w:r>
          </w:p>
          <w:p w14:paraId="14E3A959">
            <w:pPr>
              <w:autoSpaceDE w:val="0"/>
              <w:autoSpaceDN w:val="0"/>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中药制剂车间配液中过滤下来的滤渣含有少量乙醇，具有一定的危害，为危险废物。查阅《国家危险废物名录》（2025年版），危废类别为HW06废有机溶剂与含有机溶剂废物，代码为900-402-06，具有T（毒性）、I（易燃性）、R（反应性）。根据物料平衡可知，配液废滤渣产生量约为4.89t/a，全部装入专用包装桶放危废间暂存，定期委托有危废处置资质单位代为处置。</w:t>
            </w:r>
          </w:p>
          <w:p w14:paraId="0A35F173">
            <w:pPr>
              <w:autoSpaceDE w:val="0"/>
              <w:autoSpaceDN w:val="0"/>
              <w:adjustRightInd w:val="0"/>
              <w:snapToGrid w:val="0"/>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（2）物化污泥</w:t>
            </w:r>
          </w:p>
          <w:p w14:paraId="491695B0">
            <w:pPr>
              <w:autoSpaceDE w:val="0"/>
              <w:autoSpaceDN w:val="0"/>
              <w:adjustRightInd w:val="0"/>
              <w:snapToGrid w:val="0"/>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污水处理站气浮+混凝沉淀预处理过程产生少量物化污泥，含有少量乙醇，具有一定的危害，为危险废物。查阅《国家危险废物名录》（2025年版），危废类别为HW06废有机溶剂与含有机溶剂废物，代码为900-409-06，具有T（毒性）。类比同行业污水处理站运营情况，本项目污水处理站日处理300吨，物化污泥产生量约为45t/a，全部装入专用包装桶放危废间暂存，定期委托有危废处置资质单位代为处置。</w:t>
            </w:r>
          </w:p>
          <w:p w14:paraId="6A8DA48B">
            <w:pPr>
              <w:autoSpaceDE w:val="0"/>
              <w:autoSpaceDN w:val="0"/>
              <w:adjustRightInd w:val="0"/>
              <w:snapToGrid w:val="0"/>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（3）废催化剂</w:t>
            </w:r>
          </w:p>
          <w:p w14:paraId="405956D7">
            <w:pPr>
              <w:autoSpaceDE w:val="0"/>
              <w:autoSpaceDN w:val="0"/>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RCO催化燃烧装置定期更换下来的废催化剂为危险废物，</w:t>
            </w:r>
            <w:r>
              <w:rPr>
                <w:rFonts w:hint="eastAsia"/>
                <w:color w:val="000000" w:themeColor="text1"/>
                <w:sz w:val="24"/>
                <w:szCs w:val="24"/>
                <w:highlight w:val="none"/>
                <w:lang w:val="en-US" w:eastAsia="zh-CN"/>
                <w14:textFill>
                  <w14:solidFill>
                    <w14:schemeClr w14:val="tx1"/>
                  </w14:solidFill>
                </w14:textFill>
              </w:rPr>
              <w:t>查阅</w:t>
            </w:r>
            <w:r>
              <w:rPr>
                <w:rFonts w:ascii="Times New Roman" w:hAnsi="Times New Roman" w:eastAsia="宋体"/>
                <w:color w:val="000000" w:themeColor="text1"/>
                <w:sz w:val="24"/>
                <w:szCs w:val="24"/>
                <w14:textFill>
                  <w14:solidFill>
                    <w14:schemeClr w14:val="tx1"/>
                  </w14:solidFill>
                </w14:textFill>
              </w:rPr>
              <w:t>《国家危险废物名录》（202</w:t>
            </w:r>
            <w:r>
              <w:rPr>
                <w:rFonts w:hint="eastAsia"/>
                <w:color w:val="000000" w:themeColor="text1"/>
                <w:sz w:val="24"/>
                <w:szCs w:val="24"/>
                <w:lang w:val="en-US" w:eastAsia="zh-CN"/>
                <w14:textFill>
                  <w14:solidFill>
                    <w14:schemeClr w14:val="tx1"/>
                  </w14:solidFill>
                </w14:textFill>
              </w:rPr>
              <w:t>5</w:t>
            </w:r>
            <w:r>
              <w:rPr>
                <w:rFonts w:ascii="Times New Roman" w:hAnsi="Times New Roman" w:eastAsia="宋体"/>
                <w:color w:val="000000" w:themeColor="text1"/>
                <w:sz w:val="24"/>
                <w:szCs w:val="24"/>
                <w14:textFill>
                  <w14:solidFill>
                    <w14:schemeClr w14:val="tx1"/>
                  </w14:solidFill>
                </w14:textFill>
              </w:rPr>
              <w:t>年</w:t>
            </w:r>
            <w:r>
              <w:rPr>
                <w:rFonts w:hint="eastAsia" w:ascii="Times New Roman" w:hAnsi="Times New Roman" w:eastAsia="宋体"/>
                <w:color w:val="000000" w:themeColor="text1"/>
                <w:sz w:val="24"/>
                <w:szCs w:val="24"/>
                <w14:textFill>
                  <w14:solidFill>
                    <w14:schemeClr w14:val="tx1"/>
                  </w14:solidFill>
                </w14:textFill>
              </w:rPr>
              <w:t>版），</w:t>
            </w:r>
            <w:r>
              <w:rPr>
                <w:rFonts w:hint="eastAsia"/>
                <w:color w:val="000000" w:themeColor="text1"/>
                <w:sz w:val="24"/>
                <w:szCs w:val="24"/>
                <w:highlight w:val="none"/>
                <w:lang w:val="en-US" w:eastAsia="zh-CN"/>
                <w14:textFill>
                  <w14:solidFill>
                    <w14:schemeClr w14:val="tx1"/>
                  </w14:solidFill>
                </w14:textFill>
              </w:rPr>
              <w:t>废催化剂</w:t>
            </w:r>
            <w:r>
              <w:rPr>
                <w:rFonts w:ascii="Times New Roman" w:hAnsi="Times New Roman" w:eastAsia="宋体"/>
                <w:color w:val="000000" w:themeColor="text1"/>
                <w:sz w:val="24"/>
                <w:szCs w:val="24"/>
                <w14:textFill>
                  <w14:solidFill>
                    <w14:schemeClr w14:val="tx1"/>
                  </w14:solidFill>
                </w14:textFill>
              </w:rPr>
              <w:t>危</w:t>
            </w:r>
            <w:r>
              <w:rPr>
                <w:rFonts w:hint="eastAsia"/>
                <w:color w:val="000000" w:themeColor="text1"/>
                <w:sz w:val="24"/>
                <w:szCs w:val="24"/>
                <w:lang w:val="en-US" w:eastAsia="zh-CN"/>
                <w14:textFill>
                  <w14:solidFill>
                    <w14:schemeClr w14:val="tx1"/>
                  </w14:solidFill>
                </w14:textFill>
              </w:rPr>
              <w:t>废类别为</w:t>
            </w:r>
            <w:r>
              <w:rPr>
                <w:rFonts w:hint="eastAsia" w:ascii="Times New Roman" w:hAnsi="Times New Roman" w:eastAsia="宋体"/>
                <w:color w:val="000000" w:themeColor="text1"/>
                <w:sz w:val="24"/>
                <w:szCs w:val="24"/>
                <w14:textFill>
                  <w14:solidFill>
                    <w14:schemeClr w14:val="tx1"/>
                  </w14:solidFill>
                </w14:textFill>
              </w:rPr>
              <w:t>HW50废催化剂</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代码为</w:t>
            </w:r>
            <w:r>
              <w:rPr>
                <w:rFonts w:hint="eastAsia" w:ascii="Times New Roman" w:hAnsi="Times New Roman"/>
                <w:color w:val="000000" w:themeColor="text1"/>
                <w:sz w:val="24"/>
                <w:szCs w:val="24"/>
                <w:lang w:val="en-US" w:eastAsia="zh-CN"/>
                <w14:textFill>
                  <w14:solidFill>
                    <w14:schemeClr w14:val="tx1"/>
                  </w14:solidFill>
                </w14:textFill>
              </w:rPr>
              <w:t>900</w:t>
            </w:r>
            <w:r>
              <w:rPr>
                <w:rFonts w:hint="eastAsia" w:ascii="Times New Roman" w:hAnsi="Times New Roman" w:eastAsia="宋体"/>
                <w:color w:val="000000" w:themeColor="text1"/>
                <w:sz w:val="24"/>
                <w:szCs w:val="24"/>
                <w14:textFill>
                  <w14:solidFill>
                    <w14:schemeClr w14:val="tx1"/>
                  </w14:solidFill>
                </w14:textFill>
              </w:rPr>
              <w:t>-0</w:t>
            </w:r>
            <w:r>
              <w:rPr>
                <w:rFonts w:hint="eastAsia" w:ascii="Times New Roman" w:hAnsi="Times New Roman"/>
                <w:color w:val="000000" w:themeColor="text1"/>
                <w:sz w:val="24"/>
                <w:szCs w:val="24"/>
                <w:lang w:val="en-US" w:eastAsia="zh-CN"/>
                <w14:textFill>
                  <w14:solidFill>
                    <w14:schemeClr w14:val="tx1"/>
                  </w14:solidFill>
                </w14:textFill>
              </w:rPr>
              <w:t>49</w:t>
            </w:r>
            <w:r>
              <w:rPr>
                <w:rFonts w:hint="eastAsia" w:ascii="Times New Roman" w:hAnsi="Times New Roman" w:eastAsia="宋体"/>
                <w:color w:val="000000" w:themeColor="text1"/>
                <w:sz w:val="24"/>
                <w:szCs w:val="24"/>
                <w14:textFill>
                  <w14:solidFill>
                    <w14:schemeClr w14:val="tx1"/>
                  </w14:solidFill>
                </w14:textFill>
              </w:rPr>
              <w:t>-50</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该催化剂寿命较长，可使用三年以上，每次更换下来的催化剂约2m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，材料堆积密度约为600kg/m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，可计算废催化剂产生量约为1.2t/3a，折合0.4t/a。由专用包装桶收集后定期交由危废资质单位处置。</w:t>
            </w:r>
          </w:p>
          <w:p w14:paraId="6BC12DDD">
            <w:pPr>
              <w:keepNext w:val="0"/>
              <w:keepLines w:val="0"/>
              <w:pageBreakBefore w:val="0"/>
              <w:widowControl w:val="0"/>
              <w:kinsoku/>
              <w:wordWrap/>
              <w:overflowPunct/>
              <w:topLinePunct w:val="0"/>
              <w:autoSpaceDE/>
              <w:autoSpaceDN/>
              <w:bidi w:val="0"/>
              <w:adjustRightInd w:val="0"/>
              <w:snapToGrid/>
              <w:spacing w:before="0" w:before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t>表</w:t>
            </w:r>
            <w:r>
              <w:rPr>
                <w:rFonts w:hint="eastAsia" w:cs="Times New Roman"/>
                <w:b w:val="0"/>
                <w:bCs w:val="0"/>
                <w:color w:val="000000" w:themeColor="text1"/>
                <w:spacing w:val="0"/>
                <w:sz w:val="24"/>
                <w:szCs w:val="24"/>
                <w:lang w:val="en-US" w:eastAsia="zh-CN"/>
                <w14:textFill>
                  <w14:solidFill>
                    <w14:schemeClr w14:val="tx1"/>
                  </w14:solidFill>
                </w14:textFill>
              </w:rPr>
              <w:t>40</w:t>
            </w:r>
            <w:r>
              <w:rPr>
                <w:rFonts w:hint="default"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t>本项目危险废物汇总表</w:t>
            </w:r>
          </w:p>
          <w:tbl>
            <w:tblPr>
              <w:tblStyle w:val="26"/>
              <w:tblW w:w="4994" w:type="pct"/>
              <w:tblInd w:w="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76"/>
              <w:gridCol w:w="983"/>
              <w:gridCol w:w="1186"/>
              <w:gridCol w:w="758"/>
              <w:gridCol w:w="641"/>
              <w:gridCol w:w="641"/>
              <w:gridCol w:w="927"/>
              <w:gridCol w:w="654"/>
              <w:gridCol w:w="654"/>
              <w:gridCol w:w="1039"/>
            </w:tblGrid>
            <w:tr w14:paraId="5B42CD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blHeader/>
              </w:trPr>
              <w:tc>
                <w:tcPr>
                  <w:tcW w:w="299" w:type="pct"/>
                  <w:tcBorders>
                    <w:tl2br w:val="nil"/>
                    <w:tr2bl w:val="nil"/>
                  </w:tcBorders>
                  <w:noWrap w:val="0"/>
                  <w:vAlign w:val="center"/>
                </w:tcPr>
                <w:p w14:paraId="399F4B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序号</w:t>
                  </w:r>
                </w:p>
              </w:tc>
              <w:tc>
                <w:tcPr>
                  <w:tcW w:w="617" w:type="pct"/>
                  <w:tcBorders>
                    <w:tl2br w:val="nil"/>
                    <w:tr2bl w:val="nil"/>
                  </w:tcBorders>
                  <w:noWrap w:val="0"/>
                  <w:vAlign w:val="center"/>
                </w:tcPr>
                <w:p w14:paraId="4B6F68F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名称</w:t>
                  </w:r>
                </w:p>
              </w:tc>
              <w:tc>
                <w:tcPr>
                  <w:tcW w:w="745" w:type="pct"/>
                  <w:tcBorders>
                    <w:tl2br w:val="nil"/>
                    <w:tr2bl w:val="nil"/>
                  </w:tcBorders>
                  <w:noWrap w:val="0"/>
                  <w:vAlign w:val="center"/>
                </w:tcPr>
                <w:p w14:paraId="37824E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类别及代码</w:t>
                  </w:r>
                </w:p>
              </w:tc>
              <w:tc>
                <w:tcPr>
                  <w:tcW w:w="476" w:type="pct"/>
                  <w:tcBorders>
                    <w:tl2br w:val="nil"/>
                    <w:tr2bl w:val="nil"/>
                  </w:tcBorders>
                  <w:noWrap w:val="0"/>
                  <w:vAlign w:val="center"/>
                </w:tcPr>
                <w:p w14:paraId="4BBF07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产生量</w:t>
                  </w:r>
                </w:p>
                <w:p w14:paraId="0F802C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t/a</w:t>
                  </w:r>
                </w:p>
              </w:tc>
              <w:tc>
                <w:tcPr>
                  <w:tcW w:w="402" w:type="pct"/>
                  <w:tcBorders>
                    <w:tl2br w:val="nil"/>
                    <w:tr2bl w:val="nil"/>
                  </w:tcBorders>
                  <w:noWrap w:val="0"/>
                  <w:vAlign w:val="center"/>
                </w:tcPr>
                <w:p w14:paraId="08CDB93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位置</w:t>
                  </w:r>
                </w:p>
              </w:tc>
              <w:tc>
                <w:tcPr>
                  <w:tcW w:w="402" w:type="pct"/>
                  <w:tcBorders>
                    <w:tl2br w:val="nil"/>
                    <w:tr2bl w:val="nil"/>
                  </w:tcBorders>
                  <w:noWrap w:val="0"/>
                  <w:vAlign w:val="center"/>
                </w:tcPr>
                <w:p w14:paraId="1AD642F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形态</w:t>
                  </w:r>
                </w:p>
              </w:tc>
              <w:tc>
                <w:tcPr>
                  <w:tcW w:w="582" w:type="pct"/>
                  <w:tcBorders>
                    <w:tl2br w:val="nil"/>
                    <w:tr2bl w:val="nil"/>
                  </w:tcBorders>
                  <w:noWrap w:val="0"/>
                  <w:vAlign w:val="center"/>
                </w:tcPr>
                <w:p w14:paraId="5F5014E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主要成分</w:t>
                  </w:r>
                </w:p>
                <w:p w14:paraId="2036E6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有害成分</w:t>
                  </w:r>
                </w:p>
              </w:tc>
              <w:tc>
                <w:tcPr>
                  <w:tcW w:w="410" w:type="pct"/>
                  <w:tcBorders>
                    <w:tl2br w:val="nil"/>
                    <w:tr2bl w:val="nil"/>
                  </w:tcBorders>
                  <w:noWrap w:val="0"/>
                  <w:vAlign w:val="center"/>
                </w:tcPr>
                <w:p w14:paraId="015685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产生</w:t>
                  </w:r>
                </w:p>
                <w:p w14:paraId="2CE410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周期</w:t>
                  </w:r>
                </w:p>
              </w:tc>
              <w:tc>
                <w:tcPr>
                  <w:tcW w:w="410" w:type="pct"/>
                  <w:tcBorders>
                    <w:tl2br w:val="nil"/>
                    <w:tr2bl w:val="nil"/>
                  </w:tcBorders>
                  <w:noWrap w:val="0"/>
                  <w:vAlign w:val="center"/>
                </w:tcPr>
                <w:p w14:paraId="762302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危险</w:t>
                  </w:r>
                </w:p>
                <w:p w14:paraId="7C79EED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特性</w:t>
                  </w:r>
                </w:p>
              </w:tc>
              <w:tc>
                <w:tcPr>
                  <w:tcW w:w="652" w:type="pct"/>
                  <w:tcBorders>
                    <w:tl2br w:val="nil"/>
                    <w:tr2bl w:val="nil"/>
                  </w:tcBorders>
                  <w:noWrap w:val="0"/>
                  <w:vAlign w:val="center"/>
                </w:tcPr>
                <w:p w14:paraId="0E32B2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措施</w:t>
                  </w:r>
                </w:p>
              </w:tc>
            </w:tr>
            <w:tr w14:paraId="5FFB4E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99" w:type="pct"/>
                  <w:tcBorders>
                    <w:tl2br w:val="nil"/>
                    <w:tr2bl w:val="nil"/>
                  </w:tcBorders>
                  <w:noWrap w:val="0"/>
                  <w:vAlign w:val="center"/>
                </w:tcPr>
                <w:p w14:paraId="7344EA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617" w:type="pct"/>
                  <w:tcBorders>
                    <w:tl2br w:val="nil"/>
                    <w:tr2bl w:val="nil"/>
                  </w:tcBorders>
                  <w:shd w:val="clear" w:color="auto" w:fill="auto"/>
                  <w:noWrap w:val="0"/>
                  <w:vAlign w:val="center"/>
                </w:tcPr>
                <w:p w14:paraId="44200AC3">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配液废滤渣</w:t>
                  </w:r>
                </w:p>
              </w:tc>
              <w:tc>
                <w:tcPr>
                  <w:tcW w:w="745" w:type="pct"/>
                  <w:tcBorders>
                    <w:tl2br w:val="nil"/>
                    <w:tr2bl w:val="nil"/>
                  </w:tcBorders>
                  <w:shd w:val="clear" w:color="auto" w:fill="auto"/>
                  <w:noWrap w:val="0"/>
                  <w:vAlign w:val="center"/>
                </w:tcPr>
                <w:p w14:paraId="6BA29A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HW06</w:t>
                  </w:r>
                </w:p>
                <w:p w14:paraId="2622E4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900-402-06</w:t>
                  </w:r>
                </w:p>
              </w:tc>
              <w:tc>
                <w:tcPr>
                  <w:tcW w:w="476" w:type="pct"/>
                  <w:tcBorders>
                    <w:tl2br w:val="nil"/>
                    <w:tr2bl w:val="nil"/>
                  </w:tcBorders>
                  <w:shd w:val="clear" w:color="auto" w:fill="auto"/>
                  <w:noWrap w:val="0"/>
                  <w:vAlign w:val="center"/>
                </w:tcPr>
                <w:p w14:paraId="26D448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Cs w:val="21"/>
                      <w:lang w:val="en-US" w:eastAsia="zh-CN"/>
                      <w14:textFill>
                        <w14:solidFill>
                          <w14:schemeClr w14:val="tx1"/>
                        </w14:solidFill>
                      </w14:textFill>
                    </w:rPr>
                    <w:t>4.89</w:t>
                  </w:r>
                </w:p>
              </w:tc>
              <w:tc>
                <w:tcPr>
                  <w:tcW w:w="402" w:type="pct"/>
                  <w:tcBorders>
                    <w:tl2br w:val="nil"/>
                    <w:tr2bl w:val="nil"/>
                  </w:tcBorders>
                  <w:shd w:val="clear" w:color="auto" w:fill="auto"/>
                  <w:noWrap w:val="0"/>
                  <w:vAlign w:val="center"/>
                </w:tcPr>
                <w:p w14:paraId="1229D5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危废间</w:t>
                  </w:r>
                </w:p>
              </w:tc>
              <w:tc>
                <w:tcPr>
                  <w:tcW w:w="402" w:type="pct"/>
                  <w:tcBorders>
                    <w:tl2br w:val="nil"/>
                    <w:tr2bl w:val="nil"/>
                  </w:tcBorders>
                  <w:shd w:val="clear" w:color="auto" w:fill="auto"/>
                  <w:noWrap w:val="0"/>
                  <w:vAlign w:val="center"/>
                </w:tcPr>
                <w:p w14:paraId="7338E6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固态</w:t>
                  </w:r>
                </w:p>
              </w:tc>
              <w:tc>
                <w:tcPr>
                  <w:tcW w:w="582" w:type="pct"/>
                  <w:tcBorders>
                    <w:tl2br w:val="nil"/>
                    <w:tr2bl w:val="nil"/>
                  </w:tcBorders>
                  <w:shd w:val="clear" w:color="auto" w:fill="auto"/>
                  <w:noWrap w:val="0"/>
                  <w:vAlign w:val="center"/>
                </w:tcPr>
                <w:p w14:paraId="3B83C8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乙醇</w:t>
                  </w:r>
                </w:p>
              </w:tc>
              <w:tc>
                <w:tcPr>
                  <w:tcW w:w="410" w:type="pct"/>
                  <w:tcBorders>
                    <w:tl2br w:val="nil"/>
                    <w:tr2bl w:val="nil"/>
                  </w:tcBorders>
                  <w:shd w:val="clear" w:color="auto" w:fill="auto"/>
                  <w:noWrap w:val="0"/>
                  <w:vAlign w:val="center"/>
                </w:tcPr>
                <w:p w14:paraId="3249B4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批次</w:t>
                  </w:r>
                </w:p>
              </w:tc>
              <w:tc>
                <w:tcPr>
                  <w:tcW w:w="410" w:type="pct"/>
                  <w:tcBorders>
                    <w:tl2br w:val="nil"/>
                    <w:tr2bl w:val="nil"/>
                  </w:tcBorders>
                  <w:shd w:val="clear" w:color="auto" w:fill="auto"/>
                  <w:noWrap w:val="0"/>
                  <w:vAlign w:val="center"/>
                </w:tcPr>
                <w:p w14:paraId="6012D72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T、I、R</w:t>
                  </w:r>
                </w:p>
              </w:tc>
              <w:tc>
                <w:tcPr>
                  <w:tcW w:w="652" w:type="pct"/>
                  <w:vMerge w:val="restart"/>
                  <w:tcBorders>
                    <w:tl2br w:val="nil"/>
                    <w:tr2bl w:val="nil"/>
                  </w:tcBorders>
                  <w:noWrap w:val="0"/>
                  <w:vAlign w:val="center"/>
                </w:tcPr>
                <w:p w14:paraId="58E74C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暂存于危废间，定期交由资质单位处置</w:t>
                  </w:r>
                </w:p>
              </w:tc>
            </w:tr>
            <w:tr w14:paraId="7825D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99" w:type="pct"/>
                  <w:tcBorders>
                    <w:tl2br w:val="nil"/>
                    <w:tr2bl w:val="nil"/>
                  </w:tcBorders>
                  <w:noWrap w:val="0"/>
                  <w:vAlign w:val="center"/>
                </w:tcPr>
                <w:p w14:paraId="12EE39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617" w:type="pct"/>
                  <w:tcBorders>
                    <w:tl2br w:val="nil"/>
                    <w:tr2bl w:val="nil"/>
                  </w:tcBorders>
                  <w:noWrap w:val="0"/>
                  <w:vAlign w:val="center"/>
                </w:tcPr>
                <w:p w14:paraId="05E0B46C">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物化污泥</w:t>
                  </w:r>
                </w:p>
              </w:tc>
              <w:tc>
                <w:tcPr>
                  <w:tcW w:w="745" w:type="pct"/>
                  <w:tcBorders>
                    <w:tl2br w:val="nil"/>
                    <w:tr2bl w:val="nil"/>
                  </w:tcBorders>
                  <w:noWrap w:val="0"/>
                  <w:vAlign w:val="center"/>
                </w:tcPr>
                <w:p w14:paraId="4110CA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HW06</w:t>
                  </w:r>
                </w:p>
                <w:p w14:paraId="14B852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900-409-06</w:t>
                  </w:r>
                </w:p>
              </w:tc>
              <w:tc>
                <w:tcPr>
                  <w:tcW w:w="476" w:type="pct"/>
                  <w:tcBorders>
                    <w:tl2br w:val="nil"/>
                    <w:tr2bl w:val="nil"/>
                  </w:tcBorders>
                  <w:noWrap w:val="0"/>
                  <w:vAlign w:val="center"/>
                </w:tcPr>
                <w:p w14:paraId="09B8FD8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45</w:t>
                  </w:r>
                </w:p>
              </w:tc>
              <w:tc>
                <w:tcPr>
                  <w:tcW w:w="402" w:type="pct"/>
                  <w:tcBorders>
                    <w:tl2br w:val="nil"/>
                    <w:tr2bl w:val="nil"/>
                  </w:tcBorders>
                  <w:shd w:val="clear" w:color="auto" w:fill="auto"/>
                  <w:noWrap w:val="0"/>
                  <w:vAlign w:val="center"/>
                </w:tcPr>
                <w:p w14:paraId="26D597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危废间</w:t>
                  </w:r>
                </w:p>
              </w:tc>
              <w:tc>
                <w:tcPr>
                  <w:tcW w:w="402" w:type="pct"/>
                  <w:tcBorders>
                    <w:tl2br w:val="nil"/>
                    <w:tr2bl w:val="nil"/>
                  </w:tcBorders>
                  <w:shd w:val="clear" w:color="auto" w:fill="auto"/>
                  <w:noWrap w:val="0"/>
                  <w:vAlign w:val="center"/>
                </w:tcPr>
                <w:p w14:paraId="68BC18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固态</w:t>
                  </w:r>
                </w:p>
              </w:tc>
              <w:tc>
                <w:tcPr>
                  <w:tcW w:w="582" w:type="pct"/>
                  <w:tcBorders>
                    <w:tl2br w:val="nil"/>
                    <w:tr2bl w:val="nil"/>
                  </w:tcBorders>
                  <w:noWrap w:val="0"/>
                  <w:vAlign w:val="center"/>
                </w:tcPr>
                <w:p w14:paraId="5F2462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乙醇</w:t>
                  </w:r>
                </w:p>
              </w:tc>
              <w:tc>
                <w:tcPr>
                  <w:tcW w:w="410" w:type="pct"/>
                  <w:tcBorders>
                    <w:tl2br w:val="nil"/>
                    <w:tr2bl w:val="nil"/>
                  </w:tcBorders>
                  <w:noWrap w:val="0"/>
                  <w:vAlign w:val="center"/>
                </w:tcPr>
                <w:p w14:paraId="792C7F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日</w:t>
                  </w:r>
                </w:p>
              </w:tc>
              <w:tc>
                <w:tcPr>
                  <w:tcW w:w="410" w:type="pct"/>
                  <w:tcBorders>
                    <w:tl2br w:val="nil"/>
                    <w:tr2bl w:val="nil"/>
                  </w:tcBorders>
                  <w:noWrap w:val="0"/>
                  <w:vAlign w:val="center"/>
                </w:tcPr>
                <w:p w14:paraId="220928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T</w:t>
                  </w:r>
                </w:p>
              </w:tc>
              <w:tc>
                <w:tcPr>
                  <w:tcW w:w="652" w:type="pct"/>
                  <w:vMerge w:val="continue"/>
                  <w:tcBorders>
                    <w:tl2br w:val="nil"/>
                    <w:tr2bl w:val="nil"/>
                  </w:tcBorders>
                  <w:noWrap w:val="0"/>
                  <w:vAlign w:val="center"/>
                </w:tcPr>
                <w:p w14:paraId="3BFC8AF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p>
              </w:tc>
            </w:tr>
            <w:tr w14:paraId="0F3CB0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299" w:type="pct"/>
                  <w:tcBorders>
                    <w:tl2br w:val="nil"/>
                    <w:tr2bl w:val="nil"/>
                  </w:tcBorders>
                  <w:noWrap w:val="0"/>
                  <w:vAlign w:val="center"/>
                </w:tcPr>
                <w:p w14:paraId="2460E8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617" w:type="pct"/>
                  <w:tcBorders>
                    <w:tl2br w:val="nil"/>
                    <w:tr2bl w:val="nil"/>
                  </w:tcBorders>
                  <w:noWrap w:val="0"/>
                  <w:vAlign w:val="center"/>
                </w:tcPr>
                <w:p w14:paraId="01D685B2">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废催化剂</w:t>
                  </w:r>
                </w:p>
              </w:tc>
              <w:tc>
                <w:tcPr>
                  <w:tcW w:w="745" w:type="pct"/>
                  <w:tcBorders>
                    <w:tl2br w:val="nil"/>
                    <w:tr2bl w:val="nil"/>
                  </w:tcBorders>
                  <w:noWrap w:val="0"/>
                  <w:vAlign w:val="center"/>
                </w:tcPr>
                <w:p w14:paraId="3FD6BA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HW50</w:t>
                  </w:r>
                </w:p>
                <w:p w14:paraId="0B6EDA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900-049-50</w:t>
                  </w:r>
                </w:p>
              </w:tc>
              <w:tc>
                <w:tcPr>
                  <w:tcW w:w="476" w:type="pct"/>
                  <w:tcBorders>
                    <w:tl2br w:val="nil"/>
                    <w:tr2bl w:val="nil"/>
                  </w:tcBorders>
                  <w:noWrap w:val="0"/>
                  <w:vAlign w:val="center"/>
                </w:tcPr>
                <w:p w14:paraId="473113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0.4</w:t>
                  </w:r>
                </w:p>
              </w:tc>
              <w:tc>
                <w:tcPr>
                  <w:tcW w:w="402" w:type="pct"/>
                  <w:tcBorders>
                    <w:tl2br w:val="nil"/>
                    <w:tr2bl w:val="nil"/>
                  </w:tcBorders>
                  <w:shd w:val="clear" w:color="auto" w:fill="auto"/>
                  <w:noWrap w:val="0"/>
                  <w:vAlign w:val="center"/>
                </w:tcPr>
                <w:p w14:paraId="4954BB9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危废间</w:t>
                  </w:r>
                </w:p>
              </w:tc>
              <w:tc>
                <w:tcPr>
                  <w:tcW w:w="402" w:type="pct"/>
                  <w:tcBorders>
                    <w:tl2br w:val="nil"/>
                    <w:tr2bl w:val="nil"/>
                  </w:tcBorders>
                  <w:shd w:val="clear" w:color="auto" w:fill="auto"/>
                  <w:noWrap w:val="0"/>
                  <w:vAlign w:val="center"/>
                </w:tcPr>
                <w:p w14:paraId="217FDE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固态</w:t>
                  </w:r>
                </w:p>
              </w:tc>
              <w:tc>
                <w:tcPr>
                  <w:tcW w:w="582" w:type="pct"/>
                  <w:tcBorders>
                    <w:tl2br w:val="nil"/>
                    <w:tr2bl w:val="nil"/>
                  </w:tcBorders>
                  <w:noWrap w:val="0"/>
                  <w:vAlign w:val="center"/>
                </w:tcPr>
                <w:p w14:paraId="4AFD5BD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重金属</w:t>
                  </w:r>
                </w:p>
              </w:tc>
              <w:tc>
                <w:tcPr>
                  <w:tcW w:w="410" w:type="pct"/>
                  <w:tcBorders>
                    <w:tl2br w:val="nil"/>
                    <w:tr2bl w:val="nil"/>
                  </w:tcBorders>
                  <w:noWrap w:val="0"/>
                  <w:vAlign w:val="center"/>
                </w:tcPr>
                <w:p w14:paraId="1EFE15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3年</w:t>
                  </w:r>
                </w:p>
              </w:tc>
              <w:tc>
                <w:tcPr>
                  <w:tcW w:w="410" w:type="pct"/>
                  <w:tcBorders>
                    <w:tl2br w:val="nil"/>
                    <w:tr2bl w:val="nil"/>
                  </w:tcBorders>
                  <w:noWrap w:val="0"/>
                  <w:vAlign w:val="center"/>
                </w:tcPr>
                <w:p w14:paraId="157B33E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T</w:t>
                  </w:r>
                </w:p>
              </w:tc>
              <w:tc>
                <w:tcPr>
                  <w:tcW w:w="652" w:type="pct"/>
                  <w:vMerge w:val="continue"/>
                  <w:tcBorders>
                    <w:tl2br w:val="nil"/>
                    <w:tr2bl w:val="nil"/>
                  </w:tcBorders>
                  <w:noWrap w:val="0"/>
                  <w:vAlign w:val="center"/>
                </w:tcPr>
                <w:p w14:paraId="30FC7C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p>
              </w:tc>
            </w:tr>
          </w:tbl>
          <w:p w14:paraId="0D31AECA">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Chars="0" w:right="0" w:rightChars="0" w:firstLine="480" w:firstLineChars="200"/>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p>
          <w:p w14:paraId="320A765D">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right="0" w:rightChars="0" w:firstLine="480" w:firstLineChars="200"/>
              <w:textAlignment w:val="auto"/>
              <w:outlineLvl w:val="9"/>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结合《建设项目危险废物环境影响评价指南》，本项目危险废物的产生情况及拟采取的防治措施</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基本情况</w:t>
            </w:r>
            <w:r>
              <w:rPr>
                <w:rFonts w:hint="default" w:ascii="Times New Roman" w:hAnsi="Times New Roman" w:eastAsia="宋体" w:cs="Times New Roman"/>
                <w:color w:val="000000" w:themeColor="text1"/>
                <w:sz w:val="24"/>
                <w:szCs w:val="24"/>
                <w14:textFill>
                  <w14:solidFill>
                    <w14:schemeClr w14:val="tx1"/>
                  </w14:solidFill>
                </w14:textFill>
              </w:rPr>
              <w:t>见下表</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4F614DB0">
            <w:pPr>
              <w:keepNext w:val="0"/>
              <w:keepLines w:val="0"/>
              <w:pageBreakBefore w:val="0"/>
              <w:widowControl w:val="0"/>
              <w:kinsoku/>
              <w:wordWrap/>
              <w:overflowPunct/>
              <w:topLinePunct w:val="0"/>
              <w:autoSpaceDE/>
              <w:autoSpaceDN/>
              <w:bidi w:val="0"/>
              <w:adjustRightInd w:val="0"/>
              <w:snapToGrid/>
              <w:spacing w:before="0" w:before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t>表</w:t>
            </w:r>
            <w:r>
              <w:rPr>
                <w:rFonts w:hint="eastAsia" w:cs="Times New Roman"/>
                <w:b w:val="0"/>
                <w:bCs w:val="0"/>
                <w:color w:val="000000" w:themeColor="text1"/>
                <w:spacing w:val="0"/>
                <w:sz w:val="24"/>
                <w:szCs w:val="24"/>
                <w:lang w:val="en-US" w:eastAsia="zh-CN"/>
                <w14:textFill>
                  <w14:solidFill>
                    <w14:schemeClr w14:val="tx1"/>
                  </w14:solidFill>
                </w14:textFill>
              </w:rPr>
              <w:t>41</w:t>
            </w:r>
            <w:r>
              <w:rPr>
                <w:rFonts w:hint="eastAsia"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t>本项目危险废物贮存场所（设施）基本情况表</w:t>
            </w:r>
          </w:p>
          <w:tbl>
            <w:tblPr>
              <w:tblStyle w:val="26"/>
              <w:tblW w:w="4991" w:type="pct"/>
              <w:tblInd w:w="1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363"/>
              <w:gridCol w:w="829"/>
              <w:gridCol w:w="1375"/>
              <w:gridCol w:w="1294"/>
              <w:gridCol w:w="685"/>
              <w:gridCol w:w="1037"/>
              <w:gridCol w:w="692"/>
              <w:gridCol w:w="679"/>
            </w:tblGrid>
            <w:tr w14:paraId="53D51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0" w:hRule="atLeast"/>
              </w:trPr>
              <w:tc>
                <w:tcPr>
                  <w:tcW w:w="856" w:type="pct"/>
                  <w:tcBorders>
                    <w:tl2br w:val="nil"/>
                    <w:tr2bl w:val="nil"/>
                  </w:tcBorders>
                  <w:noWrap w:val="0"/>
                  <w:vAlign w:val="center"/>
                </w:tcPr>
                <w:p w14:paraId="1A78169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贮存场所（设施）名称</w:t>
                  </w:r>
                </w:p>
              </w:tc>
              <w:tc>
                <w:tcPr>
                  <w:tcW w:w="521" w:type="pct"/>
                  <w:tcBorders>
                    <w:tl2br w:val="nil"/>
                    <w:tr2bl w:val="nil"/>
                  </w:tcBorders>
                  <w:noWrap w:val="0"/>
                  <w:vAlign w:val="center"/>
                </w:tcPr>
                <w:p w14:paraId="450C38E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14:textFill>
                        <w14:solidFill>
                          <w14:schemeClr w14:val="tx1"/>
                        </w14:solidFill>
                      </w14:textFill>
                    </w:rPr>
                  </w:pPr>
                  <w:r>
                    <w:rPr>
                      <w:rFonts w:hint="default" w:ascii="Times New Roman" w:hAnsi="Times New Roman" w:cs="Times New Roman"/>
                      <w:color w:val="000000" w:themeColor="text1"/>
                      <w:kern w:val="0"/>
                      <w:sz w:val="21"/>
                      <w:lang w:val="en-US" w:eastAsia="zh-CN"/>
                      <w14:textFill>
                        <w14:solidFill>
                          <w14:schemeClr w14:val="tx1"/>
                        </w14:solidFill>
                      </w14:textFill>
                    </w:rPr>
                    <w:t>位置</w:t>
                  </w:r>
                </w:p>
              </w:tc>
              <w:tc>
                <w:tcPr>
                  <w:tcW w:w="864" w:type="pct"/>
                  <w:tcBorders>
                    <w:tl2br w:val="nil"/>
                    <w:tr2bl w:val="nil"/>
                  </w:tcBorders>
                  <w:noWrap w:val="0"/>
                  <w:vAlign w:val="center"/>
                </w:tcPr>
                <w:p w14:paraId="364B203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危险废物名称</w:t>
                  </w:r>
                </w:p>
              </w:tc>
              <w:tc>
                <w:tcPr>
                  <w:tcW w:w="813" w:type="pct"/>
                  <w:tcBorders>
                    <w:tl2br w:val="nil"/>
                    <w:tr2bl w:val="nil"/>
                  </w:tcBorders>
                  <w:noWrap w:val="0"/>
                  <w:vAlign w:val="center"/>
                </w:tcPr>
                <w:p w14:paraId="119E281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kern w:val="0"/>
                      <w:sz w:val="21"/>
                      <w:szCs w:val="22"/>
                      <w:lang w:val="en-US" w:eastAsia="zh-CN" w:bidi="ar-SA"/>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危险废物类别</w:t>
                  </w:r>
                  <w:r>
                    <w:rPr>
                      <w:rFonts w:hint="default" w:ascii="Times New Roman" w:hAnsi="Times New Roman" w:cs="Times New Roman"/>
                      <w:color w:val="000000" w:themeColor="text1"/>
                      <w:kern w:val="0"/>
                      <w:sz w:val="21"/>
                      <w:lang w:val="en-US" w:eastAsia="zh-CN"/>
                      <w14:textFill>
                        <w14:solidFill>
                          <w14:schemeClr w14:val="tx1"/>
                        </w14:solidFill>
                      </w14:textFill>
                    </w:rPr>
                    <w:t>及</w:t>
                  </w:r>
                  <w:r>
                    <w:rPr>
                      <w:rFonts w:hint="default" w:ascii="Times New Roman" w:hAnsi="Times New Roman" w:cs="Times New Roman"/>
                      <w:color w:val="000000" w:themeColor="text1"/>
                      <w:kern w:val="0"/>
                      <w:sz w:val="21"/>
                      <w14:textFill>
                        <w14:solidFill>
                          <w14:schemeClr w14:val="tx1"/>
                        </w14:solidFill>
                      </w14:textFill>
                    </w:rPr>
                    <w:t>代码</w:t>
                  </w:r>
                </w:p>
              </w:tc>
              <w:tc>
                <w:tcPr>
                  <w:tcW w:w="430" w:type="pct"/>
                  <w:tcBorders>
                    <w:tl2br w:val="nil"/>
                    <w:tr2bl w:val="nil"/>
                  </w:tcBorders>
                  <w:noWrap w:val="0"/>
                  <w:vAlign w:val="center"/>
                </w:tcPr>
                <w:p w14:paraId="48EEEDB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贮存</w:t>
                  </w:r>
                </w:p>
                <w:p w14:paraId="6F163C8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kern w:val="0"/>
                      <w:sz w:val="21"/>
                      <w:szCs w:val="22"/>
                      <w:lang w:val="en-US" w:eastAsia="zh-CN" w:bidi="ar-SA"/>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方式</w:t>
                  </w:r>
                </w:p>
              </w:tc>
              <w:tc>
                <w:tcPr>
                  <w:tcW w:w="651" w:type="pct"/>
                  <w:tcBorders>
                    <w:tl2br w:val="nil"/>
                    <w:tr2bl w:val="nil"/>
                  </w:tcBorders>
                  <w:noWrap w:val="0"/>
                  <w:vAlign w:val="center"/>
                </w:tcPr>
                <w:p w14:paraId="2A9EEC0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最大</w:t>
                  </w:r>
                  <w:r>
                    <w:rPr>
                      <w:rFonts w:hint="default" w:ascii="Times New Roman" w:hAnsi="Times New Roman" w:cs="Times New Roman"/>
                      <w:color w:val="000000" w:themeColor="text1"/>
                      <w:kern w:val="0"/>
                      <w:sz w:val="21"/>
                      <w:lang w:val="en-US" w:eastAsia="zh-CN"/>
                      <w14:textFill>
                        <w14:solidFill>
                          <w14:schemeClr w14:val="tx1"/>
                        </w14:solidFill>
                      </w14:textFill>
                    </w:rPr>
                    <w:t>贮存</w:t>
                  </w:r>
                  <w:r>
                    <w:rPr>
                      <w:rFonts w:hint="default" w:ascii="Times New Roman" w:hAnsi="Times New Roman" w:cs="Times New Roman"/>
                      <w:color w:val="000000" w:themeColor="text1"/>
                      <w:kern w:val="0"/>
                      <w:sz w:val="21"/>
                      <w14:textFill>
                        <w14:solidFill>
                          <w14:schemeClr w14:val="tx1"/>
                        </w14:solidFill>
                      </w14:textFill>
                    </w:rPr>
                    <w:t>量（t）</w:t>
                  </w:r>
                </w:p>
              </w:tc>
              <w:tc>
                <w:tcPr>
                  <w:tcW w:w="435" w:type="pct"/>
                  <w:tcBorders>
                    <w:tl2br w:val="nil"/>
                    <w:tr2bl w:val="nil"/>
                  </w:tcBorders>
                  <w:noWrap w:val="0"/>
                  <w:vAlign w:val="center"/>
                </w:tcPr>
                <w:p w14:paraId="36F3D77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lang w:val="en-US"/>
                      <w14:textFill>
                        <w14:solidFill>
                          <w14:schemeClr w14:val="tx1"/>
                        </w14:solidFill>
                      </w14:textFill>
                    </w:rPr>
                  </w:pPr>
                  <w:r>
                    <w:rPr>
                      <w:rFonts w:hint="default" w:ascii="Times New Roman" w:hAnsi="Times New Roman" w:cs="Times New Roman"/>
                      <w:color w:val="000000" w:themeColor="text1"/>
                      <w:kern w:val="0"/>
                      <w:sz w:val="21"/>
                      <w:lang w:val="en-US" w:eastAsia="zh-CN"/>
                      <w14:textFill>
                        <w14:solidFill>
                          <w14:schemeClr w14:val="tx1"/>
                        </w14:solidFill>
                      </w14:textFill>
                    </w:rPr>
                    <w:t>面积</w:t>
                  </w:r>
                  <w:r>
                    <w:rPr>
                      <w:rFonts w:hint="default" w:ascii="Times New Roman" w:hAnsi="Times New Roman" w:cs="Times New Roman"/>
                      <w:color w:val="000000" w:themeColor="text1"/>
                      <w:kern w:val="0"/>
                      <w:sz w:val="21"/>
                      <w14:textFill>
                        <w14:solidFill>
                          <w14:schemeClr w14:val="tx1"/>
                        </w14:solidFill>
                      </w14:textFill>
                    </w:rPr>
                    <w:t>（</w:t>
                  </w:r>
                  <w:r>
                    <w:rPr>
                      <w:rFonts w:hint="default" w:ascii="Times New Roman" w:hAnsi="Times New Roman" w:cs="Times New Roman"/>
                      <w:color w:val="000000" w:themeColor="text1"/>
                      <w:kern w:val="0"/>
                      <w:sz w:val="21"/>
                      <w:lang w:val="en-US" w:eastAsia="zh-CN"/>
                      <w14:textFill>
                        <w14:solidFill>
                          <w14:schemeClr w14:val="tx1"/>
                        </w14:solidFill>
                      </w14:textFill>
                    </w:rPr>
                    <w:t>m</w:t>
                  </w:r>
                  <w:r>
                    <w:rPr>
                      <w:rFonts w:hint="default" w:ascii="Times New Roman" w:hAnsi="Times New Roman" w:cs="Times New Roman"/>
                      <w:color w:val="000000" w:themeColor="text1"/>
                      <w:kern w:val="0"/>
                      <w:sz w:val="21"/>
                      <w:vertAlign w:val="superscript"/>
                      <w:lang w:val="en-US" w:eastAsia="zh-CN"/>
                      <w14:textFill>
                        <w14:solidFill>
                          <w14:schemeClr w14:val="tx1"/>
                        </w14:solidFill>
                      </w14:textFill>
                    </w:rPr>
                    <w:t>2</w:t>
                  </w:r>
                  <w:r>
                    <w:rPr>
                      <w:rFonts w:hint="default" w:ascii="Times New Roman" w:hAnsi="Times New Roman" w:cs="Times New Roman"/>
                      <w:color w:val="000000" w:themeColor="text1"/>
                      <w:kern w:val="0"/>
                      <w:sz w:val="21"/>
                      <w14:textFill>
                        <w14:solidFill>
                          <w14:schemeClr w14:val="tx1"/>
                        </w14:solidFill>
                      </w14:textFill>
                    </w:rPr>
                    <w:t>）</w:t>
                  </w:r>
                </w:p>
              </w:tc>
              <w:tc>
                <w:tcPr>
                  <w:tcW w:w="426" w:type="pct"/>
                  <w:tcBorders>
                    <w:tl2br w:val="nil"/>
                    <w:tr2bl w:val="nil"/>
                  </w:tcBorders>
                  <w:noWrap w:val="0"/>
                  <w:vAlign w:val="center"/>
                </w:tcPr>
                <w:p w14:paraId="529D872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lang w:val="en-US" w:eastAsia="zh-CN"/>
                      <w14:textFill>
                        <w14:solidFill>
                          <w14:schemeClr w14:val="tx1"/>
                        </w14:solidFill>
                      </w14:textFill>
                    </w:rPr>
                  </w:pPr>
                  <w:r>
                    <w:rPr>
                      <w:rFonts w:hint="default" w:ascii="Times New Roman" w:hAnsi="Times New Roman" w:cs="Times New Roman"/>
                      <w:color w:val="000000" w:themeColor="text1"/>
                      <w:kern w:val="0"/>
                      <w:sz w:val="21"/>
                      <w:lang w:val="en-US" w:eastAsia="zh-CN"/>
                      <w14:textFill>
                        <w14:solidFill>
                          <w14:schemeClr w14:val="tx1"/>
                        </w14:solidFill>
                      </w14:textFill>
                    </w:rPr>
                    <w:t>贮存</w:t>
                  </w:r>
                </w:p>
                <w:p w14:paraId="5FBD221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周期</w:t>
                  </w:r>
                </w:p>
              </w:tc>
            </w:tr>
            <w:tr w14:paraId="28A21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0" w:hRule="atLeast"/>
              </w:trPr>
              <w:tc>
                <w:tcPr>
                  <w:tcW w:w="856" w:type="pct"/>
                  <w:vMerge w:val="restart"/>
                  <w:tcBorders>
                    <w:tl2br w:val="nil"/>
                    <w:tr2bl w:val="nil"/>
                  </w:tcBorders>
                  <w:noWrap w:val="0"/>
                  <w:vAlign w:val="center"/>
                </w:tcPr>
                <w:p w14:paraId="5DDB457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kern w:val="0"/>
                      <w:sz w:val="21"/>
                      <w:lang w:eastAsia="zh-CN"/>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危废暂存间</w:t>
                  </w:r>
                </w:p>
              </w:tc>
              <w:tc>
                <w:tcPr>
                  <w:tcW w:w="521" w:type="pct"/>
                  <w:vMerge w:val="restart"/>
                  <w:tcBorders>
                    <w:tl2br w:val="nil"/>
                    <w:tr2bl w:val="nil"/>
                  </w:tcBorders>
                  <w:noWrap w:val="0"/>
                  <w:vAlign w:val="center"/>
                </w:tcPr>
                <w:p w14:paraId="14E13E9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提取车间东侧</w:t>
                  </w:r>
                </w:p>
              </w:tc>
              <w:tc>
                <w:tcPr>
                  <w:tcW w:w="864" w:type="pct"/>
                  <w:tcBorders>
                    <w:tl2br w:val="nil"/>
                    <w:tr2bl w:val="nil"/>
                  </w:tcBorders>
                  <w:shd w:val="clear" w:color="auto" w:fill="auto"/>
                  <w:noWrap w:val="0"/>
                  <w:vAlign w:val="center"/>
                </w:tcPr>
                <w:p w14:paraId="53AB04D9">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配液废滤渣</w:t>
                  </w:r>
                </w:p>
              </w:tc>
              <w:tc>
                <w:tcPr>
                  <w:tcW w:w="813" w:type="pct"/>
                  <w:tcBorders>
                    <w:tl2br w:val="nil"/>
                    <w:tr2bl w:val="nil"/>
                  </w:tcBorders>
                  <w:shd w:val="clear" w:color="auto" w:fill="auto"/>
                  <w:noWrap w:val="0"/>
                  <w:vAlign w:val="center"/>
                </w:tcPr>
                <w:p w14:paraId="22B780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HW06</w:t>
                  </w:r>
                </w:p>
                <w:p w14:paraId="45830E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900-402-06</w:t>
                  </w:r>
                </w:p>
              </w:tc>
              <w:tc>
                <w:tcPr>
                  <w:tcW w:w="430" w:type="pct"/>
                  <w:tcBorders>
                    <w:tl2br w:val="nil"/>
                    <w:tr2bl w:val="nil"/>
                  </w:tcBorders>
                  <w:shd w:val="clear" w:color="auto" w:fill="auto"/>
                  <w:noWrap w:val="0"/>
                  <w:vAlign w:val="center"/>
                </w:tcPr>
                <w:p w14:paraId="4A3FDDB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kern w:val="0"/>
                      <w:sz w:val="21"/>
                      <w:szCs w:val="24"/>
                      <w:lang w:val="en-US" w:eastAsia="zh-CN" w:bidi="ar-SA"/>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桶装</w:t>
                  </w:r>
                </w:p>
              </w:tc>
              <w:tc>
                <w:tcPr>
                  <w:tcW w:w="651" w:type="pct"/>
                  <w:tcBorders>
                    <w:tl2br w:val="nil"/>
                    <w:tr2bl w:val="nil"/>
                  </w:tcBorders>
                  <w:shd w:val="clear" w:color="auto" w:fill="auto"/>
                  <w:noWrap w:val="0"/>
                  <w:vAlign w:val="center"/>
                </w:tcPr>
                <w:p w14:paraId="42394F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0"/>
                      <w:sz w:val="21"/>
                      <w:szCs w:val="24"/>
                      <w:lang w:val="en-US" w:eastAsia="zh-CN" w:bidi="ar-SA"/>
                      <w14:textFill>
                        <w14:solidFill>
                          <w14:schemeClr w14:val="tx1"/>
                        </w14:solidFill>
                      </w14:textFill>
                    </w:rPr>
                  </w:pPr>
                  <w:r>
                    <w:rPr>
                      <w:rFonts w:hint="eastAsia" w:cs="Times New Roman"/>
                      <w:color w:val="000000" w:themeColor="text1"/>
                      <w:kern w:val="0"/>
                      <w:sz w:val="21"/>
                      <w:szCs w:val="24"/>
                      <w:lang w:val="en-US" w:eastAsia="zh-CN" w:bidi="ar-SA"/>
                      <w14:textFill>
                        <w14:solidFill>
                          <w14:schemeClr w14:val="tx1"/>
                        </w14:solidFill>
                      </w14:textFill>
                    </w:rPr>
                    <w:t>1.0</w:t>
                  </w:r>
                </w:p>
              </w:tc>
              <w:tc>
                <w:tcPr>
                  <w:tcW w:w="435" w:type="pct"/>
                  <w:vMerge w:val="restart"/>
                  <w:tcBorders>
                    <w:tl2br w:val="nil"/>
                    <w:tr2bl w:val="nil"/>
                  </w:tcBorders>
                  <w:noWrap w:val="0"/>
                  <w:vAlign w:val="center"/>
                </w:tcPr>
                <w:p w14:paraId="213A03F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kern w:val="0"/>
                      <w:sz w:val="21"/>
                      <w:szCs w:val="24"/>
                      <w:lang w:val="en-US" w:eastAsia="zh-CN" w:bidi="ar-SA"/>
                      <w14:textFill>
                        <w14:solidFill>
                          <w14:schemeClr w14:val="tx1"/>
                        </w14:solidFill>
                      </w14:textFill>
                    </w:rPr>
                  </w:pPr>
                  <w:r>
                    <w:rPr>
                      <w:rFonts w:hint="eastAsia" w:cs="Times New Roman"/>
                      <w:color w:val="000000" w:themeColor="text1"/>
                      <w:kern w:val="0"/>
                      <w:sz w:val="21"/>
                      <w:szCs w:val="24"/>
                      <w:lang w:val="en-US" w:eastAsia="zh-CN" w:bidi="ar-SA"/>
                      <w14:textFill>
                        <w14:solidFill>
                          <w14:schemeClr w14:val="tx1"/>
                        </w14:solidFill>
                      </w14:textFill>
                    </w:rPr>
                    <w:t>50</w:t>
                  </w:r>
                </w:p>
              </w:tc>
              <w:tc>
                <w:tcPr>
                  <w:tcW w:w="426" w:type="pct"/>
                  <w:vMerge w:val="restart"/>
                  <w:tcBorders>
                    <w:tl2br w:val="nil"/>
                    <w:tr2bl w:val="nil"/>
                  </w:tcBorders>
                  <w:noWrap w:val="0"/>
                  <w:vAlign w:val="center"/>
                </w:tcPr>
                <w:p w14:paraId="6168C9A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kern w:val="0"/>
                      <w:sz w:val="21"/>
                      <w:szCs w:val="24"/>
                      <w:lang w:val="en-US" w:eastAsia="zh-CN" w:bidi="ar-SA"/>
                      <w14:textFill>
                        <w14:solidFill>
                          <w14:schemeClr w14:val="tx1"/>
                        </w14:solidFill>
                      </w14:textFill>
                    </w:rPr>
                  </w:pPr>
                  <w:r>
                    <w:rPr>
                      <w:rFonts w:hint="eastAsia" w:cs="Times New Roman"/>
                      <w:color w:val="000000" w:themeColor="text1"/>
                      <w:kern w:val="0"/>
                      <w:sz w:val="21"/>
                      <w:szCs w:val="24"/>
                      <w:lang w:val="en-US" w:eastAsia="zh-CN" w:bidi="ar-SA"/>
                      <w14:textFill>
                        <w14:solidFill>
                          <w14:schemeClr w14:val="tx1"/>
                        </w14:solidFill>
                      </w14:textFill>
                    </w:rPr>
                    <w:t>不得超过</w:t>
                  </w:r>
                  <w:r>
                    <w:rPr>
                      <w:rFonts w:hint="default" w:ascii="Times New Roman" w:hAnsi="Times New Roman" w:cs="Times New Roman"/>
                      <w:color w:val="000000" w:themeColor="text1"/>
                      <w:kern w:val="0"/>
                      <w:sz w:val="21"/>
                      <w:szCs w:val="24"/>
                      <w:lang w:val="en-US" w:eastAsia="zh-CN" w:bidi="ar-SA"/>
                      <w14:textFill>
                        <w14:solidFill>
                          <w14:schemeClr w14:val="tx1"/>
                        </w14:solidFill>
                      </w14:textFill>
                    </w:rPr>
                    <w:t>一年</w:t>
                  </w:r>
                </w:p>
              </w:tc>
            </w:tr>
            <w:tr w14:paraId="56A22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0" w:hRule="atLeast"/>
              </w:trPr>
              <w:tc>
                <w:tcPr>
                  <w:tcW w:w="856" w:type="pct"/>
                  <w:vMerge w:val="continue"/>
                  <w:tcBorders>
                    <w:tl2br w:val="nil"/>
                    <w:tr2bl w:val="nil"/>
                  </w:tcBorders>
                  <w:noWrap w:val="0"/>
                  <w:vAlign w:val="center"/>
                </w:tcPr>
                <w:p w14:paraId="6A17704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14:textFill>
                        <w14:solidFill>
                          <w14:schemeClr w14:val="tx1"/>
                        </w14:solidFill>
                      </w14:textFill>
                    </w:rPr>
                  </w:pPr>
                </w:p>
              </w:tc>
              <w:tc>
                <w:tcPr>
                  <w:tcW w:w="521" w:type="pct"/>
                  <w:vMerge w:val="continue"/>
                  <w:tcBorders>
                    <w:tl2br w:val="nil"/>
                    <w:tr2bl w:val="nil"/>
                  </w:tcBorders>
                  <w:noWrap w:val="0"/>
                  <w:vAlign w:val="center"/>
                </w:tcPr>
                <w:p w14:paraId="219DE22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szCs w:val="21"/>
                      <w14:textFill>
                        <w14:solidFill>
                          <w14:schemeClr w14:val="tx1"/>
                        </w14:solidFill>
                      </w14:textFill>
                    </w:rPr>
                  </w:pPr>
                </w:p>
              </w:tc>
              <w:tc>
                <w:tcPr>
                  <w:tcW w:w="864" w:type="pct"/>
                  <w:tcBorders>
                    <w:tl2br w:val="nil"/>
                    <w:tr2bl w:val="nil"/>
                  </w:tcBorders>
                  <w:shd w:val="clear" w:color="auto" w:fill="auto"/>
                  <w:noWrap w:val="0"/>
                  <w:vAlign w:val="center"/>
                </w:tcPr>
                <w:p w14:paraId="4486AEF1">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物化污泥</w:t>
                  </w:r>
                </w:p>
              </w:tc>
              <w:tc>
                <w:tcPr>
                  <w:tcW w:w="813" w:type="pct"/>
                  <w:tcBorders>
                    <w:tl2br w:val="nil"/>
                    <w:tr2bl w:val="nil"/>
                  </w:tcBorders>
                  <w:noWrap w:val="0"/>
                  <w:vAlign w:val="center"/>
                </w:tcPr>
                <w:p w14:paraId="5E7E43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HW06</w:t>
                  </w:r>
                </w:p>
                <w:p w14:paraId="4346FC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900-409-06</w:t>
                  </w:r>
                </w:p>
              </w:tc>
              <w:tc>
                <w:tcPr>
                  <w:tcW w:w="430" w:type="pct"/>
                  <w:tcBorders>
                    <w:tl2br w:val="nil"/>
                    <w:tr2bl w:val="nil"/>
                  </w:tcBorders>
                  <w:noWrap w:val="0"/>
                  <w:vAlign w:val="center"/>
                </w:tcPr>
                <w:p w14:paraId="1B82EC3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cs="Times New Roman"/>
                      <w:color w:val="000000" w:themeColor="text1"/>
                      <w:kern w:val="0"/>
                      <w:sz w:val="21"/>
                      <w:szCs w:val="24"/>
                      <w:lang w:val="en-US" w:eastAsia="zh-CN" w:bidi="ar-SA"/>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桶装</w:t>
                  </w:r>
                </w:p>
              </w:tc>
              <w:tc>
                <w:tcPr>
                  <w:tcW w:w="651" w:type="pct"/>
                  <w:tcBorders>
                    <w:tl2br w:val="nil"/>
                    <w:tr2bl w:val="nil"/>
                  </w:tcBorders>
                  <w:noWrap w:val="0"/>
                  <w:vAlign w:val="center"/>
                </w:tcPr>
                <w:p w14:paraId="1F8629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color w:val="000000" w:themeColor="text1"/>
                      <w:kern w:val="0"/>
                      <w:sz w:val="21"/>
                      <w:szCs w:val="24"/>
                      <w:lang w:val="en-US" w:eastAsia="zh-CN" w:bidi="ar-SA"/>
                      <w14:textFill>
                        <w14:solidFill>
                          <w14:schemeClr w14:val="tx1"/>
                        </w14:solidFill>
                      </w14:textFill>
                    </w:rPr>
                  </w:pPr>
                  <w:r>
                    <w:rPr>
                      <w:rFonts w:hint="eastAsia" w:cs="Times New Roman"/>
                      <w:color w:val="000000" w:themeColor="text1"/>
                      <w:kern w:val="0"/>
                      <w:sz w:val="21"/>
                      <w:szCs w:val="24"/>
                      <w:lang w:val="en-US" w:eastAsia="zh-CN" w:bidi="ar-SA"/>
                      <w14:textFill>
                        <w14:solidFill>
                          <w14:schemeClr w14:val="tx1"/>
                        </w14:solidFill>
                      </w14:textFill>
                    </w:rPr>
                    <w:t>4.5</w:t>
                  </w:r>
                </w:p>
              </w:tc>
              <w:tc>
                <w:tcPr>
                  <w:tcW w:w="435" w:type="pct"/>
                  <w:vMerge w:val="continue"/>
                  <w:tcBorders>
                    <w:tl2br w:val="nil"/>
                    <w:tr2bl w:val="nil"/>
                  </w:tcBorders>
                  <w:noWrap w:val="0"/>
                  <w:vAlign w:val="center"/>
                </w:tcPr>
                <w:p w14:paraId="1C37F9A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kern w:val="0"/>
                      <w:sz w:val="21"/>
                      <w:szCs w:val="24"/>
                      <w:lang w:val="en-US" w:eastAsia="zh-CN" w:bidi="ar-SA"/>
                      <w14:textFill>
                        <w14:solidFill>
                          <w14:schemeClr w14:val="tx1"/>
                        </w14:solidFill>
                      </w14:textFill>
                    </w:rPr>
                  </w:pPr>
                </w:p>
              </w:tc>
              <w:tc>
                <w:tcPr>
                  <w:tcW w:w="426" w:type="pct"/>
                  <w:vMerge w:val="continue"/>
                  <w:tcBorders>
                    <w:tl2br w:val="nil"/>
                    <w:tr2bl w:val="nil"/>
                  </w:tcBorders>
                  <w:noWrap w:val="0"/>
                  <w:vAlign w:val="center"/>
                </w:tcPr>
                <w:p w14:paraId="51CA600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kern w:val="0"/>
                      <w:sz w:val="21"/>
                      <w:szCs w:val="24"/>
                      <w:lang w:val="en-US" w:eastAsia="zh-CN" w:bidi="ar-SA"/>
                      <w14:textFill>
                        <w14:solidFill>
                          <w14:schemeClr w14:val="tx1"/>
                        </w14:solidFill>
                      </w14:textFill>
                    </w:rPr>
                  </w:pPr>
                </w:p>
              </w:tc>
            </w:tr>
            <w:tr w14:paraId="0ED56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0" w:hRule="atLeast"/>
              </w:trPr>
              <w:tc>
                <w:tcPr>
                  <w:tcW w:w="856" w:type="pct"/>
                  <w:vMerge w:val="continue"/>
                  <w:tcBorders>
                    <w:tl2br w:val="nil"/>
                    <w:tr2bl w:val="nil"/>
                  </w:tcBorders>
                  <w:noWrap w:val="0"/>
                  <w:vAlign w:val="center"/>
                </w:tcPr>
                <w:p w14:paraId="41896C4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14:textFill>
                        <w14:solidFill>
                          <w14:schemeClr w14:val="tx1"/>
                        </w14:solidFill>
                      </w14:textFill>
                    </w:rPr>
                  </w:pPr>
                </w:p>
              </w:tc>
              <w:tc>
                <w:tcPr>
                  <w:tcW w:w="521" w:type="pct"/>
                  <w:vMerge w:val="continue"/>
                  <w:tcBorders>
                    <w:tl2br w:val="nil"/>
                    <w:tr2bl w:val="nil"/>
                  </w:tcBorders>
                  <w:noWrap w:val="0"/>
                  <w:vAlign w:val="center"/>
                </w:tcPr>
                <w:p w14:paraId="3024E77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szCs w:val="21"/>
                      <w14:textFill>
                        <w14:solidFill>
                          <w14:schemeClr w14:val="tx1"/>
                        </w14:solidFill>
                      </w14:textFill>
                    </w:rPr>
                  </w:pPr>
                </w:p>
              </w:tc>
              <w:tc>
                <w:tcPr>
                  <w:tcW w:w="864" w:type="pct"/>
                  <w:tcBorders>
                    <w:tl2br w:val="nil"/>
                    <w:tr2bl w:val="nil"/>
                  </w:tcBorders>
                  <w:shd w:val="clear" w:color="auto" w:fill="auto"/>
                  <w:noWrap w:val="0"/>
                  <w:vAlign w:val="center"/>
                </w:tcPr>
                <w:p w14:paraId="73BDB871">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废催化剂</w:t>
                  </w:r>
                </w:p>
              </w:tc>
              <w:tc>
                <w:tcPr>
                  <w:tcW w:w="813" w:type="pct"/>
                  <w:tcBorders>
                    <w:tl2br w:val="nil"/>
                    <w:tr2bl w:val="nil"/>
                  </w:tcBorders>
                  <w:noWrap w:val="0"/>
                  <w:vAlign w:val="center"/>
                </w:tcPr>
                <w:p w14:paraId="2F8D7C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HW50</w:t>
                  </w:r>
                </w:p>
                <w:p w14:paraId="4290AE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900-049-50</w:t>
                  </w:r>
                </w:p>
              </w:tc>
              <w:tc>
                <w:tcPr>
                  <w:tcW w:w="430" w:type="pct"/>
                  <w:tcBorders>
                    <w:tl2br w:val="nil"/>
                    <w:tr2bl w:val="nil"/>
                  </w:tcBorders>
                  <w:noWrap w:val="0"/>
                  <w:vAlign w:val="center"/>
                </w:tcPr>
                <w:p w14:paraId="5263E3C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000000" w:themeColor="text1"/>
                      <w:kern w:val="0"/>
                      <w:sz w:val="21"/>
                      <w14:textFill>
                        <w14:solidFill>
                          <w14:schemeClr w14:val="tx1"/>
                        </w14:solidFill>
                      </w14:textFill>
                    </w:rPr>
                  </w:pPr>
                  <w:r>
                    <w:rPr>
                      <w:rFonts w:hint="default" w:ascii="Times New Roman" w:hAnsi="Times New Roman" w:cs="Times New Roman"/>
                      <w:color w:val="000000" w:themeColor="text1"/>
                      <w:kern w:val="0"/>
                      <w:sz w:val="21"/>
                      <w14:textFill>
                        <w14:solidFill>
                          <w14:schemeClr w14:val="tx1"/>
                        </w14:solidFill>
                      </w14:textFill>
                    </w:rPr>
                    <w:t>桶装</w:t>
                  </w:r>
                </w:p>
              </w:tc>
              <w:tc>
                <w:tcPr>
                  <w:tcW w:w="651" w:type="pct"/>
                  <w:tcBorders>
                    <w:tl2br w:val="nil"/>
                    <w:tr2bl w:val="nil"/>
                  </w:tcBorders>
                  <w:noWrap w:val="0"/>
                  <w:vAlign w:val="center"/>
                </w:tcPr>
                <w:p w14:paraId="61CD31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color w:val="000000" w:themeColor="text1"/>
                      <w:kern w:val="0"/>
                      <w:sz w:val="21"/>
                      <w:szCs w:val="24"/>
                      <w:lang w:val="en-US" w:eastAsia="zh-CN" w:bidi="ar-SA"/>
                      <w14:textFill>
                        <w14:solidFill>
                          <w14:schemeClr w14:val="tx1"/>
                        </w14:solidFill>
                      </w14:textFill>
                    </w:rPr>
                  </w:pPr>
                  <w:r>
                    <w:rPr>
                      <w:rFonts w:hint="eastAsia" w:cs="Times New Roman"/>
                      <w:color w:val="000000" w:themeColor="text1"/>
                      <w:kern w:val="0"/>
                      <w:sz w:val="21"/>
                      <w:szCs w:val="24"/>
                      <w:lang w:val="en-US" w:eastAsia="zh-CN" w:bidi="ar-SA"/>
                      <w14:textFill>
                        <w14:solidFill>
                          <w14:schemeClr w14:val="tx1"/>
                        </w14:solidFill>
                      </w14:textFill>
                    </w:rPr>
                    <w:t>0.4</w:t>
                  </w:r>
                </w:p>
              </w:tc>
              <w:tc>
                <w:tcPr>
                  <w:tcW w:w="435" w:type="pct"/>
                  <w:vMerge w:val="continue"/>
                  <w:tcBorders>
                    <w:tl2br w:val="nil"/>
                    <w:tr2bl w:val="nil"/>
                  </w:tcBorders>
                  <w:noWrap w:val="0"/>
                  <w:vAlign w:val="center"/>
                </w:tcPr>
                <w:p w14:paraId="0E2F694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kern w:val="0"/>
                      <w:sz w:val="21"/>
                      <w:szCs w:val="24"/>
                      <w:lang w:val="en-US" w:eastAsia="zh-CN" w:bidi="ar-SA"/>
                      <w14:textFill>
                        <w14:solidFill>
                          <w14:schemeClr w14:val="tx1"/>
                        </w14:solidFill>
                      </w14:textFill>
                    </w:rPr>
                  </w:pPr>
                </w:p>
              </w:tc>
              <w:tc>
                <w:tcPr>
                  <w:tcW w:w="426" w:type="pct"/>
                  <w:vMerge w:val="continue"/>
                  <w:tcBorders>
                    <w:tl2br w:val="nil"/>
                    <w:tr2bl w:val="nil"/>
                  </w:tcBorders>
                  <w:noWrap w:val="0"/>
                  <w:vAlign w:val="center"/>
                </w:tcPr>
                <w:p w14:paraId="065A15D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000000" w:themeColor="text1"/>
                      <w:kern w:val="0"/>
                      <w:sz w:val="21"/>
                      <w:szCs w:val="24"/>
                      <w:lang w:val="en-US" w:eastAsia="zh-CN" w:bidi="ar-SA"/>
                      <w14:textFill>
                        <w14:solidFill>
                          <w14:schemeClr w14:val="tx1"/>
                        </w14:solidFill>
                      </w14:textFill>
                    </w:rPr>
                  </w:pPr>
                </w:p>
              </w:tc>
            </w:tr>
          </w:tbl>
          <w:p w14:paraId="52D4FD77">
            <w:pPr>
              <w:pStyle w:val="13"/>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p w14:paraId="695588FB">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default" w:ascii="Times New Roman" w:hAnsi="Times New Roman" w:cs="Times New Roman"/>
                <w:color w:val="000000" w:themeColor="text1"/>
                <w:sz w:val="21"/>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新建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危废间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，能够本项目危废贮存的需求。危废间建设应满足《危险废物贮存污染控制标准》（GB18597-2023）的有关要求，防止造成二次污染</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7F4DF18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textAlignment w:val="auto"/>
              <w:outlineLvl w:val="9"/>
              <w:rPr>
                <w:rFonts w:hint="default"/>
                <w:color w:val="000000" w:themeColor="text1"/>
                <w:sz w:val="24"/>
                <w:szCs w:val="24"/>
                <w:lang w:val="en-US" w:eastAsia="zh-CN"/>
                <w14:textFill>
                  <w14:solidFill>
                    <w14:schemeClr w14:val="tx1"/>
                  </w14:solidFill>
                </w14:textFill>
              </w:rPr>
            </w:pPr>
            <w:r>
              <w:rPr>
                <w:rFonts w:hint="default"/>
                <w:color w:val="000000" w:themeColor="text1"/>
                <w:sz w:val="24"/>
                <w:szCs w:val="24"/>
                <w:lang w:val="en-US" w:eastAsia="zh-CN"/>
                <w14:textFill>
                  <w14:solidFill>
                    <w14:schemeClr w14:val="tx1"/>
                  </w14:solidFill>
                </w14:textFill>
              </w:rPr>
              <w:t>4.2固废管理要求</w:t>
            </w:r>
          </w:p>
          <w:p w14:paraId="3A12E1F3">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4.2.1 一般固废暂存要求</w:t>
            </w:r>
          </w:p>
          <w:p w14:paraId="120E6E8E">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eastAsia"/>
                <w:color w:val="000000" w:themeColor="text1"/>
                <w:sz w:val="24"/>
                <w:szCs w:val="24"/>
                <w:lang w:eastAsia="zh-CN"/>
                <w14:textFill>
                  <w14:solidFill>
                    <w14:schemeClr w14:val="tx1"/>
                  </w14:solidFill>
                </w14:textFill>
              </w:rPr>
            </w:pPr>
            <w:r>
              <w:rPr>
                <w:rFonts w:hint="default"/>
                <w:color w:val="000000" w:themeColor="text1"/>
                <w:sz w:val="24"/>
                <w:szCs w:val="24"/>
                <w14:textFill>
                  <w14:solidFill>
                    <w14:schemeClr w14:val="tx1"/>
                  </w14:solidFill>
                </w14:textFill>
              </w:rPr>
              <w:t>项目于</w:t>
            </w:r>
            <w:r>
              <w:rPr>
                <w:rFonts w:hint="eastAsia"/>
                <w:color w:val="000000" w:themeColor="text1"/>
                <w:sz w:val="24"/>
                <w:szCs w:val="24"/>
                <w:lang w:val="en-US" w:eastAsia="zh-CN"/>
                <w14:textFill>
                  <w14:solidFill>
                    <w14:schemeClr w14:val="tx1"/>
                  </w14:solidFill>
                </w14:textFill>
              </w:rPr>
              <w:t>提取车间东侧</w:t>
            </w:r>
            <w:r>
              <w:rPr>
                <w:rFonts w:hint="default"/>
                <w:color w:val="000000" w:themeColor="text1"/>
                <w:sz w:val="24"/>
                <w:szCs w:val="24"/>
                <w14:textFill>
                  <w14:solidFill>
                    <w14:schemeClr w14:val="tx1"/>
                  </w14:solidFill>
                </w14:textFill>
              </w:rPr>
              <w:t>设置</w:t>
            </w:r>
            <w:r>
              <w:rPr>
                <w:rFonts w:hint="default"/>
                <w:color w:val="000000" w:themeColor="text1"/>
                <w:sz w:val="24"/>
                <w:szCs w:val="24"/>
                <w:lang w:val="en-US" w:eastAsia="zh-CN"/>
                <w14:textFill>
                  <w14:solidFill>
                    <w14:schemeClr w14:val="tx1"/>
                  </w14:solidFill>
                </w14:textFill>
              </w:rPr>
              <w:t>中药渣库1间500</w:t>
            </w:r>
            <w:r>
              <w:rPr>
                <w:rFonts w:hint="default"/>
                <w:color w:val="000000" w:themeColor="text1"/>
                <w:sz w:val="24"/>
                <w:szCs w:val="24"/>
                <w14:textFill>
                  <w14:solidFill>
                    <w14:schemeClr w14:val="tx1"/>
                  </w14:solidFill>
                </w14:textFill>
              </w:rPr>
              <w:t>m</w:t>
            </w:r>
            <w:r>
              <w:rPr>
                <w:rFonts w:hint="default"/>
                <w:color w:val="000000" w:themeColor="text1"/>
                <w:sz w:val="24"/>
                <w:szCs w:val="24"/>
                <w:vertAlign w:val="superscript"/>
                <w14:textFill>
                  <w14:solidFill>
                    <w14:schemeClr w14:val="tx1"/>
                  </w14:solidFill>
                </w14:textFill>
              </w:rPr>
              <w:t>2</w:t>
            </w:r>
            <w:r>
              <w:rPr>
                <w:rFonts w:hint="default"/>
                <w:color w:val="000000" w:themeColor="text1"/>
                <w:sz w:val="24"/>
                <w:szCs w:val="24"/>
                <w:lang w:val="en-US" w:eastAsia="zh-CN"/>
                <w14:textFill>
                  <w14:solidFill>
                    <w14:schemeClr w14:val="tx1"/>
                  </w14:solidFill>
                </w14:textFill>
              </w:rPr>
              <w:t>，一般固废暂存间1间100</w:t>
            </w:r>
            <w:r>
              <w:rPr>
                <w:rFonts w:hint="default"/>
                <w:color w:val="000000" w:themeColor="text1"/>
                <w:sz w:val="24"/>
                <w:szCs w:val="24"/>
                <w14:textFill>
                  <w14:solidFill>
                    <w14:schemeClr w14:val="tx1"/>
                  </w14:solidFill>
                </w14:textFill>
              </w:rPr>
              <w:t>m</w:t>
            </w:r>
            <w:r>
              <w:rPr>
                <w:rFonts w:hint="default"/>
                <w:color w:val="000000" w:themeColor="text1"/>
                <w:sz w:val="24"/>
                <w:szCs w:val="24"/>
                <w:vertAlign w:val="superscript"/>
                <w14:textFill>
                  <w14:solidFill>
                    <w14:schemeClr w14:val="tx1"/>
                  </w14:solidFill>
                </w14:textFill>
              </w:rPr>
              <w:t>2</w:t>
            </w:r>
            <w:r>
              <w:rPr>
                <w:rFonts w:hint="default"/>
                <w:color w:val="000000" w:themeColor="text1"/>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污水处理站设置污泥间1间10m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w:t>
            </w:r>
            <w:r>
              <w:rPr>
                <w:rFonts w:hint="default"/>
                <w:color w:val="000000" w:themeColor="text1"/>
                <w:sz w:val="24"/>
                <w:szCs w:val="24"/>
                <w14:textFill>
                  <w14:solidFill>
                    <w14:schemeClr w14:val="tx1"/>
                  </w14:solidFill>
                </w14:textFill>
              </w:rPr>
              <w:t>按照《一般工业固体废物贮存、处理场污染控制标准（GB18599-20</w:t>
            </w:r>
            <w:r>
              <w:rPr>
                <w:rFonts w:hint="eastAsia"/>
                <w:color w:val="000000" w:themeColor="text1"/>
                <w:sz w:val="24"/>
                <w:szCs w:val="24"/>
                <w:lang w:val="en-US" w:eastAsia="zh-CN"/>
                <w14:textFill>
                  <w14:solidFill>
                    <w14:schemeClr w14:val="tx1"/>
                  </w14:solidFill>
                </w14:textFill>
              </w:rPr>
              <w:t>20</w:t>
            </w:r>
            <w:r>
              <w:rPr>
                <w:rFonts w:hint="default"/>
                <w:color w:val="000000" w:themeColor="text1"/>
                <w:sz w:val="24"/>
                <w:szCs w:val="24"/>
                <w14:textFill>
                  <w14:solidFill>
                    <w14:schemeClr w14:val="tx1"/>
                  </w14:solidFill>
                </w14:textFill>
              </w:rPr>
              <w:t>）》进行设置，能够满足</w:t>
            </w:r>
            <w:r>
              <w:rPr>
                <w:rFonts w:hint="default"/>
                <w:color w:val="000000" w:themeColor="text1"/>
                <w:sz w:val="24"/>
                <w:szCs w:val="24"/>
                <w:lang w:eastAsia="zh-CN"/>
                <w14:textFill>
                  <w14:solidFill>
                    <w14:schemeClr w14:val="tx1"/>
                  </w14:solidFill>
                </w14:textFill>
              </w:rPr>
              <w:t>“</w:t>
            </w:r>
            <w:r>
              <w:rPr>
                <w:rFonts w:hint="default"/>
                <w:color w:val="000000" w:themeColor="text1"/>
                <w:sz w:val="24"/>
                <w:szCs w:val="24"/>
                <w14:textFill>
                  <w14:solidFill>
                    <w14:schemeClr w14:val="tx1"/>
                  </w14:solidFill>
                </w14:textFill>
              </w:rPr>
              <w:t>防风、防雨、防渗</w:t>
            </w:r>
            <w:r>
              <w:rPr>
                <w:rFonts w:hint="default"/>
                <w:color w:val="000000" w:themeColor="text1"/>
                <w:sz w:val="24"/>
                <w:szCs w:val="24"/>
                <w:lang w:eastAsia="zh-CN"/>
                <w14:textFill>
                  <w14:solidFill>
                    <w14:schemeClr w14:val="tx1"/>
                  </w14:solidFill>
                </w14:textFill>
              </w:rPr>
              <w:t>”</w:t>
            </w:r>
            <w:r>
              <w:rPr>
                <w:rFonts w:hint="default"/>
                <w:color w:val="000000" w:themeColor="text1"/>
                <w:sz w:val="24"/>
                <w:szCs w:val="24"/>
                <w14:textFill>
                  <w14:solidFill>
                    <w14:schemeClr w14:val="tx1"/>
                  </w14:solidFill>
                </w14:textFill>
              </w:rPr>
              <w:t>要求。经采取评价要求的防治措施后，</w:t>
            </w:r>
            <w:r>
              <w:rPr>
                <w:rFonts w:hint="default"/>
                <w:color w:val="000000" w:themeColor="text1"/>
                <w:sz w:val="24"/>
                <w:szCs w:val="24"/>
                <w:lang w:val="en-US" w:eastAsia="zh-CN"/>
                <w14:textFill>
                  <w14:solidFill>
                    <w14:schemeClr w14:val="tx1"/>
                  </w14:solidFill>
                </w14:textFill>
              </w:rPr>
              <w:t>本项目</w:t>
            </w:r>
            <w:r>
              <w:rPr>
                <w:rFonts w:hint="default"/>
                <w:color w:val="000000" w:themeColor="text1"/>
                <w:sz w:val="24"/>
                <w:szCs w:val="24"/>
                <w14:textFill>
                  <w14:solidFill>
                    <w14:schemeClr w14:val="tx1"/>
                  </w14:solidFill>
                </w14:textFill>
              </w:rPr>
              <w:t>一般固废可做到综合利用或合理处置，不会对周围环境产生不利影响</w:t>
            </w:r>
            <w:r>
              <w:rPr>
                <w:rFonts w:hint="eastAsia"/>
                <w:color w:val="000000" w:themeColor="text1"/>
                <w:sz w:val="24"/>
                <w:szCs w:val="24"/>
                <w:lang w:eastAsia="zh-CN"/>
                <w14:textFill>
                  <w14:solidFill>
                    <w14:schemeClr w14:val="tx1"/>
                  </w14:solidFill>
                </w14:textFill>
              </w:rPr>
              <w:t>。</w:t>
            </w:r>
          </w:p>
          <w:p w14:paraId="2F49F9E8">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4.2.2 危险废物暂存要求</w:t>
            </w:r>
          </w:p>
          <w:p w14:paraId="6464EB63">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项目于提取车间东侧设置危废间一间，面积50m</w:t>
            </w:r>
            <w:r>
              <w:rPr>
                <w:rFonts w:hint="eastAsia"/>
                <w:color w:val="000000" w:themeColor="text1"/>
                <w:sz w:val="24"/>
                <w:szCs w:val="24"/>
                <w:vertAlign w:val="superscript"/>
                <w:lang w:val="en-US" w:eastAsia="zh-CN"/>
                <w14:textFill>
                  <w14:solidFill>
                    <w14:schemeClr w14:val="tx1"/>
                  </w14:solidFill>
                </w14:textFill>
              </w:rPr>
              <w:t>2</w:t>
            </w:r>
            <w:r>
              <w:rPr>
                <w:rFonts w:hint="default"/>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按照《危险废物贮存污染控制标准》（GB18597-2001）及修改单进行设置，设置要求如下：</w:t>
            </w:r>
          </w:p>
          <w:p w14:paraId="4D06F798">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①地面事先经打夯机进行压实处理，然后使用混凝土进行固化，以免出 现地基下降或局部下沉，地面出现裂缝等现象，同时基础必须防渗，保证渗透系数小于1×10</w:t>
            </w:r>
            <w:r>
              <w:rPr>
                <w:rFonts w:hint="eastAsia"/>
                <w:color w:val="000000" w:themeColor="text1"/>
                <w:sz w:val="24"/>
                <w:szCs w:val="24"/>
                <w:vertAlign w:val="superscript"/>
                <w:lang w:val="en-US" w:eastAsia="zh-CN"/>
                <w14:textFill>
                  <w14:solidFill>
                    <w14:schemeClr w14:val="tx1"/>
                  </w14:solidFill>
                </w14:textFill>
              </w:rPr>
              <w:t>-10</w:t>
            </w:r>
            <w:r>
              <w:rPr>
                <w:rFonts w:hint="eastAsia"/>
                <w:color w:val="000000" w:themeColor="text1"/>
                <w:sz w:val="24"/>
                <w:szCs w:val="24"/>
                <w:lang w:val="en-US" w:eastAsia="zh-CN"/>
                <w14:textFill>
                  <w14:solidFill>
                    <w14:schemeClr w14:val="tx1"/>
                  </w14:solidFill>
                </w14:textFill>
              </w:rPr>
              <w:t>cm/s；</w:t>
            </w:r>
          </w:p>
          <w:p w14:paraId="49A73555">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②设有安全照明设施和观察窗口，暂存间配有防护服及工具；</w:t>
            </w:r>
          </w:p>
          <w:p w14:paraId="27749231">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③危险废物贮存设施设置警示标志，暂存区周围设置围堰；</w:t>
            </w:r>
          </w:p>
          <w:p w14:paraId="4F77EF5C">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④必须有泄漏液体收集装置、气体导出口及气体净化装置；</w:t>
            </w:r>
          </w:p>
          <w:p w14:paraId="36EAD96F">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⑤危险暂存间安排专人进行管理，禁止无关人员进入；</w:t>
            </w:r>
          </w:p>
          <w:p w14:paraId="37F479F1">
            <w:pPr>
              <w:pStyle w:val="13"/>
              <w:keepNext w:val="0"/>
              <w:keepLines w:val="0"/>
              <w:pageBreakBefore w:val="0"/>
              <w:widowControl w:val="0"/>
              <w:kinsoku/>
              <w:wordWrap/>
              <w:overflowPunct/>
              <w:topLinePunct w:val="0"/>
              <w:bidi w:val="0"/>
              <w:adjustRightInd w:val="0"/>
              <w:snapToGrid w:val="0"/>
              <w:spacing w:before="0" w:line="360" w:lineRule="auto"/>
              <w:ind w:left="0" w:right="0" w:firstLine="480" w:firstLineChars="200"/>
              <w:textAlignment w:val="auto"/>
              <w:rPr>
                <w:rFonts w:hint="default"/>
                <w:color w:val="000000" w:themeColor="text1"/>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⑥做好危险废物情况的记录，记录上须注明危险废物的名称、来源、数 量、特性和包装容器的类别、入库日期、出库日期及接收单位名称，危险废物的记录和货单在危险废物回取后应继续保留五年。</w:t>
            </w:r>
          </w:p>
          <w:p w14:paraId="71B04B3F">
            <w:pPr>
              <w:keepNext w:val="0"/>
              <w:keepLines w:val="0"/>
              <w:pageBreakBefore w:val="0"/>
              <w:widowControl w:val="0"/>
              <w:kinsoku/>
              <w:wordWrap/>
              <w:overflowPunct/>
              <w:topLinePunct w:val="0"/>
              <w:bidi w:val="0"/>
              <w:adjustRightInd w:val="0"/>
              <w:snapToGrid w:val="0"/>
              <w:spacing w:line="360" w:lineRule="auto"/>
              <w:ind w:right="0" w:firstLine="480" w:firstLineChars="200"/>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经采取以上措施处理后，工程产生的各类固体废物能够实现综合利用或合理处置，对周围环境影响可接受。</w:t>
            </w:r>
          </w:p>
          <w:p w14:paraId="43BAB17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0" w:firstLineChars="0"/>
              <w:jc w:val="left"/>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五</w:t>
            </w:r>
            <w:r>
              <w:rPr>
                <w:rFonts w:hint="default"/>
                <w:color w:val="000000" w:themeColor="text1"/>
                <w:sz w:val="24"/>
                <w:szCs w:val="24"/>
                <w:lang w:val="en-US" w:eastAsia="zh-CN"/>
                <w14:textFill>
                  <w14:solidFill>
                    <w14:schemeClr w14:val="tx1"/>
                  </w14:solidFill>
                </w14:textFill>
              </w:rPr>
              <w:t>、环境风险</w:t>
            </w:r>
          </w:p>
          <w:p w14:paraId="1C6DD86B">
            <w:pPr>
              <w:adjustRightInd w:val="0"/>
              <w:snapToGrid w:val="0"/>
              <w:spacing w:line="360" w:lineRule="auto"/>
              <w:ind w:firstLine="480" w:firstLineChars="20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5.1 风险物质识别</w:t>
            </w:r>
          </w:p>
          <w:p w14:paraId="6DF708E6">
            <w:pPr>
              <w:adjustRightInd w:val="0"/>
              <w:snapToGrid w:val="0"/>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本项目</w:t>
            </w:r>
            <w:r>
              <w:rPr>
                <w:rFonts w:hint="eastAsia"/>
                <w:color w:val="000000" w:themeColor="text1"/>
                <w:sz w:val="24"/>
                <w:szCs w:val="24"/>
                <w:lang w:val="en-US" w:eastAsia="zh-CN"/>
                <w14:textFill>
                  <w14:solidFill>
                    <w14:schemeClr w14:val="tx1"/>
                  </w14:solidFill>
                </w14:textFill>
              </w:rPr>
              <w:t>风险物质主要为原辅料中的乙醇及危险废物，根据</w:t>
            </w:r>
            <w:r>
              <w:rPr>
                <w:rFonts w:hint="default" w:ascii="Times New Roman" w:hAnsi="Times New Roman" w:cs="Times New Roman"/>
                <w:color w:val="000000" w:themeColor="text1"/>
                <w:sz w:val="24"/>
                <w:szCs w:val="24"/>
                <w:lang w:val="en-US" w:eastAsia="zh-CN"/>
                <w14:textFill>
                  <w14:solidFill>
                    <w14:schemeClr w14:val="tx1"/>
                  </w14:solidFill>
                </w14:textFill>
              </w:rPr>
              <w:t>《建设项目环境风险评价技术导则》（HJ 169—2018）</w:t>
            </w:r>
            <w:r>
              <w:rPr>
                <w:rFonts w:hint="default" w:ascii="Times New Roman" w:hAnsi="Times New Roman" w:eastAsia="宋体" w:cs="Times New Roman"/>
                <w:color w:val="000000" w:themeColor="text1"/>
                <w:sz w:val="24"/>
                <w:szCs w:val="24"/>
                <w14:textFill>
                  <w14:solidFill>
                    <w14:schemeClr w14:val="tx1"/>
                  </w14:solidFill>
                </w14:textFill>
              </w:rPr>
              <w:t>和《企业突发环境事件风险分级方法》（HJ941-2018）</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各风险物质</w:t>
            </w:r>
            <w:r>
              <w:rPr>
                <w:rFonts w:hint="eastAsia"/>
                <w:color w:val="000000" w:themeColor="text1"/>
                <w:sz w:val="24"/>
                <w:szCs w:val="24"/>
                <w:lang w:val="en-US" w:eastAsia="zh-CN"/>
                <w14:textFill>
                  <w14:solidFill>
                    <w14:schemeClr w14:val="tx1"/>
                  </w14:solidFill>
                </w14:textFill>
              </w:rPr>
              <w:t>存储情况及临界量如下表：</w:t>
            </w:r>
          </w:p>
          <w:p w14:paraId="7F192885">
            <w:pPr>
              <w:keepNext w:val="0"/>
              <w:keepLines w:val="0"/>
              <w:pageBreakBefore w:val="0"/>
              <w:widowControl w:val="0"/>
              <w:kinsoku/>
              <w:wordWrap/>
              <w:overflowPunct/>
              <w:topLinePunct w:val="0"/>
              <w:autoSpaceDE/>
              <w:autoSpaceDN/>
              <w:bidi w:val="0"/>
              <w:adjustRightInd w:val="0"/>
              <w:snapToGrid/>
              <w:spacing w:before="0" w:beforeLines="0" w:line="240" w:lineRule="auto"/>
              <w:ind w:left="0" w:leftChars="0"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表</w:t>
            </w:r>
            <w:r>
              <w:rPr>
                <w:rFonts w:hint="eastAsia" w:cs="Times New Roman"/>
                <w:b w:val="0"/>
                <w:bCs w:val="0"/>
                <w:color w:val="000000" w:themeColor="text1"/>
                <w:spacing w:val="0"/>
                <w:sz w:val="24"/>
                <w:szCs w:val="24"/>
                <w:lang w:val="en-US" w:eastAsia="zh-CN"/>
                <w14:textFill>
                  <w14:solidFill>
                    <w14:schemeClr w14:val="tx1"/>
                  </w14:solidFill>
                </w14:textFill>
              </w:rPr>
              <w:t>42</w:t>
            </w:r>
            <w:r>
              <w:rPr>
                <w:rFonts w:hint="default"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t xml:space="preserve">   项目</w:t>
            </w:r>
            <w:r>
              <w:rPr>
                <w:rFonts w:hint="eastAsia" w:cs="Times New Roman"/>
                <w:b w:val="0"/>
                <w:bCs w:val="0"/>
                <w:color w:val="000000" w:themeColor="text1"/>
                <w:spacing w:val="0"/>
                <w:sz w:val="24"/>
                <w:szCs w:val="24"/>
                <w:lang w:val="en-US" w:eastAsia="zh-CN"/>
                <w14:textFill>
                  <w14:solidFill>
                    <w14:schemeClr w14:val="tx1"/>
                  </w14:solidFill>
                </w14:textFill>
              </w:rPr>
              <w:t>风险物质</w:t>
            </w:r>
            <w:r>
              <w:rPr>
                <w:rFonts w:hint="default" w:ascii="Times New Roman" w:hAnsi="Times New Roman" w:eastAsia="宋体" w:cs="Times New Roman"/>
                <w:b w:val="0"/>
                <w:bCs w:val="0"/>
                <w:color w:val="000000" w:themeColor="text1"/>
                <w:spacing w:val="0"/>
                <w:sz w:val="24"/>
                <w:szCs w:val="24"/>
                <w:lang w:val="en-US" w:eastAsia="zh-CN"/>
                <w14:textFill>
                  <w14:solidFill>
                    <w14:schemeClr w14:val="tx1"/>
                  </w14:solidFill>
                </w14:textFill>
              </w:rPr>
              <w:t>情况</w:t>
            </w:r>
            <w:r>
              <w:rPr>
                <w:rFonts w:hint="default" w:ascii="Times New Roman" w:hAnsi="Times New Roman" w:eastAsia="宋体" w:cs="Times New Roman"/>
                <w:b w:val="0"/>
                <w:bCs w:val="0"/>
                <w:color w:val="000000" w:themeColor="text1"/>
                <w:spacing w:val="0"/>
                <w:sz w:val="24"/>
                <w:szCs w:val="24"/>
                <w14:textFill>
                  <w14:solidFill>
                    <w14:schemeClr w14:val="tx1"/>
                  </w14:solidFill>
                </w14:textFill>
              </w:rPr>
              <w:t>一览表</w:t>
            </w:r>
          </w:p>
          <w:tbl>
            <w:tblPr>
              <w:tblStyle w:val="26"/>
              <w:tblW w:w="501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575"/>
              <w:gridCol w:w="1475"/>
              <w:gridCol w:w="1350"/>
              <w:gridCol w:w="1246"/>
              <w:gridCol w:w="1035"/>
              <w:gridCol w:w="764"/>
              <w:gridCol w:w="1545"/>
            </w:tblGrid>
            <w:tr w14:paraId="29B8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59" w:type="pct"/>
                  <w:noWrap w:val="0"/>
                  <w:vAlign w:val="center"/>
                </w:tcPr>
                <w:p w14:paraId="6D168EE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序号</w:t>
                  </w:r>
                </w:p>
              </w:tc>
              <w:tc>
                <w:tcPr>
                  <w:tcW w:w="923" w:type="pct"/>
                  <w:noWrap w:val="0"/>
                  <w:vAlign w:val="center"/>
                </w:tcPr>
                <w:p w14:paraId="101EB8B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风险物质名称</w:t>
                  </w:r>
                </w:p>
              </w:tc>
              <w:tc>
                <w:tcPr>
                  <w:tcW w:w="844" w:type="pct"/>
                  <w:noWrap w:val="0"/>
                  <w:vAlign w:val="center"/>
                </w:tcPr>
                <w:p w14:paraId="075A6FA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性质</w:t>
                  </w:r>
                </w:p>
              </w:tc>
              <w:tc>
                <w:tcPr>
                  <w:tcW w:w="779" w:type="pct"/>
                  <w:noWrap w:val="0"/>
                  <w:vAlign w:val="center"/>
                </w:tcPr>
                <w:p w14:paraId="6CCE019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存储位置</w:t>
                  </w:r>
                </w:p>
              </w:tc>
              <w:tc>
                <w:tcPr>
                  <w:tcW w:w="647" w:type="pct"/>
                  <w:noWrap w:val="0"/>
                  <w:vAlign w:val="center"/>
                </w:tcPr>
                <w:p w14:paraId="130AA71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最大存储量（t）</w:t>
                  </w:r>
                </w:p>
              </w:tc>
              <w:tc>
                <w:tcPr>
                  <w:tcW w:w="478" w:type="pct"/>
                  <w:noWrap w:val="0"/>
                  <w:vAlign w:val="center"/>
                </w:tcPr>
                <w:p w14:paraId="160444B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临界量（t）</w:t>
                  </w:r>
                </w:p>
              </w:tc>
              <w:tc>
                <w:tcPr>
                  <w:tcW w:w="966" w:type="pct"/>
                  <w:noWrap w:val="0"/>
                  <w:vAlign w:val="center"/>
                </w:tcPr>
                <w:p w14:paraId="28A36D9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Q值</w:t>
                  </w:r>
                </w:p>
              </w:tc>
            </w:tr>
            <w:tr w14:paraId="62AF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59" w:type="pct"/>
                  <w:noWrap w:val="0"/>
                  <w:vAlign w:val="center"/>
                </w:tcPr>
                <w:p w14:paraId="6CFE22B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923" w:type="pct"/>
                  <w:noWrap w:val="0"/>
                  <w:vAlign w:val="center"/>
                </w:tcPr>
                <w:p w14:paraId="6D4D0A5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乙醇</w:t>
                  </w:r>
                </w:p>
              </w:tc>
              <w:tc>
                <w:tcPr>
                  <w:tcW w:w="844" w:type="pct"/>
                  <w:noWrap w:val="0"/>
                  <w:vAlign w:val="center"/>
                </w:tcPr>
                <w:p w14:paraId="707F0F3F">
                  <w:pPr>
                    <w:adjustRightInd w:val="0"/>
                    <w:snapToGrid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易燃易爆</w:t>
                  </w:r>
                </w:p>
              </w:tc>
              <w:tc>
                <w:tcPr>
                  <w:tcW w:w="779" w:type="pct"/>
                  <w:noWrap w:val="0"/>
                  <w:vAlign w:val="center"/>
                </w:tcPr>
                <w:p w14:paraId="7613A92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乙醇罐区</w:t>
                  </w:r>
                </w:p>
              </w:tc>
              <w:tc>
                <w:tcPr>
                  <w:tcW w:w="647" w:type="pct"/>
                  <w:noWrap w:val="0"/>
                  <w:vAlign w:val="center"/>
                </w:tcPr>
                <w:p w14:paraId="79B519A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000000" w:themeColor="text1"/>
                      <w:sz w:val="21"/>
                      <w:szCs w:val="24"/>
                      <w:vertAlign w:val="baseline"/>
                      <w:lang w:val="en-US" w:eastAsia="zh-CN"/>
                      <w14:textFill>
                        <w14:solidFill>
                          <w14:schemeClr w14:val="tx1"/>
                        </w14:solidFill>
                      </w14:textFill>
                    </w:rPr>
                  </w:pPr>
                  <w:r>
                    <w:rPr>
                      <w:rFonts w:hint="eastAsia" w:cs="Times New Roman"/>
                      <w:color w:val="000000" w:themeColor="text1"/>
                      <w:sz w:val="21"/>
                      <w:szCs w:val="24"/>
                      <w:vertAlign w:val="baseline"/>
                      <w:lang w:val="en-US" w:eastAsia="zh-CN"/>
                      <w14:textFill>
                        <w14:solidFill>
                          <w14:schemeClr w14:val="tx1"/>
                        </w14:solidFill>
                      </w14:textFill>
                    </w:rPr>
                    <w:t>140</w:t>
                  </w:r>
                </w:p>
              </w:tc>
              <w:tc>
                <w:tcPr>
                  <w:tcW w:w="478" w:type="pct"/>
                  <w:noWrap w:val="0"/>
                  <w:vAlign w:val="center"/>
                </w:tcPr>
                <w:p w14:paraId="19152D1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500</w:t>
                  </w:r>
                </w:p>
              </w:tc>
              <w:tc>
                <w:tcPr>
                  <w:tcW w:w="966" w:type="pct"/>
                  <w:noWrap w:val="0"/>
                  <w:vAlign w:val="center"/>
                </w:tcPr>
                <w:p w14:paraId="64B5100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0.28</w:t>
                  </w:r>
                </w:p>
              </w:tc>
            </w:tr>
            <w:tr w14:paraId="4DDD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59" w:type="pct"/>
                  <w:noWrap w:val="0"/>
                  <w:vAlign w:val="center"/>
                </w:tcPr>
                <w:p w14:paraId="38D8532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p>
              </w:tc>
              <w:tc>
                <w:tcPr>
                  <w:tcW w:w="923" w:type="pct"/>
                  <w:shd w:val="clear" w:color="auto" w:fill="auto"/>
                  <w:noWrap w:val="0"/>
                  <w:vAlign w:val="center"/>
                </w:tcPr>
                <w:p w14:paraId="271DD482">
                  <w:pPr>
                    <w:keepNext w:val="0"/>
                    <w:keepLines w:val="0"/>
                    <w:pageBreakBefore w:val="0"/>
                    <w:kinsoku/>
                    <w:wordWrap/>
                    <w:overflowPunct/>
                    <w:topLinePunct w:val="0"/>
                    <w:bidi w:val="0"/>
                    <w:adjustRightInd w:val="0"/>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配液废滤渣</w:t>
                  </w:r>
                </w:p>
              </w:tc>
              <w:tc>
                <w:tcPr>
                  <w:tcW w:w="844" w:type="pct"/>
                  <w:noWrap w:val="0"/>
                  <w:vAlign w:val="center"/>
                </w:tcPr>
                <w:p w14:paraId="6779CB92">
                  <w:pPr>
                    <w:adjustRightInd w:val="0"/>
                    <w:snapToGrid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有毒有害</w:t>
                  </w:r>
                </w:p>
              </w:tc>
              <w:tc>
                <w:tcPr>
                  <w:tcW w:w="779" w:type="pct"/>
                  <w:noWrap w:val="0"/>
                  <w:vAlign w:val="center"/>
                </w:tcPr>
                <w:p w14:paraId="6058D6B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危废间</w:t>
                  </w:r>
                </w:p>
              </w:tc>
              <w:tc>
                <w:tcPr>
                  <w:tcW w:w="647" w:type="pct"/>
                  <w:noWrap w:val="0"/>
                  <w:vAlign w:val="center"/>
                </w:tcPr>
                <w:p w14:paraId="7930DD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s="Times New Roman"/>
                      <w:color w:val="000000" w:themeColor="text1"/>
                      <w:sz w:val="21"/>
                      <w:szCs w:val="24"/>
                      <w:vertAlign w:val="baseline"/>
                      <w:lang w:val="en-US" w:eastAsia="zh-CN"/>
                      <w14:textFill>
                        <w14:solidFill>
                          <w14:schemeClr w14:val="tx1"/>
                        </w14:solidFill>
                      </w14:textFill>
                    </w:rPr>
                  </w:pPr>
                  <w:r>
                    <w:rPr>
                      <w:rFonts w:hint="eastAsia" w:cs="Times New Roman"/>
                      <w:color w:val="000000" w:themeColor="text1"/>
                      <w:kern w:val="0"/>
                      <w:sz w:val="21"/>
                      <w:szCs w:val="24"/>
                      <w:lang w:val="en-US" w:eastAsia="zh-CN" w:bidi="ar-SA"/>
                      <w14:textFill>
                        <w14:solidFill>
                          <w14:schemeClr w14:val="tx1"/>
                        </w14:solidFill>
                      </w14:textFill>
                    </w:rPr>
                    <w:t>1</w:t>
                  </w:r>
                </w:p>
              </w:tc>
              <w:tc>
                <w:tcPr>
                  <w:tcW w:w="478" w:type="pct"/>
                  <w:noWrap w:val="0"/>
                  <w:vAlign w:val="center"/>
                </w:tcPr>
                <w:p w14:paraId="6205016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100</w:t>
                  </w:r>
                </w:p>
              </w:tc>
              <w:tc>
                <w:tcPr>
                  <w:tcW w:w="966" w:type="pct"/>
                  <w:noWrap w:val="0"/>
                  <w:vAlign w:val="center"/>
                </w:tcPr>
                <w:p w14:paraId="68B9226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0.0</w:t>
                  </w:r>
                  <w:r>
                    <w:rPr>
                      <w:rFonts w:hint="eastAsia" w:cs="Times New Roman"/>
                      <w:color w:val="000000" w:themeColor="text1"/>
                      <w:lang w:val="en-US" w:eastAsia="zh-CN"/>
                      <w14:textFill>
                        <w14:solidFill>
                          <w14:schemeClr w14:val="tx1"/>
                        </w14:solidFill>
                      </w14:textFill>
                    </w:rPr>
                    <w:t>1</w:t>
                  </w:r>
                </w:p>
              </w:tc>
            </w:tr>
            <w:tr w14:paraId="02D4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59" w:type="pct"/>
                  <w:noWrap w:val="0"/>
                  <w:vAlign w:val="center"/>
                </w:tcPr>
                <w:p w14:paraId="17616D8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923" w:type="pct"/>
                  <w:shd w:val="clear" w:color="auto" w:fill="auto"/>
                  <w:noWrap w:val="0"/>
                  <w:vAlign w:val="center"/>
                </w:tcPr>
                <w:p w14:paraId="37D77BE9">
                  <w:pPr>
                    <w:keepNext w:val="0"/>
                    <w:keepLines w:val="0"/>
                    <w:pageBreakBefore w:val="0"/>
                    <w:kinsoku/>
                    <w:wordWrap/>
                    <w:overflowPunct/>
                    <w:topLinePunct w:val="0"/>
                    <w:bidi w:val="0"/>
                    <w:adjustRightInd w:val="0"/>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物化污泥</w:t>
                  </w:r>
                </w:p>
              </w:tc>
              <w:tc>
                <w:tcPr>
                  <w:tcW w:w="844" w:type="pct"/>
                  <w:noWrap w:val="0"/>
                  <w:vAlign w:val="center"/>
                </w:tcPr>
                <w:p w14:paraId="582126CE">
                  <w:pPr>
                    <w:adjustRightInd w:val="0"/>
                    <w:snapToGrid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有毒有害</w:t>
                  </w:r>
                </w:p>
              </w:tc>
              <w:tc>
                <w:tcPr>
                  <w:tcW w:w="779" w:type="pct"/>
                  <w:noWrap w:val="0"/>
                  <w:vAlign w:val="center"/>
                </w:tcPr>
                <w:p w14:paraId="2A5741C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危废间</w:t>
                  </w:r>
                </w:p>
              </w:tc>
              <w:tc>
                <w:tcPr>
                  <w:tcW w:w="647" w:type="pct"/>
                  <w:noWrap w:val="0"/>
                  <w:vAlign w:val="center"/>
                </w:tcPr>
                <w:p w14:paraId="5B6C70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s="Times New Roman"/>
                      <w:color w:val="000000" w:themeColor="text1"/>
                      <w:sz w:val="21"/>
                      <w:szCs w:val="24"/>
                      <w:vertAlign w:val="baseline"/>
                      <w:lang w:val="en-US" w:eastAsia="zh-CN"/>
                      <w14:textFill>
                        <w14:solidFill>
                          <w14:schemeClr w14:val="tx1"/>
                        </w14:solidFill>
                      </w14:textFill>
                    </w:rPr>
                  </w:pPr>
                  <w:r>
                    <w:rPr>
                      <w:rFonts w:hint="eastAsia" w:cs="Times New Roman"/>
                      <w:color w:val="000000" w:themeColor="text1"/>
                      <w:kern w:val="0"/>
                      <w:sz w:val="21"/>
                      <w:szCs w:val="24"/>
                      <w:lang w:val="en-US" w:eastAsia="zh-CN" w:bidi="ar-SA"/>
                      <w14:textFill>
                        <w14:solidFill>
                          <w14:schemeClr w14:val="tx1"/>
                        </w14:solidFill>
                      </w14:textFill>
                    </w:rPr>
                    <w:t>4.5</w:t>
                  </w:r>
                </w:p>
              </w:tc>
              <w:tc>
                <w:tcPr>
                  <w:tcW w:w="478" w:type="pct"/>
                  <w:noWrap w:val="0"/>
                  <w:vAlign w:val="center"/>
                </w:tcPr>
                <w:p w14:paraId="0A5352D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100</w:t>
                  </w:r>
                </w:p>
              </w:tc>
              <w:tc>
                <w:tcPr>
                  <w:tcW w:w="966" w:type="pct"/>
                  <w:noWrap w:val="0"/>
                  <w:vAlign w:val="center"/>
                </w:tcPr>
                <w:p w14:paraId="3004FB3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0.045</w:t>
                  </w:r>
                </w:p>
              </w:tc>
            </w:tr>
            <w:tr w14:paraId="10E2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4033" w:type="pct"/>
                  <w:gridSpan w:val="6"/>
                  <w:noWrap w:val="0"/>
                  <w:vAlign w:val="center"/>
                </w:tcPr>
                <w:p w14:paraId="4330D51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Q值合计</w:t>
                  </w:r>
                </w:p>
              </w:tc>
              <w:tc>
                <w:tcPr>
                  <w:tcW w:w="966" w:type="pct"/>
                  <w:noWrap w:val="0"/>
                  <w:vAlign w:val="center"/>
                </w:tcPr>
                <w:p w14:paraId="793AB64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w:t>
                  </w:r>
                  <w:r>
                    <w:rPr>
                      <w:rFonts w:hint="eastAsia" w:cs="Times New Roman"/>
                      <w:color w:val="000000" w:themeColor="text1"/>
                      <w:lang w:val="en-US" w:eastAsia="zh-CN"/>
                      <w14:textFill>
                        <w14:solidFill>
                          <w14:schemeClr w14:val="tx1"/>
                        </w14:solidFill>
                      </w14:textFill>
                    </w:rPr>
                    <w:t>335</w:t>
                  </w:r>
                </w:p>
              </w:tc>
            </w:tr>
          </w:tbl>
          <w:p w14:paraId="6D03BBC2">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p w14:paraId="1318F453">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因此，本项目Q值合计为0.</w:t>
            </w:r>
            <w:r>
              <w:rPr>
                <w:rFonts w:hint="eastAsia" w:cs="Times New Roman"/>
                <w:color w:val="000000" w:themeColor="text1"/>
                <w:sz w:val="24"/>
                <w:szCs w:val="24"/>
                <w:lang w:val="en-US" w:eastAsia="zh-CN"/>
                <w14:textFill>
                  <w14:solidFill>
                    <w14:schemeClr w14:val="tx1"/>
                  </w14:solidFill>
                </w14:textFill>
              </w:rPr>
              <w:t>335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，小于1。根据《建设项目环境影响报告表编制技术指南（污染影响类）（试行）》表1，本项目无需开展环境风险专题评价</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25368E73">
            <w:pPr>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5.2 环境风险防范措施</w:t>
            </w:r>
          </w:p>
          <w:p w14:paraId="743FCB20">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（1）设计上拟采取的防范措施</w:t>
            </w:r>
          </w:p>
          <w:p w14:paraId="1CA525B0">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①严格按《建筑设计防火规范》（GBJ16-87）、《爆炸和火灾危险环境电力装置设计规范》（GB50058-92）等规定进行工程安全防火设计。</w:t>
            </w:r>
          </w:p>
          <w:p w14:paraId="6D0B77DF">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②各套生产装置尽量采用先进合理、安全可靠的工艺流程，从根木上提高装置的安全性，防止和减少事故的发生。</w:t>
            </w:r>
          </w:p>
          <w:p w14:paraId="131ADB4E">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③布置在厂房内的存有乙醇的设施按要求设置通风设施。</w:t>
            </w:r>
          </w:p>
          <w:p w14:paraId="7E1A2D6D">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④严格按《爆炸和火灾危险环境电力装置设计规范》进行危险区域划分及电气设备材料的选型。</w:t>
            </w:r>
          </w:p>
          <w:p w14:paraId="16D61BA5">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⑤存在火灾隐患的装置区内应设火灾报警系统。</w:t>
            </w:r>
          </w:p>
          <w:p w14:paraId="66239102">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（2）消防防范措施</w:t>
            </w:r>
          </w:p>
          <w:p w14:paraId="505F44EB">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①建立专业消防组织。根据国家消防法规要求，企业结合实际要建立专业消防组织。</w:t>
            </w:r>
          </w:p>
          <w:p w14:paraId="1CA2D102">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②建立一支专业消防队，指定防火防灾规划，明确责任区，针对本企业重点生产装置、重点部位、重要设备等易燃易爆区，制定灭火作战方案，进行实地演练，不断提高业务素质和灭火防灾能力。</w:t>
            </w:r>
          </w:p>
          <w:p w14:paraId="38429AB6">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③配备消防技术装备。消防技术装备主要包括各种性能的灭火剂、防毒剂等，灭火剂的贮量满足消防规定要求。</w:t>
            </w:r>
          </w:p>
          <w:p w14:paraId="54FAD468">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（3）运输防范措施</w:t>
            </w:r>
          </w:p>
          <w:p w14:paraId="0DA50A70">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如在运输途中发生重大事故，造成车辆严重损坏，罐体破裂，乙醇大量外流时，首先通知厂救援指挥部，立即组织抢险队用最快速度到达现场进行处理，在通知本厂的同时，还应对污染区内其他人员进行疏散，在处理事故同时，还应和当地（事故所在地）的有关部门取得联系，进行抢救伤员等事项；</w:t>
            </w:r>
          </w:p>
          <w:p w14:paraId="72157567">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②运输按规定路线行驶，避免在人口密集地区运输。夏季应早晚运输，防止日光爆晒；</w:t>
            </w:r>
          </w:p>
          <w:p w14:paraId="628CE894">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③运输车辆应为国家认证专业厂家生产的车辆，押运人员必须经过培训方可上岗。</w:t>
            </w:r>
          </w:p>
          <w:p w14:paraId="0CA408D3">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（4）现场管理应急措施</w:t>
            </w:r>
          </w:p>
          <w:p w14:paraId="20F40D2B">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①现场管理应急措施包括事故现场的组织、制度、分工、白救等方案制定和训练。</w:t>
            </w:r>
          </w:p>
          <w:p w14:paraId="02DEC6DA">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②制定醒目化学危险品的安全管理制度和化学灾害事故应急救援预案。组织训练本单位的灾害事故应急救援队伍，配备表的防护救援器材和设备，指定专人管理，并定期进行检查和维护保养，确保完好。</w:t>
            </w:r>
          </w:p>
          <w:p w14:paraId="61CAF914">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③明确项日应急处理的现场指挥机构及其相关系统，明确责任，并确保指挥到位和畅通。保证通讯，及时上报和联系。物质部门确保自救需要。</w:t>
            </w:r>
          </w:p>
          <w:p w14:paraId="557EF0D3">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④设置事故应急池，用以收集事故生产废水V</w:t>
            </w:r>
            <w:r>
              <w:rPr>
                <w:rFonts w:hint="eastAsia"/>
                <w:color w:val="000000" w:themeColor="text1"/>
                <w:sz w:val="24"/>
                <w:szCs w:val="24"/>
                <w:vertAlign w:val="subscript"/>
                <w:lang w:val="en-US" w:eastAsia="zh-CN"/>
                <w14:textFill>
                  <w14:solidFill>
                    <w14:schemeClr w14:val="tx1"/>
                  </w14:solidFill>
                </w14:textFill>
              </w:rPr>
              <w:t>1</w:t>
            </w:r>
            <w:r>
              <w:rPr>
                <w:rFonts w:hint="eastAsia"/>
                <w:color w:val="000000" w:themeColor="text1"/>
                <w:sz w:val="24"/>
                <w:szCs w:val="24"/>
                <w:lang w:val="en-US" w:eastAsia="zh-CN"/>
                <w14:textFill>
                  <w14:solidFill>
                    <w14:schemeClr w14:val="tx1"/>
                  </w14:solidFill>
                </w14:textFill>
              </w:rPr>
              <w:t>、污染雨水V</w:t>
            </w:r>
            <w:r>
              <w:rPr>
                <w:rFonts w:hint="eastAsia"/>
                <w:color w:val="000000" w:themeColor="text1"/>
                <w:sz w:val="24"/>
                <w:szCs w:val="24"/>
                <w:vertAlign w:val="sub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、消防废水V</w:t>
            </w:r>
            <w:r>
              <w:rPr>
                <w:rFonts w:hint="eastAsia"/>
                <w:color w:val="000000" w:themeColor="text1"/>
                <w:sz w:val="24"/>
                <w:szCs w:val="24"/>
                <w:vertAlign w:val="sub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，可按以下公式计算事故应急池容积：</w:t>
            </w:r>
          </w:p>
          <w:p w14:paraId="3A82D9DA">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V=V</w:t>
            </w:r>
            <w:r>
              <w:rPr>
                <w:rFonts w:hint="eastAsia"/>
                <w:color w:val="000000" w:themeColor="text1"/>
                <w:sz w:val="24"/>
                <w:szCs w:val="24"/>
                <w:vertAlign w:val="subscript"/>
                <w:lang w:val="en-US" w:eastAsia="zh-CN"/>
                <w14:textFill>
                  <w14:solidFill>
                    <w14:schemeClr w14:val="tx1"/>
                  </w14:solidFill>
                </w14:textFill>
              </w:rPr>
              <w:t>1</w:t>
            </w:r>
            <w:r>
              <w:rPr>
                <w:rFonts w:hint="eastAsia"/>
                <w:color w:val="000000" w:themeColor="text1"/>
                <w:sz w:val="24"/>
                <w:szCs w:val="24"/>
                <w:lang w:val="en-US" w:eastAsia="zh-CN"/>
                <w14:textFill>
                  <w14:solidFill>
                    <w14:schemeClr w14:val="tx1"/>
                  </w14:solidFill>
                </w14:textFill>
              </w:rPr>
              <w:t>+V</w:t>
            </w:r>
            <w:r>
              <w:rPr>
                <w:rFonts w:hint="eastAsia"/>
                <w:color w:val="000000" w:themeColor="text1"/>
                <w:sz w:val="24"/>
                <w:szCs w:val="24"/>
                <w:vertAlign w:val="sub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+V</w:t>
            </w:r>
            <w:r>
              <w:rPr>
                <w:rFonts w:hint="eastAsia"/>
                <w:color w:val="000000" w:themeColor="text1"/>
                <w:sz w:val="24"/>
                <w:szCs w:val="24"/>
                <w:vertAlign w:val="sub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 xml:space="preserve"> </w:t>
            </w:r>
          </w:p>
          <w:p w14:paraId="5DAD6047">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其中，V</w:t>
            </w:r>
            <w:r>
              <w:rPr>
                <w:rFonts w:hint="eastAsia"/>
                <w:color w:val="000000" w:themeColor="text1"/>
                <w:sz w:val="24"/>
                <w:szCs w:val="24"/>
                <w:vertAlign w:val="subscript"/>
                <w:lang w:val="en-US" w:eastAsia="zh-CN"/>
                <w14:textFill>
                  <w14:solidFill>
                    <w14:schemeClr w14:val="tx1"/>
                  </w14:solidFill>
                </w14:textFill>
              </w:rPr>
              <w:t>1</w:t>
            </w:r>
            <w:r>
              <w:rPr>
                <w:rFonts w:hint="eastAsia"/>
                <w:color w:val="000000" w:themeColor="text1"/>
                <w:sz w:val="24"/>
                <w:szCs w:val="24"/>
                <w:lang w:val="en-US" w:eastAsia="zh-CN"/>
                <w14:textFill>
                  <w14:solidFill>
                    <w14:schemeClr w14:val="tx1"/>
                  </w14:solidFill>
                </w14:textFill>
              </w:rPr>
              <w:t>为发生事故时进入事故应急池至少容纳1天的废水量262.4m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w:t>
            </w:r>
          </w:p>
          <w:p w14:paraId="1DDDE79D">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V</w:t>
            </w:r>
            <w:r>
              <w:rPr>
                <w:rFonts w:hint="eastAsia"/>
                <w:color w:val="000000" w:themeColor="text1"/>
                <w:sz w:val="24"/>
                <w:szCs w:val="24"/>
                <w:vertAlign w:val="sub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为发生事故时进入事故池至少容纳1天的污染雨水，由平均日降雨量q与雨水汇水面积F决定：</w:t>
            </w:r>
          </w:p>
          <w:p w14:paraId="5699E21B">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V</w:t>
            </w:r>
            <w:r>
              <w:rPr>
                <w:rFonts w:hint="eastAsia"/>
                <w:color w:val="000000" w:themeColor="text1"/>
                <w:sz w:val="24"/>
                <w:szCs w:val="24"/>
                <w:vertAlign w:val="sub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=10qF</w:t>
            </w:r>
          </w:p>
          <w:p w14:paraId="2F098502">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当q=8mm，F=2.7ha，可计算V</w:t>
            </w:r>
            <w:r>
              <w:rPr>
                <w:rFonts w:hint="eastAsia"/>
                <w:color w:val="000000" w:themeColor="text1"/>
                <w:sz w:val="24"/>
                <w:szCs w:val="24"/>
                <w:vertAlign w:val="sub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=21.6m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w:t>
            </w:r>
          </w:p>
          <w:p w14:paraId="380DD877">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V</w:t>
            </w:r>
            <w:r>
              <w:rPr>
                <w:rFonts w:hint="eastAsia"/>
                <w:color w:val="000000" w:themeColor="text1"/>
                <w:sz w:val="24"/>
                <w:szCs w:val="24"/>
                <w:vertAlign w:val="sub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为发生事故时进入事故池的消防废水量，由消防栓水量Q和火灾延续时间t决定：</w:t>
            </w:r>
          </w:p>
          <w:p w14:paraId="419E6458">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V</w:t>
            </w:r>
            <w:r>
              <w:rPr>
                <w:rFonts w:hint="eastAsia"/>
                <w:color w:val="000000" w:themeColor="text1"/>
                <w:sz w:val="24"/>
                <w:szCs w:val="24"/>
                <w:vertAlign w:val="sub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=Qt</w:t>
            </w:r>
          </w:p>
          <w:p w14:paraId="7267FF79">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当Q=15L/s，t=2h，可计算V</w:t>
            </w:r>
            <w:r>
              <w:rPr>
                <w:rFonts w:hint="eastAsia"/>
                <w:color w:val="000000" w:themeColor="text1"/>
                <w:sz w:val="24"/>
                <w:szCs w:val="24"/>
                <w:vertAlign w:val="sub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=108m</w:t>
            </w:r>
            <w:r>
              <w:rPr>
                <w:rFonts w:hint="eastAsia"/>
                <w:color w:val="000000" w:themeColor="text1"/>
                <w:sz w:val="24"/>
                <w:szCs w:val="24"/>
                <w:vertAlign w:val="superscript"/>
                <w:lang w:val="en-US" w:eastAsia="zh-CN"/>
                <w14:textFill>
                  <w14:solidFill>
                    <w14:schemeClr w14:val="tx1"/>
                  </w14:solidFill>
                </w14:textFill>
              </w:rPr>
              <w:t>3</w:t>
            </w:r>
          </w:p>
          <w:p w14:paraId="4E6C3880">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vertAlign w:val="baseline"/>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因此，事故应急池容积V=V</w:t>
            </w:r>
            <w:r>
              <w:rPr>
                <w:rFonts w:hint="eastAsia"/>
                <w:color w:val="000000" w:themeColor="text1"/>
                <w:sz w:val="24"/>
                <w:szCs w:val="24"/>
                <w:vertAlign w:val="subscript"/>
                <w:lang w:val="en-US" w:eastAsia="zh-CN"/>
                <w14:textFill>
                  <w14:solidFill>
                    <w14:schemeClr w14:val="tx1"/>
                  </w14:solidFill>
                </w14:textFill>
              </w:rPr>
              <w:t>1</w:t>
            </w:r>
            <w:r>
              <w:rPr>
                <w:rFonts w:hint="eastAsia"/>
                <w:color w:val="000000" w:themeColor="text1"/>
                <w:sz w:val="24"/>
                <w:szCs w:val="24"/>
                <w:lang w:val="en-US" w:eastAsia="zh-CN"/>
                <w14:textFill>
                  <w14:solidFill>
                    <w14:schemeClr w14:val="tx1"/>
                  </w14:solidFill>
                </w14:textFill>
              </w:rPr>
              <w:t>+V</w:t>
            </w:r>
            <w:r>
              <w:rPr>
                <w:rFonts w:hint="eastAsia"/>
                <w:color w:val="000000" w:themeColor="text1"/>
                <w:sz w:val="24"/>
                <w:szCs w:val="24"/>
                <w:vertAlign w:val="subscript"/>
                <w:lang w:val="en-US"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+V</w:t>
            </w:r>
            <w:r>
              <w:rPr>
                <w:rFonts w:hint="eastAsia"/>
                <w:color w:val="000000" w:themeColor="text1"/>
                <w:sz w:val="24"/>
                <w:szCs w:val="24"/>
                <w:vertAlign w:val="sub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=262.4+21.6+108=392（</w:t>
            </w:r>
            <w:r>
              <w:rPr>
                <w:rFonts w:hint="eastAsia"/>
                <w:color w:val="000000" w:themeColor="text1"/>
                <w:sz w:val="24"/>
                <w:szCs w:val="24"/>
                <w:lang w:val="en-US" w:eastAsia="zh-CN"/>
                <w14:textFill>
                  <w14:solidFill>
                    <w14:schemeClr w14:val="tx1"/>
                  </w14:solidFill>
                </w14:textFill>
              </w:rPr>
              <w:t>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w:t>
            </w:r>
          </w:p>
          <w:p w14:paraId="2558D8C0">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vertAlign w:val="baseline"/>
                <w:lang w:val="en-US" w:eastAsia="zh-CN"/>
                <w14:textFill>
                  <w14:solidFill>
                    <w14:schemeClr w14:val="tx1"/>
                  </w14:solidFill>
                </w14:textFill>
              </w:rPr>
              <w:t>本次环评建议企业设置容积为400m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的事故应急池，事故应急池宜采取地下式，使事故废水重力流排入。</w:t>
            </w:r>
          </w:p>
          <w:p w14:paraId="469E8DAD">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（5）现场监测措施</w:t>
            </w:r>
          </w:p>
          <w:p w14:paraId="6BC5CC81">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①为确保有效遏制灾害、有效救灾，需配备现场事故监测系统和设施，及时准确发现灾情，了解灾难，并预测发展趋势。</w:t>
            </w:r>
          </w:p>
          <w:p w14:paraId="25F7A4D6">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②监测措施包括配备正常运行的事故监测报警系统，事故现场移动式或便携式监测装置及分析室分析监测装置。</w:t>
            </w:r>
          </w:p>
          <w:p w14:paraId="72AE96D2">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（6）现场善后计划措施</w:t>
            </w:r>
          </w:p>
          <w:p w14:paraId="2D035D76">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①对事故处理后的现场进行清理、去污、恢复生产，对处理事故人员的污染检查、医学处理和受伤人员的及时的治疗等。</w:t>
            </w:r>
          </w:p>
          <w:p w14:paraId="74D8930A">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②对事故现场作进一步的安全检查，尤其是由于事故或抢救过程中留下的隐患，是否可能进一步引起的新的事故。</w:t>
            </w:r>
          </w:p>
          <w:p w14:paraId="7699CF7E">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③对事故原因的分析、教训的吸取，改进措施及总结，写出事故报告，保有关部门。</w:t>
            </w:r>
          </w:p>
          <w:p w14:paraId="4AFAC89B">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5.3 事故应急预案</w:t>
            </w:r>
          </w:p>
          <w:p w14:paraId="3E98757A">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重大事故应急救援预案是企业根据实际情况预计可能发生的重大事故，为加强对重大事故的处理能力所预先制定的事故应急对策。制定风险事故应急预案，建立急救指挥小组，并当地有关事故应急救援部门建立正常的定期联系，预案应包含的内容要求如下。</w:t>
            </w:r>
          </w:p>
          <w:p w14:paraId="500DBF3D">
            <w:pPr>
              <w:keepNext w:val="0"/>
              <w:keepLines w:val="0"/>
              <w:pageBreakBefore w:val="0"/>
              <w:widowControl w:val="0"/>
              <w:kinsoku/>
              <w:wordWrap/>
              <w:overflowPunct/>
              <w:topLinePunct w:val="0"/>
              <w:autoSpaceDE/>
              <w:autoSpaceDN w:val="0"/>
              <w:bidi w:val="0"/>
              <w:adjustRightInd w:val="0"/>
              <w:snapToGrid w:val="0"/>
              <w:spacing w:line="240" w:lineRule="auto"/>
              <w:ind w:left="0" w:leftChars="0" w:firstLine="0" w:firstLineChars="0"/>
              <w:jc w:val="center"/>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表43  项目应急预案内容表</w:t>
            </w:r>
          </w:p>
          <w:tbl>
            <w:tblPr>
              <w:tblStyle w:val="26"/>
              <w:tblW w:w="4981"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51" w:type="dxa"/>
                <w:bottom w:w="0" w:type="dxa"/>
                <w:right w:w="51" w:type="dxa"/>
              </w:tblCellMar>
            </w:tblPr>
            <w:tblGrid>
              <w:gridCol w:w="626"/>
              <w:gridCol w:w="2298"/>
              <w:gridCol w:w="5012"/>
            </w:tblGrid>
            <w:tr w14:paraId="1C03BE1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blHeader/>
              </w:trPr>
              <w:tc>
                <w:tcPr>
                  <w:tcW w:w="394" w:type="pct"/>
                  <w:tcBorders>
                    <w:tl2br w:val="nil"/>
                    <w:tr2bl w:val="nil"/>
                  </w:tcBorders>
                  <w:vAlign w:val="center"/>
                </w:tcPr>
                <w:p w14:paraId="528E6DCB">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序号</w:t>
                  </w:r>
                </w:p>
              </w:tc>
              <w:tc>
                <w:tcPr>
                  <w:tcW w:w="1447" w:type="pct"/>
                  <w:tcBorders>
                    <w:tl2br w:val="nil"/>
                    <w:tr2bl w:val="nil"/>
                  </w:tcBorders>
                  <w:vAlign w:val="center"/>
                </w:tcPr>
                <w:p w14:paraId="62D81BFB">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项目</w:t>
                  </w:r>
                </w:p>
              </w:tc>
              <w:tc>
                <w:tcPr>
                  <w:tcW w:w="3157" w:type="pct"/>
                  <w:tcBorders>
                    <w:tl2br w:val="nil"/>
                    <w:tr2bl w:val="nil"/>
                  </w:tcBorders>
                  <w:vAlign w:val="center"/>
                </w:tcPr>
                <w:p w14:paraId="01DD1C03">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内容及要求</w:t>
                  </w:r>
                </w:p>
              </w:tc>
            </w:tr>
            <w:tr w14:paraId="72A98E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752F0639">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p>
              </w:tc>
              <w:tc>
                <w:tcPr>
                  <w:tcW w:w="1447" w:type="pct"/>
                  <w:tcBorders>
                    <w:tl2br w:val="nil"/>
                    <w:tr2bl w:val="nil"/>
                  </w:tcBorders>
                  <w:vAlign w:val="center"/>
                </w:tcPr>
                <w:p w14:paraId="26027EA6">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Style w:val="82"/>
                      <w:rFonts w:hint="eastAsia" w:ascii="宋体" w:hAnsi="宋体" w:eastAsia="宋体" w:cs="宋体"/>
                      <w:color w:val="000000" w:themeColor="text1"/>
                      <w:sz w:val="21"/>
                      <w:szCs w:val="21"/>
                      <w:lang w:val="en-US" w:eastAsia="zh-CN" w:bidi="ar"/>
                      <w14:textFill>
                        <w14:solidFill>
                          <w14:schemeClr w14:val="tx1"/>
                        </w14:solidFill>
                      </w14:textFill>
                    </w:rPr>
                    <w:t>总则</w:t>
                  </w:r>
                </w:p>
              </w:tc>
              <w:tc>
                <w:tcPr>
                  <w:tcW w:w="3157" w:type="pct"/>
                  <w:tcBorders>
                    <w:tl2br w:val="nil"/>
                    <w:tr2bl w:val="nil"/>
                  </w:tcBorders>
                  <w:vAlign w:val="center"/>
                </w:tcPr>
                <w:p w14:paraId="4002FAED">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Style w:val="82"/>
                      <w:rFonts w:hint="eastAsia" w:ascii="宋体" w:hAnsi="宋体" w:eastAsia="宋体" w:cs="宋体"/>
                      <w:color w:val="000000" w:themeColor="text1"/>
                      <w:sz w:val="21"/>
                      <w:szCs w:val="21"/>
                      <w:lang w:val="en-US" w:eastAsia="zh-CN" w:bidi="ar"/>
                      <w14:textFill>
                        <w14:solidFill>
                          <w14:schemeClr w14:val="tx1"/>
                        </w14:solidFill>
                      </w14:textFill>
                    </w:rPr>
                    <w:t>简述生产过程中涉及物料性质及可能产生的突发事故</w:t>
                  </w:r>
                </w:p>
              </w:tc>
            </w:tr>
            <w:tr w14:paraId="7BF652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5148B477">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2</w:t>
                  </w:r>
                </w:p>
              </w:tc>
              <w:tc>
                <w:tcPr>
                  <w:tcW w:w="1447" w:type="pct"/>
                  <w:tcBorders>
                    <w:tl2br w:val="nil"/>
                    <w:tr2bl w:val="nil"/>
                  </w:tcBorders>
                  <w:vAlign w:val="center"/>
                </w:tcPr>
                <w:p w14:paraId="089EB039">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Style w:val="82"/>
                      <w:rFonts w:hint="eastAsia" w:ascii="宋体" w:hAnsi="宋体" w:eastAsia="宋体" w:cs="宋体"/>
                      <w:color w:val="000000" w:themeColor="text1"/>
                      <w:sz w:val="21"/>
                      <w:szCs w:val="21"/>
                      <w:lang w:val="en-US" w:eastAsia="zh-CN" w:bidi="ar"/>
                      <w14:textFill>
                        <w14:solidFill>
                          <w14:schemeClr w14:val="tx1"/>
                        </w14:solidFill>
                      </w14:textFill>
                    </w:rPr>
                    <w:t>危险源概况</w:t>
                  </w:r>
                </w:p>
              </w:tc>
              <w:tc>
                <w:tcPr>
                  <w:tcW w:w="3157" w:type="pct"/>
                  <w:tcBorders>
                    <w:tl2br w:val="nil"/>
                    <w:tr2bl w:val="nil"/>
                  </w:tcBorders>
                  <w:vAlign w:val="center"/>
                </w:tcPr>
                <w:p w14:paraId="1312EB66">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Style w:val="82"/>
                      <w:rFonts w:hint="eastAsia" w:ascii="宋体" w:hAnsi="宋体" w:eastAsia="宋体" w:cs="宋体"/>
                      <w:color w:val="000000" w:themeColor="text1"/>
                      <w:sz w:val="21"/>
                      <w:szCs w:val="21"/>
                      <w:lang w:val="en-US" w:eastAsia="zh-CN" w:bidi="ar"/>
                      <w14:textFill>
                        <w14:solidFill>
                          <w14:schemeClr w14:val="tx1"/>
                        </w14:solidFill>
                      </w14:textFill>
                    </w:rPr>
                    <w:t>评述危险源类型、数量及其分布</w:t>
                  </w:r>
                </w:p>
              </w:tc>
            </w:tr>
            <w:tr w14:paraId="77C1283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1908E509">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w:t>
                  </w:r>
                </w:p>
              </w:tc>
              <w:tc>
                <w:tcPr>
                  <w:tcW w:w="1447" w:type="pct"/>
                  <w:tcBorders>
                    <w:tl2br w:val="nil"/>
                    <w:tr2bl w:val="nil"/>
                  </w:tcBorders>
                  <w:vAlign w:val="center"/>
                </w:tcPr>
                <w:p w14:paraId="52576EDB">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Style w:val="82"/>
                      <w:rFonts w:hint="eastAsia" w:ascii="宋体" w:hAnsi="宋体" w:eastAsia="宋体" w:cs="宋体"/>
                      <w:color w:val="000000" w:themeColor="text1"/>
                      <w:sz w:val="21"/>
                      <w:szCs w:val="21"/>
                      <w:lang w:val="en-US" w:eastAsia="zh-CN" w:bidi="ar"/>
                      <w14:textFill>
                        <w14:solidFill>
                          <w14:schemeClr w14:val="tx1"/>
                        </w14:solidFill>
                      </w14:textFill>
                    </w:rPr>
                    <w:t>应急计划区</w:t>
                  </w:r>
                </w:p>
              </w:tc>
              <w:tc>
                <w:tcPr>
                  <w:tcW w:w="3157" w:type="pct"/>
                  <w:tcBorders>
                    <w:tl2br w:val="nil"/>
                    <w:tr2bl w:val="nil"/>
                  </w:tcBorders>
                  <w:vAlign w:val="center"/>
                </w:tcPr>
                <w:p w14:paraId="7EB2C98E">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Style w:val="82"/>
                      <w:rFonts w:hint="eastAsia" w:ascii="宋体" w:hAnsi="宋体" w:eastAsia="宋体" w:cs="宋体"/>
                      <w:color w:val="000000" w:themeColor="text1"/>
                      <w:sz w:val="21"/>
                      <w:szCs w:val="21"/>
                      <w:lang w:val="en-US" w:eastAsia="zh-CN" w:bidi="ar"/>
                      <w14:textFill>
                        <w14:solidFill>
                          <w14:schemeClr w14:val="tx1"/>
                        </w14:solidFill>
                      </w14:textFill>
                    </w:rPr>
                    <w:t>生产区、邻区</w:t>
                  </w:r>
                </w:p>
              </w:tc>
            </w:tr>
            <w:tr w14:paraId="4282CE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0C6FF3A6">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w:t>
                  </w:r>
                </w:p>
              </w:tc>
              <w:tc>
                <w:tcPr>
                  <w:tcW w:w="1447" w:type="pct"/>
                  <w:tcBorders>
                    <w:tl2br w:val="nil"/>
                    <w:tr2bl w:val="nil"/>
                  </w:tcBorders>
                  <w:vAlign w:val="center"/>
                </w:tcPr>
                <w:p w14:paraId="3357334E">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Style w:val="82"/>
                      <w:rFonts w:hint="eastAsia" w:ascii="宋体" w:hAnsi="宋体" w:eastAsia="宋体" w:cs="宋体"/>
                      <w:color w:val="000000" w:themeColor="text1"/>
                      <w:sz w:val="21"/>
                      <w:szCs w:val="21"/>
                      <w:lang w:val="en-US" w:eastAsia="zh-CN" w:bidi="ar"/>
                      <w14:textFill>
                        <w14:solidFill>
                          <w14:schemeClr w14:val="tx1"/>
                        </w14:solidFill>
                      </w14:textFill>
                    </w:rPr>
                    <w:t>应急组织</w:t>
                  </w:r>
                </w:p>
              </w:tc>
              <w:tc>
                <w:tcPr>
                  <w:tcW w:w="3157" w:type="pct"/>
                  <w:tcBorders>
                    <w:tl2br w:val="nil"/>
                    <w:tr2bl w:val="nil"/>
                  </w:tcBorders>
                  <w:vAlign w:val="center"/>
                </w:tcPr>
                <w:p w14:paraId="25AF9B90">
                  <w:pPr>
                    <w:keepNext w:val="0"/>
                    <w:keepLines w:val="0"/>
                    <w:widowControl/>
                    <w:suppressLineNumbers w:val="0"/>
                    <w:jc w:val="left"/>
                    <w:textAlignment w:val="center"/>
                    <w:rPr>
                      <w:rStyle w:val="84"/>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工厂</w:t>
                  </w:r>
                  <w:r>
                    <w:rPr>
                      <w:rStyle w:val="83"/>
                      <w:rFonts w:hint="eastAsia" w:ascii="宋体" w:hAnsi="宋体" w:eastAsia="宋体" w:cs="宋体"/>
                      <w:color w:val="000000" w:themeColor="text1"/>
                      <w:sz w:val="21"/>
                      <w:szCs w:val="21"/>
                      <w:lang w:val="en-US" w:eastAsia="zh-CN" w:bidi="ar"/>
                      <w14:textFill>
                        <w14:solidFill>
                          <w14:schemeClr w14:val="tx1"/>
                        </w14:solidFill>
                      </w14:textFill>
                    </w:rPr>
                    <w:t>：</w:t>
                  </w:r>
                  <w:r>
                    <w:rPr>
                      <w:rStyle w:val="84"/>
                      <w:rFonts w:hint="eastAsia" w:ascii="宋体" w:hAnsi="宋体" w:eastAsia="宋体" w:cs="宋体"/>
                      <w:color w:val="000000" w:themeColor="text1"/>
                      <w:sz w:val="21"/>
                      <w:szCs w:val="21"/>
                      <w:lang w:val="en-US" w:eastAsia="zh-CN" w:bidi="ar"/>
                      <w14:textFill>
                        <w14:solidFill>
                          <w14:schemeClr w14:val="tx1"/>
                        </w14:solidFill>
                      </w14:textFill>
                    </w:rPr>
                    <w:t>厂指挥部</w:t>
                  </w:r>
                  <w:r>
                    <w:rPr>
                      <w:rStyle w:val="85"/>
                      <w:rFonts w:hint="eastAsia" w:ascii="宋体" w:hAnsi="宋体" w:eastAsia="宋体" w:cs="宋体"/>
                      <w:color w:val="000000" w:themeColor="text1"/>
                      <w:sz w:val="21"/>
                      <w:szCs w:val="21"/>
                      <w:lang w:val="en-US" w:eastAsia="zh-CN" w:bidi="ar"/>
                      <w14:textFill>
                        <w14:solidFill>
                          <w14:schemeClr w14:val="tx1"/>
                        </w14:solidFill>
                      </w14:textFill>
                    </w:rPr>
                    <w:t>——</w:t>
                  </w:r>
                  <w:r>
                    <w:rPr>
                      <w:rStyle w:val="84"/>
                      <w:rFonts w:hint="eastAsia" w:ascii="宋体" w:hAnsi="宋体" w:eastAsia="宋体" w:cs="宋体"/>
                      <w:color w:val="000000" w:themeColor="text1"/>
                      <w:sz w:val="21"/>
                      <w:szCs w:val="21"/>
                      <w:lang w:val="en-US" w:eastAsia="zh-CN" w:bidi="ar"/>
                      <w14:textFill>
                        <w14:solidFill>
                          <w14:schemeClr w14:val="tx1"/>
                        </w14:solidFill>
                      </w14:textFill>
                    </w:rPr>
                    <w:t>负责全厂全而指挥</w:t>
                  </w:r>
                </w:p>
                <w:p w14:paraId="5F1820FD">
                  <w:pPr>
                    <w:keepNext w:val="0"/>
                    <w:keepLines w:val="0"/>
                    <w:widowControl/>
                    <w:suppressLineNumbers w:val="0"/>
                    <w:ind w:firstLine="420" w:firstLineChars="200"/>
                    <w:jc w:val="left"/>
                    <w:textAlignment w:val="center"/>
                    <w:rPr>
                      <w:rStyle w:val="84"/>
                      <w:rFonts w:hint="eastAsia" w:ascii="宋体" w:hAnsi="宋体" w:eastAsia="宋体" w:cs="宋体"/>
                      <w:color w:val="000000" w:themeColor="text1"/>
                      <w:sz w:val="21"/>
                      <w:szCs w:val="21"/>
                      <w:lang w:val="en-US" w:eastAsia="zh-CN" w:bidi="ar"/>
                      <w14:textFill>
                        <w14:solidFill>
                          <w14:schemeClr w14:val="tx1"/>
                        </w14:solidFill>
                      </w14:textFill>
                    </w:rPr>
                  </w:pPr>
                  <w:r>
                    <w:rPr>
                      <w:rStyle w:val="84"/>
                      <w:rFonts w:hint="eastAsia" w:ascii="宋体" w:hAnsi="宋体" w:eastAsia="宋体" w:cs="宋体"/>
                      <w:color w:val="000000" w:themeColor="text1"/>
                      <w:sz w:val="21"/>
                      <w:szCs w:val="21"/>
                      <w:lang w:val="en-US" w:eastAsia="zh-CN" w:bidi="ar"/>
                      <w14:textFill>
                        <w14:solidFill>
                          <w14:schemeClr w14:val="tx1"/>
                        </w14:solidFill>
                      </w14:textFill>
                    </w:rPr>
                    <w:t>专业救援队伍一一俠责事故控制、救援善后处理</w:t>
                  </w:r>
                </w:p>
                <w:p w14:paraId="36917FBE">
                  <w:pPr>
                    <w:keepNext w:val="0"/>
                    <w:keepLines w:val="0"/>
                    <w:widowControl/>
                    <w:suppressLineNumbers w:val="0"/>
                    <w:ind w:left="2100" w:hanging="2100" w:hangingChars="1000"/>
                    <w:jc w:val="left"/>
                    <w:textAlignment w:val="center"/>
                    <w:rPr>
                      <w:rStyle w:val="84"/>
                      <w:rFonts w:hint="eastAsia" w:ascii="宋体" w:hAnsi="宋体" w:eastAsia="宋体" w:cs="宋体"/>
                      <w:color w:val="000000" w:themeColor="text1"/>
                      <w:sz w:val="21"/>
                      <w:szCs w:val="21"/>
                      <w:lang w:val="en-US" w:eastAsia="zh-CN" w:bidi="ar"/>
                      <w14:textFill>
                        <w14:solidFill>
                          <w14:schemeClr w14:val="tx1"/>
                        </w14:solidFill>
                      </w14:textFill>
                    </w:rPr>
                  </w:pPr>
                  <w:r>
                    <w:rPr>
                      <w:rStyle w:val="84"/>
                      <w:rFonts w:hint="eastAsia" w:ascii="宋体" w:hAnsi="宋体" w:eastAsia="宋体" w:cs="宋体"/>
                      <w:color w:val="000000" w:themeColor="text1"/>
                      <w:sz w:val="21"/>
                      <w:szCs w:val="21"/>
                      <w:lang w:val="en-US" w:eastAsia="zh-CN" w:bidi="ar"/>
                      <w14:textFill>
                        <w14:solidFill>
                          <w14:schemeClr w14:val="tx1"/>
                        </w14:solidFill>
                      </w14:textFill>
                    </w:rPr>
                    <w:t>地区：地区指挥部</w:t>
                  </w:r>
                  <w:r>
                    <w:rPr>
                      <w:rStyle w:val="85"/>
                      <w:rFonts w:hint="eastAsia" w:ascii="宋体" w:hAnsi="宋体" w:eastAsia="宋体" w:cs="宋体"/>
                      <w:color w:val="000000" w:themeColor="text1"/>
                      <w:sz w:val="21"/>
                      <w:szCs w:val="21"/>
                      <w:lang w:val="en-US" w:eastAsia="zh-CN" w:bidi="ar"/>
                      <w14:textFill>
                        <w14:solidFill>
                          <w14:schemeClr w14:val="tx1"/>
                        </w14:solidFill>
                      </w14:textFill>
                    </w:rPr>
                    <w:t>——</w:t>
                  </w:r>
                  <w:r>
                    <w:rPr>
                      <w:rStyle w:val="84"/>
                      <w:rFonts w:hint="eastAsia" w:ascii="宋体" w:hAnsi="宋体" w:eastAsia="宋体" w:cs="宋体"/>
                      <w:color w:val="000000" w:themeColor="text1"/>
                      <w:sz w:val="21"/>
                      <w:szCs w:val="21"/>
                      <w:lang w:val="en-US" w:eastAsia="zh-CN" w:bidi="ar"/>
                      <w14:textFill>
                        <w14:solidFill>
                          <w14:schemeClr w14:val="tx1"/>
                        </w14:solidFill>
                      </w14:textFill>
                    </w:rPr>
                    <w:t>负责工厂附近地区、全面指挥、救援、疏散</w:t>
                  </w:r>
                </w:p>
                <w:p w14:paraId="66E0C015">
                  <w:pPr>
                    <w:keepNext w:val="0"/>
                    <w:keepLines w:val="0"/>
                    <w:widowControl/>
                    <w:suppressLineNumbers w:val="0"/>
                    <w:ind w:firstLine="420" w:firstLineChars="20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Style w:val="84"/>
                      <w:rFonts w:hint="eastAsia" w:ascii="宋体" w:hAnsi="宋体" w:eastAsia="宋体" w:cs="宋体"/>
                      <w:color w:val="000000" w:themeColor="text1"/>
                      <w:sz w:val="21"/>
                      <w:szCs w:val="21"/>
                      <w:lang w:val="en-US" w:eastAsia="zh-CN" w:bidi="ar"/>
                      <w14:textFill>
                        <w14:solidFill>
                          <w14:schemeClr w14:val="tx1"/>
                        </w14:solidFill>
                      </w14:textFill>
                    </w:rPr>
                    <w:t>专业救援队伍</w:t>
                  </w:r>
                  <w:r>
                    <w:rPr>
                      <w:rStyle w:val="85"/>
                      <w:rFonts w:hint="eastAsia" w:ascii="宋体" w:hAnsi="宋体" w:eastAsia="宋体" w:cs="宋体"/>
                      <w:color w:val="000000" w:themeColor="text1"/>
                      <w:sz w:val="21"/>
                      <w:szCs w:val="21"/>
                      <w:lang w:val="en-US" w:eastAsia="zh-CN" w:bidi="ar"/>
                      <w14:textFill>
                        <w14:solidFill>
                          <w14:schemeClr w14:val="tx1"/>
                        </w14:solidFill>
                      </w14:textFill>
                    </w:rPr>
                    <w:t>——</w:t>
                  </w:r>
                  <w:r>
                    <w:rPr>
                      <w:rStyle w:val="84"/>
                      <w:rFonts w:hint="eastAsia" w:ascii="宋体" w:hAnsi="宋体" w:eastAsia="宋体" w:cs="宋体"/>
                      <w:color w:val="000000" w:themeColor="text1"/>
                      <w:sz w:val="21"/>
                      <w:szCs w:val="21"/>
                      <w:lang w:val="en-US" w:eastAsia="zh-CN" w:bidi="ar"/>
                      <w14:textFill>
                        <w14:solidFill>
                          <w14:schemeClr w14:val="tx1"/>
                        </w14:solidFill>
                      </w14:textFill>
                    </w:rPr>
                    <w:t>负责对厂专业救援队伍支援</w:t>
                  </w:r>
                </w:p>
              </w:tc>
            </w:tr>
            <w:tr w14:paraId="28A8E7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647FEFE3">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w:t>
                  </w:r>
                </w:p>
              </w:tc>
              <w:tc>
                <w:tcPr>
                  <w:tcW w:w="1447" w:type="pct"/>
                  <w:tcBorders>
                    <w:tl2br w:val="nil"/>
                    <w:tr2bl w:val="nil"/>
                  </w:tcBorders>
                  <w:vAlign w:val="center"/>
                </w:tcPr>
                <w:p w14:paraId="7A250156">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Style w:val="82"/>
                      <w:rFonts w:hint="eastAsia" w:ascii="宋体" w:hAnsi="宋体" w:eastAsia="宋体" w:cs="宋体"/>
                      <w:color w:val="000000" w:themeColor="text1"/>
                      <w:sz w:val="21"/>
                      <w:szCs w:val="21"/>
                      <w:lang w:val="en-US" w:eastAsia="zh-CN" w:bidi="ar"/>
                      <w14:textFill>
                        <w14:solidFill>
                          <w14:schemeClr w14:val="tx1"/>
                        </w14:solidFill>
                      </w14:textFill>
                    </w:rPr>
                    <w:t>应急状态分类及应急 响应程序</w:t>
                  </w:r>
                </w:p>
              </w:tc>
              <w:tc>
                <w:tcPr>
                  <w:tcW w:w="3157" w:type="pct"/>
                  <w:tcBorders>
                    <w:tl2br w:val="nil"/>
                    <w:tr2bl w:val="nil"/>
                  </w:tcBorders>
                  <w:vAlign w:val="center"/>
                </w:tcPr>
                <w:p w14:paraId="60CA6442">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Style w:val="82"/>
                      <w:rFonts w:hint="eastAsia" w:ascii="宋体" w:hAnsi="宋体" w:eastAsia="宋体" w:cs="宋体"/>
                      <w:color w:val="000000" w:themeColor="text1"/>
                      <w:sz w:val="21"/>
                      <w:szCs w:val="21"/>
                      <w:lang w:val="en-US" w:eastAsia="zh-CN" w:bidi="ar"/>
                      <w14:textFill>
                        <w14:solidFill>
                          <w14:schemeClr w14:val="tx1"/>
                        </w14:solidFill>
                      </w14:textFill>
                    </w:rPr>
                    <w:t>规定事故的级别及相应的应急分类响应程序</w:t>
                  </w:r>
                </w:p>
              </w:tc>
            </w:tr>
            <w:tr w14:paraId="04D1953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14F234E2">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6</w:t>
                  </w:r>
                </w:p>
              </w:tc>
              <w:tc>
                <w:tcPr>
                  <w:tcW w:w="1447" w:type="pct"/>
                  <w:tcBorders>
                    <w:tl2br w:val="nil"/>
                    <w:tr2bl w:val="nil"/>
                  </w:tcBorders>
                  <w:vAlign w:val="center"/>
                </w:tcPr>
                <w:p w14:paraId="1C819D51">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应急设施、设备与材料</w:t>
                  </w:r>
                </w:p>
              </w:tc>
              <w:tc>
                <w:tcPr>
                  <w:tcW w:w="3157" w:type="pct"/>
                  <w:tcBorders>
                    <w:tl2br w:val="nil"/>
                    <w:tr2bl w:val="nil"/>
                  </w:tcBorders>
                  <w:vAlign w:val="center"/>
                </w:tcPr>
                <w:p w14:paraId="1D07B8F6">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生产装置：</w:t>
                  </w:r>
                </w:p>
                <w:p w14:paraId="4C39D0D3">
                  <w:pPr>
                    <w:keepNext w:val="0"/>
                    <w:keepLines w:val="0"/>
                    <w:widowControl/>
                    <w:numPr>
                      <w:ilvl w:val="0"/>
                      <w:numId w:val="5"/>
                    </w:numPr>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防火灾、爆炸事故应急设施、设备与材料，主要为消防器材；</w:t>
                  </w:r>
                </w:p>
                <w:p w14:paraId="47DDF74C">
                  <w:pPr>
                    <w:keepNext w:val="0"/>
                    <w:keepLines w:val="0"/>
                    <w:widowControl/>
                    <w:numPr>
                      <w:ilvl w:val="0"/>
                      <w:numId w:val="5"/>
                    </w:numPr>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防止原辅材料外溢、扩散 </w:t>
                  </w:r>
                </w:p>
                <w:p w14:paraId="2DE2D20D">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贮存区： </w:t>
                  </w:r>
                </w:p>
                <w:p w14:paraId="35E53C3B">
                  <w:pPr>
                    <w:keepNext w:val="0"/>
                    <w:keepLines w:val="0"/>
                    <w:widowControl/>
                    <w:numPr>
                      <w:ilvl w:val="0"/>
                      <w:numId w:val="6"/>
                    </w:numPr>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防火灾爆炸事故应急设施、设备与材料；主要是消防器材</w:t>
                  </w:r>
                </w:p>
                <w:p w14:paraId="042B2609">
                  <w:pPr>
                    <w:keepNext w:val="0"/>
                    <w:keepLines w:val="0"/>
                    <w:widowControl/>
                    <w:numPr>
                      <w:ilvl w:val="0"/>
                      <w:numId w:val="6"/>
                    </w:numPr>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防止原辅材料外溢、扩散</w:t>
                  </w:r>
                </w:p>
              </w:tc>
            </w:tr>
            <w:tr w14:paraId="59C755C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07BF65F2">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7</w:t>
                  </w:r>
                </w:p>
              </w:tc>
              <w:tc>
                <w:tcPr>
                  <w:tcW w:w="1447" w:type="pct"/>
                  <w:tcBorders>
                    <w:tl2br w:val="nil"/>
                    <w:tr2bl w:val="nil"/>
                  </w:tcBorders>
                  <w:vAlign w:val="center"/>
                </w:tcPr>
                <w:p w14:paraId="0B927576">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应急通讯、通知和交通</w:t>
                  </w:r>
                </w:p>
              </w:tc>
              <w:tc>
                <w:tcPr>
                  <w:tcW w:w="3157" w:type="pct"/>
                  <w:tcBorders>
                    <w:tl2br w:val="nil"/>
                    <w:tr2bl w:val="nil"/>
                  </w:tcBorders>
                  <w:vAlign w:val="center"/>
                </w:tcPr>
                <w:p w14:paraId="257FF7DB">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规定成急状态下的通讯方式、通知方式和交通保障、管制</w:t>
                  </w:r>
                </w:p>
              </w:tc>
            </w:tr>
            <w:tr w14:paraId="110CE33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3E51686A">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8</w:t>
                  </w:r>
                </w:p>
              </w:tc>
              <w:tc>
                <w:tcPr>
                  <w:tcW w:w="1447" w:type="pct"/>
                  <w:tcBorders>
                    <w:tl2br w:val="nil"/>
                    <w:tr2bl w:val="nil"/>
                  </w:tcBorders>
                  <w:vAlign w:val="center"/>
                </w:tcPr>
                <w:p w14:paraId="7DC9A21E">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应急环境监测及歩故 后评估</w:t>
                  </w:r>
                </w:p>
              </w:tc>
              <w:tc>
                <w:tcPr>
                  <w:tcW w:w="3157" w:type="pct"/>
                  <w:tcBorders>
                    <w:tl2br w:val="nil"/>
                    <w:tr2bl w:val="nil"/>
                  </w:tcBorders>
                  <w:vAlign w:val="center"/>
                </w:tcPr>
                <w:p w14:paraId="55EB096A">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由专业队伍对事故现场进行侦察监测，对事故性质、参数与后果进行评估，为指挥部门提供决策依据</w:t>
                  </w:r>
                </w:p>
              </w:tc>
            </w:tr>
            <w:tr w14:paraId="477936E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2E0ED129">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9</w:t>
                  </w:r>
                </w:p>
              </w:tc>
              <w:tc>
                <w:tcPr>
                  <w:tcW w:w="1447" w:type="pct"/>
                  <w:tcBorders>
                    <w:tl2br w:val="nil"/>
                    <w:tr2bl w:val="nil"/>
                  </w:tcBorders>
                  <w:vAlign w:val="center"/>
                </w:tcPr>
                <w:p w14:paraId="17EAF160">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应急防护措施、消除泄 漏措施方法和器材</w:t>
                  </w:r>
                </w:p>
              </w:tc>
              <w:tc>
                <w:tcPr>
                  <w:tcW w:w="3157" w:type="pct"/>
                  <w:tcBorders>
                    <w:tl2br w:val="nil"/>
                    <w:tr2bl w:val="nil"/>
                  </w:tcBorders>
                  <w:vAlign w:val="center"/>
                </w:tcPr>
                <w:p w14:paraId="58CC30AB">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事故现场：控制事故、防止扩大、漫延及连锁反应、消除现场泄漏物、降低危害；相应的设施器材配备</w:t>
                  </w:r>
                </w:p>
                <w:p w14:paraId="100B04B5">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邻近区域：控制火区域，控制和消除污染措施及相应设备配备</w:t>
                  </w:r>
                </w:p>
              </w:tc>
            </w:tr>
            <w:tr w14:paraId="7422903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27937BD6">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10</w:t>
                  </w:r>
                </w:p>
              </w:tc>
              <w:tc>
                <w:tcPr>
                  <w:tcW w:w="1447" w:type="pct"/>
                  <w:tcBorders>
                    <w:tl2br w:val="nil"/>
                    <w:tr2bl w:val="nil"/>
                  </w:tcBorders>
                  <w:vAlign w:val="center"/>
                </w:tcPr>
                <w:p w14:paraId="4F988CB7">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撤离组织计划、医疗救 护与公众健康</w:t>
                  </w:r>
                </w:p>
              </w:tc>
              <w:tc>
                <w:tcPr>
                  <w:tcW w:w="3157" w:type="pct"/>
                  <w:tcBorders>
                    <w:tl2br w:val="nil"/>
                    <w:tr2bl w:val="nil"/>
                  </w:tcBorders>
                  <w:vAlign w:val="center"/>
                </w:tcPr>
                <w:p w14:paraId="3D5FCB6A">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事故现场：事故处理人员对现场的控制，现场及邻近装置人员撤离组织计划及救护</w:t>
                  </w:r>
                </w:p>
                <w:p w14:paraId="027E1760">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工厂邻近区：受事故影响的邻近区域人员及公众的安全撤离及救护</w:t>
                  </w:r>
                </w:p>
              </w:tc>
            </w:tr>
            <w:tr w14:paraId="157E71F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339D2126">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11</w:t>
                  </w:r>
                </w:p>
              </w:tc>
              <w:tc>
                <w:tcPr>
                  <w:tcW w:w="1447" w:type="pct"/>
                  <w:tcBorders>
                    <w:tl2br w:val="nil"/>
                    <w:tr2bl w:val="nil"/>
                  </w:tcBorders>
                  <w:vAlign w:val="center"/>
                </w:tcPr>
                <w:p w14:paraId="7785D24F">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应急状态终止与恢复 措施</w:t>
                  </w:r>
                </w:p>
              </w:tc>
              <w:tc>
                <w:tcPr>
                  <w:tcW w:w="3157" w:type="pct"/>
                  <w:tcBorders>
                    <w:tl2br w:val="nil"/>
                    <w:tr2bl w:val="nil"/>
                  </w:tcBorders>
                  <w:vAlign w:val="center"/>
                </w:tcPr>
                <w:p w14:paraId="33F2B741">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规定应急状态终止程序：事故善后处理，恢复措施邻近区域解除事故警戒及善后恢复措施</w:t>
                  </w:r>
                </w:p>
              </w:tc>
            </w:tr>
            <w:tr w14:paraId="2DF8AE5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2AAA8929">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12</w:t>
                  </w:r>
                </w:p>
              </w:tc>
              <w:tc>
                <w:tcPr>
                  <w:tcW w:w="1447" w:type="pct"/>
                  <w:tcBorders>
                    <w:tl2br w:val="nil"/>
                    <w:tr2bl w:val="nil"/>
                  </w:tcBorders>
                  <w:vAlign w:val="center"/>
                </w:tcPr>
                <w:p w14:paraId="44254D2D">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人员培训与演练</w:t>
                  </w:r>
                </w:p>
              </w:tc>
              <w:tc>
                <w:tcPr>
                  <w:tcW w:w="3157" w:type="pct"/>
                  <w:tcBorders>
                    <w:tl2br w:val="nil"/>
                    <w:tr2bl w:val="nil"/>
                  </w:tcBorders>
                  <w:vAlign w:val="center"/>
                </w:tcPr>
                <w:p w14:paraId="7A3F9160">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应急计划制定后，安排人员培训及演练，演练频次定为两次/年</w:t>
                  </w:r>
                </w:p>
              </w:tc>
            </w:tr>
            <w:tr w14:paraId="446D74F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3CE20C53">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13</w:t>
                  </w:r>
                </w:p>
              </w:tc>
              <w:tc>
                <w:tcPr>
                  <w:tcW w:w="1447" w:type="pct"/>
                  <w:tcBorders>
                    <w:tl2br w:val="nil"/>
                    <w:tr2bl w:val="nil"/>
                  </w:tcBorders>
                  <w:vAlign w:val="center"/>
                </w:tcPr>
                <w:p w14:paraId="34C7EA11">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公众教育和信息</w:t>
                  </w:r>
                </w:p>
              </w:tc>
              <w:tc>
                <w:tcPr>
                  <w:tcW w:w="3157" w:type="pct"/>
                  <w:tcBorders>
                    <w:tl2br w:val="nil"/>
                    <w:tr2bl w:val="nil"/>
                  </w:tcBorders>
                  <w:vAlign w:val="center"/>
                </w:tcPr>
                <w:p w14:paraId="7D316F3A">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对工厂邻近地区开展公众教育、培训与发布相关信息</w:t>
                  </w:r>
                </w:p>
              </w:tc>
            </w:tr>
            <w:tr w14:paraId="04554CA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5F61C784">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14</w:t>
                  </w:r>
                </w:p>
              </w:tc>
              <w:tc>
                <w:tcPr>
                  <w:tcW w:w="1447" w:type="pct"/>
                  <w:tcBorders>
                    <w:tl2br w:val="nil"/>
                    <w:tr2bl w:val="nil"/>
                  </w:tcBorders>
                  <w:vAlign w:val="center"/>
                </w:tcPr>
                <w:p w14:paraId="7D58B80B">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记录和报告</w:t>
                  </w:r>
                </w:p>
              </w:tc>
              <w:tc>
                <w:tcPr>
                  <w:tcW w:w="3157" w:type="pct"/>
                  <w:tcBorders>
                    <w:tl2br w:val="nil"/>
                    <w:tr2bl w:val="nil"/>
                  </w:tcBorders>
                  <w:vAlign w:val="center"/>
                </w:tcPr>
                <w:p w14:paraId="0127E7F3">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设置应急事故专门记录，建立档案和专门报告制度，设专门部门和负责管理</w:t>
                  </w:r>
                </w:p>
              </w:tc>
            </w:tr>
            <w:tr w14:paraId="2850FA1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1" w:type="dxa"/>
                  <w:bottom w:w="0" w:type="dxa"/>
                  <w:right w:w="51" w:type="dxa"/>
                </w:tblCellMar>
              </w:tblPrEx>
              <w:trPr>
                <w:trHeight w:val="454" w:hRule="atLeast"/>
              </w:trPr>
              <w:tc>
                <w:tcPr>
                  <w:tcW w:w="394" w:type="pct"/>
                  <w:tcBorders>
                    <w:tl2br w:val="nil"/>
                    <w:tr2bl w:val="nil"/>
                  </w:tcBorders>
                  <w:vAlign w:val="center"/>
                </w:tcPr>
                <w:p w14:paraId="48BF8AA5">
                  <w:pPr>
                    <w:keepNext w:val="0"/>
                    <w:keepLines w:val="0"/>
                    <w:suppressLineNumbers w:val="0"/>
                    <w:topLinePunct/>
                    <w:adjustRightInd w:val="0"/>
                    <w:spacing w:before="0" w:beforeAutospacing="0" w:after="0" w:afterAutospacing="0"/>
                    <w:ind w:left="0" w:right="0"/>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15</w:t>
                  </w:r>
                </w:p>
              </w:tc>
              <w:tc>
                <w:tcPr>
                  <w:tcW w:w="1447" w:type="pct"/>
                  <w:tcBorders>
                    <w:tl2br w:val="nil"/>
                    <w:tr2bl w:val="nil"/>
                  </w:tcBorders>
                  <w:vAlign w:val="center"/>
                </w:tcPr>
                <w:p w14:paraId="5FB22442">
                  <w:pPr>
                    <w:keepNext w:val="0"/>
                    <w:keepLines w:val="0"/>
                    <w:widowControl/>
                    <w:suppressLineNumbers w:val="0"/>
                    <w:jc w:val="center"/>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附件</w:t>
                  </w:r>
                </w:p>
              </w:tc>
              <w:tc>
                <w:tcPr>
                  <w:tcW w:w="3157" w:type="pct"/>
                  <w:tcBorders>
                    <w:tl2br w:val="nil"/>
                    <w:tr2bl w:val="nil"/>
                  </w:tcBorders>
                  <w:vAlign w:val="center"/>
                </w:tcPr>
                <w:p w14:paraId="2A7148C7">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与应急事故有关的多种附件材料的准备和形成</w:t>
                  </w:r>
                </w:p>
              </w:tc>
            </w:tr>
          </w:tbl>
          <w:p w14:paraId="38171940">
            <w:pPr>
              <w:keepNext w:val="0"/>
              <w:keepLines w:val="0"/>
              <w:pageBreakBefore w:val="0"/>
              <w:widowControl w:val="0"/>
              <w:kinsoku/>
              <w:wordWrap/>
              <w:overflowPunct/>
              <w:topLinePunct w:val="0"/>
              <w:autoSpaceDE/>
              <w:autoSpaceDN w:val="0"/>
              <w:bidi w:val="0"/>
              <w:adjustRightInd w:val="0"/>
              <w:snapToGrid w:val="0"/>
              <w:spacing w:before="157" w:beforeLines="50" w:line="360" w:lineRule="auto"/>
              <w:ind w:firstLine="480" w:firstLineChars="200"/>
              <w:jc w:val="left"/>
              <w:textAlignment w:val="baseline"/>
              <w:rPr>
                <w:rFonts w:hint="eastAsia"/>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lang w:val="en-US" w:eastAsia="zh-CN"/>
                <w14:textFill>
                  <w14:solidFill>
                    <w14:schemeClr w14:val="tx1"/>
                  </w14:solidFill>
                </w14:textFill>
              </w:rPr>
              <w:t>综上所述，在严格落实本次环评提出的各项事故防范和应急措施、加强管理的前提下，可最大限度地减少可能发生的环境风险，并在风险事故发生后，及时采取风险防范措施及应急预案，可以使风险事故对环境的危害得到有效控制，将事故风险控制在可以接受的范围内。</w:t>
            </w:r>
          </w:p>
          <w:p w14:paraId="209579E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0" w:firstLineChars="0"/>
              <w:jc w:val="left"/>
              <w:textAlignment w:val="auto"/>
              <w:rPr>
                <w:rFonts w:hint="default"/>
                <w:color w:val="000000" w:themeColor="text1"/>
                <w:sz w:val="24"/>
                <w:szCs w:val="24"/>
                <w:highlight w:val="yellow"/>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六</w:t>
            </w:r>
            <w:r>
              <w:rPr>
                <w:rFonts w:hint="default"/>
                <w:color w:val="000000" w:themeColor="text1"/>
                <w:sz w:val="24"/>
                <w:szCs w:val="24"/>
                <w:highlight w:val="none"/>
                <w:lang w:val="en-US"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环保投资情况</w:t>
            </w:r>
          </w:p>
          <w:p w14:paraId="4F4096D5">
            <w:pPr>
              <w:keepNext w:val="0"/>
              <w:keepLines w:val="0"/>
              <w:pageBreakBefore w:val="0"/>
              <w:widowControl w:val="0"/>
              <w:kinsoku/>
              <w:wordWrap/>
              <w:overflowPunct/>
              <w:topLinePunct w:val="0"/>
              <w:autoSpaceDE/>
              <w:autoSpaceDN w:val="0"/>
              <w:bidi w:val="0"/>
              <w:adjustRightInd w:val="0"/>
              <w:snapToGrid w:val="0"/>
              <w:spacing w:line="360" w:lineRule="auto"/>
              <w:ind w:firstLine="480" w:firstLineChars="200"/>
              <w:jc w:val="left"/>
              <w:textAlignment w:val="baseline"/>
              <w:rPr>
                <w:rFonts w:hint="eastAsia"/>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本项目</w:t>
            </w:r>
            <w:r>
              <w:rPr>
                <w:rFonts w:hint="eastAsia"/>
                <w:color w:val="000000" w:themeColor="text1"/>
                <w:sz w:val="24"/>
                <w:szCs w:val="24"/>
                <w:lang w:val="en-US" w:eastAsia="zh-CN"/>
                <w14:textFill>
                  <w14:solidFill>
                    <w14:schemeClr w14:val="tx1"/>
                  </w14:solidFill>
                </w14:textFill>
              </w:rPr>
              <w:t>总投资1.5亿元，其中环保投资308万元，占比2.05%，具体如下表：</w:t>
            </w:r>
          </w:p>
          <w:p w14:paraId="7F681DC1">
            <w:pPr>
              <w:keepNext w:val="0"/>
              <w:keepLines w:val="0"/>
              <w:pageBreakBefore w:val="0"/>
              <w:widowControl w:val="0"/>
              <w:kinsoku/>
              <w:wordWrap/>
              <w:overflowPunct/>
              <w:topLinePunct w:val="0"/>
              <w:autoSpaceDE/>
              <w:autoSpaceDN w:val="0"/>
              <w:bidi w:val="0"/>
              <w:adjustRightInd w:val="0"/>
              <w:snapToGrid w:val="0"/>
              <w:spacing w:line="240" w:lineRule="auto"/>
              <w:ind w:left="0" w:leftChars="0" w:firstLine="0" w:firstLineChars="0"/>
              <w:jc w:val="center"/>
              <w:textAlignment w:val="baseline"/>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表44  项目环保投资情况表</w:t>
            </w:r>
          </w:p>
          <w:tbl>
            <w:tblPr>
              <w:tblStyle w:val="26"/>
              <w:tblW w:w="497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192"/>
              <w:gridCol w:w="4144"/>
              <w:gridCol w:w="970"/>
            </w:tblGrid>
            <w:tr w14:paraId="6400997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454" w:hRule="atLeast"/>
                <w:tblHeader/>
                <w:jc w:val="center"/>
              </w:trPr>
              <w:tc>
                <w:tcPr>
                  <w:tcW w:w="386" w:type="pct"/>
                  <w:tcBorders>
                    <w:tl2br w:val="nil"/>
                    <w:tr2bl w:val="nil"/>
                  </w:tcBorders>
                  <w:vAlign w:val="center"/>
                </w:tcPr>
                <w:p w14:paraId="49A0C9D0">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类别</w:t>
                  </w:r>
                </w:p>
              </w:tc>
              <w:tc>
                <w:tcPr>
                  <w:tcW w:w="1384" w:type="pct"/>
                  <w:tcBorders>
                    <w:tl2br w:val="nil"/>
                    <w:tr2bl w:val="nil"/>
                  </w:tcBorders>
                  <w:vAlign w:val="center"/>
                </w:tcPr>
                <w:p w14:paraId="58416D80">
                  <w:pPr>
                    <w:keepNext w:val="0"/>
                    <w:keepLines w:val="0"/>
                    <w:suppressLineNumbers w:val="0"/>
                    <w:topLinePunct/>
                    <w:adjustRightInd w:val="0"/>
                    <w:spacing w:before="0" w:beforeAutospacing="0" w:after="0" w:afterAutospacing="0"/>
                    <w:ind w:left="0" w:right="0"/>
                    <w:jc w:val="center"/>
                    <w:rPr>
                      <w:rFonts w:hint="eastAsia" w:eastAsia="宋体"/>
                      <w:color w:val="000000" w:themeColor="text1"/>
                      <w:kern w:val="0"/>
                      <w:szCs w:val="21"/>
                      <w:lang w:eastAsia="zh-CN"/>
                      <w14:textFill>
                        <w14:solidFill>
                          <w14:schemeClr w14:val="tx1"/>
                        </w14:solidFill>
                      </w14:textFill>
                    </w:rPr>
                  </w:pPr>
                  <w:r>
                    <w:rPr>
                      <w:rFonts w:hint="default"/>
                      <w:color w:val="000000" w:themeColor="text1"/>
                      <w:kern w:val="0"/>
                      <w:szCs w:val="21"/>
                      <w14:textFill>
                        <w14:solidFill>
                          <w14:schemeClr w14:val="tx1"/>
                        </w14:solidFill>
                      </w14:textFill>
                    </w:rPr>
                    <w:t>污染</w:t>
                  </w:r>
                  <w:r>
                    <w:rPr>
                      <w:rFonts w:hint="eastAsia"/>
                      <w:color w:val="000000" w:themeColor="text1"/>
                      <w:kern w:val="0"/>
                      <w:szCs w:val="21"/>
                      <w:lang w:val="en-US" w:eastAsia="zh-CN"/>
                      <w14:textFill>
                        <w14:solidFill>
                          <w14:schemeClr w14:val="tx1"/>
                        </w14:solidFill>
                      </w14:textFill>
                    </w:rPr>
                    <w:t>源</w:t>
                  </w:r>
                </w:p>
              </w:tc>
              <w:tc>
                <w:tcPr>
                  <w:tcW w:w="2616" w:type="pct"/>
                  <w:tcBorders>
                    <w:tl2br w:val="nil"/>
                    <w:tr2bl w:val="nil"/>
                  </w:tcBorders>
                  <w:vAlign w:val="center"/>
                </w:tcPr>
                <w:p w14:paraId="6ACBFEEE">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采取措施</w:t>
                  </w:r>
                </w:p>
              </w:tc>
              <w:tc>
                <w:tcPr>
                  <w:tcW w:w="612" w:type="pct"/>
                  <w:tcBorders>
                    <w:tl2br w:val="nil"/>
                    <w:tr2bl w:val="nil"/>
                  </w:tcBorders>
                  <w:vAlign w:val="center"/>
                </w:tcPr>
                <w:p w14:paraId="176284EB">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投资</w:t>
                  </w:r>
                </w:p>
                <w:p w14:paraId="2866A254">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（万元）</w:t>
                  </w:r>
                </w:p>
              </w:tc>
            </w:tr>
            <w:tr w14:paraId="510367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86" w:type="pct"/>
                  <w:vMerge w:val="restart"/>
                  <w:tcBorders>
                    <w:tl2br w:val="nil"/>
                    <w:tr2bl w:val="nil"/>
                  </w:tcBorders>
                  <w:vAlign w:val="center"/>
                </w:tcPr>
                <w:p w14:paraId="25363803">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废气</w:t>
                  </w:r>
                </w:p>
              </w:tc>
              <w:tc>
                <w:tcPr>
                  <w:tcW w:w="1384" w:type="pct"/>
                  <w:tcBorders>
                    <w:tl2br w:val="nil"/>
                    <w:tr2bl w:val="nil"/>
                  </w:tcBorders>
                  <w:vAlign w:val="center"/>
                </w:tcPr>
                <w:p w14:paraId="33C1AC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中药前处理废气</w:t>
                  </w:r>
                </w:p>
              </w:tc>
              <w:tc>
                <w:tcPr>
                  <w:tcW w:w="2616" w:type="pct"/>
                  <w:tcBorders>
                    <w:tl2br w:val="nil"/>
                    <w:tr2bl w:val="nil"/>
                  </w:tcBorders>
                  <w:vAlign w:val="center"/>
                </w:tcPr>
                <w:p w14:paraId="60753FF4">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废气经集气罩收集后进</w:t>
                  </w:r>
                  <w:r>
                    <w:rPr>
                      <w:rFonts w:hint="eastAsia"/>
                      <w:color w:val="000000" w:themeColor="text1"/>
                      <w:kern w:val="0"/>
                      <w:szCs w:val="21"/>
                      <w:lang w:val="en-US" w:eastAsia="zh-CN"/>
                      <w14:textFill>
                        <w14:solidFill>
                          <w14:schemeClr w14:val="tx1"/>
                        </w14:solidFill>
                      </w14:textFill>
                    </w:rPr>
                    <w:t>覆膜袋式除尘器</w:t>
                  </w:r>
                  <w:r>
                    <w:rPr>
                      <w:rFonts w:hint="default"/>
                      <w:color w:val="000000" w:themeColor="text1"/>
                      <w:kern w:val="0"/>
                      <w:szCs w:val="21"/>
                      <w14:textFill>
                        <w14:solidFill>
                          <w14:schemeClr w14:val="tx1"/>
                        </w14:solidFill>
                      </w14:textFill>
                    </w:rPr>
                    <w:t>净化处理后</w:t>
                  </w:r>
                  <w:r>
                    <w:rPr>
                      <w:rFonts w:hint="eastAsia"/>
                      <w:color w:val="000000" w:themeColor="text1"/>
                      <w:kern w:val="0"/>
                      <w:szCs w:val="21"/>
                      <w:lang w:val="en-US" w:eastAsia="zh-CN"/>
                      <w14:textFill>
                        <w14:solidFill>
                          <w14:schemeClr w14:val="tx1"/>
                        </w14:solidFill>
                      </w14:textFill>
                    </w:rPr>
                    <w:t>由15米高排气筒</w:t>
                  </w:r>
                  <w:r>
                    <w:rPr>
                      <w:rFonts w:hint="default"/>
                      <w:color w:val="000000" w:themeColor="text1"/>
                      <w:kern w:val="0"/>
                      <w:szCs w:val="21"/>
                      <w14:textFill>
                        <w14:solidFill>
                          <w14:schemeClr w14:val="tx1"/>
                        </w14:solidFill>
                      </w14:textFill>
                    </w:rPr>
                    <w:t>排放</w:t>
                  </w:r>
                </w:p>
              </w:tc>
              <w:tc>
                <w:tcPr>
                  <w:tcW w:w="612" w:type="pct"/>
                  <w:tcBorders>
                    <w:tl2br w:val="nil"/>
                    <w:tr2bl w:val="nil"/>
                  </w:tcBorders>
                  <w:vAlign w:val="center"/>
                </w:tcPr>
                <w:p w14:paraId="69985F69">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w:t>
                  </w:r>
                </w:p>
              </w:tc>
            </w:tr>
            <w:tr w14:paraId="672043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86" w:type="pct"/>
                  <w:vMerge w:val="continue"/>
                  <w:tcBorders>
                    <w:tl2br w:val="nil"/>
                    <w:tr2bl w:val="nil"/>
                  </w:tcBorders>
                  <w:vAlign w:val="center"/>
                </w:tcPr>
                <w:p w14:paraId="112386F4">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p>
              </w:tc>
              <w:tc>
                <w:tcPr>
                  <w:tcW w:w="1384" w:type="pct"/>
                  <w:tcBorders>
                    <w:tl2br w:val="nil"/>
                    <w:tr2bl w:val="nil"/>
                  </w:tcBorders>
                  <w:vAlign w:val="center"/>
                </w:tcPr>
                <w:p w14:paraId="52095A48">
                  <w:pPr>
                    <w:widowControl/>
                    <w:jc w:val="center"/>
                    <w:rPr>
                      <w:rFonts w:hint="eastAsia"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提取废气、配液、灌装、储罐废气、危废间废气、污水站废气</w:t>
                  </w:r>
                </w:p>
              </w:tc>
              <w:tc>
                <w:tcPr>
                  <w:tcW w:w="2616" w:type="pct"/>
                  <w:tcBorders>
                    <w:tl2br w:val="nil"/>
                    <w:tr2bl w:val="nil"/>
                  </w:tcBorders>
                  <w:vAlign w:val="center"/>
                </w:tcPr>
                <w:p w14:paraId="15BCF9A9">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经管道收集后由低温冷凝+RCO催化燃烧处理后</w:t>
                  </w:r>
                  <w:r>
                    <w:rPr>
                      <w:rFonts w:hint="eastAsia"/>
                      <w:color w:val="000000" w:themeColor="text1"/>
                      <w:kern w:val="0"/>
                      <w:szCs w:val="21"/>
                      <w:lang w:val="en-US" w:eastAsia="zh-CN"/>
                      <w14:textFill>
                        <w14:solidFill>
                          <w14:schemeClr w14:val="tx1"/>
                        </w14:solidFill>
                      </w14:textFill>
                    </w:rPr>
                    <w:t>由15米高排气筒</w:t>
                  </w:r>
                  <w:r>
                    <w:rPr>
                      <w:rFonts w:hint="default"/>
                      <w:color w:val="000000" w:themeColor="text1"/>
                      <w:kern w:val="0"/>
                      <w:szCs w:val="21"/>
                      <w14:textFill>
                        <w14:solidFill>
                          <w14:schemeClr w14:val="tx1"/>
                        </w14:solidFill>
                      </w14:textFill>
                    </w:rPr>
                    <w:t>排放</w:t>
                  </w:r>
                </w:p>
              </w:tc>
              <w:tc>
                <w:tcPr>
                  <w:tcW w:w="612" w:type="pct"/>
                  <w:tcBorders>
                    <w:tl2br w:val="nil"/>
                    <w:tr2bl w:val="nil"/>
                  </w:tcBorders>
                  <w:vAlign w:val="center"/>
                </w:tcPr>
                <w:p w14:paraId="7EAC75B5">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28</w:t>
                  </w:r>
                </w:p>
              </w:tc>
            </w:tr>
            <w:tr w14:paraId="6ECFDD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86" w:type="pct"/>
                  <w:vMerge w:val="continue"/>
                  <w:tcBorders>
                    <w:tl2br w:val="nil"/>
                    <w:tr2bl w:val="nil"/>
                  </w:tcBorders>
                  <w:vAlign w:val="center"/>
                </w:tcPr>
                <w:p w14:paraId="26DBAA66">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p>
              </w:tc>
              <w:tc>
                <w:tcPr>
                  <w:tcW w:w="1384" w:type="pct"/>
                  <w:tcBorders>
                    <w:tl2br w:val="nil"/>
                    <w:tr2bl w:val="nil"/>
                  </w:tcBorders>
                  <w:vAlign w:val="center"/>
                </w:tcPr>
                <w:p w14:paraId="3FA53310">
                  <w:pPr>
                    <w:widowControl/>
                    <w:jc w:val="center"/>
                    <w:rPr>
                      <w:rFonts w:hint="eastAsia"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散剂粉碎混合废气</w:t>
                  </w:r>
                </w:p>
              </w:tc>
              <w:tc>
                <w:tcPr>
                  <w:tcW w:w="2616" w:type="pct"/>
                  <w:tcBorders>
                    <w:tl2br w:val="nil"/>
                    <w:tr2bl w:val="nil"/>
                  </w:tcBorders>
                  <w:vAlign w:val="center"/>
                </w:tcPr>
                <w:p w14:paraId="5301B185">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废气收集后进</w:t>
                  </w:r>
                  <w:r>
                    <w:rPr>
                      <w:rFonts w:hint="eastAsia"/>
                      <w:color w:val="000000" w:themeColor="text1"/>
                      <w:kern w:val="0"/>
                      <w:szCs w:val="21"/>
                      <w:lang w:val="en-US" w:eastAsia="zh-CN"/>
                      <w14:textFill>
                        <w14:solidFill>
                          <w14:schemeClr w14:val="tx1"/>
                        </w14:solidFill>
                      </w14:textFill>
                    </w:rPr>
                    <w:t>覆膜袋式除尘器</w:t>
                  </w:r>
                  <w:r>
                    <w:rPr>
                      <w:rFonts w:hint="default"/>
                      <w:color w:val="000000" w:themeColor="text1"/>
                      <w:kern w:val="0"/>
                      <w:szCs w:val="21"/>
                      <w14:textFill>
                        <w14:solidFill>
                          <w14:schemeClr w14:val="tx1"/>
                        </w14:solidFill>
                      </w14:textFill>
                    </w:rPr>
                    <w:t>净化处理后</w:t>
                  </w:r>
                  <w:r>
                    <w:rPr>
                      <w:rFonts w:hint="eastAsia"/>
                      <w:color w:val="000000" w:themeColor="text1"/>
                      <w:kern w:val="0"/>
                      <w:szCs w:val="21"/>
                      <w:lang w:val="en-US" w:eastAsia="zh-CN"/>
                      <w14:textFill>
                        <w14:solidFill>
                          <w14:schemeClr w14:val="tx1"/>
                        </w14:solidFill>
                      </w14:textFill>
                    </w:rPr>
                    <w:t>由15米高排气筒</w:t>
                  </w:r>
                  <w:r>
                    <w:rPr>
                      <w:rFonts w:hint="default"/>
                      <w:color w:val="000000" w:themeColor="text1"/>
                      <w:kern w:val="0"/>
                      <w:szCs w:val="21"/>
                      <w14:textFill>
                        <w14:solidFill>
                          <w14:schemeClr w14:val="tx1"/>
                        </w14:solidFill>
                      </w14:textFill>
                    </w:rPr>
                    <w:t>排放</w:t>
                  </w:r>
                </w:p>
              </w:tc>
              <w:tc>
                <w:tcPr>
                  <w:tcW w:w="612" w:type="pct"/>
                  <w:tcBorders>
                    <w:tl2br w:val="nil"/>
                    <w:tr2bl w:val="nil"/>
                  </w:tcBorders>
                  <w:vAlign w:val="center"/>
                </w:tcPr>
                <w:p w14:paraId="58E16F2F">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0.5</w:t>
                  </w:r>
                </w:p>
              </w:tc>
            </w:tr>
            <w:tr w14:paraId="29048E3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86" w:type="pct"/>
                  <w:vMerge w:val="continue"/>
                  <w:tcBorders>
                    <w:tl2br w:val="nil"/>
                    <w:tr2bl w:val="nil"/>
                  </w:tcBorders>
                  <w:vAlign w:val="center"/>
                </w:tcPr>
                <w:p w14:paraId="2F0A9B26">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p>
              </w:tc>
              <w:tc>
                <w:tcPr>
                  <w:tcW w:w="1384" w:type="pct"/>
                  <w:tcBorders>
                    <w:tl2br w:val="nil"/>
                    <w:tr2bl w:val="nil"/>
                  </w:tcBorders>
                  <w:vAlign w:val="center"/>
                </w:tcPr>
                <w:p w14:paraId="660A59AC">
                  <w:pPr>
                    <w:widowControl/>
                    <w:jc w:val="center"/>
                    <w:rPr>
                      <w:rFonts w:hint="eastAsia"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散剂颗粒剂装袋废气</w:t>
                  </w:r>
                </w:p>
              </w:tc>
              <w:tc>
                <w:tcPr>
                  <w:tcW w:w="2616" w:type="pct"/>
                  <w:tcBorders>
                    <w:tl2br w:val="nil"/>
                    <w:tr2bl w:val="nil"/>
                  </w:tcBorders>
                  <w:vAlign w:val="center"/>
                </w:tcPr>
                <w:p w14:paraId="28704A03">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废气收集后进</w:t>
                  </w:r>
                  <w:r>
                    <w:rPr>
                      <w:rFonts w:hint="eastAsia"/>
                      <w:color w:val="000000" w:themeColor="text1"/>
                      <w:kern w:val="0"/>
                      <w:szCs w:val="21"/>
                      <w:lang w:val="en-US" w:eastAsia="zh-CN"/>
                      <w14:textFill>
                        <w14:solidFill>
                          <w14:schemeClr w14:val="tx1"/>
                        </w14:solidFill>
                      </w14:textFill>
                    </w:rPr>
                    <w:t>覆膜袋式除尘器</w:t>
                  </w:r>
                  <w:r>
                    <w:rPr>
                      <w:rFonts w:hint="default"/>
                      <w:color w:val="000000" w:themeColor="text1"/>
                      <w:kern w:val="0"/>
                      <w:szCs w:val="21"/>
                      <w14:textFill>
                        <w14:solidFill>
                          <w14:schemeClr w14:val="tx1"/>
                        </w14:solidFill>
                      </w14:textFill>
                    </w:rPr>
                    <w:t>净化处理后</w:t>
                  </w:r>
                  <w:r>
                    <w:rPr>
                      <w:rFonts w:hint="eastAsia"/>
                      <w:color w:val="000000" w:themeColor="text1"/>
                      <w:kern w:val="0"/>
                      <w:szCs w:val="21"/>
                      <w:lang w:val="en-US" w:eastAsia="zh-CN"/>
                      <w14:textFill>
                        <w14:solidFill>
                          <w14:schemeClr w14:val="tx1"/>
                        </w14:solidFill>
                      </w14:textFill>
                    </w:rPr>
                    <w:t>由15米高排气筒</w:t>
                  </w:r>
                  <w:r>
                    <w:rPr>
                      <w:rFonts w:hint="default"/>
                      <w:color w:val="000000" w:themeColor="text1"/>
                      <w:kern w:val="0"/>
                      <w:szCs w:val="21"/>
                      <w14:textFill>
                        <w14:solidFill>
                          <w14:schemeClr w14:val="tx1"/>
                        </w14:solidFill>
                      </w14:textFill>
                    </w:rPr>
                    <w:t>排放</w:t>
                  </w:r>
                </w:p>
              </w:tc>
              <w:tc>
                <w:tcPr>
                  <w:tcW w:w="612" w:type="pct"/>
                  <w:tcBorders>
                    <w:tl2br w:val="nil"/>
                    <w:tr2bl w:val="nil"/>
                  </w:tcBorders>
                  <w:vAlign w:val="center"/>
                </w:tcPr>
                <w:p w14:paraId="5DF40C5B">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0.5</w:t>
                  </w:r>
                </w:p>
              </w:tc>
            </w:tr>
            <w:tr w14:paraId="4E71EA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86" w:type="pct"/>
                  <w:vMerge w:val="continue"/>
                  <w:tcBorders>
                    <w:tl2br w:val="nil"/>
                    <w:tr2bl w:val="nil"/>
                  </w:tcBorders>
                  <w:vAlign w:val="center"/>
                </w:tcPr>
                <w:p w14:paraId="1F2D7F3A">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p>
              </w:tc>
              <w:tc>
                <w:tcPr>
                  <w:tcW w:w="1384" w:type="pct"/>
                  <w:tcBorders>
                    <w:tl2br w:val="nil"/>
                    <w:tr2bl w:val="nil"/>
                  </w:tcBorders>
                  <w:vAlign w:val="center"/>
                </w:tcPr>
                <w:p w14:paraId="76DB5FED">
                  <w:pPr>
                    <w:widowControl/>
                    <w:jc w:val="center"/>
                    <w:rPr>
                      <w:rFonts w:hint="eastAsia"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制粒干燥、筛粒总混废气</w:t>
                  </w:r>
                </w:p>
              </w:tc>
              <w:tc>
                <w:tcPr>
                  <w:tcW w:w="2616" w:type="pct"/>
                  <w:tcBorders>
                    <w:tl2br w:val="nil"/>
                    <w:tr2bl w:val="nil"/>
                  </w:tcBorders>
                  <w:vAlign w:val="center"/>
                </w:tcPr>
                <w:p w14:paraId="401E1ACC">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废气收集后进</w:t>
                  </w:r>
                  <w:r>
                    <w:rPr>
                      <w:rFonts w:hint="eastAsia"/>
                      <w:color w:val="000000" w:themeColor="text1"/>
                      <w:kern w:val="0"/>
                      <w:szCs w:val="21"/>
                      <w:lang w:val="en-US" w:eastAsia="zh-CN"/>
                      <w14:textFill>
                        <w14:solidFill>
                          <w14:schemeClr w14:val="tx1"/>
                        </w14:solidFill>
                      </w14:textFill>
                    </w:rPr>
                    <w:t>覆膜袋式除尘器</w:t>
                  </w:r>
                  <w:r>
                    <w:rPr>
                      <w:rFonts w:hint="default"/>
                      <w:color w:val="000000" w:themeColor="text1"/>
                      <w:kern w:val="0"/>
                      <w:szCs w:val="21"/>
                      <w14:textFill>
                        <w14:solidFill>
                          <w14:schemeClr w14:val="tx1"/>
                        </w14:solidFill>
                      </w14:textFill>
                    </w:rPr>
                    <w:t>净化处理后</w:t>
                  </w:r>
                  <w:r>
                    <w:rPr>
                      <w:rFonts w:hint="eastAsia"/>
                      <w:color w:val="000000" w:themeColor="text1"/>
                      <w:kern w:val="0"/>
                      <w:szCs w:val="21"/>
                      <w:lang w:val="en-US" w:eastAsia="zh-CN"/>
                      <w14:textFill>
                        <w14:solidFill>
                          <w14:schemeClr w14:val="tx1"/>
                        </w14:solidFill>
                      </w14:textFill>
                    </w:rPr>
                    <w:t>由15米高排气筒</w:t>
                  </w:r>
                  <w:r>
                    <w:rPr>
                      <w:rFonts w:hint="default"/>
                      <w:color w:val="000000" w:themeColor="text1"/>
                      <w:kern w:val="0"/>
                      <w:szCs w:val="21"/>
                      <w14:textFill>
                        <w14:solidFill>
                          <w14:schemeClr w14:val="tx1"/>
                        </w14:solidFill>
                      </w14:textFill>
                    </w:rPr>
                    <w:t>排放</w:t>
                  </w:r>
                </w:p>
              </w:tc>
              <w:tc>
                <w:tcPr>
                  <w:tcW w:w="612" w:type="pct"/>
                  <w:tcBorders>
                    <w:tl2br w:val="nil"/>
                    <w:tr2bl w:val="nil"/>
                  </w:tcBorders>
                  <w:vAlign w:val="center"/>
                </w:tcPr>
                <w:p w14:paraId="22BC9BF2">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5</w:t>
                  </w:r>
                </w:p>
              </w:tc>
            </w:tr>
            <w:tr w14:paraId="562F5D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86" w:type="pct"/>
                  <w:vMerge w:val="continue"/>
                  <w:tcBorders>
                    <w:tl2br w:val="nil"/>
                    <w:tr2bl w:val="nil"/>
                  </w:tcBorders>
                  <w:vAlign w:val="center"/>
                </w:tcPr>
                <w:p w14:paraId="095EC3EB">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p>
              </w:tc>
              <w:tc>
                <w:tcPr>
                  <w:tcW w:w="1384" w:type="pct"/>
                  <w:tcBorders>
                    <w:tl2br w:val="nil"/>
                    <w:tr2bl w:val="nil"/>
                  </w:tcBorders>
                  <w:vAlign w:val="center"/>
                </w:tcPr>
                <w:p w14:paraId="7AEDF1B0">
                  <w:pPr>
                    <w:widowControl/>
                    <w:jc w:val="center"/>
                    <w:rPr>
                      <w:rFonts w:hint="eastAsia" w:eastAsia="宋体"/>
                      <w:color w:val="000000" w:themeColor="text1"/>
                      <w:kern w:val="0"/>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片剂压片、包衣废气</w:t>
                  </w:r>
                </w:p>
              </w:tc>
              <w:tc>
                <w:tcPr>
                  <w:tcW w:w="2616" w:type="pct"/>
                  <w:tcBorders>
                    <w:tl2br w:val="nil"/>
                    <w:tr2bl w:val="nil"/>
                  </w:tcBorders>
                  <w:vAlign w:val="center"/>
                </w:tcPr>
                <w:p w14:paraId="4D725B42">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废气收集后进</w:t>
                  </w:r>
                  <w:r>
                    <w:rPr>
                      <w:rFonts w:hint="eastAsia"/>
                      <w:color w:val="000000" w:themeColor="text1"/>
                      <w:kern w:val="0"/>
                      <w:szCs w:val="21"/>
                      <w:lang w:val="en-US" w:eastAsia="zh-CN"/>
                      <w14:textFill>
                        <w14:solidFill>
                          <w14:schemeClr w14:val="tx1"/>
                        </w14:solidFill>
                      </w14:textFill>
                    </w:rPr>
                    <w:t>覆膜袋式除尘器</w:t>
                  </w:r>
                  <w:r>
                    <w:rPr>
                      <w:rFonts w:hint="default"/>
                      <w:color w:val="000000" w:themeColor="text1"/>
                      <w:kern w:val="0"/>
                      <w:szCs w:val="21"/>
                      <w14:textFill>
                        <w14:solidFill>
                          <w14:schemeClr w14:val="tx1"/>
                        </w14:solidFill>
                      </w14:textFill>
                    </w:rPr>
                    <w:t>净化处理后</w:t>
                  </w:r>
                  <w:r>
                    <w:rPr>
                      <w:rFonts w:hint="eastAsia"/>
                      <w:color w:val="000000" w:themeColor="text1"/>
                      <w:kern w:val="0"/>
                      <w:szCs w:val="21"/>
                      <w:lang w:val="en-US" w:eastAsia="zh-CN"/>
                      <w14:textFill>
                        <w14:solidFill>
                          <w14:schemeClr w14:val="tx1"/>
                        </w14:solidFill>
                      </w14:textFill>
                    </w:rPr>
                    <w:t>由15米高排气筒</w:t>
                  </w:r>
                  <w:r>
                    <w:rPr>
                      <w:rFonts w:hint="default"/>
                      <w:color w:val="000000" w:themeColor="text1"/>
                      <w:kern w:val="0"/>
                      <w:szCs w:val="21"/>
                      <w14:textFill>
                        <w14:solidFill>
                          <w14:schemeClr w14:val="tx1"/>
                        </w14:solidFill>
                      </w14:textFill>
                    </w:rPr>
                    <w:t>排放</w:t>
                  </w:r>
                </w:p>
              </w:tc>
              <w:tc>
                <w:tcPr>
                  <w:tcW w:w="612" w:type="pct"/>
                  <w:tcBorders>
                    <w:tl2br w:val="nil"/>
                    <w:tr2bl w:val="nil"/>
                  </w:tcBorders>
                  <w:vAlign w:val="center"/>
                </w:tcPr>
                <w:p w14:paraId="426E9E94">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0.5</w:t>
                  </w:r>
                </w:p>
              </w:tc>
            </w:tr>
            <w:tr w14:paraId="1A8DC0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86" w:type="pct"/>
                  <w:vMerge w:val="continue"/>
                  <w:tcBorders>
                    <w:tl2br w:val="nil"/>
                    <w:tr2bl w:val="nil"/>
                  </w:tcBorders>
                  <w:vAlign w:val="center"/>
                </w:tcPr>
                <w:p w14:paraId="5334E04E">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p>
              </w:tc>
              <w:tc>
                <w:tcPr>
                  <w:tcW w:w="1384" w:type="pct"/>
                  <w:tcBorders>
                    <w:tl2br w:val="nil"/>
                    <w:tr2bl w:val="nil"/>
                  </w:tcBorders>
                  <w:vAlign w:val="center"/>
                </w:tcPr>
                <w:p w14:paraId="448A11FC">
                  <w:pPr>
                    <w:widowControl/>
                    <w:jc w:val="center"/>
                    <w:rPr>
                      <w:rFonts w:hint="eastAsia" w:eastAsia="宋体"/>
                      <w:color w:val="000000" w:themeColor="text1"/>
                      <w:kern w:val="0"/>
                      <w:szCs w:val="21"/>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丸剂合坨制丸、筛丸干燥、总混打光</w:t>
                  </w:r>
                  <w:r>
                    <w:rPr>
                      <w:rFonts w:hint="eastAsia"/>
                      <w:color w:val="000000" w:themeColor="text1"/>
                      <w:szCs w:val="21"/>
                      <w:lang w:val="en-US" w:eastAsia="zh-CN"/>
                      <w14:textFill>
                        <w14:solidFill>
                          <w14:schemeClr w14:val="tx1"/>
                        </w14:solidFill>
                      </w14:textFill>
                    </w:rPr>
                    <w:t>废气</w:t>
                  </w:r>
                </w:p>
              </w:tc>
              <w:tc>
                <w:tcPr>
                  <w:tcW w:w="2616" w:type="pct"/>
                  <w:tcBorders>
                    <w:tl2br w:val="nil"/>
                    <w:tr2bl w:val="nil"/>
                  </w:tcBorders>
                  <w:vAlign w:val="center"/>
                </w:tcPr>
                <w:p w14:paraId="1A6AAE25">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废气收集后进</w:t>
                  </w:r>
                  <w:r>
                    <w:rPr>
                      <w:rFonts w:hint="eastAsia"/>
                      <w:color w:val="000000" w:themeColor="text1"/>
                      <w:kern w:val="0"/>
                      <w:szCs w:val="21"/>
                      <w:lang w:val="en-US" w:eastAsia="zh-CN"/>
                      <w14:textFill>
                        <w14:solidFill>
                          <w14:schemeClr w14:val="tx1"/>
                        </w14:solidFill>
                      </w14:textFill>
                    </w:rPr>
                    <w:t>覆膜袋式除尘器</w:t>
                  </w:r>
                  <w:r>
                    <w:rPr>
                      <w:rFonts w:hint="default"/>
                      <w:color w:val="000000" w:themeColor="text1"/>
                      <w:kern w:val="0"/>
                      <w:szCs w:val="21"/>
                      <w14:textFill>
                        <w14:solidFill>
                          <w14:schemeClr w14:val="tx1"/>
                        </w14:solidFill>
                      </w14:textFill>
                    </w:rPr>
                    <w:t>净化处理后</w:t>
                  </w:r>
                  <w:r>
                    <w:rPr>
                      <w:rFonts w:hint="eastAsia"/>
                      <w:color w:val="000000" w:themeColor="text1"/>
                      <w:kern w:val="0"/>
                      <w:szCs w:val="21"/>
                      <w:lang w:val="en-US" w:eastAsia="zh-CN"/>
                      <w14:textFill>
                        <w14:solidFill>
                          <w14:schemeClr w14:val="tx1"/>
                        </w14:solidFill>
                      </w14:textFill>
                    </w:rPr>
                    <w:t>由15米高排气筒</w:t>
                  </w:r>
                  <w:r>
                    <w:rPr>
                      <w:rFonts w:hint="default"/>
                      <w:color w:val="000000" w:themeColor="text1"/>
                      <w:kern w:val="0"/>
                      <w:szCs w:val="21"/>
                      <w14:textFill>
                        <w14:solidFill>
                          <w14:schemeClr w14:val="tx1"/>
                        </w14:solidFill>
                      </w14:textFill>
                    </w:rPr>
                    <w:t>排放</w:t>
                  </w:r>
                </w:p>
              </w:tc>
              <w:tc>
                <w:tcPr>
                  <w:tcW w:w="612" w:type="pct"/>
                  <w:tcBorders>
                    <w:tl2br w:val="nil"/>
                    <w:tr2bl w:val="nil"/>
                  </w:tcBorders>
                  <w:vAlign w:val="center"/>
                </w:tcPr>
                <w:p w14:paraId="3ADDC29B">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0.5</w:t>
                  </w:r>
                </w:p>
              </w:tc>
            </w:tr>
            <w:tr w14:paraId="0F5571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6" w:type="pct"/>
                  <w:tcBorders>
                    <w:tl2br w:val="nil"/>
                    <w:tr2bl w:val="nil"/>
                  </w:tcBorders>
                  <w:vAlign w:val="center"/>
                </w:tcPr>
                <w:p w14:paraId="36EA25FB">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废水</w:t>
                  </w:r>
                </w:p>
              </w:tc>
              <w:tc>
                <w:tcPr>
                  <w:tcW w:w="1384" w:type="pct"/>
                  <w:tcBorders>
                    <w:tl2br w:val="nil"/>
                    <w:tr2bl w:val="nil"/>
                  </w:tcBorders>
                  <w:vAlign w:val="center"/>
                </w:tcPr>
                <w:p w14:paraId="0E63FDB1">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生产、生活废水</w:t>
                  </w:r>
                </w:p>
              </w:tc>
              <w:tc>
                <w:tcPr>
                  <w:tcW w:w="2616" w:type="pct"/>
                  <w:tcBorders>
                    <w:tl2br w:val="nil"/>
                    <w:tr2bl w:val="nil"/>
                  </w:tcBorders>
                  <w:vAlign w:val="center"/>
                </w:tcPr>
                <w:p w14:paraId="29F464EC">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default" w:eastAsia="宋体"/>
                      <w:color w:val="000000" w:themeColor="text1"/>
                      <w:kern w:val="0"/>
                      <w:szCs w:val="21"/>
                      <w:lang w:val="en-US" w:eastAsia="zh-CN"/>
                      <w14:textFill>
                        <w14:solidFill>
                          <w14:schemeClr w14:val="tx1"/>
                        </w14:solidFill>
                      </w14:textFill>
                    </w:rPr>
                    <w:t>气浮+混凝沉淀+</w:t>
                  </w:r>
                  <w:r>
                    <w:rPr>
                      <w:rFonts w:hint="eastAsia"/>
                      <w:color w:val="000000" w:themeColor="text1"/>
                      <w:kern w:val="0"/>
                      <w:szCs w:val="21"/>
                      <w:lang w:val="en-US" w:eastAsia="zh-CN"/>
                      <w14:textFill>
                        <w14:solidFill>
                          <w14:schemeClr w14:val="tx1"/>
                        </w14:solidFill>
                      </w14:textFill>
                    </w:rPr>
                    <w:t>厌氧+</w:t>
                  </w:r>
                  <w:r>
                    <w:rPr>
                      <w:rFonts w:hint="default" w:eastAsia="宋体"/>
                      <w:color w:val="000000" w:themeColor="text1"/>
                      <w:kern w:val="0"/>
                      <w:szCs w:val="21"/>
                      <w:lang w:val="en-US" w:eastAsia="zh-CN"/>
                      <w14:textFill>
                        <w14:solidFill>
                          <w14:schemeClr w14:val="tx1"/>
                        </w14:solidFill>
                      </w14:textFill>
                    </w:rPr>
                    <w:t>CASS生化处理</w:t>
                  </w:r>
                  <w:r>
                    <w:rPr>
                      <w:rFonts w:hint="eastAsia"/>
                      <w:color w:val="000000" w:themeColor="text1"/>
                      <w:kern w:val="0"/>
                      <w:szCs w:val="21"/>
                      <w:lang w:val="en-US" w:eastAsia="zh-CN"/>
                      <w14:textFill>
                        <w14:solidFill>
                          <w14:schemeClr w14:val="tx1"/>
                        </w14:solidFill>
                      </w14:textFill>
                    </w:rPr>
                    <w:t>一套，处理规模：300m</w:t>
                  </w:r>
                  <w:r>
                    <w:rPr>
                      <w:rFonts w:hint="eastAsia"/>
                      <w:color w:val="000000" w:themeColor="text1"/>
                      <w:kern w:val="0"/>
                      <w:szCs w:val="21"/>
                      <w:vertAlign w:val="superscript"/>
                      <w:lang w:val="en-US" w:eastAsia="zh-CN"/>
                      <w14:textFill>
                        <w14:solidFill>
                          <w14:schemeClr w14:val="tx1"/>
                        </w14:solidFill>
                      </w14:textFill>
                    </w:rPr>
                    <w:t>3</w:t>
                  </w:r>
                  <w:r>
                    <w:rPr>
                      <w:rFonts w:hint="eastAsia"/>
                      <w:color w:val="000000" w:themeColor="text1"/>
                      <w:kern w:val="0"/>
                      <w:szCs w:val="21"/>
                      <w:lang w:val="en-US" w:eastAsia="zh-CN"/>
                      <w14:textFill>
                        <w14:solidFill>
                          <w14:schemeClr w14:val="tx1"/>
                        </w14:solidFill>
                      </w14:textFill>
                    </w:rPr>
                    <w:t>/d</w:t>
                  </w:r>
                </w:p>
              </w:tc>
              <w:tc>
                <w:tcPr>
                  <w:tcW w:w="612" w:type="pct"/>
                  <w:tcBorders>
                    <w:tl2br w:val="nil"/>
                    <w:tr2bl w:val="nil"/>
                  </w:tcBorders>
                  <w:vAlign w:val="center"/>
                </w:tcPr>
                <w:p w14:paraId="49A14EEB">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200</w:t>
                  </w:r>
                </w:p>
              </w:tc>
            </w:tr>
            <w:tr w14:paraId="4755572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6" w:type="pct"/>
                  <w:tcBorders>
                    <w:tl2br w:val="nil"/>
                    <w:tr2bl w:val="nil"/>
                  </w:tcBorders>
                  <w:vAlign w:val="center"/>
                </w:tcPr>
                <w:p w14:paraId="63528AD8">
                  <w:pPr>
                    <w:keepNext w:val="0"/>
                    <w:keepLines w:val="0"/>
                    <w:suppressLineNumbers w:val="0"/>
                    <w:topLinePunct/>
                    <w:adjustRightIn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color w:val="000000" w:themeColor="text1"/>
                      <w:kern w:val="0"/>
                      <w:szCs w:val="21"/>
                      <w14:textFill>
                        <w14:solidFill>
                          <w14:schemeClr w14:val="tx1"/>
                        </w14:solidFill>
                      </w14:textFill>
                    </w:rPr>
                    <w:t>噪声</w:t>
                  </w:r>
                </w:p>
              </w:tc>
              <w:tc>
                <w:tcPr>
                  <w:tcW w:w="1384" w:type="pct"/>
                  <w:tcBorders>
                    <w:tl2br w:val="nil"/>
                    <w:tr2bl w:val="nil"/>
                  </w:tcBorders>
                  <w:vAlign w:val="center"/>
                </w:tcPr>
                <w:p w14:paraId="0F2F9479">
                  <w:pPr>
                    <w:keepNext w:val="0"/>
                    <w:keepLines w:val="0"/>
                    <w:suppressLineNumbers w:val="0"/>
                    <w:topLinePunct/>
                    <w:adjustRightIn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color w:val="000000" w:themeColor="text1"/>
                      <w:kern w:val="0"/>
                      <w:szCs w:val="21"/>
                      <w14:textFill>
                        <w14:solidFill>
                          <w14:schemeClr w14:val="tx1"/>
                        </w14:solidFill>
                      </w14:textFill>
                    </w:rPr>
                    <w:t>等效声级</w:t>
                  </w:r>
                </w:p>
              </w:tc>
              <w:tc>
                <w:tcPr>
                  <w:tcW w:w="2616" w:type="pct"/>
                  <w:tcBorders>
                    <w:tl2br w:val="nil"/>
                    <w:tr2bl w:val="nil"/>
                  </w:tcBorders>
                  <w:vAlign w:val="center"/>
                </w:tcPr>
                <w:p w14:paraId="7F86CE58">
                  <w:pPr>
                    <w:keepNext w:val="0"/>
                    <w:keepLines w:val="0"/>
                    <w:suppressLineNumbers w:val="0"/>
                    <w:topLinePunct/>
                    <w:adjustRightIn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color w:val="000000" w:themeColor="text1"/>
                      <w:kern w:val="0"/>
                      <w:szCs w:val="21"/>
                      <w14:textFill>
                        <w14:solidFill>
                          <w14:schemeClr w14:val="tx1"/>
                        </w14:solidFill>
                      </w14:textFill>
                    </w:rPr>
                    <w:t>采取减振、隔声</w:t>
                  </w:r>
                  <w:r>
                    <w:rPr>
                      <w:rFonts w:hint="eastAsia"/>
                      <w:color w:val="000000" w:themeColor="text1"/>
                      <w:kern w:val="0"/>
                      <w:szCs w:val="21"/>
                      <w:lang w:eastAsia="zh-CN"/>
                      <w14:textFill>
                        <w14:solidFill>
                          <w14:schemeClr w14:val="tx1"/>
                        </w14:solidFill>
                      </w14:textFill>
                    </w:rPr>
                    <w:t>、</w:t>
                  </w:r>
                  <w:r>
                    <w:rPr>
                      <w:rFonts w:hint="eastAsia"/>
                      <w:color w:val="000000" w:themeColor="text1"/>
                      <w:kern w:val="0"/>
                      <w:szCs w:val="21"/>
                      <w:lang w:val="en-US" w:eastAsia="zh-CN"/>
                      <w14:textFill>
                        <w14:solidFill>
                          <w14:schemeClr w14:val="tx1"/>
                        </w14:solidFill>
                      </w14:textFill>
                    </w:rPr>
                    <w:t>消声</w:t>
                  </w:r>
                  <w:r>
                    <w:rPr>
                      <w:rFonts w:hint="default"/>
                      <w:color w:val="000000" w:themeColor="text1"/>
                      <w:kern w:val="0"/>
                      <w:szCs w:val="21"/>
                      <w14:textFill>
                        <w14:solidFill>
                          <w14:schemeClr w14:val="tx1"/>
                        </w14:solidFill>
                      </w14:textFill>
                    </w:rPr>
                    <w:t>等防治措施</w:t>
                  </w:r>
                </w:p>
              </w:tc>
              <w:tc>
                <w:tcPr>
                  <w:tcW w:w="612" w:type="pct"/>
                  <w:tcBorders>
                    <w:tl2br w:val="nil"/>
                    <w:tr2bl w:val="nil"/>
                  </w:tcBorders>
                  <w:vAlign w:val="center"/>
                </w:tcPr>
                <w:p w14:paraId="5A48AD30">
                  <w:pPr>
                    <w:keepNext w:val="0"/>
                    <w:keepLines w:val="0"/>
                    <w:suppressLineNumbers w:val="0"/>
                    <w:topLinePunct/>
                    <w:adjustRightIn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w:t>
                  </w:r>
                </w:p>
              </w:tc>
            </w:tr>
            <w:tr w14:paraId="7E167A6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6" w:type="pct"/>
                  <w:vMerge w:val="restart"/>
                  <w:tcBorders>
                    <w:tl2br w:val="nil"/>
                    <w:tr2bl w:val="nil"/>
                  </w:tcBorders>
                  <w:vAlign w:val="center"/>
                </w:tcPr>
                <w:p w14:paraId="1F9FA180">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固废</w:t>
                  </w:r>
                </w:p>
              </w:tc>
              <w:tc>
                <w:tcPr>
                  <w:tcW w:w="1384" w:type="pct"/>
                  <w:vMerge w:val="restart"/>
                  <w:tcBorders>
                    <w:tl2br w:val="nil"/>
                    <w:tr2bl w:val="nil"/>
                  </w:tcBorders>
                  <w:vAlign w:val="center"/>
                </w:tcPr>
                <w:p w14:paraId="61E7E7CE">
                  <w:pPr>
                    <w:keepNext w:val="0"/>
                    <w:keepLines w:val="0"/>
                    <w:suppressLineNumbers w:val="0"/>
                    <w:topLinePunct/>
                    <w:adjustRightInd w:val="0"/>
                    <w:spacing w:before="0" w:beforeAutospacing="0" w:after="0" w:afterAutospacing="0"/>
                    <w:ind w:left="0" w:right="0"/>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一般固废</w:t>
                  </w:r>
                </w:p>
              </w:tc>
              <w:tc>
                <w:tcPr>
                  <w:tcW w:w="2616" w:type="pct"/>
                  <w:tcBorders>
                    <w:tl2br w:val="nil"/>
                    <w:tr2bl w:val="nil"/>
                  </w:tcBorders>
                  <w:vAlign w:val="center"/>
                </w:tcPr>
                <w:p w14:paraId="38A33AE1">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设置一般中药渣库1间</w:t>
                  </w:r>
                  <w:r>
                    <w:rPr>
                      <w:rFonts w:hint="eastAsia"/>
                      <w:color w:val="000000" w:themeColor="text1"/>
                      <w:sz w:val="21"/>
                      <w:szCs w:val="21"/>
                      <w:highlight w:val="none"/>
                      <w:lang w:val="en-US" w:eastAsia="zh-CN"/>
                      <w14:textFill>
                        <w14:solidFill>
                          <w14:schemeClr w14:val="tx1"/>
                        </w14:solidFill>
                      </w14:textFill>
                    </w:rPr>
                    <w:t>500</w:t>
                  </w:r>
                  <w:r>
                    <w:rPr>
                      <w:rFonts w:hint="default"/>
                      <w:color w:val="000000" w:themeColor="text1"/>
                      <w:sz w:val="21"/>
                      <w:szCs w:val="21"/>
                      <w:highlight w:val="none"/>
                      <w14:textFill>
                        <w14:solidFill>
                          <w14:schemeClr w14:val="tx1"/>
                        </w14:solidFill>
                      </w14:textFill>
                    </w:rPr>
                    <w:t>m</w:t>
                  </w:r>
                  <w:r>
                    <w:rPr>
                      <w:rFonts w:hint="default"/>
                      <w:color w:val="000000" w:themeColor="text1"/>
                      <w:sz w:val="21"/>
                      <w:szCs w:val="21"/>
                      <w:highlight w:val="none"/>
                      <w:vertAlign w:val="superscript"/>
                      <w14:textFill>
                        <w14:solidFill>
                          <w14:schemeClr w14:val="tx1"/>
                        </w14:solidFill>
                      </w14:textFill>
                    </w:rPr>
                    <w:t>2</w:t>
                  </w:r>
                </w:p>
              </w:tc>
              <w:tc>
                <w:tcPr>
                  <w:tcW w:w="612" w:type="pct"/>
                  <w:tcBorders>
                    <w:tl2br w:val="nil"/>
                    <w:tr2bl w:val="nil"/>
                  </w:tcBorders>
                  <w:vAlign w:val="center"/>
                </w:tcPr>
                <w:p w14:paraId="6E4E38E8">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w:t>
                  </w:r>
                </w:p>
              </w:tc>
            </w:tr>
            <w:tr w14:paraId="0587A1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6" w:type="pct"/>
                  <w:vMerge w:val="continue"/>
                  <w:tcBorders>
                    <w:tl2br w:val="nil"/>
                    <w:tr2bl w:val="nil"/>
                  </w:tcBorders>
                  <w:vAlign w:val="center"/>
                </w:tcPr>
                <w:p w14:paraId="423924AF">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p>
              </w:tc>
              <w:tc>
                <w:tcPr>
                  <w:tcW w:w="1384" w:type="pct"/>
                  <w:vMerge w:val="continue"/>
                  <w:tcBorders>
                    <w:tl2br w:val="nil"/>
                    <w:tr2bl w:val="nil"/>
                  </w:tcBorders>
                  <w:vAlign w:val="center"/>
                </w:tcPr>
                <w:p w14:paraId="722E4226">
                  <w:pPr>
                    <w:keepNext w:val="0"/>
                    <w:keepLines w:val="0"/>
                    <w:suppressLineNumbers w:val="0"/>
                    <w:topLinePunct/>
                    <w:adjustRightInd w:val="0"/>
                    <w:spacing w:before="0" w:beforeAutospacing="0" w:after="0" w:afterAutospacing="0"/>
                    <w:ind w:left="0" w:right="0"/>
                    <w:jc w:val="center"/>
                    <w:rPr>
                      <w:rFonts w:hint="eastAsia"/>
                      <w:color w:val="000000" w:themeColor="text1"/>
                      <w:kern w:val="0"/>
                      <w:szCs w:val="21"/>
                      <w:lang w:val="en-US" w:eastAsia="zh-CN"/>
                      <w14:textFill>
                        <w14:solidFill>
                          <w14:schemeClr w14:val="tx1"/>
                        </w14:solidFill>
                      </w14:textFill>
                    </w:rPr>
                  </w:pPr>
                </w:p>
              </w:tc>
              <w:tc>
                <w:tcPr>
                  <w:tcW w:w="2616" w:type="pct"/>
                  <w:tcBorders>
                    <w:tl2br w:val="nil"/>
                    <w:tr2bl w:val="nil"/>
                  </w:tcBorders>
                  <w:vAlign w:val="center"/>
                </w:tcPr>
                <w:p w14:paraId="15F8BDD7">
                  <w:pPr>
                    <w:keepNext w:val="0"/>
                    <w:keepLines w:val="0"/>
                    <w:suppressLineNumbers w:val="0"/>
                    <w:topLinePunct/>
                    <w:adjustRightInd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设置一般固废暂存间1间</w:t>
                  </w:r>
                  <w:r>
                    <w:rPr>
                      <w:rFonts w:hint="eastAsia"/>
                      <w:color w:val="000000" w:themeColor="text1"/>
                      <w:sz w:val="21"/>
                      <w:szCs w:val="21"/>
                      <w:highlight w:val="none"/>
                      <w:lang w:val="en-US" w:eastAsia="zh-CN"/>
                      <w14:textFill>
                        <w14:solidFill>
                          <w14:schemeClr w14:val="tx1"/>
                        </w14:solidFill>
                      </w14:textFill>
                    </w:rPr>
                    <w:t>100</w:t>
                  </w:r>
                  <w:r>
                    <w:rPr>
                      <w:rFonts w:hint="default"/>
                      <w:color w:val="000000" w:themeColor="text1"/>
                      <w:sz w:val="21"/>
                      <w:szCs w:val="21"/>
                      <w:highlight w:val="none"/>
                      <w14:textFill>
                        <w14:solidFill>
                          <w14:schemeClr w14:val="tx1"/>
                        </w14:solidFill>
                      </w14:textFill>
                    </w:rPr>
                    <w:t>m</w:t>
                  </w:r>
                  <w:r>
                    <w:rPr>
                      <w:rFonts w:hint="default"/>
                      <w:color w:val="000000" w:themeColor="text1"/>
                      <w:sz w:val="21"/>
                      <w:szCs w:val="21"/>
                      <w:highlight w:val="none"/>
                      <w:vertAlign w:val="superscript"/>
                      <w14:textFill>
                        <w14:solidFill>
                          <w14:schemeClr w14:val="tx1"/>
                        </w14:solidFill>
                      </w14:textFill>
                    </w:rPr>
                    <w:t>2</w:t>
                  </w:r>
                </w:p>
              </w:tc>
              <w:tc>
                <w:tcPr>
                  <w:tcW w:w="612" w:type="pct"/>
                  <w:tcBorders>
                    <w:tl2br w:val="nil"/>
                    <w:tr2bl w:val="nil"/>
                  </w:tcBorders>
                  <w:vAlign w:val="center"/>
                </w:tcPr>
                <w:p w14:paraId="250C6E36">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5</w:t>
                  </w:r>
                </w:p>
              </w:tc>
            </w:tr>
            <w:tr w14:paraId="5AE224E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6" w:type="pct"/>
                  <w:vMerge w:val="continue"/>
                  <w:tcBorders>
                    <w:tl2br w:val="nil"/>
                    <w:tr2bl w:val="nil"/>
                  </w:tcBorders>
                  <w:vAlign w:val="center"/>
                </w:tcPr>
                <w:p w14:paraId="079901BA">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p>
              </w:tc>
              <w:tc>
                <w:tcPr>
                  <w:tcW w:w="1384" w:type="pct"/>
                  <w:vMerge w:val="continue"/>
                  <w:tcBorders>
                    <w:tl2br w:val="nil"/>
                    <w:tr2bl w:val="nil"/>
                  </w:tcBorders>
                  <w:vAlign w:val="center"/>
                </w:tcPr>
                <w:p w14:paraId="02156B8E">
                  <w:pPr>
                    <w:keepNext w:val="0"/>
                    <w:keepLines w:val="0"/>
                    <w:suppressLineNumbers w:val="0"/>
                    <w:topLinePunct/>
                    <w:adjustRightInd w:val="0"/>
                    <w:spacing w:before="0" w:beforeAutospacing="0" w:after="0" w:afterAutospacing="0"/>
                    <w:ind w:left="0" w:right="0"/>
                    <w:jc w:val="center"/>
                    <w:rPr>
                      <w:rFonts w:hint="eastAsia"/>
                      <w:color w:val="000000" w:themeColor="text1"/>
                      <w:kern w:val="0"/>
                      <w:szCs w:val="21"/>
                      <w:lang w:val="en-US" w:eastAsia="zh-CN"/>
                      <w14:textFill>
                        <w14:solidFill>
                          <w14:schemeClr w14:val="tx1"/>
                        </w14:solidFill>
                      </w14:textFill>
                    </w:rPr>
                  </w:pPr>
                </w:p>
              </w:tc>
              <w:tc>
                <w:tcPr>
                  <w:tcW w:w="2616" w:type="pct"/>
                  <w:tcBorders>
                    <w:tl2br w:val="nil"/>
                    <w:tr2bl w:val="nil"/>
                  </w:tcBorders>
                  <w:vAlign w:val="center"/>
                </w:tcPr>
                <w:p w14:paraId="2C802B76">
                  <w:pPr>
                    <w:keepNext w:val="0"/>
                    <w:keepLines w:val="0"/>
                    <w:suppressLineNumbers w:val="0"/>
                    <w:topLinePunct/>
                    <w:adjustRightInd w:val="0"/>
                    <w:spacing w:before="0" w:beforeAutospacing="0" w:after="0" w:afterAutospacing="0"/>
                    <w:ind w:left="0" w:right="0"/>
                    <w:jc w:val="center"/>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设置</w:t>
                  </w:r>
                  <w:r>
                    <w:rPr>
                      <w:rFonts w:hint="eastAsia"/>
                      <w:color w:val="000000" w:themeColor="text1"/>
                      <w:sz w:val="21"/>
                      <w:szCs w:val="21"/>
                      <w:lang w:val="en-US" w:eastAsia="zh-CN"/>
                      <w14:textFill>
                        <w14:solidFill>
                          <w14:schemeClr w14:val="tx1"/>
                        </w14:solidFill>
                      </w14:textFill>
                    </w:rPr>
                    <w:t>污泥</w:t>
                  </w:r>
                  <w:r>
                    <w:rPr>
                      <w:rFonts w:hint="default"/>
                      <w:color w:val="000000" w:themeColor="text1"/>
                      <w:sz w:val="21"/>
                      <w:szCs w:val="21"/>
                      <w:lang w:val="en-US" w:eastAsia="zh-CN"/>
                      <w14:textFill>
                        <w14:solidFill>
                          <w14:schemeClr w14:val="tx1"/>
                        </w14:solidFill>
                      </w14:textFill>
                    </w:rPr>
                    <w:t>间1间</w:t>
                  </w:r>
                  <w:r>
                    <w:rPr>
                      <w:rFonts w:hint="eastAsia"/>
                      <w:color w:val="000000" w:themeColor="text1"/>
                      <w:sz w:val="21"/>
                      <w:szCs w:val="21"/>
                      <w:highlight w:val="none"/>
                      <w:lang w:val="en-US" w:eastAsia="zh-CN"/>
                      <w14:textFill>
                        <w14:solidFill>
                          <w14:schemeClr w14:val="tx1"/>
                        </w14:solidFill>
                      </w14:textFill>
                    </w:rPr>
                    <w:t>10</w:t>
                  </w:r>
                  <w:r>
                    <w:rPr>
                      <w:rFonts w:hint="default"/>
                      <w:color w:val="000000" w:themeColor="text1"/>
                      <w:sz w:val="21"/>
                      <w:szCs w:val="21"/>
                      <w:highlight w:val="none"/>
                      <w14:textFill>
                        <w14:solidFill>
                          <w14:schemeClr w14:val="tx1"/>
                        </w14:solidFill>
                      </w14:textFill>
                    </w:rPr>
                    <w:t>m</w:t>
                  </w:r>
                  <w:r>
                    <w:rPr>
                      <w:rFonts w:hint="default"/>
                      <w:color w:val="000000" w:themeColor="text1"/>
                      <w:sz w:val="21"/>
                      <w:szCs w:val="21"/>
                      <w:highlight w:val="none"/>
                      <w:vertAlign w:val="superscript"/>
                      <w14:textFill>
                        <w14:solidFill>
                          <w14:schemeClr w14:val="tx1"/>
                        </w14:solidFill>
                      </w14:textFill>
                    </w:rPr>
                    <w:t>2</w:t>
                  </w:r>
                </w:p>
              </w:tc>
              <w:tc>
                <w:tcPr>
                  <w:tcW w:w="612" w:type="pct"/>
                  <w:tcBorders>
                    <w:tl2br w:val="nil"/>
                    <w:tr2bl w:val="nil"/>
                  </w:tcBorders>
                  <w:vAlign w:val="center"/>
                </w:tcPr>
                <w:p w14:paraId="050C5D1B">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w:t>
                  </w:r>
                </w:p>
              </w:tc>
            </w:tr>
            <w:tr w14:paraId="004D2CA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6" w:type="pct"/>
                  <w:vMerge w:val="continue"/>
                  <w:tcBorders>
                    <w:tl2br w:val="nil"/>
                    <w:tr2bl w:val="nil"/>
                  </w:tcBorders>
                  <w:vAlign w:val="center"/>
                </w:tcPr>
                <w:p w14:paraId="01DFC1D3">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p>
              </w:tc>
              <w:tc>
                <w:tcPr>
                  <w:tcW w:w="1384" w:type="pct"/>
                  <w:tcBorders>
                    <w:tl2br w:val="nil"/>
                    <w:tr2bl w:val="nil"/>
                  </w:tcBorders>
                  <w:vAlign w:val="center"/>
                </w:tcPr>
                <w:p w14:paraId="482D7CD4">
                  <w:pPr>
                    <w:keepNext w:val="0"/>
                    <w:keepLines w:val="0"/>
                    <w:suppressLineNumbers w:val="0"/>
                    <w:topLinePunct/>
                    <w:adjustRightInd w:val="0"/>
                    <w:spacing w:before="0" w:beforeAutospacing="0" w:after="0" w:afterAutospacing="0"/>
                    <w:ind w:left="0" w:right="0"/>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危险废物</w:t>
                  </w:r>
                </w:p>
              </w:tc>
              <w:tc>
                <w:tcPr>
                  <w:tcW w:w="2616" w:type="pct"/>
                  <w:tcBorders>
                    <w:tl2br w:val="nil"/>
                    <w:tr2bl w:val="nil"/>
                  </w:tcBorders>
                  <w:vAlign w:val="center"/>
                </w:tcPr>
                <w:p w14:paraId="3B649988">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设置</w:t>
                  </w:r>
                  <w:r>
                    <w:rPr>
                      <w:rFonts w:hint="eastAsia"/>
                      <w:color w:val="000000" w:themeColor="text1"/>
                      <w:sz w:val="21"/>
                      <w:szCs w:val="21"/>
                      <w:lang w:val="en-US" w:eastAsia="zh-CN"/>
                      <w14:textFill>
                        <w14:solidFill>
                          <w14:schemeClr w14:val="tx1"/>
                        </w14:solidFill>
                      </w14:textFill>
                    </w:rPr>
                    <w:t>危险废物</w:t>
                  </w:r>
                  <w:r>
                    <w:rPr>
                      <w:rFonts w:hint="default"/>
                      <w:color w:val="000000" w:themeColor="text1"/>
                      <w:sz w:val="21"/>
                      <w:szCs w:val="21"/>
                      <w:lang w:val="en-US" w:eastAsia="zh-CN"/>
                      <w14:textFill>
                        <w14:solidFill>
                          <w14:schemeClr w14:val="tx1"/>
                        </w14:solidFill>
                      </w14:textFill>
                    </w:rPr>
                    <w:t>暂存间1间</w:t>
                  </w:r>
                  <w:r>
                    <w:rPr>
                      <w:rFonts w:hint="eastAsia"/>
                      <w:color w:val="000000" w:themeColor="text1"/>
                      <w:sz w:val="21"/>
                      <w:szCs w:val="21"/>
                      <w:highlight w:val="none"/>
                      <w:lang w:val="en-US" w:eastAsia="zh-CN"/>
                      <w14:textFill>
                        <w14:solidFill>
                          <w14:schemeClr w14:val="tx1"/>
                        </w14:solidFill>
                      </w14:textFill>
                    </w:rPr>
                    <w:t>50</w:t>
                  </w:r>
                  <w:r>
                    <w:rPr>
                      <w:rFonts w:hint="default"/>
                      <w:color w:val="000000" w:themeColor="text1"/>
                      <w:sz w:val="21"/>
                      <w:szCs w:val="21"/>
                      <w:highlight w:val="none"/>
                      <w14:textFill>
                        <w14:solidFill>
                          <w14:schemeClr w14:val="tx1"/>
                        </w14:solidFill>
                      </w14:textFill>
                    </w:rPr>
                    <w:t>m</w:t>
                  </w:r>
                  <w:r>
                    <w:rPr>
                      <w:rFonts w:hint="default"/>
                      <w:color w:val="000000" w:themeColor="text1"/>
                      <w:sz w:val="21"/>
                      <w:szCs w:val="21"/>
                      <w:highlight w:val="none"/>
                      <w:vertAlign w:val="superscript"/>
                      <w14:textFill>
                        <w14:solidFill>
                          <w14:schemeClr w14:val="tx1"/>
                        </w14:solidFill>
                      </w14:textFill>
                    </w:rPr>
                    <w:t>2</w:t>
                  </w:r>
                </w:p>
              </w:tc>
              <w:tc>
                <w:tcPr>
                  <w:tcW w:w="612" w:type="pct"/>
                  <w:tcBorders>
                    <w:tl2br w:val="nil"/>
                    <w:tr2bl w:val="nil"/>
                  </w:tcBorders>
                  <w:vAlign w:val="center"/>
                </w:tcPr>
                <w:p w14:paraId="6D4FDF21">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w:t>
                  </w:r>
                </w:p>
              </w:tc>
            </w:tr>
            <w:tr w14:paraId="5102CF6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6" w:type="pct"/>
                  <w:vMerge w:val="restart"/>
                  <w:tcBorders>
                    <w:tl2br w:val="nil"/>
                    <w:tr2bl w:val="nil"/>
                  </w:tcBorders>
                  <w:vAlign w:val="center"/>
                </w:tcPr>
                <w:p w14:paraId="37693AEE">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风险</w:t>
                  </w:r>
                </w:p>
              </w:tc>
              <w:tc>
                <w:tcPr>
                  <w:tcW w:w="4001" w:type="pct"/>
                  <w:gridSpan w:val="2"/>
                  <w:tcBorders>
                    <w:tl2br w:val="nil"/>
                    <w:tr2bl w:val="nil"/>
                  </w:tcBorders>
                  <w:vAlign w:val="center"/>
                </w:tcPr>
                <w:p w14:paraId="6346E3F1">
                  <w:pPr>
                    <w:keepNext w:val="0"/>
                    <w:keepLines w:val="0"/>
                    <w:suppressLineNumbers w:val="0"/>
                    <w:topLinePunct/>
                    <w:adjustRightInd w:val="0"/>
                    <w:spacing w:before="0" w:beforeAutospacing="0" w:after="0" w:afterAutospacing="0"/>
                    <w:ind w:left="0" w:right="0"/>
                    <w:jc w:val="center"/>
                    <w:rPr>
                      <w:rFonts w:hint="eastAsia" w:eastAsia="宋体"/>
                      <w:color w:val="000000" w:themeColor="text1"/>
                      <w:kern w:val="0"/>
                      <w:szCs w:val="21"/>
                      <w:lang w:val="en-US" w:eastAsia="zh-CN"/>
                      <w14:textFill>
                        <w14:solidFill>
                          <w14:schemeClr w14:val="tx1"/>
                        </w14:solidFill>
                      </w14:textFill>
                    </w:rPr>
                  </w:pPr>
                  <w:r>
                    <w:rPr>
                      <w:rFonts w:hint="default"/>
                      <w:color w:val="000000" w:themeColor="text1"/>
                      <w:kern w:val="0"/>
                      <w:szCs w:val="21"/>
                      <w14:textFill>
                        <w14:solidFill>
                          <w14:schemeClr w14:val="tx1"/>
                        </w14:solidFill>
                      </w14:textFill>
                    </w:rPr>
                    <w:t>烟雾报警装置、消防器材</w:t>
                  </w:r>
                  <w:r>
                    <w:rPr>
                      <w:rFonts w:hint="eastAsia"/>
                      <w:color w:val="000000" w:themeColor="text1"/>
                      <w:kern w:val="0"/>
                      <w:szCs w:val="21"/>
                      <w:lang w:val="en-US" w:eastAsia="zh-CN"/>
                      <w14:textFill>
                        <w14:solidFill>
                          <w14:schemeClr w14:val="tx1"/>
                        </w14:solidFill>
                      </w14:textFill>
                    </w:rPr>
                    <w:t>若干</w:t>
                  </w:r>
                </w:p>
              </w:tc>
              <w:tc>
                <w:tcPr>
                  <w:tcW w:w="612" w:type="pct"/>
                  <w:tcBorders>
                    <w:tl2br w:val="nil"/>
                    <w:tr2bl w:val="nil"/>
                  </w:tcBorders>
                  <w:vAlign w:val="center"/>
                </w:tcPr>
                <w:p w14:paraId="5B11EC3D">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5</w:t>
                  </w:r>
                </w:p>
              </w:tc>
            </w:tr>
            <w:tr w14:paraId="2B4FE68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6" w:type="pct"/>
                  <w:vMerge w:val="continue"/>
                  <w:tcBorders>
                    <w:tl2br w:val="nil"/>
                    <w:tr2bl w:val="nil"/>
                  </w:tcBorders>
                  <w:vAlign w:val="center"/>
                </w:tcPr>
                <w:p w14:paraId="705B12F0">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p>
              </w:tc>
              <w:tc>
                <w:tcPr>
                  <w:tcW w:w="4001" w:type="pct"/>
                  <w:gridSpan w:val="2"/>
                  <w:tcBorders>
                    <w:tl2br w:val="nil"/>
                    <w:tr2bl w:val="nil"/>
                  </w:tcBorders>
                  <w:vAlign w:val="center"/>
                </w:tcPr>
                <w:p w14:paraId="4F76B5D8">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default"/>
                      <w:color w:val="000000" w:themeColor="text1"/>
                      <w:kern w:val="0"/>
                      <w:szCs w:val="21"/>
                      <w14:textFill>
                        <w14:solidFill>
                          <w14:schemeClr w14:val="tx1"/>
                        </w14:solidFill>
                      </w14:textFill>
                    </w:rPr>
                    <w:t>事故应急池</w:t>
                  </w:r>
                  <w:r>
                    <w:rPr>
                      <w:rFonts w:hint="eastAsia"/>
                      <w:color w:val="000000" w:themeColor="text1"/>
                      <w:kern w:val="0"/>
                      <w:szCs w:val="21"/>
                      <w:lang w:eastAsia="zh-CN"/>
                      <w14:textFill>
                        <w14:solidFill>
                          <w14:schemeClr w14:val="tx1"/>
                        </w14:solidFill>
                      </w14:textFill>
                    </w:rPr>
                    <w:t>（</w:t>
                  </w:r>
                  <w:r>
                    <w:rPr>
                      <w:rFonts w:hint="eastAsia"/>
                      <w:color w:val="000000" w:themeColor="text1"/>
                      <w:kern w:val="0"/>
                      <w:szCs w:val="21"/>
                      <w:lang w:val="en-US" w:eastAsia="zh-CN"/>
                      <w14:textFill>
                        <w14:solidFill>
                          <w14:schemeClr w14:val="tx1"/>
                        </w14:solidFill>
                      </w14:textFill>
                    </w:rPr>
                    <w:t>兼做初期雨水池</w:t>
                  </w:r>
                  <w:r>
                    <w:rPr>
                      <w:rFonts w:hint="eastAsia"/>
                      <w:color w:val="000000" w:themeColor="text1"/>
                      <w:kern w:val="0"/>
                      <w:szCs w:val="21"/>
                      <w:lang w:eastAsia="zh-CN"/>
                      <w14:textFill>
                        <w14:solidFill>
                          <w14:schemeClr w14:val="tx1"/>
                        </w14:solidFill>
                      </w14:textFill>
                    </w:rPr>
                    <w:t>）</w:t>
                  </w:r>
                  <w:r>
                    <w:rPr>
                      <w:rFonts w:hint="eastAsia"/>
                      <w:color w:val="000000" w:themeColor="text1"/>
                      <w:kern w:val="0"/>
                      <w:szCs w:val="21"/>
                      <w:lang w:val="en-US" w:eastAsia="zh-CN"/>
                      <w14:textFill>
                        <w14:solidFill>
                          <w14:schemeClr w14:val="tx1"/>
                        </w14:solidFill>
                      </w14:textFill>
                    </w:rPr>
                    <w:t>一座400m</w:t>
                  </w:r>
                  <w:r>
                    <w:rPr>
                      <w:rFonts w:hint="eastAsia"/>
                      <w:color w:val="000000" w:themeColor="text1"/>
                      <w:kern w:val="0"/>
                      <w:szCs w:val="21"/>
                      <w:vertAlign w:val="superscript"/>
                      <w:lang w:val="en-US" w:eastAsia="zh-CN"/>
                      <w14:textFill>
                        <w14:solidFill>
                          <w14:schemeClr w14:val="tx1"/>
                        </w14:solidFill>
                      </w14:textFill>
                    </w:rPr>
                    <w:t>3</w:t>
                  </w:r>
                </w:p>
              </w:tc>
              <w:tc>
                <w:tcPr>
                  <w:tcW w:w="612" w:type="pct"/>
                  <w:tcBorders>
                    <w:tl2br w:val="nil"/>
                    <w:tr2bl w:val="nil"/>
                  </w:tcBorders>
                  <w:vAlign w:val="center"/>
                </w:tcPr>
                <w:p w14:paraId="7C151D36">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20</w:t>
                  </w:r>
                </w:p>
              </w:tc>
            </w:tr>
            <w:tr w14:paraId="73E2E0D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7" w:type="pct"/>
                  <w:gridSpan w:val="3"/>
                  <w:tcBorders>
                    <w:tl2br w:val="nil"/>
                    <w:tr2bl w:val="nil"/>
                  </w:tcBorders>
                  <w:vAlign w:val="center"/>
                </w:tcPr>
                <w:p w14:paraId="5E9D793A">
                  <w:pPr>
                    <w:keepNext w:val="0"/>
                    <w:keepLines w:val="0"/>
                    <w:suppressLineNumbers w:val="0"/>
                    <w:topLinePunct/>
                    <w:adjustRightInd w:val="0"/>
                    <w:spacing w:before="0" w:beforeAutospacing="0" w:after="0" w:afterAutospacing="0"/>
                    <w:ind w:left="0" w:right="0"/>
                    <w:jc w:val="center"/>
                    <w:rPr>
                      <w:rFonts w:hint="default"/>
                      <w:color w:val="000000" w:themeColor="text1"/>
                      <w:kern w:val="0"/>
                      <w:szCs w:val="21"/>
                      <w14:textFill>
                        <w14:solidFill>
                          <w14:schemeClr w14:val="tx1"/>
                        </w14:solidFill>
                      </w14:textFill>
                    </w:rPr>
                  </w:pPr>
                  <w:r>
                    <w:rPr>
                      <w:rFonts w:hint="default"/>
                      <w:color w:val="000000" w:themeColor="text1"/>
                      <w:kern w:val="0"/>
                      <w:szCs w:val="21"/>
                      <w14:textFill>
                        <w14:solidFill>
                          <w14:schemeClr w14:val="tx1"/>
                        </w14:solidFill>
                      </w14:textFill>
                    </w:rPr>
                    <w:t>合计</w:t>
                  </w:r>
                </w:p>
              </w:tc>
              <w:tc>
                <w:tcPr>
                  <w:tcW w:w="612" w:type="pct"/>
                  <w:tcBorders>
                    <w:tl2br w:val="nil"/>
                    <w:tr2bl w:val="nil"/>
                  </w:tcBorders>
                  <w:vAlign w:val="center"/>
                </w:tcPr>
                <w:p w14:paraId="2F75AEC9">
                  <w:pPr>
                    <w:keepNext w:val="0"/>
                    <w:keepLines w:val="0"/>
                    <w:suppressLineNumbers w:val="0"/>
                    <w:topLinePunct/>
                    <w:adjustRightInd w:val="0"/>
                    <w:spacing w:before="0" w:beforeAutospacing="0" w:after="0" w:afterAutospacing="0"/>
                    <w:ind w:left="0" w:right="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308</w:t>
                  </w:r>
                </w:p>
              </w:tc>
            </w:tr>
          </w:tbl>
          <w:p w14:paraId="108E49CD">
            <w:pPr>
              <w:rPr>
                <w:rFonts w:hint="default"/>
                <w:color w:val="000000" w:themeColor="text1"/>
                <w:lang w:val="en-US" w:eastAsia="zh-CN"/>
                <w14:textFill>
                  <w14:solidFill>
                    <w14:schemeClr w14:val="tx1"/>
                  </w14:solidFill>
                </w14:textFill>
              </w:rPr>
            </w:pPr>
          </w:p>
          <w:p w14:paraId="071B2134">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lang w:val="en-US" w:eastAsia="zh-CN"/>
                <w14:textFill>
                  <w14:solidFill>
                    <w14:schemeClr w14:val="tx1"/>
                  </w14:solidFill>
                </w14:textFill>
              </w:rPr>
            </w:pPr>
          </w:p>
          <w:p w14:paraId="715BC1CD">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lang w:val="en-US" w:eastAsia="zh-CN"/>
                <w14:textFill>
                  <w14:solidFill>
                    <w14:schemeClr w14:val="tx1"/>
                  </w14:solidFill>
                </w14:textFill>
              </w:rPr>
            </w:pPr>
          </w:p>
          <w:p w14:paraId="2CDFE6CA">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lang w:val="en-US" w:eastAsia="zh-CN"/>
                <w14:textFill>
                  <w14:solidFill>
                    <w14:schemeClr w14:val="tx1"/>
                  </w14:solidFill>
                </w14:textFill>
              </w:rPr>
            </w:pPr>
          </w:p>
          <w:p w14:paraId="1258D3A2">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lang w:val="en-US" w:eastAsia="zh-CN"/>
                <w14:textFill>
                  <w14:solidFill>
                    <w14:schemeClr w14:val="tx1"/>
                  </w14:solidFill>
                </w14:textFill>
              </w:rPr>
            </w:pPr>
          </w:p>
          <w:p w14:paraId="0E6A8487">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lang w:val="en-US" w:eastAsia="zh-CN"/>
                <w14:textFill>
                  <w14:solidFill>
                    <w14:schemeClr w14:val="tx1"/>
                  </w14:solidFill>
                </w14:textFill>
              </w:rPr>
            </w:pPr>
          </w:p>
          <w:p w14:paraId="60476205">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lang w:val="en-US" w:eastAsia="zh-CN"/>
                <w14:textFill>
                  <w14:solidFill>
                    <w14:schemeClr w14:val="tx1"/>
                  </w14:solidFill>
                </w14:textFill>
              </w:rPr>
            </w:pPr>
          </w:p>
          <w:p w14:paraId="38DF2066">
            <w:pPr>
              <w:keepNext w:val="0"/>
              <w:keepLines w:val="0"/>
              <w:pageBreakBefore w:val="0"/>
              <w:widowControl w:val="0"/>
              <w:kinsoku/>
              <w:wordWrap/>
              <w:overflowPunct/>
              <w:topLinePunct w:val="0"/>
              <w:autoSpaceDE/>
              <w:autoSpaceDN/>
              <w:bidi w:val="0"/>
              <w:adjustRightInd/>
              <w:snapToGrid w:val="0"/>
              <w:textAlignment w:val="auto"/>
              <w:rPr>
                <w:rFonts w:hint="eastAsia"/>
                <w:color w:val="000000" w:themeColor="text1"/>
                <w:lang w:val="en-US" w:eastAsia="zh-CN"/>
                <w14:textFill>
                  <w14:solidFill>
                    <w14:schemeClr w14:val="tx1"/>
                  </w14:solidFill>
                </w14:textFill>
              </w:rPr>
            </w:pPr>
          </w:p>
          <w:p w14:paraId="61500DDF">
            <w:pPr>
              <w:keepNext w:val="0"/>
              <w:keepLines w:val="0"/>
              <w:pageBreakBefore w:val="0"/>
              <w:widowControl w:val="0"/>
              <w:kinsoku/>
              <w:wordWrap/>
              <w:overflowPunct/>
              <w:topLinePunct w:val="0"/>
              <w:autoSpaceDE/>
              <w:autoSpaceDN/>
              <w:bidi w:val="0"/>
              <w:adjustRightInd/>
              <w:snapToGrid w:val="0"/>
              <w:textAlignment w:val="auto"/>
              <w:rPr>
                <w:rFonts w:hint="default"/>
                <w:color w:val="000000" w:themeColor="text1"/>
                <w:lang w:val="en-US" w:eastAsia="zh-CN"/>
                <w14:textFill>
                  <w14:solidFill>
                    <w14:schemeClr w14:val="tx1"/>
                  </w14:solidFill>
                </w14:textFill>
              </w:rPr>
            </w:pPr>
          </w:p>
        </w:tc>
      </w:tr>
    </w:tbl>
    <w:p w14:paraId="196D55EB">
      <w:pPr>
        <w:adjustRightInd w:val="0"/>
        <w:snapToGrid w:val="0"/>
        <w:spacing w:line="360" w:lineRule="auto"/>
        <w:rPr>
          <w:rFonts w:hint="eastAsia" w:ascii="宋体" w:cs="宋体"/>
          <w:b/>
          <w:color w:val="000000" w:themeColor="text1"/>
          <w:kern w:val="0"/>
          <w:sz w:val="21"/>
          <w:szCs w:val="21"/>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070EA1E">
      <w:pPr>
        <w:pStyle w:val="22"/>
        <w:jc w:val="center"/>
        <w:outlineLvl w:val="0"/>
        <w:rPr>
          <w:rFonts w:hint="eastAsia" w:ascii="黑体" w:hAnsi="黑体" w:eastAsia="黑体" w:cs="Times New Roman"/>
          <w:snapToGrid w:val="0"/>
          <w:color w:val="000000" w:themeColor="text1"/>
          <w:sz w:val="30"/>
          <w:szCs w:val="30"/>
          <w14:textFill>
            <w14:solidFill>
              <w14:schemeClr w14:val="tx1"/>
            </w14:solidFill>
          </w14:textFill>
        </w:rPr>
      </w:pPr>
      <w:r>
        <w:rPr>
          <w:rFonts w:hint="eastAsia" w:ascii="黑体" w:hAnsi="黑体" w:eastAsia="黑体" w:cs="Times New Roman"/>
          <w:snapToGrid w:val="0"/>
          <w:color w:val="000000" w:themeColor="text1"/>
          <w:sz w:val="30"/>
          <w:szCs w:val="30"/>
          <w14:textFill>
            <w14:solidFill>
              <w14:schemeClr w14:val="tx1"/>
            </w14:solidFill>
          </w14:textFill>
        </w:rPr>
        <w:t>五、</w:t>
      </w:r>
      <w:bookmarkStart w:id="5" w:name="_Hlk54167917"/>
      <w:r>
        <w:rPr>
          <w:rFonts w:hint="eastAsia" w:ascii="黑体" w:hAnsi="黑体" w:eastAsia="黑体" w:cs="Times New Roman"/>
          <w:snapToGrid w:val="0"/>
          <w:color w:val="000000" w:themeColor="text1"/>
          <w:sz w:val="30"/>
          <w:szCs w:val="30"/>
          <w14:textFill>
            <w14:solidFill>
              <w14:schemeClr w14:val="tx1"/>
            </w14:solidFill>
          </w14:textFill>
        </w:rPr>
        <w:t>环境保护措施监督检查清单</w:t>
      </w:r>
      <w:bookmarkEnd w:id="5"/>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1603"/>
        <w:gridCol w:w="1639"/>
        <w:gridCol w:w="1233"/>
        <w:gridCol w:w="2363"/>
        <w:gridCol w:w="1962"/>
      </w:tblGrid>
      <w:tr w14:paraId="74A625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603" w:type="dxa"/>
            <w:tcBorders>
              <w:tl2br w:val="single" w:color="auto" w:sz="4" w:space="0"/>
            </w:tcBorders>
            <w:noWrap w:val="0"/>
            <w:vAlign w:val="top"/>
          </w:tcPr>
          <w:p w14:paraId="09F445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righ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内容</w:t>
            </w:r>
          </w:p>
          <w:p w14:paraId="3000C2F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要素</w:t>
            </w:r>
          </w:p>
        </w:tc>
        <w:tc>
          <w:tcPr>
            <w:tcW w:w="1639" w:type="dxa"/>
            <w:noWrap w:val="0"/>
            <w:vAlign w:val="center"/>
          </w:tcPr>
          <w:p w14:paraId="794FB0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排放口(编号、</w:t>
            </w:r>
          </w:p>
          <w:p w14:paraId="7DBA24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名称)/污染源</w:t>
            </w:r>
          </w:p>
        </w:tc>
        <w:tc>
          <w:tcPr>
            <w:tcW w:w="1233" w:type="dxa"/>
            <w:noWrap w:val="0"/>
            <w:vAlign w:val="center"/>
          </w:tcPr>
          <w:p w14:paraId="0F12D8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污染物</w:t>
            </w:r>
          </w:p>
          <w:p w14:paraId="0008CA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w:t>
            </w:r>
          </w:p>
        </w:tc>
        <w:tc>
          <w:tcPr>
            <w:tcW w:w="2363" w:type="dxa"/>
            <w:noWrap w:val="0"/>
            <w:vAlign w:val="center"/>
          </w:tcPr>
          <w:p w14:paraId="0B80BB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环境保护措施</w:t>
            </w:r>
          </w:p>
        </w:tc>
        <w:tc>
          <w:tcPr>
            <w:tcW w:w="1962" w:type="dxa"/>
            <w:noWrap w:val="0"/>
            <w:vAlign w:val="center"/>
          </w:tcPr>
          <w:p w14:paraId="5371BB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执行标准</w:t>
            </w:r>
          </w:p>
        </w:tc>
      </w:tr>
      <w:tr w14:paraId="68ACE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603" w:type="dxa"/>
            <w:vMerge w:val="restart"/>
            <w:noWrap w:val="0"/>
            <w:vAlign w:val="center"/>
          </w:tcPr>
          <w:p w14:paraId="536821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大气环境</w:t>
            </w:r>
          </w:p>
        </w:tc>
        <w:tc>
          <w:tcPr>
            <w:tcW w:w="1639" w:type="dxa"/>
            <w:noWrap w:val="0"/>
            <w:vAlign w:val="center"/>
          </w:tcPr>
          <w:p w14:paraId="66178C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中药前处理废气DA011</w:t>
            </w:r>
          </w:p>
        </w:tc>
        <w:tc>
          <w:tcPr>
            <w:tcW w:w="1233" w:type="dxa"/>
            <w:noWrap w:val="0"/>
            <w:vAlign w:val="center"/>
          </w:tcPr>
          <w:p w14:paraId="03C05CC9">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t>颗粒物</w:t>
            </w:r>
            <w:r>
              <w:rPr>
                <w:rFonts w:hint="eastAsia" w:cs="Times New Roman"/>
                <w:b w:val="0"/>
                <w:bCs/>
                <w:color w:val="000000" w:themeColor="text1"/>
                <w:sz w:val="21"/>
                <w:szCs w:val="21"/>
                <w:highlight w:val="none"/>
                <w:u w:val="none" w:color="auto"/>
                <w:lang w:val="en-US" w:eastAsia="zh-CN"/>
                <w14:textFill>
                  <w14:solidFill>
                    <w14:schemeClr w14:val="tx1"/>
                  </w14:solidFill>
                </w14:textFill>
              </w:rPr>
              <w:t>、臭气浓度</w:t>
            </w:r>
          </w:p>
        </w:tc>
        <w:tc>
          <w:tcPr>
            <w:tcW w:w="2363" w:type="dxa"/>
            <w:noWrap w:val="0"/>
            <w:vAlign w:val="center"/>
          </w:tcPr>
          <w:p w14:paraId="6248688F">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集气罩+覆膜</w:t>
            </w:r>
            <w:r>
              <w:rPr>
                <w:rFonts w:hint="default" w:ascii="Times New Roman" w:hAnsi="Times New Roman" w:cs="Times New Roman"/>
                <w:color w:val="000000" w:themeColor="text1"/>
                <w:kern w:val="0"/>
                <w:sz w:val="21"/>
                <w:szCs w:val="21"/>
                <w:lang w:val="en-US" w:eastAsia="zh-CN"/>
                <w14:textFill>
                  <w14:solidFill>
                    <w14:schemeClr w14:val="tx1"/>
                  </w14:solidFill>
                </w14:textFill>
              </w:rPr>
              <w:t>袋式除尘器1套</w:t>
            </w:r>
          </w:p>
        </w:tc>
        <w:tc>
          <w:tcPr>
            <w:tcW w:w="1962" w:type="dxa"/>
            <w:vMerge w:val="restart"/>
            <w:noWrap w:val="0"/>
            <w:vAlign w:val="center"/>
          </w:tcPr>
          <w:p w14:paraId="5C9C24E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制药工业大气污染物排放标准</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GB37823-2019</w:t>
            </w:r>
            <w:r>
              <w:rPr>
                <w:rFonts w:hint="eastAsia" w:ascii="Times New Roman" w:hAnsi="Times New Roman" w:cs="Times New Roman"/>
                <w:color w:val="000000" w:themeColor="text1"/>
                <w:sz w:val="21"/>
                <w:szCs w:val="21"/>
                <w:lang w:val="en-US" w:eastAsia="zh-CN"/>
                <w14:textFill>
                  <w14:solidFill>
                    <w14:schemeClr w14:val="tx1"/>
                  </w14:solidFill>
                </w14:textFill>
              </w:rPr>
              <w:t>）</w:t>
            </w:r>
          </w:p>
          <w:p w14:paraId="51E69AE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《挥发性有机物无组织排放控制标准》（GB37822-2019）</w:t>
            </w:r>
          </w:p>
          <w:p w14:paraId="1E25949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cs="Times New Roman"/>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恶臭污染物排放标准GB14554-93</w:t>
            </w:r>
          </w:p>
          <w:p w14:paraId="00733C2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同时满足：</w:t>
            </w:r>
          </w:p>
          <w:p w14:paraId="23CB302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安环攻坚办〔2019〕196号文“颗粒物</w:t>
            </w:r>
          </w:p>
          <w:p w14:paraId="0E76CE7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 mg/m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lang w:val="en-US" w:eastAsia="zh-CN"/>
                <w14:textFill>
                  <w14:solidFill>
                    <w14:schemeClr w14:val="tx1"/>
                  </w14:solidFill>
                </w14:textFill>
              </w:rPr>
              <w:t>”；</w:t>
            </w:r>
          </w:p>
          <w:p w14:paraId="619F572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2024年河南省绩效分级管控要求“50%执行”</w:t>
            </w:r>
          </w:p>
        </w:tc>
      </w:tr>
      <w:tr w14:paraId="0F620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603" w:type="dxa"/>
            <w:vMerge w:val="continue"/>
            <w:noWrap w:val="0"/>
            <w:vAlign w:val="center"/>
          </w:tcPr>
          <w:p w14:paraId="73711A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lang w:eastAsia="zh-CN"/>
                <w14:textFill>
                  <w14:solidFill>
                    <w14:schemeClr w14:val="tx1"/>
                  </w14:solidFill>
                </w14:textFill>
              </w:rPr>
            </w:pPr>
          </w:p>
        </w:tc>
        <w:tc>
          <w:tcPr>
            <w:tcW w:w="1639" w:type="dxa"/>
            <w:noWrap w:val="0"/>
            <w:vAlign w:val="center"/>
          </w:tcPr>
          <w:p w14:paraId="6FD6FDE5">
            <w:pPr>
              <w:widowControl/>
              <w:jc w:val="center"/>
              <w:rPr>
                <w:rFonts w:hint="default" w:ascii="Times New Roman" w:hAnsi="Times New Roman" w:cs="Times New Roman"/>
                <w:b w:val="0"/>
                <w:bCs/>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提取废气、配液、灌装、储罐废气、</w:t>
            </w:r>
            <w:r>
              <w:rPr>
                <w:rFonts w:hint="eastAsia"/>
                <w:color w:val="000000" w:themeColor="text1"/>
                <w:szCs w:val="21"/>
                <w:lang w:val="en-US" w:eastAsia="zh-CN"/>
                <w14:textFill>
                  <w14:solidFill>
                    <w14:schemeClr w14:val="tx1"/>
                  </w14:solidFill>
                </w14:textFill>
              </w:rPr>
              <w:t>危废间废气、污水站废气</w:t>
            </w:r>
            <w:r>
              <w:rPr>
                <w:rFonts w:hint="eastAsia"/>
                <w:color w:val="000000" w:themeColor="text1"/>
                <w:sz w:val="21"/>
                <w:szCs w:val="21"/>
                <w:lang w:val="en-US" w:eastAsia="zh-CN"/>
                <w14:textFill>
                  <w14:solidFill>
                    <w14:schemeClr w14:val="tx1"/>
                  </w14:solidFill>
                </w14:textFill>
              </w:rPr>
              <w:t>DA012</w:t>
            </w:r>
          </w:p>
        </w:tc>
        <w:tc>
          <w:tcPr>
            <w:tcW w:w="1233" w:type="dxa"/>
            <w:noWrap w:val="0"/>
            <w:vAlign w:val="center"/>
          </w:tcPr>
          <w:p w14:paraId="4C22FB04">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pPr>
            <w:r>
              <w:rPr>
                <w:rFonts w:hint="eastAsia" w:cs="Times New Roman"/>
                <w:b w:val="0"/>
                <w:bCs/>
                <w:color w:val="000000" w:themeColor="text1"/>
                <w:sz w:val="21"/>
                <w:szCs w:val="21"/>
                <w:highlight w:val="none"/>
                <w:u w:val="none" w:color="auto"/>
                <w:lang w:val="en-US" w:eastAsia="zh-CN"/>
                <w14:textFill>
                  <w14:solidFill>
                    <w14:schemeClr w14:val="tx1"/>
                  </w14:solidFill>
                </w14:textFill>
              </w:rPr>
              <w:t>VOCs</w:t>
            </w:r>
          </w:p>
        </w:tc>
        <w:tc>
          <w:tcPr>
            <w:tcW w:w="2363" w:type="dxa"/>
            <w:noWrap w:val="0"/>
            <w:vAlign w:val="center"/>
          </w:tcPr>
          <w:p w14:paraId="1F159F18">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低温冷凝+RCO催化燃烧装置2</w:t>
            </w:r>
            <w:r>
              <w:rPr>
                <w:rFonts w:hint="default" w:ascii="Times New Roman" w:hAnsi="Times New Roman" w:cs="Times New Roman"/>
                <w:color w:val="000000" w:themeColor="text1"/>
                <w:kern w:val="0"/>
                <w:sz w:val="21"/>
                <w:szCs w:val="21"/>
                <w:lang w:val="en-US" w:eastAsia="zh-CN"/>
                <w14:textFill>
                  <w14:solidFill>
                    <w14:schemeClr w14:val="tx1"/>
                  </w14:solidFill>
                </w14:textFill>
              </w:rPr>
              <w:t>套</w:t>
            </w:r>
          </w:p>
        </w:tc>
        <w:tc>
          <w:tcPr>
            <w:tcW w:w="1962" w:type="dxa"/>
            <w:vMerge w:val="continue"/>
            <w:noWrap w:val="0"/>
            <w:vAlign w:val="center"/>
          </w:tcPr>
          <w:p w14:paraId="739C619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39D189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603" w:type="dxa"/>
            <w:vMerge w:val="continue"/>
            <w:noWrap w:val="0"/>
            <w:vAlign w:val="center"/>
          </w:tcPr>
          <w:p w14:paraId="2D7156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lang w:eastAsia="zh-CN"/>
                <w14:textFill>
                  <w14:solidFill>
                    <w14:schemeClr w14:val="tx1"/>
                  </w14:solidFill>
                </w14:textFill>
              </w:rPr>
            </w:pPr>
          </w:p>
        </w:tc>
        <w:tc>
          <w:tcPr>
            <w:tcW w:w="1639" w:type="dxa"/>
            <w:noWrap w:val="0"/>
            <w:vAlign w:val="center"/>
          </w:tcPr>
          <w:p w14:paraId="02C09D14">
            <w:pPr>
              <w:widowControl/>
              <w:jc w:val="center"/>
              <w:rPr>
                <w:rFonts w:hint="default" w:ascii="Times New Roman" w:hAnsi="Times New Roman" w:cs="Times New Roman"/>
                <w:b w:val="0"/>
                <w:bCs/>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散剂粉碎混合废气DA013</w:t>
            </w:r>
          </w:p>
        </w:tc>
        <w:tc>
          <w:tcPr>
            <w:tcW w:w="1233" w:type="dxa"/>
            <w:noWrap w:val="0"/>
            <w:vAlign w:val="center"/>
          </w:tcPr>
          <w:p w14:paraId="25F71369">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t>颗粒物</w:t>
            </w:r>
          </w:p>
        </w:tc>
        <w:tc>
          <w:tcPr>
            <w:tcW w:w="2363" w:type="dxa"/>
            <w:noWrap w:val="0"/>
            <w:vAlign w:val="center"/>
          </w:tcPr>
          <w:p w14:paraId="0D13A060">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覆膜</w:t>
            </w:r>
            <w:r>
              <w:rPr>
                <w:rFonts w:hint="default" w:ascii="Times New Roman" w:hAnsi="Times New Roman" w:cs="Times New Roman"/>
                <w:color w:val="000000" w:themeColor="text1"/>
                <w:kern w:val="0"/>
                <w:sz w:val="21"/>
                <w:szCs w:val="21"/>
                <w:lang w:val="en-US" w:eastAsia="zh-CN"/>
                <w14:textFill>
                  <w14:solidFill>
                    <w14:schemeClr w14:val="tx1"/>
                  </w14:solidFill>
                </w14:textFill>
              </w:rPr>
              <w:t>袋式除尘器1套</w:t>
            </w:r>
          </w:p>
        </w:tc>
        <w:tc>
          <w:tcPr>
            <w:tcW w:w="1962" w:type="dxa"/>
            <w:vMerge w:val="continue"/>
            <w:noWrap w:val="0"/>
            <w:vAlign w:val="center"/>
          </w:tcPr>
          <w:p w14:paraId="624CB66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3D4DEE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603" w:type="dxa"/>
            <w:vMerge w:val="continue"/>
            <w:noWrap w:val="0"/>
            <w:vAlign w:val="center"/>
          </w:tcPr>
          <w:p w14:paraId="7840CB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lang w:eastAsia="zh-CN"/>
                <w14:textFill>
                  <w14:solidFill>
                    <w14:schemeClr w14:val="tx1"/>
                  </w14:solidFill>
                </w14:textFill>
              </w:rPr>
            </w:pPr>
          </w:p>
        </w:tc>
        <w:tc>
          <w:tcPr>
            <w:tcW w:w="1639" w:type="dxa"/>
            <w:noWrap w:val="0"/>
            <w:vAlign w:val="center"/>
          </w:tcPr>
          <w:p w14:paraId="215E50EB">
            <w:pPr>
              <w:widowControl/>
              <w:jc w:val="center"/>
              <w:rPr>
                <w:rFonts w:hint="default" w:ascii="Times New Roman" w:hAnsi="Times New Roman" w:cs="Times New Roman"/>
                <w:b w:val="0"/>
                <w:bCs/>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散剂颗粒剂装袋废气DA014</w:t>
            </w:r>
          </w:p>
        </w:tc>
        <w:tc>
          <w:tcPr>
            <w:tcW w:w="1233" w:type="dxa"/>
            <w:noWrap w:val="0"/>
            <w:vAlign w:val="center"/>
          </w:tcPr>
          <w:p w14:paraId="121FDDD4">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t>颗粒物</w:t>
            </w:r>
          </w:p>
        </w:tc>
        <w:tc>
          <w:tcPr>
            <w:tcW w:w="2363" w:type="dxa"/>
            <w:noWrap w:val="0"/>
            <w:vAlign w:val="center"/>
          </w:tcPr>
          <w:p w14:paraId="445EA35D">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覆膜</w:t>
            </w:r>
            <w:r>
              <w:rPr>
                <w:rFonts w:hint="default" w:ascii="Times New Roman" w:hAnsi="Times New Roman" w:cs="Times New Roman"/>
                <w:color w:val="000000" w:themeColor="text1"/>
                <w:kern w:val="0"/>
                <w:sz w:val="21"/>
                <w:szCs w:val="21"/>
                <w:lang w:val="en-US" w:eastAsia="zh-CN"/>
                <w14:textFill>
                  <w14:solidFill>
                    <w14:schemeClr w14:val="tx1"/>
                  </w14:solidFill>
                </w14:textFill>
              </w:rPr>
              <w:t>袋式除尘器1套</w:t>
            </w:r>
          </w:p>
        </w:tc>
        <w:tc>
          <w:tcPr>
            <w:tcW w:w="1962" w:type="dxa"/>
            <w:vMerge w:val="continue"/>
            <w:noWrap w:val="0"/>
            <w:vAlign w:val="center"/>
          </w:tcPr>
          <w:p w14:paraId="3458358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1DD22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603" w:type="dxa"/>
            <w:vMerge w:val="continue"/>
            <w:noWrap w:val="0"/>
            <w:vAlign w:val="center"/>
          </w:tcPr>
          <w:p w14:paraId="0E642A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lang w:eastAsia="zh-CN"/>
                <w14:textFill>
                  <w14:solidFill>
                    <w14:schemeClr w14:val="tx1"/>
                  </w14:solidFill>
                </w14:textFill>
              </w:rPr>
            </w:pPr>
          </w:p>
        </w:tc>
        <w:tc>
          <w:tcPr>
            <w:tcW w:w="1639" w:type="dxa"/>
            <w:noWrap w:val="0"/>
            <w:vAlign w:val="center"/>
          </w:tcPr>
          <w:p w14:paraId="6892A959">
            <w:pPr>
              <w:widowControl/>
              <w:jc w:val="center"/>
              <w:rPr>
                <w:rFonts w:hint="default" w:ascii="Times New Roman" w:hAnsi="Times New Roman" w:cs="Times New Roman"/>
                <w:b w:val="0"/>
                <w:bCs/>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制粒干燥、筛粒总混废气DA015</w:t>
            </w:r>
          </w:p>
        </w:tc>
        <w:tc>
          <w:tcPr>
            <w:tcW w:w="1233" w:type="dxa"/>
            <w:noWrap w:val="0"/>
            <w:vAlign w:val="center"/>
          </w:tcPr>
          <w:p w14:paraId="2D0278D1">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t>颗粒物</w:t>
            </w:r>
          </w:p>
        </w:tc>
        <w:tc>
          <w:tcPr>
            <w:tcW w:w="2363" w:type="dxa"/>
            <w:noWrap w:val="0"/>
            <w:vAlign w:val="center"/>
          </w:tcPr>
          <w:p w14:paraId="0994E43A">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覆膜</w:t>
            </w:r>
            <w:r>
              <w:rPr>
                <w:rFonts w:hint="default" w:ascii="Times New Roman" w:hAnsi="Times New Roman" w:cs="Times New Roman"/>
                <w:color w:val="000000" w:themeColor="text1"/>
                <w:kern w:val="0"/>
                <w:sz w:val="21"/>
                <w:szCs w:val="21"/>
                <w:lang w:val="en-US" w:eastAsia="zh-CN"/>
                <w14:textFill>
                  <w14:solidFill>
                    <w14:schemeClr w14:val="tx1"/>
                  </w14:solidFill>
                </w14:textFill>
              </w:rPr>
              <w:t>袋式除尘器1套</w:t>
            </w:r>
          </w:p>
        </w:tc>
        <w:tc>
          <w:tcPr>
            <w:tcW w:w="1962" w:type="dxa"/>
            <w:vMerge w:val="continue"/>
            <w:noWrap w:val="0"/>
            <w:vAlign w:val="center"/>
          </w:tcPr>
          <w:p w14:paraId="750A76A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6ABBBB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603" w:type="dxa"/>
            <w:vMerge w:val="continue"/>
            <w:noWrap w:val="0"/>
            <w:vAlign w:val="center"/>
          </w:tcPr>
          <w:p w14:paraId="1A4E8A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lang w:eastAsia="zh-CN"/>
                <w14:textFill>
                  <w14:solidFill>
                    <w14:schemeClr w14:val="tx1"/>
                  </w14:solidFill>
                </w14:textFill>
              </w:rPr>
            </w:pPr>
          </w:p>
        </w:tc>
        <w:tc>
          <w:tcPr>
            <w:tcW w:w="1639" w:type="dxa"/>
            <w:noWrap w:val="0"/>
            <w:vAlign w:val="center"/>
          </w:tcPr>
          <w:p w14:paraId="57E0CE45">
            <w:pPr>
              <w:widowControl/>
              <w:jc w:val="center"/>
              <w:rPr>
                <w:rFonts w:hint="default" w:ascii="Times New Roman" w:hAnsi="Times New Roman" w:cs="Times New Roman"/>
                <w:b w:val="0"/>
                <w:bCs/>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片剂压片、包衣废气DA016</w:t>
            </w:r>
          </w:p>
        </w:tc>
        <w:tc>
          <w:tcPr>
            <w:tcW w:w="1233" w:type="dxa"/>
            <w:noWrap w:val="0"/>
            <w:vAlign w:val="center"/>
          </w:tcPr>
          <w:p w14:paraId="797204F1">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t>颗粒物、</w:t>
            </w:r>
            <w:r>
              <w:rPr>
                <w:rFonts w:hint="eastAsia" w:cs="Times New Roman"/>
                <w:b w:val="0"/>
                <w:bCs/>
                <w:color w:val="000000" w:themeColor="text1"/>
                <w:sz w:val="21"/>
                <w:szCs w:val="21"/>
                <w:highlight w:val="none"/>
                <w:u w:val="none" w:color="auto"/>
                <w:lang w:val="en-US" w:eastAsia="zh-CN"/>
                <w14:textFill>
                  <w14:solidFill>
                    <w14:schemeClr w14:val="tx1"/>
                  </w14:solidFill>
                </w14:textFill>
              </w:rPr>
              <w:t>T</w:t>
            </w:r>
            <w:r>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t>VOC</w:t>
            </w:r>
          </w:p>
        </w:tc>
        <w:tc>
          <w:tcPr>
            <w:tcW w:w="2363" w:type="dxa"/>
            <w:noWrap w:val="0"/>
            <w:vAlign w:val="center"/>
          </w:tcPr>
          <w:p w14:paraId="159F2E81">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覆膜</w:t>
            </w:r>
            <w:r>
              <w:rPr>
                <w:rFonts w:hint="default" w:ascii="Times New Roman" w:hAnsi="Times New Roman" w:cs="Times New Roman"/>
                <w:color w:val="000000" w:themeColor="text1"/>
                <w:kern w:val="0"/>
                <w:sz w:val="21"/>
                <w:szCs w:val="21"/>
                <w:lang w:val="en-US" w:eastAsia="zh-CN"/>
                <w14:textFill>
                  <w14:solidFill>
                    <w14:schemeClr w14:val="tx1"/>
                  </w14:solidFill>
                </w14:textFill>
              </w:rPr>
              <w:t>袋式除尘器1套</w:t>
            </w:r>
          </w:p>
        </w:tc>
        <w:tc>
          <w:tcPr>
            <w:tcW w:w="1962" w:type="dxa"/>
            <w:vMerge w:val="continue"/>
            <w:noWrap w:val="0"/>
            <w:vAlign w:val="center"/>
          </w:tcPr>
          <w:p w14:paraId="36B14F6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6916C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603" w:type="dxa"/>
            <w:vMerge w:val="continue"/>
            <w:noWrap w:val="0"/>
            <w:vAlign w:val="center"/>
          </w:tcPr>
          <w:p w14:paraId="58EF0A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lang w:eastAsia="zh-CN"/>
                <w14:textFill>
                  <w14:solidFill>
                    <w14:schemeClr w14:val="tx1"/>
                  </w14:solidFill>
                </w14:textFill>
              </w:rPr>
            </w:pPr>
          </w:p>
        </w:tc>
        <w:tc>
          <w:tcPr>
            <w:tcW w:w="1639" w:type="dxa"/>
            <w:noWrap w:val="0"/>
            <w:vAlign w:val="center"/>
          </w:tcPr>
          <w:p w14:paraId="04431459">
            <w:pPr>
              <w:widowControl/>
              <w:jc w:val="center"/>
              <w:rPr>
                <w:rFonts w:hint="default" w:ascii="Times New Roman" w:hAnsi="Times New Roman" w:cs="Times New Roman"/>
                <w:b w:val="0"/>
                <w:bCs/>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丸剂合坨制丸、筛丸干燥、总混打光</w:t>
            </w:r>
            <w:r>
              <w:rPr>
                <w:rFonts w:hint="eastAsia"/>
                <w:color w:val="000000" w:themeColor="text1"/>
                <w:sz w:val="21"/>
                <w:szCs w:val="21"/>
                <w:lang w:val="en-US" w:eastAsia="zh-CN"/>
                <w14:textFill>
                  <w14:solidFill>
                    <w14:schemeClr w14:val="tx1"/>
                  </w14:solidFill>
                </w14:textFill>
              </w:rPr>
              <w:t>废气DA017</w:t>
            </w:r>
          </w:p>
        </w:tc>
        <w:tc>
          <w:tcPr>
            <w:tcW w:w="1233" w:type="dxa"/>
            <w:noWrap w:val="0"/>
            <w:vAlign w:val="center"/>
          </w:tcPr>
          <w:p w14:paraId="2500D8A0">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cs="Times New Roman"/>
                <w:b w:val="0"/>
                <w:bCs/>
                <w:color w:val="000000" w:themeColor="text1"/>
                <w:sz w:val="21"/>
                <w:szCs w:val="21"/>
                <w:highlight w:val="none"/>
                <w:u w:val="none" w:color="auto"/>
                <w:lang w:val="en-US" w:eastAsia="zh-CN"/>
                <w14:textFill>
                  <w14:solidFill>
                    <w14:schemeClr w14:val="tx1"/>
                  </w14:solidFill>
                </w14:textFill>
              </w:rPr>
              <w:t>颗粒物</w:t>
            </w:r>
          </w:p>
        </w:tc>
        <w:tc>
          <w:tcPr>
            <w:tcW w:w="2363" w:type="dxa"/>
            <w:noWrap w:val="0"/>
            <w:vAlign w:val="center"/>
          </w:tcPr>
          <w:p w14:paraId="74557ABA">
            <w:pPr>
              <w:keepNext w:val="0"/>
              <w:keepLines w:val="0"/>
              <w:pageBreakBefore w:val="0"/>
              <w:widowControl/>
              <w:kinsoku/>
              <w:wordWrap/>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覆膜</w:t>
            </w:r>
            <w:r>
              <w:rPr>
                <w:rFonts w:hint="default" w:ascii="Times New Roman" w:hAnsi="Times New Roman" w:cs="Times New Roman"/>
                <w:color w:val="000000" w:themeColor="text1"/>
                <w:kern w:val="0"/>
                <w:sz w:val="21"/>
                <w:szCs w:val="21"/>
                <w:lang w:val="en-US" w:eastAsia="zh-CN"/>
                <w14:textFill>
                  <w14:solidFill>
                    <w14:schemeClr w14:val="tx1"/>
                  </w14:solidFill>
                </w14:textFill>
              </w:rPr>
              <w:t>袋式除尘器1套</w:t>
            </w:r>
          </w:p>
        </w:tc>
        <w:tc>
          <w:tcPr>
            <w:tcW w:w="1962" w:type="dxa"/>
            <w:vMerge w:val="continue"/>
            <w:noWrap w:val="0"/>
            <w:vAlign w:val="center"/>
          </w:tcPr>
          <w:p w14:paraId="44719DA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4E31A5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603" w:type="dxa"/>
            <w:noWrap w:val="0"/>
            <w:vAlign w:val="center"/>
          </w:tcPr>
          <w:p w14:paraId="65BABD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地表水</w:t>
            </w:r>
          </w:p>
          <w:p w14:paraId="708056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环境</w:t>
            </w:r>
          </w:p>
        </w:tc>
        <w:tc>
          <w:tcPr>
            <w:tcW w:w="1639" w:type="dxa"/>
            <w:noWrap w:val="0"/>
            <w:vAlign w:val="center"/>
          </w:tcPr>
          <w:p w14:paraId="6F3D904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生产、生活废水</w:t>
            </w:r>
          </w:p>
        </w:tc>
        <w:tc>
          <w:tcPr>
            <w:tcW w:w="1233" w:type="dxa"/>
            <w:noWrap w:val="0"/>
            <w:vAlign w:val="center"/>
          </w:tcPr>
          <w:p w14:paraId="7998C83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pH、COD、BOD</w:t>
            </w:r>
            <w:r>
              <w:rPr>
                <w:rFonts w:hint="default" w:ascii="Times New Roman" w:hAnsi="Times New Roman" w:cs="Times New Roman"/>
                <w:color w:val="000000" w:themeColor="text1"/>
                <w:sz w:val="21"/>
                <w:szCs w:val="21"/>
                <w:vertAlign w:val="subscript"/>
                <w:lang w:val="en-US" w:eastAsia="zh-CN"/>
                <w14:textFill>
                  <w14:solidFill>
                    <w14:schemeClr w14:val="tx1"/>
                  </w14:solidFill>
                </w14:textFill>
              </w:rPr>
              <w:t>5</w:t>
            </w:r>
            <w:r>
              <w:rPr>
                <w:rFonts w:hint="default" w:ascii="Times New Roman" w:hAnsi="Times New Roman" w:cs="Times New Roman"/>
                <w:color w:val="000000" w:themeColor="text1"/>
                <w:sz w:val="21"/>
                <w:szCs w:val="21"/>
                <w:lang w:val="en-US" w:eastAsia="zh-CN"/>
                <w14:textFill>
                  <w14:solidFill>
                    <w14:schemeClr w14:val="tx1"/>
                  </w14:solidFill>
                </w14:textFill>
              </w:rPr>
              <w:t>、SS、色度、氨氮、总氮、总磷、动植物油、总有机碳、总氰化物、急性毒性</w:t>
            </w:r>
          </w:p>
        </w:tc>
        <w:tc>
          <w:tcPr>
            <w:tcW w:w="2363" w:type="dxa"/>
            <w:noWrap w:val="0"/>
            <w:vAlign w:val="center"/>
          </w:tcPr>
          <w:p w14:paraId="476213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气浮+混凝沉淀+</w:t>
            </w:r>
            <w:r>
              <w:rPr>
                <w:rFonts w:hint="eastAsia" w:cs="Times New Roman"/>
                <w:color w:val="000000" w:themeColor="text1"/>
                <w:kern w:val="0"/>
                <w:sz w:val="21"/>
                <w:szCs w:val="21"/>
                <w:lang w:val="en-US" w:eastAsia="zh-CN"/>
                <w14:textFill>
                  <w14:solidFill>
                    <w14:schemeClr w14:val="tx1"/>
                  </w14:solidFill>
                </w14:textFill>
              </w:rPr>
              <w:t xml:space="preserve">厌氧+ </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CASS生化处理</w:t>
            </w:r>
            <w:r>
              <w:rPr>
                <w:rFonts w:hint="default" w:ascii="Times New Roman" w:hAnsi="Times New Roman" w:cs="Times New Roman"/>
                <w:color w:val="000000" w:themeColor="text1"/>
                <w:kern w:val="0"/>
                <w:sz w:val="21"/>
                <w:szCs w:val="21"/>
                <w:lang w:val="en-US" w:eastAsia="zh-CN"/>
                <w14:textFill>
                  <w14:solidFill>
                    <w14:schemeClr w14:val="tx1"/>
                  </w14:solidFill>
                </w14:textFill>
              </w:rPr>
              <w:t>一套</w:t>
            </w:r>
            <w:r>
              <w:rPr>
                <w:rFonts w:hint="eastAsia"/>
                <w:color w:val="000000" w:themeColor="text1"/>
                <w:kern w:val="0"/>
                <w:sz w:val="21"/>
                <w:szCs w:val="21"/>
                <w:lang w:val="en-US" w:eastAsia="zh-CN"/>
                <w14:textFill>
                  <w14:solidFill>
                    <w14:schemeClr w14:val="tx1"/>
                  </w14:solidFill>
                </w14:textFill>
              </w:rPr>
              <w:t>，</w:t>
            </w:r>
          </w:p>
          <w:p w14:paraId="77D82B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处理规模：300m</w:t>
            </w:r>
            <w:r>
              <w:rPr>
                <w:rFonts w:hint="eastAsia"/>
                <w:color w:val="000000" w:themeColor="text1"/>
                <w:kern w:val="0"/>
                <w:sz w:val="21"/>
                <w:szCs w:val="21"/>
                <w:vertAlign w:val="superscript"/>
                <w:lang w:val="en-US" w:eastAsia="zh-CN"/>
                <w14:textFill>
                  <w14:solidFill>
                    <w14:schemeClr w14:val="tx1"/>
                  </w14:solidFill>
                </w14:textFill>
              </w:rPr>
              <w:t>3</w:t>
            </w:r>
            <w:r>
              <w:rPr>
                <w:rFonts w:hint="eastAsia"/>
                <w:color w:val="000000" w:themeColor="text1"/>
                <w:kern w:val="0"/>
                <w:sz w:val="21"/>
                <w:szCs w:val="21"/>
                <w:lang w:val="en-US" w:eastAsia="zh-CN"/>
                <w14:textFill>
                  <w14:solidFill>
                    <w14:schemeClr w14:val="tx1"/>
                  </w14:solidFill>
                </w14:textFill>
              </w:rPr>
              <w:t>/d</w:t>
            </w:r>
          </w:p>
        </w:tc>
        <w:tc>
          <w:tcPr>
            <w:tcW w:w="1962" w:type="dxa"/>
            <w:noWrap w:val="0"/>
            <w:vAlign w:val="center"/>
          </w:tcPr>
          <w:p w14:paraId="26EFB0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中药类制药工业水污染物排放标准GB21906-2008表2及</w:t>
            </w:r>
            <w:r>
              <w:rPr>
                <w:rFonts w:hint="eastAsia" w:cs="Times New Roman"/>
                <w:color w:val="000000" w:themeColor="text1"/>
                <w:sz w:val="21"/>
                <w:szCs w:val="21"/>
                <w:lang w:val="en-US" w:eastAsia="zh-CN"/>
                <w14:textFill>
                  <w14:solidFill>
                    <w14:schemeClr w14:val="tx1"/>
                  </w14:solidFill>
                </w14:textFill>
              </w:rPr>
              <w:t>汤阴县产业集聚区工业污水处理厂</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收水标准</w:t>
            </w:r>
          </w:p>
        </w:tc>
      </w:tr>
      <w:tr w14:paraId="4423CB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603" w:type="dxa"/>
            <w:noWrap w:val="0"/>
            <w:vAlign w:val="center"/>
          </w:tcPr>
          <w:p w14:paraId="772F11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声环境</w:t>
            </w:r>
          </w:p>
        </w:tc>
        <w:tc>
          <w:tcPr>
            <w:tcW w:w="1639" w:type="dxa"/>
            <w:noWrap w:val="0"/>
            <w:vAlign w:val="center"/>
          </w:tcPr>
          <w:p w14:paraId="52D602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高噪声</w:t>
            </w:r>
            <w:r>
              <w:rPr>
                <w:rFonts w:hint="default" w:ascii="Times New Roman" w:hAnsi="Times New Roman" w:cs="Times New Roman"/>
                <w:color w:val="000000" w:themeColor="text1"/>
                <w:sz w:val="21"/>
                <w:szCs w:val="21"/>
                <w:lang w:val="en-US" w:eastAsia="zh-CN"/>
                <w14:textFill>
                  <w14:solidFill>
                    <w14:schemeClr w14:val="tx1"/>
                  </w14:solidFill>
                </w14:textFill>
              </w:rPr>
              <w:t>生产设备</w:t>
            </w:r>
          </w:p>
        </w:tc>
        <w:tc>
          <w:tcPr>
            <w:tcW w:w="1233" w:type="dxa"/>
            <w:noWrap w:val="0"/>
            <w:vAlign w:val="center"/>
          </w:tcPr>
          <w:p w14:paraId="0E6B4C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等效声级</w:t>
            </w:r>
          </w:p>
          <w:p w14:paraId="4C375D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最大声级</w:t>
            </w:r>
          </w:p>
        </w:tc>
        <w:tc>
          <w:tcPr>
            <w:tcW w:w="2363" w:type="dxa"/>
            <w:noWrap w:val="0"/>
            <w:vAlign w:val="center"/>
          </w:tcPr>
          <w:p w14:paraId="090AD2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基础减振、厂房</w:t>
            </w:r>
            <w:r>
              <w:rPr>
                <w:rFonts w:hint="default" w:ascii="Times New Roman" w:hAnsi="Times New Roman" w:cs="Times New Roman"/>
                <w:color w:val="000000" w:themeColor="text1"/>
                <w:sz w:val="21"/>
                <w:szCs w:val="21"/>
                <w14:textFill>
                  <w14:solidFill>
                    <w14:schemeClr w14:val="tx1"/>
                  </w14:solidFill>
                </w14:textFill>
              </w:rPr>
              <w:t>隔声</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消声等措施</w:t>
            </w:r>
          </w:p>
        </w:tc>
        <w:tc>
          <w:tcPr>
            <w:tcW w:w="1962" w:type="dxa"/>
            <w:noWrap w:val="0"/>
            <w:vAlign w:val="center"/>
          </w:tcPr>
          <w:p w14:paraId="5E10D8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《工业企业厂界环境噪声排放标准》（GB12348-2008）</w:t>
            </w:r>
            <w:r>
              <w:rPr>
                <w:rFonts w:hint="default" w:ascii="Times New Roman" w:hAnsi="Times New Roman" w:cs="Times New Roman"/>
                <w:color w:val="000000" w:themeColor="text1"/>
                <w:sz w:val="21"/>
                <w:szCs w:val="21"/>
                <w:lang w:val="en-US" w:eastAsia="zh-CN"/>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类标准</w:t>
            </w:r>
          </w:p>
        </w:tc>
      </w:tr>
      <w:tr w14:paraId="0CC94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84" w:hRule="atLeast"/>
          <w:jc w:val="center"/>
        </w:trPr>
        <w:tc>
          <w:tcPr>
            <w:tcW w:w="1603" w:type="dxa"/>
            <w:noWrap w:val="0"/>
            <w:vAlign w:val="center"/>
          </w:tcPr>
          <w:p w14:paraId="01E944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电磁辐射</w:t>
            </w:r>
          </w:p>
        </w:tc>
        <w:tc>
          <w:tcPr>
            <w:tcW w:w="1639" w:type="dxa"/>
            <w:noWrap w:val="0"/>
            <w:vAlign w:val="center"/>
          </w:tcPr>
          <w:p w14:paraId="7FEAAA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233" w:type="dxa"/>
            <w:noWrap w:val="0"/>
            <w:vAlign w:val="center"/>
          </w:tcPr>
          <w:p w14:paraId="37D242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2363" w:type="dxa"/>
            <w:noWrap w:val="0"/>
            <w:vAlign w:val="center"/>
          </w:tcPr>
          <w:p w14:paraId="6547D4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962" w:type="dxa"/>
            <w:noWrap w:val="0"/>
            <w:vAlign w:val="center"/>
          </w:tcPr>
          <w:p w14:paraId="197570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r>
      <w:tr w14:paraId="767984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699" w:hRule="atLeast"/>
          <w:jc w:val="center"/>
        </w:trPr>
        <w:tc>
          <w:tcPr>
            <w:tcW w:w="1603" w:type="dxa"/>
            <w:noWrap w:val="0"/>
            <w:vAlign w:val="center"/>
          </w:tcPr>
          <w:p w14:paraId="7093FD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固体废物</w:t>
            </w:r>
          </w:p>
        </w:tc>
        <w:tc>
          <w:tcPr>
            <w:tcW w:w="7197" w:type="dxa"/>
            <w:gridSpan w:val="4"/>
            <w:noWrap w:val="0"/>
            <w:vAlign w:val="center"/>
          </w:tcPr>
          <w:p w14:paraId="5D7FEF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中药渣库1间5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00</w:t>
            </w:r>
            <w:r>
              <w:rPr>
                <w:rFonts w:hint="default" w:ascii="Times New Roman" w:hAnsi="Times New Roman" w:cs="Times New Roman"/>
                <w:color w:val="000000" w:themeColor="text1"/>
                <w:sz w:val="21"/>
                <w:szCs w:val="21"/>
                <w:highlight w:val="none"/>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14:textFill>
                  <w14:solidFill>
                    <w14:schemeClr w14:val="tx1"/>
                  </w14:solidFill>
                </w14:textFill>
              </w:rPr>
              <w:t>2</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一般固废暂存间1间</w:t>
            </w:r>
            <w:r>
              <w:rPr>
                <w:rFonts w:hint="eastAsia"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00</w:t>
            </w:r>
            <w:r>
              <w:rPr>
                <w:rFonts w:hint="default" w:ascii="Times New Roman" w:hAnsi="Times New Roman" w:cs="Times New Roman"/>
                <w:color w:val="000000" w:themeColor="text1"/>
                <w:sz w:val="21"/>
                <w:szCs w:val="21"/>
                <w:highlight w:val="none"/>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14:textFill>
                  <w14:solidFill>
                    <w14:schemeClr w14:val="tx1"/>
                  </w14:solidFill>
                </w14:textFill>
              </w:rPr>
              <w:t>2</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，污泥间</w:t>
            </w:r>
            <w:r>
              <w:rPr>
                <w:rFonts w:hint="eastAsia" w:cs="Times New Roman"/>
                <w:color w:val="000000" w:themeColor="text1"/>
                <w:sz w:val="21"/>
                <w:szCs w:val="21"/>
                <w:highlight w:val="none"/>
                <w:vertAlign w:val="baseline"/>
                <w:lang w:val="en-US" w:eastAsia="zh-CN"/>
                <w14:textFill>
                  <w14:solidFill>
                    <w14:schemeClr w14:val="tx1"/>
                  </w14:solidFill>
                </w14:textFill>
              </w:rPr>
              <w:t>1间</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10m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2</w:t>
            </w: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危废暂存间1间</w:t>
            </w:r>
            <w:r>
              <w:rPr>
                <w:rFonts w:hint="eastAsia"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cs="Times New Roman"/>
                <w:color w:val="000000" w:themeColor="text1"/>
                <w:sz w:val="21"/>
                <w:szCs w:val="21"/>
                <w:highlight w:val="none"/>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14:textFill>
                  <w14:solidFill>
                    <w14:schemeClr w14:val="tx1"/>
                  </w14:solidFill>
                </w14:textFill>
              </w:rPr>
              <w:t>2</w:t>
            </w:r>
            <w:r>
              <w:rPr>
                <w:rFonts w:hint="eastAsia"/>
                <w:color w:val="000000" w:themeColor="text1"/>
                <w:sz w:val="21"/>
                <w:szCs w:val="21"/>
                <w:highlight w:val="none"/>
                <w:vertAlign w:val="baseline"/>
                <w:lang w:eastAsia="zh-CN"/>
                <w14:textFill>
                  <w14:solidFill>
                    <w14:schemeClr w14:val="tx1"/>
                  </w14:solidFill>
                </w14:textFill>
              </w:rPr>
              <w:t>。</w:t>
            </w:r>
          </w:p>
        </w:tc>
      </w:tr>
      <w:tr w14:paraId="70981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1603" w:type="dxa"/>
            <w:noWrap w:val="0"/>
            <w:vAlign w:val="center"/>
          </w:tcPr>
          <w:p w14:paraId="350324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土壤及地下水污染防治措施</w:t>
            </w:r>
          </w:p>
        </w:tc>
        <w:tc>
          <w:tcPr>
            <w:tcW w:w="7197" w:type="dxa"/>
            <w:gridSpan w:val="4"/>
            <w:noWrap w:val="0"/>
            <w:vAlign w:val="center"/>
          </w:tcPr>
          <w:p w14:paraId="34B89C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r>
      <w:tr w14:paraId="6F01C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88" w:hRule="atLeast"/>
          <w:jc w:val="center"/>
        </w:trPr>
        <w:tc>
          <w:tcPr>
            <w:tcW w:w="1603" w:type="dxa"/>
            <w:noWrap w:val="0"/>
            <w:vAlign w:val="center"/>
          </w:tcPr>
          <w:p w14:paraId="2321DC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生态保护措施</w:t>
            </w:r>
          </w:p>
        </w:tc>
        <w:tc>
          <w:tcPr>
            <w:tcW w:w="7197" w:type="dxa"/>
            <w:gridSpan w:val="4"/>
            <w:noWrap w:val="0"/>
            <w:vAlign w:val="center"/>
          </w:tcPr>
          <w:p w14:paraId="51D8DB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r>
      <w:tr w14:paraId="482B5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1603" w:type="dxa"/>
            <w:noWrap w:val="0"/>
            <w:vAlign w:val="center"/>
          </w:tcPr>
          <w:p w14:paraId="4C4971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环境风险</w:t>
            </w:r>
          </w:p>
          <w:p w14:paraId="172A30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防范措施</w:t>
            </w:r>
          </w:p>
        </w:tc>
        <w:tc>
          <w:tcPr>
            <w:tcW w:w="7197" w:type="dxa"/>
            <w:gridSpan w:val="4"/>
            <w:noWrap w:val="0"/>
            <w:vAlign w:val="center"/>
          </w:tcPr>
          <w:p w14:paraId="2D01AD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烟雾报警装置、消防器材若干</w:t>
            </w:r>
          </w:p>
          <w:p w14:paraId="198CEDF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事故应急池（兼做初期雨水池）一座400m</w:t>
            </w:r>
            <w:r>
              <w:rPr>
                <w:rFonts w:hint="eastAsia" w:cs="Times New Roman"/>
                <w:color w:val="000000" w:themeColor="text1"/>
                <w:sz w:val="21"/>
                <w:szCs w:val="21"/>
                <w:vertAlign w:val="superscript"/>
                <w:lang w:val="en-US" w:eastAsia="zh-CN"/>
                <w14:textFill>
                  <w14:solidFill>
                    <w14:schemeClr w14:val="tx1"/>
                  </w14:solidFill>
                </w14:textFill>
              </w:rPr>
              <w:t>3</w:t>
            </w:r>
          </w:p>
        </w:tc>
      </w:tr>
      <w:tr w14:paraId="5744E6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1603" w:type="dxa"/>
            <w:noWrap w:val="0"/>
            <w:vAlign w:val="center"/>
          </w:tcPr>
          <w:p w14:paraId="43FDAD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其他环境</w:t>
            </w:r>
          </w:p>
          <w:p w14:paraId="6419F2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14:textFill>
                  <w14:solidFill>
                    <w14:schemeClr w14:val="tx1"/>
                  </w14:solidFill>
                </w14:textFill>
              </w:rPr>
              <w:t>管理要求</w:t>
            </w:r>
          </w:p>
        </w:tc>
        <w:tc>
          <w:tcPr>
            <w:tcW w:w="7197" w:type="dxa"/>
            <w:gridSpan w:val="4"/>
            <w:noWrap w:val="0"/>
            <w:vAlign w:val="center"/>
          </w:tcPr>
          <w:p w14:paraId="4796D0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r>
    </w:tbl>
    <w:p w14:paraId="47889911">
      <w:pPr>
        <w:pStyle w:val="22"/>
        <w:jc w:val="both"/>
        <w:outlineLvl w:val="0"/>
        <w:rPr>
          <w:snapToGrid w:val="0"/>
          <w:color w:val="000000" w:themeColor="text1"/>
          <w:sz w:val="21"/>
          <w:szCs w:val="21"/>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DB371E0">
      <w:pPr>
        <w:pStyle w:val="22"/>
        <w:jc w:val="center"/>
        <w:outlineLvl w:val="0"/>
        <w:rPr>
          <w:rFonts w:hint="eastAsia" w:ascii="黑体" w:hAnsi="黑体" w:eastAsia="黑体" w:cs="Times New Roman"/>
          <w:snapToGrid w:val="0"/>
          <w:color w:val="000000" w:themeColor="text1"/>
          <w:sz w:val="30"/>
          <w:szCs w:val="30"/>
          <w14:textFill>
            <w14:solidFill>
              <w14:schemeClr w14:val="tx1"/>
            </w14:solidFill>
          </w14:textFill>
        </w:rPr>
      </w:pPr>
      <w:r>
        <w:rPr>
          <w:rFonts w:hint="eastAsia" w:ascii="黑体" w:hAnsi="黑体" w:eastAsia="黑体" w:cs="Times New Roman"/>
          <w:snapToGrid w:val="0"/>
          <w:color w:val="000000" w:themeColor="text1"/>
          <w:sz w:val="30"/>
          <w:szCs w:val="30"/>
          <w14:textFill>
            <w14:solidFill>
              <w14:schemeClr w14:val="tx1"/>
            </w14:solidFill>
          </w14:textFill>
        </w:rPr>
        <w:t>六、结论</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C804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29" w:hRule="atLeast"/>
          <w:jc w:val="center"/>
        </w:trPr>
        <w:tc>
          <w:tcPr>
            <w:tcW w:w="8865" w:type="dxa"/>
            <w:noWrap w:val="0"/>
            <w:vAlign w:val="center"/>
          </w:tcPr>
          <w:p w14:paraId="65587E58">
            <w:pPr>
              <w:keepNext w:val="0"/>
              <w:keepLines w:val="0"/>
              <w:pageBreakBefore w:val="0"/>
              <w:kinsoku/>
              <w:wordWrap/>
              <w:overflowPunct/>
              <w:topLinePunct w:val="0"/>
              <w:autoSpaceDE/>
              <w:autoSpaceDN/>
              <w:bidi w:val="0"/>
              <w:adjustRightInd w:val="0"/>
              <w:snapToGrid w:val="0"/>
              <w:spacing w:line="360" w:lineRule="auto"/>
              <w:ind w:firstLine="593" w:firstLineChars="246"/>
              <w:textAlignment w:val="auto"/>
              <w:rPr>
                <w:rFonts w:hint="default" w:ascii="Times New Roman" w:hAnsi="Times New Roman" w:eastAsia="宋体" w:cs="Times New Roman"/>
                <w:b/>
                <w:bCs/>
                <w:snapToGrid w:val="0"/>
                <w:color w:val="000000" w:themeColor="text1"/>
                <w:kern w:val="0"/>
                <w:sz w:val="24"/>
                <w:szCs w:val="24"/>
                <w14:textFill>
                  <w14:solidFill>
                    <w14:schemeClr w14:val="tx1"/>
                  </w14:solidFill>
                </w14:textFill>
              </w:rPr>
            </w:pPr>
            <w:r>
              <w:rPr>
                <w:rFonts w:hint="default" w:ascii="Times New Roman" w:hAnsi="Times New Roman" w:eastAsia="宋体" w:cs="Times New Roman"/>
                <w:b/>
                <w:bCs/>
                <w:snapToGrid w:val="0"/>
                <w:color w:val="000000" w:themeColor="text1"/>
                <w:kern w:val="0"/>
                <w:sz w:val="24"/>
                <w:szCs w:val="24"/>
                <w14:textFill>
                  <w14:solidFill>
                    <w14:schemeClr w14:val="tx1"/>
                  </w14:solidFill>
                </w14:textFill>
              </w:rPr>
              <w:t>综上所述，</w:t>
            </w:r>
            <w:r>
              <w:rPr>
                <w:rFonts w:hint="eastAsia" w:ascii="Times New Roman" w:hAnsi="Times New Roman" w:eastAsia="宋体" w:cs="Times New Roman"/>
                <w:b/>
                <w:bCs/>
                <w:snapToGrid w:val="0"/>
                <w:color w:val="000000" w:themeColor="text1"/>
                <w:kern w:val="0"/>
                <w:sz w:val="24"/>
                <w:szCs w:val="24"/>
                <w:lang w:val="en-US" w:eastAsia="zh-CN"/>
                <w14:textFill>
                  <w14:solidFill>
                    <w14:schemeClr w14:val="tx1"/>
                  </w14:solidFill>
                </w14:textFill>
              </w:rPr>
              <w:t>建设单位</w:t>
            </w:r>
            <w:r>
              <w:rPr>
                <w:rFonts w:hint="default" w:ascii="Times New Roman" w:hAnsi="Times New Roman" w:eastAsia="宋体" w:cs="Times New Roman"/>
                <w:b/>
                <w:bCs/>
                <w:snapToGrid w:val="0"/>
                <w:color w:val="000000" w:themeColor="text1"/>
                <w:kern w:val="0"/>
                <w:sz w:val="24"/>
                <w:szCs w:val="24"/>
                <w14:textFill>
                  <w14:solidFill>
                    <w14:schemeClr w14:val="tx1"/>
                  </w14:solidFill>
                </w14:textFill>
              </w:rPr>
              <w:t>在认真落实评价提出的各项污染防治措施后，本项目各污染因素对周围环境影响较小，</w:t>
            </w:r>
            <w:r>
              <w:rPr>
                <w:rFonts w:hint="default" w:ascii="Times New Roman" w:hAnsi="Times New Roman" w:eastAsia="宋体" w:cs="Times New Roman"/>
                <w:b/>
                <w:bCs/>
                <w:color w:val="000000" w:themeColor="text1"/>
                <w:sz w:val="24"/>
                <w:szCs w:val="24"/>
                <w14:textFill>
                  <w14:solidFill>
                    <w14:schemeClr w14:val="tx1"/>
                  </w14:solidFill>
                </w14:textFill>
              </w:rPr>
              <w:t>符合国家政策要求，</w:t>
            </w:r>
            <w:r>
              <w:rPr>
                <w:rFonts w:hint="default" w:ascii="Times New Roman" w:hAnsi="Times New Roman" w:eastAsia="宋体" w:cs="Times New Roman"/>
                <w:b/>
                <w:bCs/>
                <w:snapToGrid w:val="0"/>
                <w:color w:val="000000" w:themeColor="text1"/>
                <w:kern w:val="0"/>
                <w:sz w:val="24"/>
                <w:szCs w:val="24"/>
                <w14:textFill>
                  <w14:solidFill>
                    <w14:schemeClr w14:val="tx1"/>
                  </w14:solidFill>
                </w14:textFill>
              </w:rPr>
              <w:t>选址合理，因此，从</w:t>
            </w:r>
            <w:r>
              <w:rPr>
                <w:rFonts w:hint="eastAsia" w:ascii="Times New Roman" w:hAnsi="Times New Roman" w:eastAsia="宋体" w:cs="Times New Roman"/>
                <w:b/>
                <w:bCs/>
                <w:snapToGrid w:val="0"/>
                <w:color w:val="000000" w:themeColor="text1"/>
                <w:kern w:val="0"/>
                <w:sz w:val="24"/>
                <w:szCs w:val="24"/>
                <w:lang w:val="en-US" w:eastAsia="zh-CN"/>
                <w14:textFill>
                  <w14:solidFill>
                    <w14:schemeClr w14:val="tx1"/>
                  </w14:solidFill>
                </w14:textFill>
              </w:rPr>
              <w:t>环境保护</w:t>
            </w:r>
            <w:r>
              <w:rPr>
                <w:rFonts w:hint="default" w:ascii="Times New Roman" w:hAnsi="Times New Roman" w:eastAsia="宋体" w:cs="Times New Roman"/>
                <w:b/>
                <w:bCs/>
                <w:snapToGrid w:val="0"/>
                <w:color w:val="000000" w:themeColor="text1"/>
                <w:kern w:val="0"/>
                <w:sz w:val="24"/>
                <w:szCs w:val="24"/>
                <w14:textFill>
                  <w14:solidFill>
                    <w14:schemeClr w14:val="tx1"/>
                  </w14:solidFill>
                </w14:textFill>
              </w:rPr>
              <w:t>角度，</w:t>
            </w:r>
            <w:r>
              <w:rPr>
                <w:rFonts w:hint="eastAsia" w:ascii="Times New Roman" w:hAnsi="Times New Roman" w:eastAsia="宋体" w:cs="Times New Roman"/>
                <w:b/>
                <w:bCs/>
                <w:snapToGrid w:val="0"/>
                <w:color w:val="000000" w:themeColor="text1"/>
                <w:kern w:val="0"/>
                <w:sz w:val="24"/>
                <w:szCs w:val="24"/>
                <w:lang w:val="en-US" w:eastAsia="zh-CN"/>
                <w14:textFill>
                  <w14:solidFill>
                    <w14:schemeClr w14:val="tx1"/>
                  </w14:solidFill>
                </w14:textFill>
              </w:rPr>
              <w:t>本次</w:t>
            </w:r>
            <w:r>
              <w:rPr>
                <w:rFonts w:hint="default" w:ascii="Times New Roman" w:hAnsi="Times New Roman" w:eastAsia="宋体" w:cs="Times New Roman"/>
                <w:b/>
                <w:bCs/>
                <w:snapToGrid w:val="0"/>
                <w:color w:val="000000" w:themeColor="text1"/>
                <w:kern w:val="0"/>
                <w:sz w:val="24"/>
                <w:szCs w:val="24"/>
                <w14:textFill>
                  <w14:solidFill>
                    <w14:schemeClr w14:val="tx1"/>
                  </w14:solidFill>
                </w14:textFill>
              </w:rPr>
              <w:t>评价认为本项目</w:t>
            </w:r>
            <w:r>
              <w:rPr>
                <w:rFonts w:hint="eastAsia" w:ascii="Times New Roman" w:hAnsi="Times New Roman" w:eastAsia="宋体" w:cs="Times New Roman"/>
                <w:b/>
                <w:bCs/>
                <w:snapToGrid w:val="0"/>
                <w:color w:val="000000" w:themeColor="text1"/>
                <w:kern w:val="0"/>
                <w:sz w:val="24"/>
                <w:szCs w:val="24"/>
                <w:lang w:val="en-US" w:eastAsia="zh-CN"/>
                <w14:textFill>
                  <w14:solidFill>
                    <w14:schemeClr w14:val="tx1"/>
                  </w14:solidFill>
                </w14:textFill>
              </w:rPr>
              <w:t>环境影响</w:t>
            </w:r>
            <w:r>
              <w:rPr>
                <w:rFonts w:hint="default" w:ascii="Times New Roman" w:hAnsi="Times New Roman" w:eastAsia="宋体" w:cs="Times New Roman"/>
                <w:b/>
                <w:bCs/>
                <w:snapToGrid w:val="0"/>
                <w:color w:val="000000" w:themeColor="text1"/>
                <w:kern w:val="0"/>
                <w:sz w:val="24"/>
                <w:szCs w:val="24"/>
                <w14:textFill>
                  <w14:solidFill>
                    <w14:schemeClr w14:val="tx1"/>
                  </w14:solidFill>
                </w14:textFill>
              </w:rPr>
              <w:t>是可行的。</w:t>
            </w:r>
          </w:p>
          <w:p w14:paraId="4E904B56">
            <w:pPr>
              <w:spacing w:line="360" w:lineRule="auto"/>
              <w:rPr>
                <w:rFonts w:ascii="宋体" w:cs="宋体"/>
                <w:color w:val="000000" w:themeColor="text1"/>
                <w:sz w:val="21"/>
                <w:szCs w:val="21"/>
                <w14:textFill>
                  <w14:solidFill>
                    <w14:schemeClr w14:val="tx1"/>
                  </w14:solidFill>
                </w14:textFill>
              </w:rPr>
            </w:pPr>
          </w:p>
        </w:tc>
      </w:tr>
    </w:tbl>
    <w:p w14:paraId="63D18C5D">
      <w:pPr>
        <w:rPr>
          <w:rFonts w:ascii="宋体"/>
          <w:color w:val="000000" w:themeColor="text1"/>
          <w:szCs w:val="21"/>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A8AEDEC">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ascii="黑体" w:hAnsi="黑体" w:eastAsia="黑体"/>
          <w:snapToGrid w:val="0"/>
          <w:color w:val="000000" w:themeColor="text1"/>
          <w:sz w:val="32"/>
          <w:szCs w:val="32"/>
          <w14:textFill>
            <w14:solidFill>
              <w14:schemeClr w14:val="tx1"/>
            </w14:solidFill>
          </w14:textFill>
        </w:rPr>
      </w:pPr>
      <w:r>
        <w:rPr>
          <w:rFonts w:hint="eastAsia" w:ascii="黑体" w:hAnsi="黑体" w:eastAsia="黑体"/>
          <w:snapToGrid w:val="0"/>
          <w:color w:val="000000" w:themeColor="text1"/>
          <w:sz w:val="32"/>
          <w:szCs w:val="32"/>
          <w14:textFill>
            <w14:solidFill>
              <w14:schemeClr w14:val="tx1"/>
            </w14:solidFill>
          </w14:textFill>
        </w:rPr>
        <w:t>附表</w:t>
      </w:r>
    </w:p>
    <w:p w14:paraId="62B00AA5">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eastAsia" w:ascii="方正大标宋_GBK" w:hAnsi="黑体" w:eastAsia="方正大标宋_GBK" w:cs="Times New Roman"/>
          <w:snapToGrid w:val="0"/>
          <w:color w:val="000000" w:themeColor="text1"/>
          <w:sz w:val="38"/>
          <w:szCs w:val="38"/>
          <w14:textFill>
            <w14:solidFill>
              <w14:schemeClr w14:val="tx1"/>
            </w14:solidFill>
          </w14:textFill>
        </w:rPr>
      </w:pPr>
      <w:r>
        <w:rPr>
          <w:rFonts w:hint="eastAsia" w:ascii="方正大标宋_GBK" w:hAnsi="黑体" w:eastAsia="方正大标宋_GBK" w:cs="Times New Roman"/>
          <w:snapToGrid w:val="0"/>
          <w:color w:val="000000" w:themeColor="text1"/>
          <w:sz w:val="38"/>
          <w:szCs w:val="38"/>
          <w14:textFill>
            <w14:solidFill>
              <w14:schemeClr w14:val="tx1"/>
            </w14:solidFill>
          </w14:textFill>
        </w:rPr>
        <w:t>建设项目污染物排放量汇总表</w:t>
      </w:r>
    </w:p>
    <w:tbl>
      <w:tblPr>
        <w:tblStyle w:val="26"/>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1526"/>
        <w:gridCol w:w="1701"/>
        <w:gridCol w:w="1276"/>
        <w:gridCol w:w="1701"/>
        <w:gridCol w:w="1559"/>
        <w:gridCol w:w="1761"/>
        <w:gridCol w:w="1774"/>
        <w:gridCol w:w="1011"/>
      </w:tblGrid>
      <w:tr w14:paraId="6725FC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79" w:type="dxa"/>
            <w:tcBorders>
              <w:tl2br w:val="single" w:color="auto" w:sz="4" w:space="0"/>
            </w:tcBorders>
            <w:noWrap w:val="0"/>
            <w:tcMar>
              <w:left w:w="28" w:type="dxa"/>
              <w:right w:w="28" w:type="dxa"/>
            </w:tcMar>
            <w:vAlign w:val="center"/>
          </w:tcPr>
          <w:p w14:paraId="603659FA">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right"/>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项目</w:t>
            </w:r>
          </w:p>
          <w:p w14:paraId="336E45AA">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left"/>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分类</w:t>
            </w:r>
          </w:p>
        </w:tc>
        <w:tc>
          <w:tcPr>
            <w:tcW w:w="1526" w:type="dxa"/>
            <w:noWrap w:val="0"/>
            <w:tcMar>
              <w:left w:w="28" w:type="dxa"/>
              <w:right w:w="28" w:type="dxa"/>
            </w:tcMar>
            <w:vAlign w:val="center"/>
          </w:tcPr>
          <w:p w14:paraId="2027E182">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污染物名称</w:t>
            </w:r>
          </w:p>
        </w:tc>
        <w:tc>
          <w:tcPr>
            <w:tcW w:w="1701" w:type="dxa"/>
            <w:noWrap w:val="0"/>
            <w:tcMar>
              <w:left w:w="28" w:type="dxa"/>
              <w:right w:w="28" w:type="dxa"/>
            </w:tcMar>
            <w:vAlign w:val="center"/>
          </w:tcPr>
          <w:p w14:paraId="02BEE1C3">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现有工程</w:t>
            </w:r>
          </w:p>
          <w:p w14:paraId="2DE73504">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1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①</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276" w:type="dxa"/>
            <w:noWrap w:val="0"/>
            <w:tcMar>
              <w:left w:w="28" w:type="dxa"/>
              <w:right w:w="28" w:type="dxa"/>
            </w:tcMar>
            <w:vAlign w:val="center"/>
          </w:tcPr>
          <w:p w14:paraId="7B2175B0">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现有工程</w:t>
            </w:r>
          </w:p>
          <w:p w14:paraId="11AFBB9A">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许可排放量</w:t>
            </w:r>
          </w:p>
          <w:p w14:paraId="2490FD67">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2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②</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701" w:type="dxa"/>
            <w:noWrap w:val="0"/>
            <w:tcMar>
              <w:left w:w="28" w:type="dxa"/>
              <w:right w:w="28" w:type="dxa"/>
            </w:tcMar>
            <w:vAlign w:val="center"/>
          </w:tcPr>
          <w:p w14:paraId="25F8CA98">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在建工程</w:t>
            </w:r>
          </w:p>
          <w:p w14:paraId="3BE74EE7">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3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③</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559" w:type="dxa"/>
            <w:noWrap w:val="0"/>
            <w:tcMar>
              <w:left w:w="28" w:type="dxa"/>
              <w:right w:w="28" w:type="dxa"/>
            </w:tcMar>
            <w:vAlign w:val="center"/>
          </w:tcPr>
          <w:p w14:paraId="24C2C8B5">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本项目</w:t>
            </w:r>
          </w:p>
          <w:p w14:paraId="1E154D23">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4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④</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761" w:type="dxa"/>
            <w:noWrap w:val="0"/>
            <w:tcMar>
              <w:left w:w="28" w:type="dxa"/>
              <w:right w:w="28" w:type="dxa"/>
            </w:tcMar>
            <w:vAlign w:val="center"/>
          </w:tcPr>
          <w:p w14:paraId="2615491E">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以新带老削减量</w:t>
            </w:r>
          </w:p>
          <w:p w14:paraId="51ADBED2">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（新建项目不填）</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instrText xml:space="preserve"> = 5 \* GB3 \* MERGEFORMAT </w:instrTex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⑤</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end"/>
            </w:r>
          </w:p>
        </w:tc>
        <w:tc>
          <w:tcPr>
            <w:tcW w:w="1774" w:type="dxa"/>
            <w:noWrap w:val="0"/>
            <w:tcMar>
              <w:left w:w="28" w:type="dxa"/>
              <w:right w:w="28" w:type="dxa"/>
            </w:tcMar>
            <w:vAlign w:val="center"/>
          </w:tcPr>
          <w:p w14:paraId="5BAC9AB5">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本项目建成后</w:t>
            </w:r>
          </w:p>
          <w:p w14:paraId="298785EF">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全厂排放量（固体废物产生量）</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instrText xml:space="preserve"> = 6 \* GB3 \* MERGEFORMAT </w:instrTex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⑥</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end"/>
            </w:r>
          </w:p>
        </w:tc>
        <w:tc>
          <w:tcPr>
            <w:tcW w:w="1011" w:type="dxa"/>
            <w:noWrap w:val="0"/>
            <w:tcMar>
              <w:left w:w="28" w:type="dxa"/>
              <w:right w:w="28" w:type="dxa"/>
            </w:tcMar>
            <w:vAlign w:val="center"/>
          </w:tcPr>
          <w:p w14:paraId="2680B4DB">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变化量</w:t>
            </w:r>
          </w:p>
          <w:p w14:paraId="03FC8C58">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7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⑦</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r>
      <w:tr w14:paraId="4F52C4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restart"/>
            <w:noWrap w:val="0"/>
            <w:vAlign w:val="center"/>
          </w:tcPr>
          <w:p w14:paraId="0DB96FA4">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废气</w:t>
            </w:r>
          </w:p>
        </w:tc>
        <w:tc>
          <w:tcPr>
            <w:tcW w:w="1526" w:type="dxa"/>
            <w:noWrap w:val="0"/>
            <w:vAlign w:val="center"/>
          </w:tcPr>
          <w:p w14:paraId="4D605E27">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 w:val="21"/>
                <w:szCs w:val="21"/>
                <w:lang w:val="en-US" w:eastAsia="zh-CN"/>
                <w14:textFill>
                  <w14:solidFill>
                    <w14:schemeClr w14:val="tx1"/>
                  </w14:solidFill>
                </w14:textFill>
              </w:rPr>
              <w:t>颗粒物</w:t>
            </w:r>
          </w:p>
        </w:tc>
        <w:tc>
          <w:tcPr>
            <w:tcW w:w="1701" w:type="dxa"/>
            <w:noWrap w:val="0"/>
            <w:vAlign w:val="center"/>
          </w:tcPr>
          <w:p w14:paraId="6A3B16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0.549</w:t>
            </w:r>
          </w:p>
        </w:tc>
        <w:tc>
          <w:tcPr>
            <w:tcW w:w="1276" w:type="dxa"/>
            <w:noWrap w:val="0"/>
            <w:vAlign w:val="center"/>
          </w:tcPr>
          <w:p w14:paraId="2D9D407F">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eastAsia" w:ascii="Times New Roman" w:hAnsi="Times New Roman" w:cs="Times New Roman"/>
                <w:snapToGrid w:val="0"/>
                <w:color w:val="000000" w:themeColor="text1"/>
                <w:kern w:val="21"/>
                <w:sz w:val="21"/>
                <w:szCs w:val="21"/>
                <w14:textFill>
                  <w14:solidFill>
                    <w14:schemeClr w14:val="tx1"/>
                  </w14:solidFill>
                </w14:textFill>
              </w:rPr>
            </w:pPr>
            <w:r>
              <w:rPr>
                <w:rFonts w:hint="eastAsia"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1DFF9E82">
            <w:pPr>
              <w:pStyle w:val="49"/>
              <w:keepNext w:val="0"/>
              <w:keepLines w:val="0"/>
              <w:pageBreakBefore w:val="0"/>
              <w:kinsoku/>
              <w:wordWrap/>
              <w:overflowPunct/>
              <w:topLinePunct w:val="0"/>
              <w:autoSpaceDE/>
              <w:autoSpaceDN/>
              <w:bidi w:val="0"/>
              <w:adjustRightInd w:val="0"/>
              <w:snapToGrid w:val="0"/>
              <w:spacing w:beforeLines="0" w:afterLines="0" w:line="240" w:lineRule="auto"/>
              <w:ind w:left="420" w:leftChars="0" w:hanging="420" w:hangingChars="200"/>
              <w:jc w:val="center"/>
              <w:textAlignment w:val="auto"/>
              <w:rPr>
                <w:rFonts w:hint="eastAsia" w:ascii="Times New Roman" w:hAnsi="Times New Roman" w:cs="Times New Roman"/>
                <w:snapToGrid w:val="0"/>
                <w:color w:val="000000" w:themeColor="text1"/>
                <w:kern w:val="21"/>
                <w:sz w:val="21"/>
                <w:szCs w:val="21"/>
                <w14:textFill>
                  <w14:solidFill>
                    <w14:schemeClr w14:val="tx1"/>
                  </w14:solidFill>
                </w14:textFill>
              </w:rPr>
            </w:pPr>
            <w:r>
              <w:rPr>
                <w:rFonts w:hint="eastAsia"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138A91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1.3285</w:t>
            </w:r>
          </w:p>
        </w:tc>
        <w:tc>
          <w:tcPr>
            <w:tcW w:w="1761" w:type="dxa"/>
            <w:shd w:val="clear" w:color="auto" w:fill="auto"/>
            <w:noWrap w:val="0"/>
            <w:vAlign w:val="center"/>
          </w:tcPr>
          <w:p w14:paraId="0723B627">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noWrap w:val="0"/>
            <w:vAlign w:val="center"/>
          </w:tcPr>
          <w:p w14:paraId="002F92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eastAsia="zh-CN"/>
                <w14:textFill>
                  <w14:solidFill>
                    <w14:schemeClr w14:val="tx1"/>
                  </w14:solidFill>
                </w14:textFill>
              </w:rPr>
              <w:t>1.8775</w:t>
            </w:r>
          </w:p>
        </w:tc>
        <w:tc>
          <w:tcPr>
            <w:tcW w:w="1011" w:type="dxa"/>
            <w:shd w:val="clear" w:color="auto" w:fill="auto"/>
            <w:noWrap w:val="0"/>
            <w:vAlign w:val="center"/>
          </w:tcPr>
          <w:p w14:paraId="0A78CE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+1.3285</w:t>
            </w:r>
          </w:p>
        </w:tc>
      </w:tr>
      <w:tr w14:paraId="370AB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3CD848A5">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3A8A602B">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二氧化硫</w:t>
            </w:r>
          </w:p>
        </w:tc>
        <w:tc>
          <w:tcPr>
            <w:tcW w:w="1701" w:type="dxa"/>
            <w:noWrap w:val="0"/>
            <w:vAlign w:val="center"/>
          </w:tcPr>
          <w:p w14:paraId="499E4E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78CC139C">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679FA243">
            <w:pPr>
              <w:pStyle w:val="49"/>
              <w:keepNext w:val="0"/>
              <w:keepLines w:val="0"/>
              <w:pageBreakBefore w:val="0"/>
              <w:kinsoku/>
              <w:wordWrap/>
              <w:overflowPunct/>
              <w:topLinePunct w:val="0"/>
              <w:autoSpaceDE/>
              <w:autoSpaceDN/>
              <w:bidi w:val="0"/>
              <w:adjustRightInd w:val="0"/>
              <w:snapToGrid w:val="0"/>
              <w:spacing w:beforeLines="0" w:afterLines="0" w:line="240" w:lineRule="auto"/>
              <w:ind w:left="420" w:leftChars="0" w:hanging="420" w:hangingChars="20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2C2204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761" w:type="dxa"/>
            <w:shd w:val="clear" w:color="auto" w:fill="auto"/>
            <w:noWrap w:val="0"/>
            <w:vAlign w:val="center"/>
          </w:tcPr>
          <w:p w14:paraId="1299600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snapToGrid w:val="0"/>
                <w:color w:val="000000" w:themeColor="text1"/>
                <w:kern w:val="21"/>
                <w:sz w:val="21"/>
                <w:szCs w:val="21"/>
                <w:highlight w:val="yellow"/>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774" w:type="dxa"/>
            <w:noWrap w:val="0"/>
            <w:vAlign w:val="center"/>
          </w:tcPr>
          <w:p w14:paraId="01301E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011" w:type="dxa"/>
            <w:shd w:val="clear" w:color="auto" w:fill="auto"/>
            <w:noWrap w:val="0"/>
            <w:vAlign w:val="center"/>
          </w:tcPr>
          <w:p w14:paraId="7205BD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r>
      <w:tr w14:paraId="72DC77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5DFBA13B">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5A50D2D3">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氮氧化物</w:t>
            </w:r>
          </w:p>
        </w:tc>
        <w:tc>
          <w:tcPr>
            <w:tcW w:w="1701" w:type="dxa"/>
            <w:noWrap w:val="0"/>
            <w:vAlign w:val="center"/>
          </w:tcPr>
          <w:p w14:paraId="238AD3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07D52E4F">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04999272">
            <w:pPr>
              <w:pStyle w:val="49"/>
              <w:keepNext w:val="0"/>
              <w:keepLines w:val="0"/>
              <w:pageBreakBefore w:val="0"/>
              <w:kinsoku/>
              <w:wordWrap/>
              <w:overflowPunct/>
              <w:topLinePunct w:val="0"/>
              <w:autoSpaceDE/>
              <w:autoSpaceDN/>
              <w:bidi w:val="0"/>
              <w:adjustRightInd w:val="0"/>
              <w:snapToGrid w:val="0"/>
              <w:spacing w:beforeLines="0" w:afterLines="0" w:line="240" w:lineRule="auto"/>
              <w:ind w:left="420" w:leftChars="0" w:hanging="420" w:hangingChars="20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752C8B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761" w:type="dxa"/>
            <w:shd w:val="clear" w:color="auto" w:fill="auto"/>
            <w:noWrap w:val="0"/>
            <w:vAlign w:val="center"/>
          </w:tcPr>
          <w:p w14:paraId="1279D18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774" w:type="dxa"/>
            <w:noWrap w:val="0"/>
            <w:vAlign w:val="center"/>
          </w:tcPr>
          <w:p w14:paraId="3B76CE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011" w:type="dxa"/>
            <w:shd w:val="clear" w:color="auto" w:fill="auto"/>
            <w:noWrap w:val="0"/>
            <w:vAlign w:val="center"/>
          </w:tcPr>
          <w:p w14:paraId="46E5E4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r>
      <w:tr w14:paraId="154827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30CA5210">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17C0C82B">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挥发性有机物</w:t>
            </w:r>
          </w:p>
        </w:tc>
        <w:tc>
          <w:tcPr>
            <w:tcW w:w="1701" w:type="dxa"/>
            <w:noWrap w:val="0"/>
            <w:vAlign w:val="center"/>
          </w:tcPr>
          <w:p w14:paraId="08B934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bidi="ar-SA"/>
                <w14:textFill>
                  <w14:solidFill>
                    <w14:schemeClr w14:val="tx1"/>
                  </w14:solidFill>
                </w14:textFill>
              </w:rPr>
              <w:t>0.676</w:t>
            </w:r>
          </w:p>
        </w:tc>
        <w:tc>
          <w:tcPr>
            <w:tcW w:w="1276" w:type="dxa"/>
            <w:noWrap w:val="0"/>
            <w:vAlign w:val="center"/>
          </w:tcPr>
          <w:p w14:paraId="7D0996B1">
            <w:pPr>
              <w:pStyle w:val="49"/>
              <w:keepNext w:val="0"/>
              <w:keepLines w:val="0"/>
              <w:pageBreakBefore w:val="0"/>
              <w:kinsoku/>
              <w:wordWrap/>
              <w:overflowPunct/>
              <w:topLinePunct w:val="0"/>
              <w:autoSpaceDE/>
              <w:autoSpaceDN/>
              <w:bidi w:val="0"/>
              <w:adjustRightInd w:val="0"/>
              <w:snapToGrid w:val="0"/>
              <w:spacing w:beforeLines="0" w:afterLines="0" w:line="240" w:lineRule="auto"/>
              <w:ind w:left="420" w:leftChars="0" w:hanging="420" w:hangingChars="200"/>
              <w:jc w:val="center"/>
              <w:textAlignment w:val="auto"/>
              <w:rPr>
                <w:rFonts w:hint="default" w:ascii="Times New Roman" w:hAnsi="Times New Roman"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74E888E5">
            <w:pPr>
              <w:pStyle w:val="49"/>
              <w:keepNext w:val="0"/>
              <w:keepLines w:val="0"/>
              <w:pageBreakBefore w:val="0"/>
              <w:kinsoku/>
              <w:wordWrap/>
              <w:overflowPunct/>
              <w:topLinePunct w:val="0"/>
              <w:autoSpaceDE/>
              <w:autoSpaceDN/>
              <w:bidi w:val="0"/>
              <w:adjustRightInd w:val="0"/>
              <w:snapToGrid w:val="0"/>
              <w:spacing w:beforeLines="0" w:afterLines="0" w:line="240" w:lineRule="auto"/>
              <w:ind w:left="420" w:leftChars="0" w:hanging="420" w:hangingChars="200"/>
              <w:jc w:val="center"/>
              <w:textAlignment w:val="auto"/>
              <w:rPr>
                <w:rFonts w:hint="default" w:ascii="Times New Roman" w:hAnsi="Times New Roman"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7EEFD6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1.417</w:t>
            </w:r>
          </w:p>
        </w:tc>
        <w:tc>
          <w:tcPr>
            <w:tcW w:w="1761" w:type="dxa"/>
            <w:shd w:val="clear" w:color="auto" w:fill="auto"/>
            <w:noWrap w:val="0"/>
            <w:vAlign w:val="center"/>
          </w:tcPr>
          <w:p w14:paraId="589E6DB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noWrap w:val="0"/>
            <w:vAlign w:val="center"/>
          </w:tcPr>
          <w:p w14:paraId="5EE139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eastAsia="zh-CN" w:bidi="ar-SA"/>
                <w14:textFill>
                  <w14:solidFill>
                    <w14:schemeClr w14:val="tx1"/>
                  </w14:solidFill>
                </w14:textFill>
              </w:rPr>
              <w:t>2.</w:t>
            </w:r>
            <w:r>
              <w:rPr>
                <w:rFonts w:hint="eastAsia" w:cs="Times New Roman"/>
                <w:snapToGrid w:val="0"/>
                <w:color w:val="000000" w:themeColor="text1"/>
                <w:kern w:val="21"/>
                <w:sz w:val="21"/>
                <w:szCs w:val="21"/>
                <w:lang w:val="en-US" w:eastAsia="zh-CN" w:bidi="ar-SA"/>
                <w14:textFill>
                  <w14:solidFill>
                    <w14:schemeClr w14:val="tx1"/>
                  </w14:solidFill>
                </w14:textFill>
              </w:rPr>
              <w:t>093</w:t>
            </w:r>
          </w:p>
        </w:tc>
        <w:tc>
          <w:tcPr>
            <w:tcW w:w="1011" w:type="dxa"/>
            <w:shd w:val="clear" w:color="auto" w:fill="auto"/>
            <w:noWrap w:val="0"/>
            <w:vAlign w:val="center"/>
          </w:tcPr>
          <w:p w14:paraId="1D0D8F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+1.417</w:t>
            </w:r>
          </w:p>
        </w:tc>
      </w:tr>
      <w:tr w14:paraId="76598A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restart"/>
            <w:noWrap w:val="0"/>
            <w:vAlign w:val="center"/>
          </w:tcPr>
          <w:p w14:paraId="3320EB22">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废水</w:t>
            </w:r>
          </w:p>
        </w:tc>
        <w:tc>
          <w:tcPr>
            <w:tcW w:w="1526" w:type="dxa"/>
            <w:noWrap w:val="0"/>
            <w:vAlign w:val="center"/>
          </w:tcPr>
          <w:p w14:paraId="252E7A4E">
            <w:pPr>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eastAsia" w:ascii="Times New Roman" w:hAnsi="Times New Roman" w:eastAsia="宋体" w:cs="Times New Roman"/>
                <w:snapToGrid w:val="0"/>
                <w:color w:val="000000" w:themeColor="text1"/>
                <w:kern w:val="2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化学需氧量</w:t>
            </w:r>
          </w:p>
        </w:tc>
        <w:tc>
          <w:tcPr>
            <w:tcW w:w="1701" w:type="dxa"/>
            <w:noWrap w:val="0"/>
            <w:vAlign w:val="center"/>
          </w:tcPr>
          <w:p w14:paraId="750327E1">
            <w:pPr>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0.84</w:t>
            </w:r>
          </w:p>
        </w:tc>
        <w:tc>
          <w:tcPr>
            <w:tcW w:w="1276" w:type="dxa"/>
            <w:noWrap w:val="0"/>
            <w:vAlign w:val="center"/>
          </w:tcPr>
          <w:p w14:paraId="386C17E9">
            <w:pPr>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05714919">
            <w:pPr>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0B05FA47">
            <w:pPr>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5.385</w:t>
            </w:r>
          </w:p>
        </w:tc>
        <w:tc>
          <w:tcPr>
            <w:tcW w:w="1761" w:type="dxa"/>
            <w:shd w:val="clear" w:color="auto" w:fill="auto"/>
            <w:noWrap w:val="0"/>
            <w:vAlign w:val="center"/>
          </w:tcPr>
          <w:p w14:paraId="17490B9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snapToGrid/>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774" w:type="dxa"/>
            <w:noWrap w:val="0"/>
            <w:vAlign w:val="center"/>
          </w:tcPr>
          <w:p w14:paraId="6CE00C8F">
            <w:pPr>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6.225</w:t>
            </w:r>
          </w:p>
        </w:tc>
        <w:tc>
          <w:tcPr>
            <w:tcW w:w="1011" w:type="dxa"/>
            <w:shd w:val="clear" w:color="auto" w:fill="auto"/>
            <w:noWrap w:val="0"/>
            <w:vAlign w:val="center"/>
          </w:tcPr>
          <w:p w14:paraId="3A34B509">
            <w:pPr>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+5.385</w:t>
            </w:r>
          </w:p>
        </w:tc>
      </w:tr>
      <w:tr w14:paraId="337D56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53AD7A50">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142D8AD2">
            <w:pPr>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eastAsia" w:ascii="Times New Roman" w:hAnsi="Times New Roman" w:eastAsia="宋体" w:cs="Times New Roman"/>
                <w:snapToGrid w:val="0"/>
                <w:color w:val="000000" w:themeColor="text1"/>
                <w:kern w:val="2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氨氮</w:t>
            </w:r>
          </w:p>
        </w:tc>
        <w:tc>
          <w:tcPr>
            <w:tcW w:w="1701" w:type="dxa"/>
            <w:noWrap w:val="0"/>
            <w:vAlign w:val="center"/>
          </w:tcPr>
          <w:p w14:paraId="73AC6550">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0.084</w:t>
            </w:r>
          </w:p>
        </w:tc>
        <w:tc>
          <w:tcPr>
            <w:tcW w:w="1276" w:type="dxa"/>
            <w:noWrap w:val="0"/>
            <w:vAlign w:val="center"/>
          </w:tcPr>
          <w:p w14:paraId="45F096D7">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1701" w:type="dxa"/>
            <w:noWrap w:val="0"/>
            <w:vAlign w:val="center"/>
          </w:tcPr>
          <w:p w14:paraId="723F22C3">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7C01F7FE">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0.394</w:t>
            </w:r>
          </w:p>
        </w:tc>
        <w:tc>
          <w:tcPr>
            <w:tcW w:w="1761" w:type="dxa"/>
            <w:shd w:val="clear" w:color="auto" w:fill="auto"/>
            <w:noWrap w:val="0"/>
            <w:vAlign w:val="center"/>
          </w:tcPr>
          <w:p w14:paraId="35E10E4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noWrap w:val="0"/>
            <w:vAlign w:val="center"/>
          </w:tcPr>
          <w:p w14:paraId="70E45F07">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fldChar w:fldCharType="begin"/>
            </w:r>
            <w:r>
              <w:rPr>
                <w:rFonts w:hint="default" w:ascii="Times New Roman" w:hAnsi="Times New Roman" w:cs="Times New Roman"/>
                <w:snapToGrid w:val="0"/>
                <w:color w:val="000000" w:themeColor="text1"/>
                <w:kern w:val="21"/>
                <w:sz w:val="21"/>
                <w:szCs w:val="21"/>
                <w14:textFill>
                  <w14:solidFill>
                    <w14:schemeClr w14:val="tx1"/>
                  </w14:solidFill>
                </w14:textFill>
              </w:rPr>
              <w:instrText xml:space="preserve"> =SUM(LEFT) \* MERGEFORMAT </w:instrText>
            </w:r>
            <w:r>
              <w:rPr>
                <w:rFonts w:hint="default" w:ascii="Times New Roman" w:hAnsi="Times New Roman" w:cs="Times New Roman"/>
                <w:snapToGrid w:val="0"/>
                <w:color w:val="000000" w:themeColor="text1"/>
                <w:kern w:val="21"/>
                <w:sz w:val="21"/>
                <w:szCs w:val="21"/>
                <w14:textFill>
                  <w14:solidFill>
                    <w14:schemeClr w14:val="tx1"/>
                  </w14:solidFill>
                </w14:textFill>
              </w:rPr>
              <w:fldChar w:fldCharType="separate"/>
            </w:r>
            <w:r>
              <w:rPr>
                <w:rFonts w:hint="default" w:ascii="Times New Roman" w:hAnsi="Times New Roman" w:cs="Times New Roman"/>
                <w:snapToGrid w:val="0"/>
                <w:color w:val="000000" w:themeColor="text1"/>
                <w:kern w:val="21"/>
                <w:sz w:val="21"/>
                <w:szCs w:val="21"/>
                <w14:textFill>
                  <w14:solidFill>
                    <w14:schemeClr w14:val="tx1"/>
                  </w14:solidFill>
                </w14:textFill>
              </w:rPr>
              <w:t>0.478</w:t>
            </w:r>
            <w:r>
              <w:rPr>
                <w:rFonts w:hint="default" w:ascii="Times New Roman" w:hAnsi="Times New Roman" w:cs="Times New Roman"/>
                <w:snapToGrid w:val="0"/>
                <w:color w:val="000000" w:themeColor="text1"/>
                <w:kern w:val="21"/>
                <w:sz w:val="21"/>
                <w:szCs w:val="21"/>
                <w14:textFill>
                  <w14:solidFill>
                    <w14:schemeClr w14:val="tx1"/>
                  </w14:solidFill>
                </w14:textFill>
              </w:rPr>
              <w:fldChar w:fldCharType="end"/>
            </w:r>
          </w:p>
        </w:tc>
        <w:tc>
          <w:tcPr>
            <w:tcW w:w="1011" w:type="dxa"/>
            <w:shd w:val="clear" w:color="auto" w:fill="auto"/>
            <w:noWrap w:val="0"/>
            <w:vAlign w:val="center"/>
          </w:tcPr>
          <w:p w14:paraId="4283B102">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+0.394</w:t>
            </w:r>
          </w:p>
        </w:tc>
      </w:tr>
      <w:tr w14:paraId="33E714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08163AEC">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3A5BB41A">
            <w:pPr>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总磷</w:t>
            </w:r>
          </w:p>
        </w:tc>
        <w:tc>
          <w:tcPr>
            <w:tcW w:w="1701" w:type="dxa"/>
            <w:noWrap w:val="0"/>
            <w:vAlign w:val="center"/>
          </w:tcPr>
          <w:p w14:paraId="18446CB2">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0.0017</w:t>
            </w:r>
          </w:p>
        </w:tc>
        <w:tc>
          <w:tcPr>
            <w:tcW w:w="1276" w:type="dxa"/>
            <w:noWrap w:val="0"/>
            <w:vAlign w:val="center"/>
          </w:tcPr>
          <w:p w14:paraId="0B992240">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01" w:type="dxa"/>
            <w:noWrap w:val="0"/>
            <w:vAlign w:val="center"/>
          </w:tcPr>
          <w:p w14:paraId="2844B561">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3BAD6225">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0.0362</w:t>
            </w:r>
          </w:p>
        </w:tc>
        <w:tc>
          <w:tcPr>
            <w:tcW w:w="1761" w:type="dxa"/>
            <w:shd w:val="clear" w:color="auto" w:fill="auto"/>
            <w:noWrap w:val="0"/>
            <w:vAlign w:val="center"/>
          </w:tcPr>
          <w:p w14:paraId="2C45F28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noWrap w:val="0"/>
            <w:vAlign w:val="center"/>
          </w:tcPr>
          <w:p w14:paraId="016BCC54">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0.0379</w:t>
            </w:r>
          </w:p>
        </w:tc>
        <w:tc>
          <w:tcPr>
            <w:tcW w:w="1011" w:type="dxa"/>
            <w:shd w:val="clear" w:color="auto" w:fill="auto"/>
            <w:noWrap w:val="0"/>
            <w:vAlign w:val="center"/>
          </w:tcPr>
          <w:p w14:paraId="1D294D29">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+0.0362</w:t>
            </w:r>
          </w:p>
        </w:tc>
      </w:tr>
      <w:tr w14:paraId="23D543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restart"/>
            <w:noWrap w:val="0"/>
            <w:vAlign w:val="center"/>
          </w:tcPr>
          <w:p w14:paraId="21292356">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一般工业</w:t>
            </w:r>
          </w:p>
          <w:p w14:paraId="6416B710">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固体废物</w:t>
            </w:r>
          </w:p>
        </w:tc>
        <w:tc>
          <w:tcPr>
            <w:tcW w:w="1526" w:type="dxa"/>
            <w:noWrap w:val="0"/>
            <w:vAlign w:val="center"/>
          </w:tcPr>
          <w:p w14:paraId="5A4D585B">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拣选废弃物</w:t>
            </w:r>
          </w:p>
        </w:tc>
        <w:tc>
          <w:tcPr>
            <w:tcW w:w="1701" w:type="dxa"/>
            <w:shd w:val="clear" w:color="auto" w:fill="auto"/>
            <w:noWrap w:val="0"/>
            <w:vAlign w:val="center"/>
          </w:tcPr>
          <w:p w14:paraId="65DBF52A">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276" w:type="dxa"/>
            <w:noWrap w:val="0"/>
            <w:vAlign w:val="center"/>
          </w:tcPr>
          <w:p w14:paraId="209C3602">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01" w:type="dxa"/>
            <w:noWrap w:val="0"/>
            <w:vAlign w:val="center"/>
          </w:tcPr>
          <w:p w14:paraId="5626D692">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28EC834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297.5</w:t>
            </w:r>
          </w:p>
        </w:tc>
        <w:tc>
          <w:tcPr>
            <w:tcW w:w="1761" w:type="dxa"/>
            <w:noWrap w:val="0"/>
            <w:vAlign w:val="center"/>
          </w:tcPr>
          <w:p w14:paraId="083ED809">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shd w:val="clear" w:color="auto" w:fill="auto"/>
            <w:noWrap w:val="0"/>
            <w:vAlign w:val="center"/>
          </w:tcPr>
          <w:p w14:paraId="0A51ED7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297.5</w:t>
            </w:r>
          </w:p>
        </w:tc>
        <w:tc>
          <w:tcPr>
            <w:tcW w:w="1011" w:type="dxa"/>
            <w:shd w:val="clear" w:color="auto" w:fill="auto"/>
            <w:noWrap w:val="0"/>
            <w:vAlign w:val="center"/>
          </w:tcPr>
          <w:p w14:paraId="2692D94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+297.5</w:t>
            </w:r>
          </w:p>
        </w:tc>
      </w:tr>
      <w:tr w14:paraId="1C60F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31BB4478">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601C8417">
            <w:pPr>
              <w:adjustRightInd w:val="0"/>
              <w:snapToGrid w:val="0"/>
              <w:jc w:val="center"/>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废中药渣</w:t>
            </w:r>
          </w:p>
        </w:tc>
        <w:tc>
          <w:tcPr>
            <w:tcW w:w="1701" w:type="dxa"/>
            <w:shd w:val="clear" w:color="auto" w:fill="auto"/>
            <w:noWrap w:val="0"/>
            <w:vAlign w:val="center"/>
          </w:tcPr>
          <w:p w14:paraId="1BABFE0C">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1276" w:type="dxa"/>
            <w:noWrap w:val="0"/>
            <w:vAlign w:val="center"/>
          </w:tcPr>
          <w:p w14:paraId="1FA4E73F">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1701" w:type="dxa"/>
            <w:noWrap w:val="0"/>
            <w:vAlign w:val="center"/>
          </w:tcPr>
          <w:p w14:paraId="6606AF23">
            <w:pPr>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6E053E4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16446</w:t>
            </w:r>
          </w:p>
        </w:tc>
        <w:tc>
          <w:tcPr>
            <w:tcW w:w="1761" w:type="dxa"/>
            <w:noWrap w:val="0"/>
            <w:vAlign w:val="center"/>
          </w:tcPr>
          <w:p w14:paraId="792B50C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cs="Times New Roman"/>
                <w:snapToGrid w:val="0"/>
                <w:color w:val="000000" w:themeColor="text1"/>
                <w:kern w:val="21"/>
                <w:sz w:val="21"/>
                <w:szCs w:val="21"/>
                <w:highlight w:val="yellow"/>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774" w:type="dxa"/>
            <w:shd w:val="clear" w:color="auto" w:fill="auto"/>
            <w:noWrap w:val="0"/>
            <w:vAlign w:val="center"/>
          </w:tcPr>
          <w:p w14:paraId="644DC85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16446</w:t>
            </w:r>
          </w:p>
        </w:tc>
        <w:tc>
          <w:tcPr>
            <w:tcW w:w="1011" w:type="dxa"/>
            <w:shd w:val="clear" w:color="auto" w:fill="auto"/>
            <w:noWrap w:val="0"/>
            <w:vAlign w:val="center"/>
          </w:tcPr>
          <w:p w14:paraId="62872DC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+16446</w:t>
            </w:r>
          </w:p>
        </w:tc>
      </w:tr>
      <w:tr w14:paraId="31EE1A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38EAD91D">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798CDD57">
            <w:pPr>
              <w:adjustRightInd w:val="0"/>
              <w:snapToGrid w:val="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除尘灰</w:t>
            </w:r>
          </w:p>
        </w:tc>
        <w:tc>
          <w:tcPr>
            <w:tcW w:w="1701" w:type="dxa"/>
            <w:shd w:val="clear" w:color="auto" w:fill="auto"/>
            <w:noWrap w:val="0"/>
            <w:vAlign w:val="center"/>
          </w:tcPr>
          <w:p w14:paraId="672C865E">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276" w:type="dxa"/>
            <w:noWrap w:val="0"/>
            <w:vAlign w:val="center"/>
          </w:tcPr>
          <w:p w14:paraId="4516B976">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701" w:type="dxa"/>
            <w:noWrap w:val="0"/>
            <w:vAlign w:val="center"/>
          </w:tcPr>
          <w:p w14:paraId="05EFA876">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eastAsia"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6A4BC8E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118.26</w:t>
            </w:r>
          </w:p>
        </w:tc>
        <w:tc>
          <w:tcPr>
            <w:tcW w:w="1761" w:type="dxa"/>
            <w:noWrap w:val="0"/>
            <w:vAlign w:val="center"/>
          </w:tcPr>
          <w:p w14:paraId="4C3DA53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774" w:type="dxa"/>
            <w:shd w:val="clear" w:color="auto" w:fill="auto"/>
            <w:noWrap w:val="0"/>
            <w:vAlign w:val="center"/>
          </w:tcPr>
          <w:p w14:paraId="118A27D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118.26</w:t>
            </w:r>
          </w:p>
        </w:tc>
        <w:tc>
          <w:tcPr>
            <w:tcW w:w="1011" w:type="dxa"/>
            <w:shd w:val="clear" w:color="auto" w:fill="auto"/>
            <w:noWrap w:val="0"/>
            <w:vAlign w:val="center"/>
          </w:tcPr>
          <w:p w14:paraId="7DF7525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+118.26</w:t>
            </w:r>
          </w:p>
        </w:tc>
      </w:tr>
      <w:tr w14:paraId="01C56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4DBF1C70">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2995A144">
            <w:pPr>
              <w:adjustRightInd w:val="0"/>
              <w:snapToGrid w:val="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废弃包装物</w:t>
            </w:r>
          </w:p>
        </w:tc>
        <w:tc>
          <w:tcPr>
            <w:tcW w:w="1701" w:type="dxa"/>
            <w:shd w:val="clear" w:color="auto" w:fill="auto"/>
            <w:noWrap w:val="0"/>
            <w:vAlign w:val="center"/>
          </w:tcPr>
          <w:p w14:paraId="4780ED25">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276" w:type="dxa"/>
            <w:shd w:val="clear" w:color="auto" w:fill="auto"/>
            <w:noWrap w:val="0"/>
            <w:vAlign w:val="center"/>
          </w:tcPr>
          <w:p w14:paraId="693843AD">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01" w:type="dxa"/>
            <w:shd w:val="clear" w:color="auto" w:fill="auto"/>
            <w:noWrap w:val="0"/>
            <w:vAlign w:val="center"/>
          </w:tcPr>
          <w:p w14:paraId="128355BF">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3F15B8F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23.8</w:t>
            </w:r>
          </w:p>
        </w:tc>
        <w:tc>
          <w:tcPr>
            <w:tcW w:w="1761" w:type="dxa"/>
            <w:noWrap w:val="0"/>
            <w:vAlign w:val="center"/>
          </w:tcPr>
          <w:p w14:paraId="6B5B284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shd w:val="clear" w:color="auto" w:fill="auto"/>
            <w:noWrap w:val="0"/>
            <w:vAlign w:val="center"/>
          </w:tcPr>
          <w:p w14:paraId="70E07D5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23.8</w:t>
            </w:r>
          </w:p>
        </w:tc>
        <w:tc>
          <w:tcPr>
            <w:tcW w:w="1011" w:type="dxa"/>
            <w:shd w:val="clear" w:color="auto" w:fill="auto"/>
            <w:noWrap w:val="0"/>
            <w:vAlign w:val="center"/>
          </w:tcPr>
          <w:p w14:paraId="3593D8C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+23.8</w:t>
            </w:r>
          </w:p>
        </w:tc>
      </w:tr>
      <w:tr w14:paraId="14B788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1998D621">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4B5D8D87">
            <w:pPr>
              <w:adjustRightInd w:val="0"/>
              <w:snapToGrid w:val="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废滤芯</w:t>
            </w:r>
          </w:p>
        </w:tc>
        <w:tc>
          <w:tcPr>
            <w:tcW w:w="1701" w:type="dxa"/>
            <w:shd w:val="clear" w:color="auto" w:fill="auto"/>
            <w:noWrap w:val="0"/>
            <w:vAlign w:val="center"/>
          </w:tcPr>
          <w:p w14:paraId="13DFDA5A">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276" w:type="dxa"/>
            <w:shd w:val="clear" w:color="auto" w:fill="auto"/>
            <w:noWrap w:val="0"/>
            <w:vAlign w:val="center"/>
          </w:tcPr>
          <w:p w14:paraId="6E5B7872">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01" w:type="dxa"/>
            <w:shd w:val="clear" w:color="auto" w:fill="auto"/>
            <w:noWrap w:val="0"/>
            <w:vAlign w:val="center"/>
          </w:tcPr>
          <w:p w14:paraId="009CAB9E">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4E75B70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0.004</w:t>
            </w:r>
          </w:p>
        </w:tc>
        <w:tc>
          <w:tcPr>
            <w:tcW w:w="1761" w:type="dxa"/>
            <w:noWrap w:val="0"/>
            <w:vAlign w:val="center"/>
          </w:tcPr>
          <w:p w14:paraId="6D676122">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shd w:val="clear" w:color="auto" w:fill="auto"/>
            <w:noWrap w:val="0"/>
            <w:vAlign w:val="center"/>
          </w:tcPr>
          <w:p w14:paraId="4E1ABFD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0.004</w:t>
            </w:r>
          </w:p>
        </w:tc>
        <w:tc>
          <w:tcPr>
            <w:tcW w:w="1011" w:type="dxa"/>
            <w:shd w:val="clear" w:color="auto" w:fill="auto"/>
            <w:noWrap w:val="0"/>
            <w:vAlign w:val="center"/>
          </w:tcPr>
          <w:p w14:paraId="513743A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0.004</w:t>
            </w:r>
          </w:p>
        </w:tc>
      </w:tr>
      <w:tr w14:paraId="541F62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3CC6E03E">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7D2B4E73">
            <w:pPr>
              <w:adjustRightInd w:val="0"/>
              <w:snapToGrid w:val="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废活性炭</w:t>
            </w:r>
          </w:p>
        </w:tc>
        <w:tc>
          <w:tcPr>
            <w:tcW w:w="1701" w:type="dxa"/>
            <w:shd w:val="clear" w:color="auto" w:fill="auto"/>
            <w:noWrap w:val="0"/>
            <w:vAlign w:val="center"/>
          </w:tcPr>
          <w:p w14:paraId="58BBE739">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276" w:type="dxa"/>
            <w:shd w:val="clear" w:color="auto" w:fill="auto"/>
            <w:noWrap w:val="0"/>
            <w:vAlign w:val="center"/>
          </w:tcPr>
          <w:p w14:paraId="4CD27EFC">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01" w:type="dxa"/>
            <w:shd w:val="clear" w:color="auto" w:fill="auto"/>
            <w:noWrap w:val="0"/>
            <w:vAlign w:val="center"/>
          </w:tcPr>
          <w:p w14:paraId="5490DB9D">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4CB88D2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0.5</w:t>
            </w:r>
          </w:p>
        </w:tc>
        <w:tc>
          <w:tcPr>
            <w:tcW w:w="1761" w:type="dxa"/>
            <w:noWrap w:val="0"/>
            <w:vAlign w:val="center"/>
          </w:tcPr>
          <w:p w14:paraId="5B1E287C">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shd w:val="clear" w:color="auto" w:fill="auto"/>
            <w:noWrap w:val="0"/>
            <w:vAlign w:val="center"/>
          </w:tcPr>
          <w:p w14:paraId="52F75CA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0.5</w:t>
            </w:r>
          </w:p>
        </w:tc>
        <w:tc>
          <w:tcPr>
            <w:tcW w:w="1011" w:type="dxa"/>
            <w:shd w:val="clear" w:color="auto" w:fill="auto"/>
            <w:noWrap w:val="0"/>
            <w:vAlign w:val="center"/>
          </w:tcPr>
          <w:p w14:paraId="2055CE7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0.5</w:t>
            </w:r>
          </w:p>
        </w:tc>
      </w:tr>
      <w:tr w14:paraId="6CE542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5F4C7592">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7D035A5C">
            <w:pPr>
              <w:adjustRightInd w:val="0"/>
              <w:snapToGrid w:val="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生化污泥</w:t>
            </w:r>
          </w:p>
        </w:tc>
        <w:tc>
          <w:tcPr>
            <w:tcW w:w="1701" w:type="dxa"/>
            <w:shd w:val="clear" w:color="auto" w:fill="auto"/>
            <w:noWrap w:val="0"/>
            <w:vAlign w:val="center"/>
          </w:tcPr>
          <w:p w14:paraId="4F4F4B9E">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276" w:type="dxa"/>
            <w:shd w:val="clear" w:color="auto" w:fill="auto"/>
            <w:noWrap w:val="0"/>
            <w:vAlign w:val="center"/>
          </w:tcPr>
          <w:p w14:paraId="17C8D36E">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01" w:type="dxa"/>
            <w:shd w:val="clear" w:color="auto" w:fill="auto"/>
            <w:noWrap w:val="0"/>
            <w:vAlign w:val="center"/>
          </w:tcPr>
          <w:p w14:paraId="479811D5">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667986C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720</w:t>
            </w:r>
          </w:p>
        </w:tc>
        <w:tc>
          <w:tcPr>
            <w:tcW w:w="1761" w:type="dxa"/>
            <w:noWrap w:val="0"/>
            <w:vAlign w:val="center"/>
          </w:tcPr>
          <w:p w14:paraId="1BAD16E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shd w:val="clear" w:color="auto" w:fill="auto"/>
            <w:noWrap w:val="0"/>
            <w:vAlign w:val="center"/>
          </w:tcPr>
          <w:p w14:paraId="28CEBB6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720</w:t>
            </w:r>
          </w:p>
        </w:tc>
        <w:tc>
          <w:tcPr>
            <w:tcW w:w="1011" w:type="dxa"/>
            <w:shd w:val="clear" w:color="auto" w:fill="auto"/>
            <w:noWrap w:val="0"/>
            <w:vAlign w:val="center"/>
          </w:tcPr>
          <w:p w14:paraId="3511C4A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720</w:t>
            </w:r>
          </w:p>
        </w:tc>
      </w:tr>
      <w:tr w14:paraId="5445C1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23273895">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307EDE0A">
            <w:pPr>
              <w:keepNext w:val="0"/>
              <w:keepLines w:val="0"/>
              <w:pageBreakBefore w:val="0"/>
              <w:kinsoku/>
              <w:wordWrap/>
              <w:overflowPunct/>
              <w:topLinePunct w:val="0"/>
              <w:bidi w:val="0"/>
              <w:adjustRightInd w:val="0"/>
              <w:snapToGrid/>
              <w:spacing w:line="360" w:lineRule="exact"/>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生活垃圾</w:t>
            </w:r>
          </w:p>
        </w:tc>
        <w:tc>
          <w:tcPr>
            <w:tcW w:w="1701" w:type="dxa"/>
            <w:shd w:val="clear" w:color="auto" w:fill="auto"/>
            <w:noWrap w:val="0"/>
            <w:vAlign w:val="center"/>
          </w:tcPr>
          <w:p w14:paraId="59713AD1">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276" w:type="dxa"/>
            <w:noWrap w:val="0"/>
            <w:vAlign w:val="center"/>
          </w:tcPr>
          <w:p w14:paraId="19C39379">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01" w:type="dxa"/>
            <w:noWrap w:val="0"/>
            <w:vAlign w:val="center"/>
          </w:tcPr>
          <w:p w14:paraId="7B5D7F8D">
            <w:pPr>
              <w:pStyle w:val="7"/>
              <w:keepNext w:val="0"/>
              <w:keepLines w:val="0"/>
              <w:pageBreakBefore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7E4F8CA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27</w:t>
            </w:r>
          </w:p>
        </w:tc>
        <w:tc>
          <w:tcPr>
            <w:tcW w:w="1761" w:type="dxa"/>
            <w:noWrap w:val="0"/>
            <w:vAlign w:val="center"/>
          </w:tcPr>
          <w:p w14:paraId="1C74C03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shd w:val="clear" w:color="auto" w:fill="auto"/>
            <w:noWrap w:val="0"/>
            <w:vAlign w:val="center"/>
          </w:tcPr>
          <w:p w14:paraId="0FD1C95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27</w:t>
            </w:r>
          </w:p>
        </w:tc>
        <w:tc>
          <w:tcPr>
            <w:tcW w:w="1011" w:type="dxa"/>
            <w:shd w:val="clear" w:color="auto" w:fill="auto"/>
            <w:noWrap w:val="0"/>
            <w:vAlign w:val="center"/>
          </w:tcPr>
          <w:p w14:paraId="6080FB0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+27</w:t>
            </w:r>
          </w:p>
        </w:tc>
      </w:tr>
      <w:tr w14:paraId="115F57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restart"/>
            <w:noWrap w:val="0"/>
            <w:vAlign w:val="center"/>
          </w:tcPr>
          <w:p w14:paraId="508D0089">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危险废物</w:t>
            </w:r>
          </w:p>
        </w:tc>
        <w:tc>
          <w:tcPr>
            <w:tcW w:w="1526" w:type="dxa"/>
            <w:shd w:val="clear" w:color="auto" w:fill="auto"/>
            <w:noWrap w:val="0"/>
            <w:vAlign w:val="center"/>
          </w:tcPr>
          <w:p w14:paraId="08230C0C">
            <w:pPr>
              <w:keepNext w:val="0"/>
              <w:keepLines w:val="0"/>
              <w:pageBreakBefore w:val="0"/>
              <w:kinsoku/>
              <w:wordWrap/>
              <w:overflowPunct/>
              <w:topLinePunct w:val="0"/>
              <w:bidi w:val="0"/>
              <w:adjustRightInd w:val="0"/>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配液废滤渣</w:t>
            </w:r>
          </w:p>
        </w:tc>
        <w:tc>
          <w:tcPr>
            <w:tcW w:w="1701" w:type="dxa"/>
            <w:shd w:val="clear" w:color="auto" w:fill="auto"/>
            <w:noWrap w:val="0"/>
            <w:vAlign w:val="center"/>
          </w:tcPr>
          <w:p w14:paraId="5D003FD4">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276" w:type="dxa"/>
            <w:shd w:val="clear" w:color="auto" w:fill="auto"/>
            <w:noWrap w:val="0"/>
            <w:vAlign w:val="center"/>
          </w:tcPr>
          <w:p w14:paraId="162B892A">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01" w:type="dxa"/>
            <w:shd w:val="clear" w:color="auto" w:fill="auto"/>
            <w:noWrap w:val="0"/>
            <w:vAlign w:val="center"/>
          </w:tcPr>
          <w:p w14:paraId="7025086F">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59" w:type="dxa"/>
            <w:shd w:val="clear" w:color="auto" w:fill="auto"/>
            <w:noWrap w:val="0"/>
            <w:vAlign w:val="center"/>
          </w:tcPr>
          <w:p w14:paraId="58228B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eastAsia="宋体" w:cs="Times New Roman"/>
                <w:color w:val="000000" w:themeColor="text1"/>
                <w:szCs w:val="21"/>
                <w:lang w:val="en-US" w:eastAsia="zh-CN"/>
                <w14:textFill>
                  <w14:solidFill>
                    <w14:schemeClr w14:val="tx1"/>
                  </w14:solidFill>
                </w14:textFill>
              </w:rPr>
              <w:t>4.89</w:t>
            </w:r>
          </w:p>
        </w:tc>
        <w:tc>
          <w:tcPr>
            <w:tcW w:w="1761" w:type="dxa"/>
            <w:shd w:val="clear" w:color="auto" w:fill="auto"/>
            <w:noWrap w:val="0"/>
            <w:vAlign w:val="center"/>
          </w:tcPr>
          <w:p w14:paraId="0CB64F4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shd w:val="clear" w:color="auto" w:fill="auto"/>
            <w:noWrap w:val="0"/>
            <w:vAlign w:val="center"/>
          </w:tcPr>
          <w:p w14:paraId="39FA60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Cs w:val="21"/>
                <w:lang w:val="en-US" w:eastAsia="zh-CN"/>
                <w14:textFill>
                  <w14:solidFill>
                    <w14:schemeClr w14:val="tx1"/>
                  </w14:solidFill>
                </w14:textFill>
              </w:rPr>
              <w:t>4.89</w:t>
            </w:r>
          </w:p>
        </w:tc>
        <w:tc>
          <w:tcPr>
            <w:tcW w:w="1011" w:type="dxa"/>
            <w:shd w:val="clear" w:color="auto" w:fill="auto"/>
            <w:noWrap w:val="0"/>
            <w:vAlign w:val="center"/>
          </w:tcPr>
          <w:p w14:paraId="1B52155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r>
              <w:rPr>
                <w:rFonts w:hint="eastAsia" w:eastAsia="宋体" w:cs="Times New Roman"/>
                <w:color w:val="000000" w:themeColor="text1"/>
                <w:szCs w:val="21"/>
                <w:lang w:val="en-US" w:eastAsia="zh-CN"/>
                <w14:textFill>
                  <w14:solidFill>
                    <w14:schemeClr w14:val="tx1"/>
                  </w14:solidFill>
                </w14:textFill>
              </w:rPr>
              <w:t>4.89</w:t>
            </w:r>
          </w:p>
        </w:tc>
      </w:tr>
      <w:tr w14:paraId="10C94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9" w:type="dxa"/>
            <w:vMerge w:val="continue"/>
            <w:noWrap w:val="0"/>
            <w:vAlign w:val="center"/>
          </w:tcPr>
          <w:p w14:paraId="698968A0">
            <w:pPr>
              <w:pStyle w:val="49"/>
              <w:keepNext w:val="0"/>
              <w:keepLines w:val="0"/>
              <w:pageBreakBefore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26" w:type="dxa"/>
            <w:noWrap w:val="0"/>
            <w:vAlign w:val="center"/>
          </w:tcPr>
          <w:p w14:paraId="1037931A">
            <w:pPr>
              <w:keepNext w:val="0"/>
              <w:keepLines w:val="0"/>
              <w:pageBreakBefore w:val="0"/>
              <w:kinsoku/>
              <w:wordWrap/>
              <w:overflowPunct/>
              <w:topLinePunct w:val="0"/>
              <w:bidi w:val="0"/>
              <w:adjustRightInd w:val="0"/>
              <w:snapToGrid/>
              <w:spacing w:line="360" w:lineRule="exact"/>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物化污泥</w:t>
            </w:r>
          </w:p>
        </w:tc>
        <w:tc>
          <w:tcPr>
            <w:tcW w:w="1701" w:type="dxa"/>
            <w:shd w:val="clear" w:color="auto" w:fill="auto"/>
            <w:noWrap w:val="0"/>
            <w:vAlign w:val="center"/>
          </w:tcPr>
          <w:p w14:paraId="2036F03E">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276" w:type="dxa"/>
            <w:noWrap w:val="0"/>
            <w:vAlign w:val="center"/>
          </w:tcPr>
          <w:p w14:paraId="00B5D9C5">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01" w:type="dxa"/>
            <w:noWrap w:val="0"/>
            <w:vAlign w:val="center"/>
          </w:tcPr>
          <w:p w14:paraId="57C50295">
            <w:pPr>
              <w:pStyle w:val="7"/>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59" w:type="dxa"/>
            <w:noWrap w:val="0"/>
            <w:vAlign w:val="center"/>
          </w:tcPr>
          <w:p w14:paraId="7842CB7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45</w:t>
            </w:r>
          </w:p>
        </w:tc>
        <w:tc>
          <w:tcPr>
            <w:tcW w:w="1761" w:type="dxa"/>
            <w:noWrap w:val="0"/>
            <w:vAlign w:val="center"/>
          </w:tcPr>
          <w:p w14:paraId="1B85118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774" w:type="dxa"/>
            <w:shd w:val="clear" w:color="auto" w:fill="auto"/>
            <w:noWrap w:val="0"/>
            <w:vAlign w:val="center"/>
          </w:tcPr>
          <w:p w14:paraId="5DBF85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45</w:t>
            </w:r>
          </w:p>
        </w:tc>
        <w:tc>
          <w:tcPr>
            <w:tcW w:w="1011" w:type="dxa"/>
            <w:shd w:val="clear" w:color="auto" w:fill="auto"/>
            <w:noWrap w:val="0"/>
            <w:vAlign w:val="center"/>
          </w:tcPr>
          <w:p w14:paraId="1D3EBB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+45</w:t>
            </w:r>
          </w:p>
        </w:tc>
      </w:tr>
    </w:tbl>
    <w:p w14:paraId="35E69FED">
      <w:pPr>
        <w:pStyle w:val="49"/>
        <w:spacing w:before="192" w:beforeLines="80" w:after="24"/>
        <w:jc w:val="left"/>
        <w:rPr>
          <w:rFonts w:hint="default" w:ascii="宋体" w:hAnsi="宋体" w:eastAsia="黑体"/>
          <w:color w:val="000000" w:themeColor="text1"/>
          <w:szCs w:val="21"/>
          <w:lang w:val="en-US" w:eastAsia="zh-CN"/>
          <w14:textFill>
            <w14:solidFill>
              <w14:schemeClr w14:val="tx1"/>
            </w14:solidFill>
          </w14:textFill>
        </w:rPr>
      </w:pPr>
      <w:r>
        <w:rPr>
          <w:rFonts w:hAnsi="宋体"/>
          <w:snapToGrid w:val="0"/>
          <w:color w:val="000000" w:themeColor="text1"/>
          <w:kern w:val="21"/>
          <w:szCs w:val="21"/>
          <w14:textFill>
            <w14:solidFill>
              <w14:schemeClr w14:val="tx1"/>
            </w14:solidFill>
          </w14:textFill>
        </w:rPr>
        <w:t>注：</w:t>
      </w:r>
      <w:r>
        <w:rPr>
          <w:rFonts w:hAnsi="宋体"/>
          <w:snapToGrid w:val="0"/>
          <w:color w:val="000000" w:themeColor="text1"/>
          <w:spacing w:val="-16"/>
          <w:kern w:val="21"/>
          <w:szCs w:val="21"/>
          <w14:textFill>
            <w14:solidFill>
              <w14:schemeClr w14:val="tx1"/>
            </w14:solidFill>
          </w14:textFill>
        </w:rPr>
        <w:fldChar w:fldCharType="begin"/>
      </w:r>
      <w:r>
        <w:rPr>
          <w:rFonts w:hAnsi="宋体"/>
          <w:snapToGrid w:val="0"/>
          <w:color w:val="000000" w:themeColor="text1"/>
          <w:spacing w:val="-16"/>
          <w:kern w:val="21"/>
          <w:szCs w:val="21"/>
          <w14:textFill>
            <w14:solidFill>
              <w14:schemeClr w14:val="tx1"/>
            </w14:solidFill>
          </w14:textFill>
        </w:rPr>
        <w:instrText xml:space="preserve"> = 6 \* GB3 \* MERGEFORMAT </w:instrText>
      </w:r>
      <w:r>
        <w:rPr>
          <w:rFonts w:hAnsi="宋体"/>
          <w:snapToGrid w:val="0"/>
          <w:color w:val="000000" w:themeColor="text1"/>
          <w:spacing w:val="-1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⑥</w:t>
      </w:r>
      <w:r>
        <w:rPr>
          <w:rFonts w:hAnsi="宋体"/>
          <w:snapToGrid w:val="0"/>
          <w:color w:val="000000" w:themeColor="text1"/>
          <w:spacing w:val="-16"/>
          <w:kern w:val="21"/>
          <w:szCs w:val="21"/>
          <w14:textFill>
            <w14:solidFill>
              <w14:schemeClr w14:val="tx1"/>
            </w14:solidFill>
          </w14:textFill>
        </w:rPr>
        <w:fldChar w:fldCharType="end"/>
      </w:r>
      <w:r>
        <w:rPr>
          <w:rFonts w:hAnsi="宋体"/>
          <w:snapToGrid w:val="0"/>
          <w:color w:val="000000" w:themeColor="text1"/>
          <w:spacing w:val="-16"/>
          <w:kern w:val="21"/>
          <w:szCs w:val="21"/>
          <w14:textFill>
            <w14:solidFill>
              <w14:schemeClr w14:val="tx1"/>
            </w14:solidFill>
          </w14:textFill>
        </w:rPr>
        <w:t>=</w:t>
      </w:r>
      <w:r>
        <w:rPr>
          <w:rFonts w:hAnsi="宋体"/>
          <w:snapToGrid w:val="0"/>
          <w:color w:val="000000" w:themeColor="text1"/>
          <w:spacing w:val="-6"/>
          <w:kern w:val="21"/>
          <w:szCs w:val="21"/>
          <w14:textFill>
            <w14:solidFill>
              <w14:schemeClr w14:val="tx1"/>
            </w14:solidFill>
          </w14:textFill>
        </w:rPr>
        <w:fldChar w:fldCharType="begin"/>
      </w:r>
      <w:r>
        <w:rPr>
          <w:rFonts w:hAnsi="宋体"/>
          <w:snapToGrid w:val="0"/>
          <w:color w:val="000000" w:themeColor="text1"/>
          <w:spacing w:val="-6"/>
          <w:kern w:val="21"/>
          <w:szCs w:val="21"/>
          <w14:textFill>
            <w14:solidFill>
              <w14:schemeClr w14:val="tx1"/>
            </w14:solidFill>
          </w14:textFill>
        </w:rPr>
        <w:instrText xml:space="preserve"> = 1 \* GB3 \* MERGEFORMAT </w:instrText>
      </w:r>
      <w:r>
        <w:rPr>
          <w:rFonts w:hAnsi="宋体"/>
          <w:snapToGrid w:val="0"/>
          <w:color w:val="000000" w:themeColor="text1"/>
          <w:spacing w:val="-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①</w:t>
      </w:r>
      <w:r>
        <w:rPr>
          <w:rFonts w:hAnsi="宋体"/>
          <w:snapToGrid w:val="0"/>
          <w:color w:val="000000" w:themeColor="text1"/>
          <w:spacing w:val="-6"/>
          <w:kern w:val="21"/>
          <w:szCs w:val="21"/>
          <w14:textFill>
            <w14:solidFill>
              <w14:schemeClr w14:val="tx1"/>
            </w14:solidFill>
          </w14:textFill>
        </w:rPr>
        <w:fldChar w:fldCharType="end"/>
      </w:r>
      <w:r>
        <w:rPr>
          <w:rFonts w:hAnsi="宋体"/>
          <w:snapToGrid w:val="0"/>
          <w:color w:val="000000" w:themeColor="text1"/>
          <w:spacing w:val="-6"/>
          <w:kern w:val="21"/>
          <w:szCs w:val="21"/>
          <w14:textFill>
            <w14:solidFill>
              <w14:schemeClr w14:val="tx1"/>
            </w14:solidFill>
          </w14:textFill>
        </w:rPr>
        <w:t>+</w:t>
      </w:r>
      <w:r>
        <w:rPr>
          <w:rFonts w:hAnsi="宋体"/>
          <w:snapToGrid w:val="0"/>
          <w:color w:val="000000" w:themeColor="text1"/>
          <w:spacing w:val="-6"/>
          <w:kern w:val="21"/>
          <w:szCs w:val="21"/>
          <w14:textFill>
            <w14:solidFill>
              <w14:schemeClr w14:val="tx1"/>
            </w14:solidFill>
          </w14:textFill>
        </w:rPr>
        <w:fldChar w:fldCharType="begin"/>
      </w:r>
      <w:r>
        <w:rPr>
          <w:rFonts w:hAnsi="宋体"/>
          <w:snapToGrid w:val="0"/>
          <w:color w:val="000000" w:themeColor="text1"/>
          <w:spacing w:val="-6"/>
          <w:kern w:val="21"/>
          <w:szCs w:val="21"/>
          <w14:textFill>
            <w14:solidFill>
              <w14:schemeClr w14:val="tx1"/>
            </w14:solidFill>
          </w14:textFill>
        </w:rPr>
        <w:instrText xml:space="preserve"> = 3 \* GB3 \* MERGEFORMAT </w:instrText>
      </w:r>
      <w:r>
        <w:rPr>
          <w:rFonts w:hAnsi="宋体"/>
          <w:snapToGrid w:val="0"/>
          <w:color w:val="000000" w:themeColor="text1"/>
          <w:spacing w:val="-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③</w:t>
      </w:r>
      <w:r>
        <w:rPr>
          <w:rFonts w:hAnsi="宋体"/>
          <w:snapToGrid w:val="0"/>
          <w:color w:val="000000" w:themeColor="text1"/>
          <w:spacing w:val="-6"/>
          <w:kern w:val="21"/>
          <w:szCs w:val="21"/>
          <w14:textFill>
            <w14:solidFill>
              <w14:schemeClr w14:val="tx1"/>
            </w14:solidFill>
          </w14:textFill>
        </w:rPr>
        <w:fldChar w:fldCharType="end"/>
      </w:r>
      <w:r>
        <w:rPr>
          <w:rFonts w:hAnsi="宋体"/>
          <w:snapToGrid w:val="0"/>
          <w:color w:val="000000" w:themeColor="text1"/>
          <w:spacing w:val="-6"/>
          <w:kern w:val="21"/>
          <w:szCs w:val="21"/>
          <w14:textFill>
            <w14:solidFill>
              <w14:schemeClr w14:val="tx1"/>
            </w14:solidFill>
          </w14:textFill>
        </w:rPr>
        <w:t>+</w:t>
      </w:r>
      <w:r>
        <w:rPr>
          <w:rFonts w:hAnsi="宋体"/>
          <w:snapToGrid w:val="0"/>
          <w:color w:val="000000" w:themeColor="text1"/>
          <w:spacing w:val="-6"/>
          <w:kern w:val="21"/>
          <w:szCs w:val="21"/>
          <w14:textFill>
            <w14:solidFill>
              <w14:schemeClr w14:val="tx1"/>
            </w14:solidFill>
          </w14:textFill>
        </w:rPr>
        <w:fldChar w:fldCharType="begin"/>
      </w:r>
      <w:r>
        <w:rPr>
          <w:rFonts w:hAnsi="宋体"/>
          <w:snapToGrid w:val="0"/>
          <w:color w:val="000000" w:themeColor="text1"/>
          <w:spacing w:val="-6"/>
          <w:kern w:val="21"/>
          <w:szCs w:val="21"/>
          <w14:textFill>
            <w14:solidFill>
              <w14:schemeClr w14:val="tx1"/>
            </w14:solidFill>
          </w14:textFill>
        </w:rPr>
        <w:instrText xml:space="preserve"> = 4 \* GB3 \* MERGEFORMAT </w:instrText>
      </w:r>
      <w:r>
        <w:rPr>
          <w:rFonts w:hAnsi="宋体"/>
          <w:snapToGrid w:val="0"/>
          <w:color w:val="000000" w:themeColor="text1"/>
          <w:spacing w:val="-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④</w:t>
      </w:r>
      <w:r>
        <w:rPr>
          <w:rFonts w:hAnsi="宋体"/>
          <w:snapToGrid w:val="0"/>
          <w:color w:val="000000" w:themeColor="text1"/>
          <w:spacing w:val="-6"/>
          <w:kern w:val="21"/>
          <w:szCs w:val="21"/>
          <w14:textFill>
            <w14:solidFill>
              <w14:schemeClr w14:val="tx1"/>
            </w14:solidFill>
          </w14:textFill>
        </w:rPr>
        <w:fldChar w:fldCharType="end"/>
      </w:r>
      <w:r>
        <w:rPr>
          <w:rFonts w:hAnsi="宋体"/>
          <w:snapToGrid w:val="0"/>
          <w:color w:val="000000" w:themeColor="text1"/>
          <w:spacing w:val="-6"/>
          <w:kern w:val="21"/>
          <w:szCs w:val="21"/>
          <w14:textFill>
            <w14:solidFill>
              <w14:schemeClr w14:val="tx1"/>
            </w14:solidFill>
          </w14:textFill>
        </w:rPr>
        <w:t>-</w:t>
      </w:r>
      <w:r>
        <w:rPr>
          <w:rFonts w:hAnsi="宋体"/>
          <w:snapToGrid w:val="0"/>
          <w:color w:val="000000" w:themeColor="text1"/>
          <w:spacing w:val="-16"/>
          <w:kern w:val="21"/>
          <w:szCs w:val="21"/>
          <w14:textFill>
            <w14:solidFill>
              <w14:schemeClr w14:val="tx1"/>
            </w14:solidFill>
          </w14:textFill>
        </w:rPr>
        <w:fldChar w:fldCharType="begin"/>
      </w:r>
      <w:r>
        <w:rPr>
          <w:rFonts w:hAnsi="宋体"/>
          <w:snapToGrid w:val="0"/>
          <w:color w:val="000000" w:themeColor="text1"/>
          <w:spacing w:val="-16"/>
          <w:kern w:val="21"/>
          <w:szCs w:val="21"/>
          <w14:textFill>
            <w14:solidFill>
              <w14:schemeClr w14:val="tx1"/>
            </w14:solidFill>
          </w14:textFill>
        </w:rPr>
        <w:instrText xml:space="preserve"> = 5 \* GB3 \* MERGEFORMAT </w:instrText>
      </w:r>
      <w:r>
        <w:rPr>
          <w:rFonts w:hAnsi="宋体"/>
          <w:snapToGrid w:val="0"/>
          <w:color w:val="000000" w:themeColor="text1"/>
          <w:spacing w:val="-1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⑤</w:t>
      </w:r>
      <w:r>
        <w:rPr>
          <w:rFonts w:hAnsi="宋体"/>
          <w:snapToGrid w:val="0"/>
          <w:color w:val="000000" w:themeColor="text1"/>
          <w:spacing w:val="-16"/>
          <w:kern w:val="21"/>
          <w:szCs w:val="21"/>
          <w14:textFill>
            <w14:solidFill>
              <w14:schemeClr w14:val="tx1"/>
            </w14:solidFill>
          </w14:textFill>
        </w:rPr>
        <w:fldChar w:fldCharType="end"/>
      </w:r>
      <w:r>
        <w:rPr>
          <w:rFonts w:hAnsi="宋体"/>
          <w:snapToGrid w:val="0"/>
          <w:color w:val="000000" w:themeColor="text1"/>
          <w:spacing w:val="-16"/>
          <w:kern w:val="21"/>
          <w:szCs w:val="21"/>
          <w14:textFill>
            <w14:solidFill>
              <w14:schemeClr w14:val="tx1"/>
            </w14:solidFill>
          </w14:textFill>
        </w:rPr>
        <w:t>；</w:t>
      </w:r>
      <w:r>
        <w:rPr>
          <w:rFonts w:hAnsi="宋体"/>
          <w:snapToGrid w:val="0"/>
          <w:color w:val="000000" w:themeColor="text1"/>
          <w:spacing w:val="-6"/>
          <w:kern w:val="21"/>
          <w:szCs w:val="21"/>
          <w14:textFill>
            <w14:solidFill>
              <w14:schemeClr w14:val="tx1"/>
            </w14:solidFill>
          </w14:textFill>
        </w:rPr>
        <w:fldChar w:fldCharType="begin"/>
      </w:r>
      <w:r>
        <w:rPr>
          <w:rFonts w:hAnsi="宋体"/>
          <w:snapToGrid w:val="0"/>
          <w:color w:val="000000" w:themeColor="text1"/>
          <w:spacing w:val="-6"/>
          <w:kern w:val="21"/>
          <w:szCs w:val="21"/>
          <w14:textFill>
            <w14:solidFill>
              <w14:schemeClr w14:val="tx1"/>
            </w14:solidFill>
          </w14:textFill>
        </w:rPr>
        <w:instrText xml:space="preserve"> = 7 \* GB3 \* MERGEFORMAT </w:instrText>
      </w:r>
      <w:r>
        <w:rPr>
          <w:rFonts w:hAnsi="宋体"/>
          <w:snapToGrid w:val="0"/>
          <w:color w:val="000000" w:themeColor="text1"/>
          <w:spacing w:val="-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⑦</w:t>
      </w:r>
      <w:r>
        <w:rPr>
          <w:rFonts w:hAnsi="宋体"/>
          <w:snapToGrid w:val="0"/>
          <w:color w:val="000000" w:themeColor="text1"/>
          <w:spacing w:val="-6"/>
          <w:kern w:val="21"/>
          <w:szCs w:val="21"/>
          <w14:textFill>
            <w14:solidFill>
              <w14:schemeClr w14:val="tx1"/>
            </w14:solidFill>
          </w14:textFill>
        </w:rPr>
        <w:fldChar w:fldCharType="end"/>
      </w:r>
      <w:r>
        <w:rPr>
          <w:rFonts w:hAnsi="宋体"/>
          <w:snapToGrid w:val="0"/>
          <w:color w:val="000000" w:themeColor="text1"/>
          <w:spacing w:val="-6"/>
          <w:kern w:val="21"/>
          <w:szCs w:val="21"/>
          <w14:textFill>
            <w14:solidFill>
              <w14:schemeClr w14:val="tx1"/>
            </w14:solidFill>
          </w14:textFill>
        </w:rPr>
        <w:t>=</w:t>
      </w:r>
      <w:r>
        <w:rPr>
          <w:rFonts w:hAnsi="宋体"/>
          <w:snapToGrid w:val="0"/>
          <w:color w:val="000000" w:themeColor="text1"/>
          <w:spacing w:val="-16"/>
          <w:kern w:val="21"/>
          <w:szCs w:val="21"/>
          <w14:textFill>
            <w14:solidFill>
              <w14:schemeClr w14:val="tx1"/>
            </w14:solidFill>
          </w14:textFill>
        </w:rPr>
        <w:fldChar w:fldCharType="begin"/>
      </w:r>
      <w:r>
        <w:rPr>
          <w:rFonts w:hAnsi="宋体"/>
          <w:snapToGrid w:val="0"/>
          <w:color w:val="000000" w:themeColor="text1"/>
          <w:spacing w:val="-16"/>
          <w:kern w:val="21"/>
          <w:szCs w:val="21"/>
          <w14:textFill>
            <w14:solidFill>
              <w14:schemeClr w14:val="tx1"/>
            </w14:solidFill>
          </w14:textFill>
        </w:rPr>
        <w:instrText xml:space="preserve"> = 6 \* GB3 \* MERGEFORMAT </w:instrText>
      </w:r>
      <w:r>
        <w:rPr>
          <w:rFonts w:hAnsi="宋体"/>
          <w:snapToGrid w:val="0"/>
          <w:color w:val="000000" w:themeColor="text1"/>
          <w:spacing w:val="-1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⑥</w:t>
      </w:r>
      <w:r>
        <w:rPr>
          <w:rFonts w:hAnsi="宋体"/>
          <w:snapToGrid w:val="0"/>
          <w:color w:val="000000" w:themeColor="text1"/>
          <w:spacing w:val="-16"/>
          <w:kern w:val="21"/>
          <w:szCs w:val="21"/>
          <w14:textFill>
            <w14:solidFill>
              <w14:schemeClr w14:val="tx1"/>
            </w14:solidFill>
          </w14:textFill>
        </w:rPr>
        <w:fldChar w:fldCharType="end"/>
      </w:r>
      <w:r>
        <w:rPr>
          <w:rFonts w:hAnsi="宋体"/>
          <w:snapToGrid w:val="0"/>
          <w:color w:val="000000" w:themeColor="text1"/>
          <w:spacing w:val="-16"/>
          <w:kern w:val="21"/>
          <w:szCs w:val="21"/>
          <w14:textFill>
            <w14:solidFill>
              <w14:schemeClr w14:val="tx1"/>
            </w14:solidFill>
          </w14:textFill>
        </w:rPr>
        <w:t>-</w:t>
      </w:r>
      <w:r>
        <w:rPr>
          <w:rFonts w:hAnsi="宋体"/>
          <w:snapToGrid w:val="0"/>
          <w:color w:val="000000" w:themeColor="text1"/>
          <w:spacing w:val="-6"/>
          <w:kern w:val="21"/>
          <w:szCs w:val="21"/>
          <w14:textFill>
            <w14:solidFill>
              <w14:schemeClr w14:val="tx1"/>
            </w14:solidFill>
          </w14:textFill>
        </w:rPr>
        <w:fldChar w:fldCharType="begin"/>
      </w:r>
      <w:r>
        <w:rPr>
          <w:rFonts w:hAnsi="宋体"/>
          <w:snapToGrid w:val="0"/>
          <w:color w:val="000000" w:themeColor="text1"/>
          <w:spacing w:val="-6"/>
          <w:kern w:val="21"/>
          <w:szCs w:val="21"/>
          <w14:textFill>
            <w14:solidFill>
              <w14:schemeClr w14:val="tx1"/>
            </w14:solidFill>
          </w14:textFill>
        </w:rPr>
        <w:instrText xml:space="preserve"> = 1 \* GB3 \* MERGEFORMAT </w:instrText>
      </w:r>
      <w:r>
        <w:rPr>
          <w:rFonts w:hAnsi="宋体"/>
          <w:snapToGrid w:val="0"/>
          <w:color w:val="000000" w:themeColor="text1"/>
          <w:spacing w:val="-6"/>
          <w:kern w:val="21"/>
          <w:szCs w:val="21"/>
          <w14:textFill>
            <w14:solidFill>
              <w14:schemeClr w14:val="tx1"/>
            </w14:solidFill>
          </w14:textFill>
        </w:rPr>
        <w:fldChar w:fldCharType="separate"/>
      </w:r>
      <w:r>
        <w:rPr>
          <w:rFonts w:hint="eastAsia" w:hAnsi="宋体"/>
          <w:color w:val="000000" w:themeColor="text1"/>
          <w:szCs w:val="21"/>
          <w14:textFill>
            <w14:solidFill>
              <w14:schemeClr w14:val="tx1"/>
            </w14:solidFill>
          </w14:textFill>
        </w:rPr>
        <w:t>①</w:t>
      </w:r>
      <w:r>
        <w:rPr>
          <w:rFonts w:hAnsi="宋体"/>
          <w:snapToGrid w:val="0"/>
          <w:color w:val="000000" w:themeColor="text1"/>
          <w:spacing w:val="-6"/>
          <w:kern w:val="21"/>
          <w:szCs w:val="21"/>
          <w14:textFill>
            <w14:solidFill>
              <w14:schemeClr w14:val="tx1"/>
            </w14:solidFill>
          </w14:textFill>
        </w:rPr>
        <w:fldChar w:fldCharType="end"/>
      </w:r>
      <w:r>
        <w:rPr>
          <w:rFonts w:hint="eastAsia" w:hAnsi="宋体"/>
          <w:snapToGrid w:val="0"/>
          <w:color w:val="000000" w:themeColor="text1"/>
          <w:spacing w:val="-6"/>
          <w:kern w:val="21"/>
          <w:szCs w:val="21"/>
          <w:lang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单位：t/a。</w:t>
      </w:r>
    </w:p>
    <w:sectPr>
      <w:footerReference r:id="rId4" w:type="default"/>
      <w:pgSz w:w="16838" w:h="11906" w:orient="landscape"/>
      <w:pgMar w:top="1531" w:right="1701" w:bottom="964" w:left="1701" w:header="851" w:footer="850" w:gutter="0"/>
      <w:pgBorders>
        <w:top w:val="none" w:sz="0" w:space="0"/>
        <w:left w:val="none" w:sz="0" w:space="0"/>
        <w:bottom w:val="none" w:sz="0" w:space="0"/>
        <w:right w:val="none" w:sz="0" w:space="0"/>
      </w:pgBorders>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72BFB2-2213-4AA1-ADB6-872535156A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1395AED0-5FA8-4B19-A4FC-2B4D9D9C87E1}"/>
  </w:font>
  <w:font w:name="Calibri">
    <w:panose1 w:val="020F0502020204030204"/>
    <w:charset w:val="00"/>
    <w:family w:val="swiss"/>
    <w:pitch w:val="default"/>
    <w:sig w:usb0="E0002EFF" w:usb1="C000247B" w:usb2="00000009" w:usb3="00000000" w:csb0="200001FF" w:csb1="00000000"/>
    <w:embedRegular r:id="rId3" w:fontKey="{F0CC72A6-60B6-4FAB-B9A7-5C7ED3FAF6A3}"/>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JhengHei Light">
    <w:panose1 w:val="020B0304030504040204"/>
    <w:charset w:val="88"/>
    <w:family w:val="swiss"/>
    <w:pitch w:val="default"/>
    <w:sig w:usb0="800002A7" w:usb1="28CF4400" w:usb2="00000016" w:usb3="00000000" w:csb0="00100009"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roman"/>
    <w:pitch w:val="default"/>
    <w:sig w:usb0="E00006FF" w:usb1="420024FF" w:usb2="02000000" w:usb3="00000000" w:csb0="2000019F" w:csb1="00000000"/>
    <w:embedRegular r:id="rId4" w:fontKey="{EAEA7BBC-B6E3-4084-87C5-C8879941C5C7}"/>
  </w:font>
  <w:font w:name="方正大标宋_GBK">
    <w:panose1 w:val="02000000000000000000"/>
    <w:charset w:val="86"/>
    <w:family w:val="auto"/>
    <w:pitch w:val="default"/>
    <w:sig w:usb0="A00002BF" w:usb1="08CF7CFA" w:usb2="00000000" w:usb3="00000000" w:csb0="00040001" w:csb1="00000000"/>
    <w:embedRegular r:id="rId5" w:fontKey="{8A46911E-A9A4-4327-8558-0FECBCE4C30C}"/>
  </w:font>
  <w:font w:name="MS PGothic">
    <w:panose1 w:val="020B0600070205080204"/>
    <w:charset w:val="80"/>
    <w:family w:val="auto"/>
    <w:pitch w:val="default"/>
    <w:sig w:usb0="E00002FF" w:usb1="6AC7FDFB" w:usb2="08000012" w:usb3="00000000" w:csb0="4002009F" w:csb1="DFD70000"/>
  </w:font>
  <w:font w:name="WPSEMBED1">
    <w:panose1 w:val="02000000000000000000"/>
    <w:charset w:val="86"/>
    <w:family w:val="auto"/>
    <w:pitch w:val="default"/>
    <w:sig w:usb0="A00002BF" w:usb1="08C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AA533">
    <w:pPr>
      <w:pStyle w:val="18"/>
      <w:ind w:right="360" w:firstLine="360"/>
      <w:jc w:val="left"/>
    </w:pPr>
    <w:r>
      <w:rPr>
        <w:sz w:val="18"/>
      </w:rPr>
      <mc:AlternateContent>
        <mc:Choice Requires="wps">
          <w:drawing>
            <wp:anchor distT="0" distB="0" distL="114300" distR="114300" simplePos="0" relativeHeight="251660288" behindDoc="0" locked="0" layoutInCell="1" allowOverlap="1">
              <wp:simplePos x="0" y="0"/>
              <wp:positionH relativeFrom="margin">
                <wp:posOffset>2734945</wp:posOffset>
              </wp:positionH>
              <wp:positionV relativeFrom="paragraph">
                <wp:posOffset>8255</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B7FAD1">
                          <w:pPr>
                            <w:pStyle w:val="18"/>
                            <w:rPr>
                              <w:rStyle w:val="30"/>
                              <w:rFonts w:ascii="宋体" w:hAnsi="宋体"/>
                              <w:sz w:val="28"/>
                              <w:szCs w:val="28"/>
                            </w:rPr>
                          </w:pPr>
                          <w:r>
                            <w:rPr>
                              <w:rStyle w:val="30"/>
                              <w:rFonts w:hint="default" w:ascii="Times New Roman" w:hAnsi="Times New Roman" w:cs="Times New Roman"/>
                              <w:sz w:val="20"/>
                            </w:rPr>
                            <w:t xml:space="preserve"> </w:t>
                          </w:r>
                          <w:r>
                            <w:rPr>
                              <w:rFonts w:ascii="Times New Roman" w:hAnsi="Times New Roman" w:cs="Times New Roman"/>
                              <w:sz w:val="21"/>
                              <w:szCs w:val="21"/>
                            </w:rPr>
                            <w:fldChar w:fldCharType="begin"/>
                          </w:r>
                          <w:r>
                            <w:rPr>
                              <w:rStyle w:val="30"/>
                              <w:rFonts w:ascii="Times New Roman" w:hAnsi="Times New Roman" w:cs="Times New Roman"/>
                              <w:sz w:val="21"/>
                              <w:szCs w:val="21"/>
                            </w:rPr>
                            <w:instrText xml:space="preserve">PAGE  </w:instrText>
                          </w:r>
                          <w:r>
                            <w:rPr>
                              <w:rFonts w:ascii="Times New Roman" w:hAnsi="Times New Roman" w:cs="Times New Roman"/>
                              <w:sz w:val="21"/>
                              <w:szCs w:val="21"/>
                            </w:rPr>
                            <w:fldChar w:fldCharType="separate"/>
                          </w:r>
                          <w:r>
                            <w:rPr>
                              <w:rStyle w:val="30"/>
                              <w:rFonts w:ascii="Times New Roman" w:hAnsi="Times New Roman" w:cs="Times New Roman"/>
                              <w:sz w:val="21"/>
                              <w:szCs w:val="21"/>
                            </w:rPr>
                            <w:t>9</w:t>
                          </w:r>
                          <w:r>
                            <w:rPr>
                              <w:rFonts w:ascii="Times New Roman" w:hAnsi="Times New Roman" w:cs="Times New Roman"/>
                              <w:sz w:val="21"/>
                              <w:szCs w:val="21"/>
                            </w:rPr>
                            <w:fldChar w:fldCharType="end"/>
                          </w:r>
                          <w:r>
                            <w:rPr>
                              <w:rStyle w:val="30"/>
                              <w:rFonts w:hint="eastAsia" w:ascii="宋体" w:hAnsi="宋体"/>
                              <w:sz w:val="20"/>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left:215.35pt;margin-top:0.65pt;height:144pt;width:144pt;mso-position-horizontal-relative:margin;mso-wrap-style:none;z-index:251660288;mso-width-relative:page;mso-height-relative:page;" filled="f" stroked="f" coordsize="21600,21600" o:gfxdata="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12FwNUAAAAJAQAADwAAAAAA&#10;AAABACAAAAAiAAAAZHJzL2Rvd25yZXYueG1sUEsBAhQAFAAAAAgAh07iQJhVdBHdAQAAvgMAAA4A&#10;AAAAAAAAAQAgAAAAJAEAAGRycy9lMm9Eb2MueG1sUEsFBgAAAAAGAAYAWQEAAHMFAAAAAA==&#10;">
              <v:fill on="f" focussize="0,0"/>
              <v:stroke on="f"/>
              <v:imagedata o:title=""/>
              <o:lock v:ext="edit" aspectratio="f"/>
              <v:textbox inset="0mm,0mm,0mm,0mm" style="mso-fit-shape-to-text:t;">
                <w:txbxContent>
                  <w:p w14:paraId="20B7FAD1">
                    <w:pPr>
                      <w:pStyle w:val="18"/>
                      <w:rPr>
                        <w:rStyle w:val="30"/>
                        <w:rFonts w:ascii="宋体" w:hAnsi="宋体"/>
                        <w:sz w:val="28"/>
                        <w:szCs w:val="28"/>
                      </w:rPr>
                    </w:pPr>
                    <w:r>
                      <w:rPr>
                        <w:rStyle w:val="30"/>
                        <w:rFonts w:hint="default" w:ascii="Times New Roman" w:hAnsi="Times New Roman" w:cs="Times New Roman"/>
                        <w:sz w:val="20"/>
                      </w:rPr>
                      <w:t xml:space="preserve"> </w:t>
                    </w:r>
                    <w:r>
                      <w:rPr>
                        <w:rFonts w:ascii="Times New Roman" w:hAnsi="Times New Roman" w:cs="Times New Roman"/>
                        <w:sz w:val="21"/>
                        <w:szCs w:val="21"/>
                      </w:rPr>
                      <w:fldChar w:fldCharType="begin"/>
                    </w:r>
                    <w:r>
                      <w:rPr>
                        <w:rStyle w:val="30"/>
                        <w:rFonts w:ascii="Times New Roman" w:hAnsi="Times New Roman" w:cs="Times New Roman"/>
                        <w:sz w:val="21"/>
                        <w:szCs w:val="21"/>
                      </w:rPr>
                      <w:instrText xml:space="preserve">PAGE  </w:instrText>
                    </w:r>
                    <w:r>
                      <w:rPr>
                        <w:rFonts w:ascii="Times New Roman" w:hAnsi="Times New Roman" w:cs="Times New Roman"/>
                        <w:sz w:val="21"/>
                        <w:szCs w:val="21"/>
                      </w:rPr>
                      <w:fldChar w:fldCharType="separate"/>
                    </w:r>
                    <w:r>
                      <w:rPr>
                        <w:rStyle w:val="30"/>
                        <w:rFonts w:ascii="Times New Roman" w:hAnsi="Times New Roman" w:cs="Times New Roman"/>
                        <w:sz w:val="21"/>
                        <w:szCs w:val="21"/>
                      </w:rPr>
                      <w:t>9</w:t>
                    </w:r>
                    <w:r>
                      <w:rPr>
                        <w:rFonts w:ascii="Times New Roman" w:hAnsi="Times New Roman" w:cs="Times New Roman"/>
                        <w:sz w:val="21"/>
                        <w:szCs w:val="21"/>
                      </w:rPr>
                      <w:fldChar w:fldCharType="end"/>
                    </w:r>
                    <w:r>
                      <w:rPr>
                        <w:rStyle w:val="30"/>
                        <w:rFonts w:hint="eastAsia" w:ascii="宋体" w:hAnsi="宋体"/>
                        <w:sz w:val="2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3EB97">
    <w:pPr>
      <w:pStyle w:val="18"/>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77EE0"/>
    <w:multiLevelType w:val="singleLevel"/>
    <w:tmpl w:val="B6477EE0"/>
    <w:lvl w:ilvl="0" w:tentative="0">
      <w:start w:val="4"/>
      <w:numFmt w:val="decimal"/>
      <w:suff w:val="nothing"/>
      <w:lvlText w:val="%1、"/>
      <w:lvlJc w:val="left"/>
    </w:lvl>
  </w:abstractNum>
  <w:abstractNum w:abstractNumId="1">
    <w:nsid w:val="02E3DE44"/>
    <w:multiLevelType w:val="singleLevel"/>
    <w:tmpl w:val="02E3DE44"/>
    <w:lvl w:ilvl="0" w:tentative="0">
      <w:start w:val="1"/>
      <w:numFmt w:val="decimal"/>
      <w:suff w:val="nothing"/>
      <w:lvlText w:val="%1、"/>
      <w:lvlJc w:val="left"/>
    </w:lvl>
  </w:abstractNum>
  <w:abstractNum w:abstractNumId="2">
    <w:nsid w:val="2FD38E5F"/>
    <w:multiLevelType w:val="singleLevel"/>
    <w:tmpl w:val="2FD38E5F"/>
    <w:lvl w:ilvl="0" w:tentative="0">
      <w:start w:val="2"/>
      <w:numFmt w:val="chineseCounting"/>
      <w:suff w:val="nothing"/>
      <w:lvlText w:val="%1、"/>
      <w:lvlJc w:val="left"/>
      <w:rPr>
        <w:rFonts w:hint="eastAsia"/>
      </w:rPr>
    </w:lvl>
  </w:abstractNum>
  <w:abstractNum w:abstractNumId="3">
    <w:nsid w:val="50A6A2D3"/>
    <w:multiLevelType w:val="singleLevel"/>
    <w:tmpl w:val="50A6A2D3"/>
    <w:lvl w:ilvl="0" w:tentative="0">
      <w:start w:val="1"/>
      <w:numFmt w:val="decimal"/>
      <w:suff w:val="nothing"/>
      <w:lvlText w:val="（%1）"/>
      <w:lvlJc w:val="left"/>
    </w:lvl>
  </w:abstractNum>
  <w:abstractNum w:abstractNumId="4">
    <w:nsid w:val="57CD4A7B"/>
    <w:multiLevelType w:val="singleLevel"/>
    <w:tmpl w:val="57CD4A7B"/>
    <w:lvl w:ilvl="0" w:tentative="0">
      <w:start w:val="1"/>
      <w:numFmt w:val="decimal"/>
      <w:suff w:val="nothing"/>
      <w:lvlText w:val="(%1）"/>
      <w:lvlJc w:val="left"/>
    </w:lvl>
  </w:abstractNum>
  <w:abstractNum w:abstractNumId="5">
    <w:nsid w:val="5E42DDF8"/>
    <w:multiLevelType w:val="singleLevel"/>
    <w:tmpl w:val="5E42DDF8"/>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2D1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64E69"/>
    <w:rsid w:val="002805AB"/>
    <w:rsid w:val="00284204"/>
    <w:rsid w:val="00286C0E"/>
    <w:rsid w:val="00291773"/>
    <w:rsid w:val="00292BAB"/>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09DD"/>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5EB3"/>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39A0"/>
    <w:rsid w:val="00554A7B"/>
    <w:rsid w:val="0055572C"/>
    <w:rsid w:val="0056106A"/>
    <w:rsid w:val="005720AE"/>
    <w:rsid w:val="00594D77"/>
    <w:rsid w:val="005969E4"/>
    <w:rsid w:val="005A06B7"/>
    <w:rsid w:val="005A1759"/>
    <w:rsid w:val="005A68A7"/>
    <w:rsid w:val="005D1948"/>
    <w:rsid w:val="005D36AB"/>
    <w:rsid w:val="005F3085"/>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21D20"/>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7F40B2"/>
    <w:rsid w:val="00801393"/>
    <w:rsid w:val="00802F88"/>
    <w:rsid w:val="0081293E"/>
    <w:rsid w:val="00815465"/>
    <w:rsid w:val="00817E9A"/>
    <w:rsid w:val="008306BD"/>
    <w:rsid w:val="00831A80"/>
    <w:rsid w:val="00833743"/>
    <w:rsid w:val="00833D08"/>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611D4"/>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27B93"/>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131A"/>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76FBD"/>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26D9F"/>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0800E3"/>
    <w:rsid w:val="01170C55"/>
    <w:rsid w:val="01290F7E"/>
    <w:rsid w:val="01341807"/>
    <w:rsid w:val="013D19BC"/>
    <w:rsid w:val="015D1E09"/>
    <w:rsid w:val="01811906"/>
    <w:rsid w:val="01832A6D"/>
    <w:rsid w:val="018F6A3E"/>
    <w:rsid w:val="019D47B9"/>
    <w:rsid w:val="01A81996"/>
    <w:rsid w:val="01B36BD0"/>
    <w:rsid w:val="01CB5FD0"/>
    <w:rsid w:val="01D8772C"/>
    <w:rsid w:val="01D932CB"/>
    <w:rsid w:val="01E71F44"/>
    <w:rsid w:val="01F9035B"/>
    <w:rsid w:val="020967F0"/>
    <w:rsid w:val="02447828"/>
    <w:rsid w:val="024E627D"/>
    <w:rsid w:val="025360BD"/>
    <w:rsid w:val="02593F18"/>
    <w:rsid w:val="025A135F"/>
    <w:rsid w:val="02697903"/>
    <w:rsid w:val="027D2D3A"/>
    <w:rsid w:val="029A5F34"/>
    <w:rsid w:val="02AE00DE"/>
    <w:rsid w:val="02B67B5D"/>
    <w:rsid w:val="02CB4353"/>
    <w:rsid w:val="02F92D08"/>
    <w:rsid w:val="02F96569"/>
    <w:rsid w:val="02FA03B3"/>
    <w:rsid w:val="03091E03"/>
    <w:rsid w:val="031D1405"/>
    <w:rsid w:val="031F7C02"/>
    <w:rsid w:val="03596632"/>
    <w:rsid w:val="036504C9"/>
    <w:rsid w:val="037C6AE8"/>
    <w:rsid w:val="03826B02"/>
    <w:rsid w:val="03984126"/>
    <w:rsid w:val="03A964DC"/>
    <w:rsid w:val="03B10EED"/>
    <w:rsid w:val="03B609D5"/>
    <w:rsid w:val="03B6494F"/>
    <w:rsid w:val="03CA5E33"/>
    <w:rsid w:val="03DB0660"/>
    <w:rsid w:val="03EA7B21"/>
    <w:rsid w:val="041358F2"/>
    <w:rsid w:val="0449381C"/>
    <w:rsid w:val="0458203A"/>
    <w:rsid w:val="045B46EE"/>
    <w:rsid w:val="045C13A6"/>
    <w:rsid w:val="046A3584"/>
    <w:rsid w:val="04716676"/>
    <w:rsid w:val="04AC7907"/>
    <w:rsid w:val="04B64A7E"/>
    <w:rsid w:val="04BC3FEE"/>
    <w:rsid w:val="04BF5EAB"/>
    <w:rsid w:val="04C2287C"/>
    <w:rsid w:val="04C904B8"/>
    <w:rsid w:val="04D95CCC"/>
    <w:rsid w:val="04F51DC7"/>
    <w:rsid w:val="04F548E2"/>
    <w:rsid w:val="04F702A7"/>
    <w:rsid w:val="04FC4547"/>
    <w:rsid w:val="05015F66"/>
    <w:rsid w:val="051C7524"/>
    <w:rsid w:val="051F68A2"/>
    <w:rsid w:val="0531110E"/>
    <w:rsid w:val="057F0831"/>
    <w:rsid w:val="058820D2"/>
    <w:rsid w:val="058C156C"/>
    <w:rsid w:val="059C5BCD"/>
    <w:rsid w:val="059D4375"/>
    <w:rsid w:val="05A62D88"/>
    <w:rsid w:val="05B72A07"/>
    <w:rsid w:val="05C13AD4"/>
    <w:rsid w:val="05C60CD8"/>
    <w:rsid w:val="05D37841"/>
    <w:rsid w:val="05E80749"/>
    <w:rsid w:val="05F83EAE"/>
    <w:rsid w:val="06112EFD"/>
    <w:rsid w:val="061448DC"/>
    <w:rsid w:val="063E7D85"/>
    <w:rsid w:val="065A1D10"/>
    <w:rsid w:val="06610822"/>
    <w:rsid w:val="067D53C4"/>
    <w:rsid w:val="068D6688"/>
    <w:rsid w:val="06BA455D"/>
    <w:rsid w:val="06C30859"/>
    <w:rsid w:val="06C65F14"/>
    <w:rsid w:val="06D17E8C"/>
    <w:rsid w:val="06DB0A8F"/>
    <w:rsid w:val="070A62B5"/>
    <w:rsid w:val="07207837"/>
    <w:rsid w:val="07293586"/>
    <w:rsid w:val="07295285"/>
    <w:rsid w:val="072A0D17"/>
    <w:rsid w:val="073065CD"/>
    <w:rsid w:val="074B3B46"/>
    <w:rsid w:val="07534AA3"/>
    <w:rsid w:val="075A01C8"/>
    <w:rsid w:val="07636392"/>
    <w:rsid w:val="07641ECA"/>
    <w:rsid w:val="076F5347"/>
    <w:rsid w:val="07770C56"/>
    <w:rsid w:val="0783598D"/>
    <w:rsid w:val="078F61E1"/>
    <w:rsid w:val="079F2981"/>
    <w:rsid w:val="07C37441"/>
    <w:rsid w:val="07C567F9"/>
    <w:rsid w:val="07D44167"/>
    <w:rsid w:val="07DD0157"/>
    <w:rsid w:val="07F23D03"/>
    <w:rsid w:val="07FB748C"/>
    <w:rsid w:val="08144660"/>
    <w:rsid w:val="084343F1"/>
    <w:rsid w:val="085863E7"/>
    <w:rsid w:val="086504F8"/>
    <w:rsid w:val="08740559"/>
    <w:rsid w:val="08836253"/>
    <w:rsid w:val="08846756"/>
    <w:rsid w:val="08B3532B"/>
    <w:rsid w:val="08B651F8"/>
    <w:rsid w:val="08B677DD"/>
    <w:rsid w:val="08D4233A"/>
    <w:rsid w:val="08DC6D6B"/>
    <w:rsid w:val="08F91C90"/>
    <w:rsid w:val="09167A44"/>
    <w:rsid w:val="092108C3"/>
    <w:rsid w:val="092217DD"/>
    <w:rsid w:val="092E0CF1"/>
    <w:rsid w:val="09325BCB"/>
    <w:rsid w:val="093265C3"/>
    <w:rsid w:val="093A7294"/>
    <w:rsid w:val="093F0D49"/>
    <w:rsid w:val="097A15BA"/>
    <w:rsid w:val="098A290C"/>
    <w:rsid w:val="09986FCF"/>
    <w:rsid w:val="099F5C8C"/>
    <w:rsid w:val="09AA6B0A"/>
    <w:rsid w:val="09AF5ECF"/>
    <w:rsid w:val="09B039F5"/>
    <w:rsid w:val="09BC683E"/>
    <w:rsid w:val="09BF1B9E"/>
    <w:rsid w:val="09C85B74"/>
    <w:rsid w:val="09E0252C"/>
    <w:rsid w:val="0A08595F"/>
    <w:rsid w:val="0A127F7A"/>
    <w:rsid w:val="0A263993"/>
    <w:rsid w:val="0A2D3AC2"/>
    <w:rsid w:val="0A3D70E8"/>
    <w:rsid w:val="0A4A5BF8"/>
    <w:rsid w:val="0A7108C7"/>
    <w:rsid w:val="0A776F3D"/>
    <w:rsid w:val="0A89036E"/>
    <w:rsid w:val="0A8E7038"/>
    <w:rsid w:val="0A984E02"/>
    <w:rsid w:val="0AA755DF"/>
    <w:rsid w:val="0ABE60BC"/>
    <w:rsid w:val="0ACE653D"/>
    <w:rsid w:val="0ADF163F"/>
    <w:rsid w:val="0AE105DD"/>
    <w:rsid w:val="0B077F8D"/>
    <w:rsid w:val="0B120D44"/>
    <w:rsid w:val="0B480A61"/>
    <w:rsid w:val="0B512FB6"/>
    <w:rsid w:val="0B534F80"/>
    <w:rsid w:val="0B624E86"/>
    <w:rsid w:val="0B65586F"/>
    <w:rsid w:val="0B8C5471"/>
    <w:rsid w:val="0B8D0492"/>
    <w:rsid w:val="0B9F1A26"/>
    <w:rsid w:val="0BA8746E"/>
    <w:rsid w:val="0BAD28E2"/>
    <w:rsid w:val="0BD27BF6"/>
    <w:rsid w:val="0BE5207C"/>
    <w:rsid w:val="0C03639C"/>
    <w:rsid w:val="0C0D3381"/>
    <w:rsid w:val="0C133CA9"/>
    <w:rsid w:val="0C384285"/>
    <w:rsid w:val="0C3B3C7D"/>
    <w:rsid w:val="0C3C4AD2"/>
    <w:rsid w:val="0C3D67FB"/>
    <w:rsid w:val="0C3F7B99"/>
    <w:rsid w:val="0C4A2E63"/>
    <w:rsid w:val="0C4F1BEB"/>
    <w:rsid w:val="0C651841"/>
    <w:rsid w:val="0C8D4FDD"/>
    <w:rsid w:val="0C9114B9"/>
    <w:rsid w:val="0CAB2EAE"/>
    <w:rsid w:val="0CEC743A"/>
    <w:rsid w:val="0CF00706"/>
    <w:rsid w:val="0CF9247A"/>
    <w:rsid w:val="0D023979"/>
    <w:rsid w:val="0D0F32B7"/>
    <w:rsid w:val="0D1129FD"/>
    <w:rsid w:val="0D162504"/>
    <w:rsid w:val="0D1F0E16"/>
    <w:rsid w:val="0D375976"/>
    <w:rsid w:val="0D4E21F9"/>
    <w:rsid w:val="0D523741"/>
    <w:rsid w:val="0D621C7D"/>
    <w:rsid w:val="0D641C54"/>
    <w:rsid w:val="0D651B55"/>
    <w:rsid w:val="0D7C246E"/>
    <w:rsid w:val="0D9642F0"/>
    <w:rsid w:val="0DA97C56"/>
    <w:rsid w:val="0DBF6A53"/>
    <w:rsid w:val="0DC3019B"/>
    <w:rsid w:val="0DDA1988"/>
    <w:rsid w:val="0DF00523"/>
    <w:rsid w:val="0E0D1302"/>
    <w:rsid w:val="0E20163B"/>
    <w:rsid w:val="0E2519DC"/>
    <w:rsid w:val="0E275D69"/>
    <w:rsid w:val="0E39220B"/>
    <w:rsid w:val="0E427667"/>
    <w:rsid w:val="0E4B0853"/>
    <w:rsid w:val="0E5434E9"/>
    <w:rsid w:val="0E650191"/>
    <w:rsid w:val="0E73034D"/>
    <w:rsid w:val="0EAB22DF"/>
    <w:rsid w:val="0EB21234"/>
    <w:rsid w:val="0EB755C3"/>
    <w:rsid w:val="0EB81DC9"/>
    <w:rsid w:val="0EBB474D"/>
    <w:rsid w:val="0EC21A6E"/>
    <w:rsid w:val="0EC32F58"/>
    <w:rsid w:val="0F13775A"/>
    <w:rsid w:val="0F2076B3"/>
    <w:rsid w:val="0F220EF1"/>
    <w:rsid w:val="0F2E7001"/>
    <w:rsid w:val="0F3C3B4D"/>
    <w:rsid w:val="0F590005"/>
    <w:rsid w:val="0F5F45FE"/>
    <w:rsid w:val="0F611BF8"/>
    <w:rsid w:val="0F6E7CE3"/>
    <w:rsid w:val="0F9A112B"/>
    <w:rsid w:val="0FB00B75"/>
    <w:rsid w:val="0FB24D72"/>
    <w:rsid w:val="0FB929E9"/>
    <w:rsid w:val="0FD167CD"/>
    <w:rsid w:val="0FFC5BC1"/>
    <w:rsid w:val="102173FB"/>
    <w:rsid w:val="102F23F6"/>
    <w:rsid w:val="10321E6B"/>
    <w:rsid w:val="1036730D"/>
    <w:rsid w:val="103C4085"/>
    <w:rsid w:val="106B68C8"/>
    <w:rsid w:val="106D2F64"/>
    <w:rsid w:val="10861954"/>
    <w:rsid w:val="108D7C35"/>
    <w:rsid w:val="10A22039"/>
    <w:rsid w:val="10A33E4B"/>
    <w:rsid w:val="10A64EDA"/>
    <w:rsid w:val="10B63710"/>
    <w:rsid w:val="10C66A6C"/>
    <w:rsid w:val="10E10A10"/>
    <w:rsid w:val="10E32ED1"/>
    <w:rsid w:val="10E76A0D"/>
    <w:rsid w:val="10E81387"/>
    <w:rsid w:val="10F10820"/>
    <w:rsid w:val="10F563EB"/>
    <w:rsid w:val="11062C06"/>
    <w:rsid w:val="111C2F7A"/>
    <w:rsid w:val="111D4066"/>
    <w:rsid w:val="11274EE5"/>
    <w:rsid w:val="113B33F0"/>
    <w:rsid w:val="114C49C0"/>
    <w:rsid w:val="11655D12"/>
    <w:rsid w:val="11665CA1"/>
    <w:rsid w:val="11671785"/>
    <w:rsid w:val="116953C0"/>
    <w:rsid w:val="117A6AA7"/>
    <w:rsid w:val="119D6F55"/>
    <w:rsid w:val="11B61DC5"/>
    <w:rsid w:val="11B752DD"/>
    <w:rsid w:val="11BF4A73"/>
    <w:rsid w:val="11E9068D"/>
    <w:rsid w:val="11ED31A8"/>
    <w:rsid w:val="11F764BB"/>
    <w:rsid w:val="11F9019A"/>
    <w:rsid w:val="11FF376C"/>
    <w:rsid w:val="12051B5E"/>
    <w:rsid w:val="12137217"/>
    <w:rsid w:val="122B467C"/>
    <w:rsid w:val="1236410E"/>
    <w:rsid w:val="1248301F"/>
    <w:rsid w:val="126D2DCB"/>
    <w:rsid w:val="127F5366"/>
    <w:rsid w:val="128F72B6"/>
    <w:rsid w:val="129F0C7E"/>
    <w:rsid w:val="12C01906"/>
    <w:rsid w:val="12CC1E0B"/>
    <w:rsid w:val="12D40754"/>
    <w:rsid w:val="12D44BF8"/>
    <w:rsid w:val="12EC191B"/>
    <w:rsid w:val="131F0EDE"/>
    <w:rsid w:val="13270FB4"/>
    <w:rsid w:val="13272FB7"/>
    <w:rsid w:val="13287BA1"/>
    <w:rsid w:val="13433B2C"/>
    <w:rsid w:val="13597A66"/>
    <w:rsid w:val="13685340"/>
    <w:rsid w:val="13951726"/>
    <w:rsid w:val="13B214A6"/>
    <w:rsid w:val="13C92521"/>
    <w:rsid w:val="13D1738A"/>
    <w:rsid w:val="13DF3855"/>
    <w:rsid w:val="13EB36ED"/>
    <w:rsid w:val="13EE1133"/>
    <w:rsid w:val="13FB7F63"/>
    <w:rsid w:val="13FD1C53"/>
    <w:rsid w:val="141E1CEE"/>
    <w:rsid w:val="14213E6D"/>
    <w:rsid w:val="14396509"/>
    <w:rsid w:val="143C37E1"/>
    <w:rsid w:val="144A5551"/>
    <w:rsid w:val="14522278"/>
    <w:rsid w:val="148A2A56"/>
    <w:rsid w:val="148A382F"/>
    <w:rsid w:val="148E6C1F"/>
    <w:rsid w:val="14B254CA"/>
    <w:rsid w:val="14C01A4D"/>
    <w:rsid w:val="14DD2C3C"/>
    <w:rsid w:val="14E25C3A"/>
    <w:rsid w:val="14EF5D19"/>
    <w:rsid w:val="14F41582"/>
    <w:rsid w:val="14F51605"/>
    <w:rsid w:val="152B4878"/>
    <w:rsid w:val="15431BC1"/>
    <w:rsid w:val="1568787A"/>
    <w:rsid w:val="157306F8"/>
    <w:rsid w:val="157D3325"/>
    <w:rsid w:val="157E457B"/>
    <w:rsid w:val="159C5639"/>
    <w:rsid w:val="15AB6E64"/>
    <w:rsid w:val="15B842CA"/>
    <w:rsid w:val="15C30FC4"/>
    <w:rsid w:val="15D53161"/>
    <w:rsid w:val="15F60E13"/>
    <w:rsid w:val="16087E1D"/>
    <w:rsid w:val="1613017E"/>
    <w:rsid w:val="164125A5"/>
    <w:rsid w:val="164550AB"/>
    <w:rsid w:val="164E4096"/>
    <w:rsid w:val="16732492"/>
    <w:rsid w:val="1686729A"/>
    <w:rsid w:val="168B13F0"/>
    <w:rsid w:val="168E5BAD"/>
    <w:rsid w:val="16994DEC"/>
    <w:rsid w:val="16AB5C70"/>
    <w:rsid w:val="16DC7BCC"/>
    <w:rsid w:val="17137064"/>
    <w:rsid w:val="172D48D7"/>
    <w:rsid w:val="17410382"/>
    <w:rsid w:val="17483C33"/>
    <w:rsid w:val="17487963"/>
    <w:rsid w:val="175977D3"/>
    <w:rsid w:val="17701D14"/>
    <w:rsid w:val="17735226"/>
    <w:rsid w:val="177B141A"/>
    <w:rsid w:val="17A3644F"/>
    <w:rsid w:val="17A545B2"/>
    <w:rsid w:val="17D450D9"/>
    <w:rsid w:val="17E53404"/>
    <w:rsid w:val="17EA7EDF"/>
    <w:rsid w:val="17F614A8"/>
    <w:rsid w:val="181003F0"/>
    <w:rsid w:val="18185587"/>
    <w:rsid w:val="181F452F"/>
    <w:rsid w:val="182932F0"/>
    <w:rsid w:val="183646BD"/>
    <w:rsid w:val="184719C8"/>
    <w:rsid w:val="184A2256"/>
    <w:rsid w:val="18593835"/>
    <w:rsid w:val="186401F2"/>
    <w:rsid w:val="189025E7"/>
    <w:rsid w:val="189F624C"/>
    <w:rsid w:val="18C4179E"/>
    <w:rsid w:val="18D07C10"/>
    <w:rsid w:val="18D94D16"/>
    <w:rsid w:val="18E8184E"/>
    <w:rsid w:val="190E4E8A"/>
    <w:rsid w:val="19187C6A"/>
    <w:rsid w:val="193006AE"/>
    <w:rsid w:val="193C0F5B"/>
    <w:rsid w:val="1950766A"/>
    <w:rsid w:val="19677AF8"/>
    <w:rsid w:val="196870B6"/>
    <w:rsid w:val="19716BCA"/>
    <w:rsid w:val="19910730"/>
    <w:rsid w:val="199A015F"/>
    <w:rsid w:val="19A846E9"/>
    <w:rsid w:val="19AA060A"/>
    <w:rsid w:val="19C76B59"/>
    <w:rsid w:val="19D3324F"/>
    <w:rsid w:val="1A0062D3"/>
    <w:rsid w:val="1A1A6EC1"/>
    <w:rsid w:val="1A1C66C0"/>
    <w:rsid w:val="1A25203A"/>
    <w:rsid w:val="1A42393B"/>
    <w:rsid w:val="1A495ED5"/>
    <w:rsid w:val="1A534654"/>
    <w:rsid w:val="1A583091"/>
    <w:rsid w:val="1A62360F"/>
    <w:rsid w:val="1A6920CA"/>
    <w:rsid w:val="1A706DCE"/>
    <w:rsid w:val="1A764D21"/>
    <w:rsid w:val="1A8719C4"/>
    <w:rsid w:val="1AAD45DE"/>
    <w:rsid w:val="1AB60216"/>
    <w:rsid w:val="1ABC044C"/>
    <w:rsid w:val="1ADF75C6"/>
    <w:rsid w:val="1B046F80"/>
    <w:rsid w:val="1B0C79A9"/>
    <w:rsid w:val="1B101F24"/>
    <w:rsid w:val="1B124510"/>
    <w:rsid w:val="1B3267B5"/>
    <w:rsid w:val="1B33005B"/>
    <w:rsid w:val="1B3942CB"/>
    <w:rsid w:val="1B40161D"/>
    <w:rsid w:val="1B441859"/>
    <w:rsid w:val="1B44386A"/>
    <w:rsid w:val="1B4A77A1"/>
    <w:rsid w:val="1B4E634F"/>
    <w:rsid w:val="1B5E2987"/>
    <w:rsid w:val="1B6606B1"/>
    <w:rsid w:val="1BD23517"/>
    <w:rsid w:val="1BD45076"/>
    <w:rsid w:val="1BDD2742"/>
    <w:rsid w:val="1BDE3710"/>
    <w:rsid w:val="1C1C7239"/>
    <w:rsid w:val="1C1E0D45"/>
    <w:rsid w:val="1C3B2840"/>
    <w:rsid w:val="1C43370A"/>
    <w:rsid w:val="1C491EB4"/>
    <w:rsid w:val="1C521F00"/>
    <w:rsid w:val="1C5841A4"/>
    <w:rsid w:val="1C5B5A42"/>
    <w:rsid w:val="1C5B5FD5"/>
    <w:rsid w:val="1C5E7925"/>
    <w:rsid w:val="1C6C01A9"/>
    <w:rsid w:val="1C6D527C"/>
    <w:rsid w:val="1C9F1861"/>
    <w:rsid w:val="1CC04C62"/>
    <w:rsid w:val="1CC16FF8"/>
    <w:rsid w:val="1CC31F52"/>
    <w:rsid w:val="1CD151DA"/>
    <w:rsid w:val="1CDE4B22"/>
    <w:rsid w:val="1CFD070F"/>
    <w:rsid w:val="1D065315"/>
    <w:rsid w:val="1D187DD7"/>
    <w:rsid w:val="1D246914"/>
    <w:rsid w:val="1D2C491B"/>
    <w:rsid w:val="1D3C3AC6"/>
    <w:rsid w:val="1D5F6196"/>
    <w:rsid w:val="1D6132A5"/>
    <w:rsid w:val="1D714118"/>
    <w:rsid w:val="1D84721B"/>
    <w:rsid w:val="1D8E56D5"/>
    <w:rsid w:val="1D99317E"/>
    <w:rsid w:val="1DBC3E0F"/>
    <w:rsid w:val="1DD35C5D"/>
    <w:rsid w:val="1E5866DD"/>
    <w:rsid w:val="1E696B3C"/>
    <w:rsid w:val="1E7A43DA"/>
    <w:rsid w:val="1E892D3B"/>
    <w:rsid w:val="1E995A04"/>
    <w:rsid w:val="1EAF33E2"/>
    <w:rsid w:val="1EC37D91"/>
    <w:rsid w:val="1EC4336D"/>
    <w:rsid w:val="1ED8781E"/>
    <w:rsid w:val="1F2B6ABF"/>
    <w:rsid w:val="1F354927"/>
    <w:rsid w:val="1F375FA7"/>
    <w:rsid w:val="1F4228D1"/>
    <w:rsid w:val="1F5912E4"/>
    <w:rsid w:val="1F70269B"/>
    <w:rsid w:val="1F7E0E4E"/>
    <w:rsid w:val="1F92003C"/>
    <w:rsid w:val="1FC03C8A"/>
    <w:rsid w:val="1FD275D0"/>
    <w:rsid w:val="1FE7539E"/>
    <w:rsid w:val="1FF04042"/>
    <w:rsid w:val="1FF63924"/>
    <w:rsid w:val="1FFC6B65"/>
    <w:rsid w:val="20085EE1"/>
    <w:rsid w:val="20102464"/>
    <w:rsid w:val="20126D60"/>
    <w:rsid w:val="201C099E"/>
    <w:rsid w:val="20285F97"/>
    <w:rsid w:val="20343A7B"/>
    <w:rsid w:val="20346CD6"/>
    <w:rsid w:val="203F09E9"/>
    <w:rsid w:val="204B3299"/>
    <w:rsid w:val="204D3E81"/>
    <w:rsid w:val="20586E70"/>
    <w:rsid w:val="205B24B5"/>
    <w:rsid w:val="20671BE0"/>
    <w:rsid w:val="20685901"/>
    <w:rsid w:val="208F215E"/>
    <w:rsid w:val="20963CB8"/>
    <w:rsid w:val="20A0436C"/>
    <w:rsid w:val="20A355FB"/>
    <w:rsid w:val="20A81A1B"/>
    <w:rsid w:val="20B07FB6"/>
    <w:rsid w:val="20B47E17"/>
    <w:rsid w:val="20B646FB"/>
    <w:rsid w:val="20C00696"/>
    <w:rsid w:val="20CB4B08"/>
    <w:rsid w:val="20FD6018"/>
    <w:rsid w:val="21065450"/>
    <w:rsid w:val="211663DC"/>
    <w:rsid w:val="213B74B1"/>
    <w:rsid w:val="215313DE"/>
    <w:rsid w:val="215548C0"/>
    <w:rsid w:val="215A2310"/>
    <w:rsid w:val="216F6A63"/>
    <w:rsid w:val="21815F4B"/>
    <w:rsid w:val="218C3370"/>
    <w:rsid w:val="21A26DBA"/>
    <w:rsid w:val="21D7734F"/>
    <w:rsid w:val="21DE318A"/>
    <w:rsid w:val="21ED5BD6"/>
    <w:rsid w:val="21EF5B80"/>
    <w:rsid w:val="21F14089"/>
    <w:rsid w:val="21FE5B27"/>
    <w:rsid w:val="222264FC"/>
    <w:rsid w:val="22423293"/>
    <w:rsid w:val="22574EFE"/>
    <w:rsid w:val="22576990"/>
    <w:rsid w:val="225A0462"/>
    <w:rsid w:val="22883309"/>
    <w:rsid w:val="228850B7"/>
    <w:rsid w:val="22987CDB"/>
    <w:rsid w:val="22A0005B"/>
    <w:rsid w:val="22B15EFC"/>
    <w:rsid w:val="22BC4191"/>
    <w:rsid w:val="22C14F25"/>
    <w:rsid w:val="22D24584"/>
    <w:rsid w:val="22F47480"/>
    <w:rsid w:val="22F8637F"/>
    <w:rsid w:val="22FD27F1"/>
    <w:rsid w:val="2306110C"/>
    <w:rsid w:val="231D178E"/>
    <w:rsid w:val="232E2103"/>
    <w:rsid w:val="235A2F7F"/>
    <w:rsid w:val="235F3807"/>
    <w:rsid w:val="2381487A"/>
    <w:rsid w:val="23A61E5A"/>
    <w:rsid w:val="23B4085A"/>
    <w:rsid w:val="23C44E18"/>
    <w:rsid w:val="23D27991"/>
    <w:rsid w:val="23DE1C48"/>
    <w:rsid w:val="23F96AB6"/>
    <w:rsid w:val="23FD2C15"/>
    <w:rsid w:val="240003FE"/>
    <w:rsid w:val="240210CD"/>
    <w:rsid w:val="24110C3A"/>
    <w:rsid w:val="241B70B5"/>
    <w:rsid w:val="24573BF3"/>
    <w:rsid w:val="246B4024"/>
    <w:rsid w:val="24727DCD"/>
    <w:rsid w:val="24813CEA"/>
    <w:rsid w:val="24AD52A9"/>
    <w:rsid w:val="24B222BC"/>
    <w:rsid w:val="24BF09F7"/>
    <w:rsid w:val="24C06D8A"/>
    <w:rsid w:val="24C67B40"/>
    <w:rsid w:val="24D26C6F"/>
    <w:rsid w:val="24D57635"/>
    <w:rsid w:val="24DE505A"/>
    <w:rsid w:val="24DE5140"/>
    <w:rsid w:val="24FF7EF4"/>
    <w:rsid w:val="25083B5B"/>
    <w:rsid w:val="251418BC"/>
    <w:rsid w:val="25225A16"/>
    <w:rsid w:val="252D53FE"/>
    <w:rsid w:val="2552027C"/>
    <w:rsid w:val="255B58FF"/>
    <w:rsid w:val="25643BC2"/>
    <w:rsid w:val="256458CD"/>
    <w:rsid w:val="256E7D73"/>
    <w:rsid w:val="25714ED9"/>
    <w:rsid w:val="25733DFD"/>
    <w:rsid w:val="25951914"/>
    <w:rsid w:val="25A23DC3"/>
    <w:rsid w:val="25B368EF"/>
    <w:rsid w:val="25BC57A4"/>
    <w:rsid w:val="25C27FB9"/>
    <w:rsid w:val="25EC2D81"/>
    <w:rsid w:val="25FA62CC"/>
    <w:rsid w:val="26193FE6"/>
    <w:rsid w:val="264658AE"/>
    <w:rsid w:val="26483FB0"/>
    <w:rsid w:val="264D54CC"/>
    <w:rsid w:val="265179EC"/>
    <w:rsid w:val="2675073D"/>
    <w:rsid w:val="26A30EAD"/>
    <w:rsid w:val="26AF48F6"/>
    <w:rsid w:val="26AF6674"/>
    <w:rsid w:val="26CA3EF0"/>
    <w:rsid w:val="26CC5EBA"/>
    <w:rsid w:val="270140C7"/>
    <w:rsid w:val="27102105"/>
    <w:rsid w:val="2712393F"/>
    <w:rsid w:val="272730F1"/>
    <w:rsid w:val="273D2914"/>
    <w:rsid w:val="275D7909"/>
    <w:rsid w:val="27637D2D"/>
    <w:rsid w:val="276460F3"/>
    <w:rsid w:val="27673CDF"/>
    <w:rsid w:val="276E1D61"/>
    <w:rsid w:val="277057A2"/>
    <w:rsid w:val="27AA5AD0"/>
    <w:rsid w:val="27C30231"/>
    <w:rsid w:val="27D51435"/>
    <w:rsid w:val="27DA63B5"/>
    <w:rsid w:val="27F31D95"/>
    <w:rsid w:val="281E0C9C"/>
    <w:rsid w:val="28216936"/>
    <w:rsid w:val="282F39D5"/>
    <w:rsid w:val="2836159A"/>
    <w:rsid w:val="28385E3E"/>
    <w:rsid w:val="283D66A4"/>
    <w:rsid w:val="283E4B96"/>
    <w:rsid w:val="28511DAB"/>
    <w:rsid w:val="289655C9"/>
    <w:rsid w:val="28987DF3"/>
    <w:rsid w:val="28AB1EA1"/>
    <w:rsid w:val="28B51119"/>
    <w:rsid w:val="28CC232B"/>
    <w:rsid w:val="28D728F5"/>
    <w:rsid w:val="28DD3A60"/>
    <w:rsid w:val="28E24EB8"/>
    <w:rsid w:val="29037A26"/>
    <w:rsid w:val="29183CCE"/>
    <w:rsid w:val="29206EB8"/>
    <w:rsid w:val="292359E4"/>
    <w:rsid w:val="292A6A15"/>
    <w:rsid w:val="293E2C47"/>
    <w:rsid w:val="29514455"/>
    <w:rsid w:val="29595666"/>
    <w:rsid w:val="29874881"/>
    <w:rsid w:val="298962E5"/>
    <w:rsid w:val="29905E04"/>
    <w:rsid w:val="299C5AE8"/>
    <w:rsid w:val="29AB2A0C"/>
    <w:rsid w:val="29B57BAB"/>
    <w:rsid w:val="29CD190C"/>
    <w:rsid w:val="29E325E0"/>
    <w:rsid w:val="29E33C4B"/>
    <w:rsid w:val="29FC52A9"/>
    <w:rsid w:val="2A187669"/>
    <w:rsid w:val="2A452503"/>
    <w:rsid w:val="2A681232"/>
    <w:rsid w:val="2A8C256B"/>
    <w:rsid w:val="2AC86999"/>
    <w:rsid w:val="2B0674C1"/>
    <w:rsid w:val="2B3D7D27"/>
    <w:rsid w:val="2B4D3342"/>
    <w:rsid w:val="2B4F22B5"/>
    <w:rsid w:val="2B632EE8"/>
    <w:rsid w:val="2B656AA6"/>
    <w:rsid w:val="2B726905"/>
    <w:rsid w:val="2B8C79C6"/>
    <w:rsid w:val="2B954B5B"/>
    <w:rsid w:val="2BA936A8"/>
    <w:rsid w:val="2BAC2D95"/>
    <w:rsid w:val="2BAF0759"/>
    <w:rsid w:val="2BB72609"/>
    <w:rsid w:val="2BCE7FDF"/>
    <w:rsid w:val="2BD82F00"/>
    <w:rsid w:val="2BE62A33"/>
    <w:rsid w:val="2BF63B57"/>
    <w:rsid w:val="2C114AD7"/>
    <w:rsid w:val="2C131E96"/>
    <w:rsid w:val="2C315A5A"/>
    <w:rsid w:val="2C4B1C25"/>
    <w:rsid w:val="2C673F8F"/>
    <w:rsid w:val="2C780B24"/>
    <w:rsid w:val="2C895F7F"/>
    <w:rsid w:val="2C8C4B8D"/>
    <w:rsid w:val="2C9874BC"/>
    <w:rsid w:val="2C9B6DDC"/>
    <w:rsid w:val="2CC77318"/>
    <w:rsid w:val="2CE55E05"/>
    <w:rsid w:val="2CF701A9"/>
    <w:rsid w:val="2D02690F"/>
    <w:rsid w:val="2D0C629A"/>
    <w:rsid w:val="2D39120C"/>
    <w:rsid w:val="2D3A3563"/>
    <w:rsid w:val="2D3E6B8E"/>
    <w:rsid w:val="2D4254F8"/>
    <w:rsid w:val="2D5C5ABE"/>
    <w:rsid w:val="2D8079FF"/>
    <w:rsid w:val="2D9448E4"/>
    <w:rsid w:val="2D9E56F5"/>
    <w:rsid w:val="2DA23F09"/>
    <w:rsid w:val="2DAF14C1"/>
    <w:rsid w:val="2DB55D99"/>
    <w:rsid w:val="2DB63EB1"/>
    <w:rsid w:val="2DE2643C"/>
    <w:rsid w:val="2E020414"/>
    <w:rsid w:val="2E1343CF"/>
    <w:rsid w:val="2E165C6D"/>
    <w:rsid w:val="2E183793"/>
    <w:rsid w:val="2E2D130B"/>
    <w:rsid w:val="2E522915"/>
    <w:rsid w:val="2E624857"/>
    <w:rsid w:val="2E667F96"/>
    <w:rsid w:val="2E8226AB"/>
    <w:rsid w:val="2E895366"/>
    <w:rsid w:val="2E8A5886"/>
    <w:rsid w:val="2EAB58BC"/>
    <w:rsid w:val="2EB51C01"/>
    <w:rsid w:val="2EC1207D"/>
    <w:rsid w:val="2EC4391B"/>
    <w:rsid w:val="2EC76F67"/>
    <w:rsid w:val="2EE144CD"/>
    <w:rsid w:val="2EE1627B"/>
    <w:rsid w:val="2F0F664E"/>
    <w:rsid w:val="2F6D265B"/>
    <w:rsid w:val="2F7847D6"/>
    <w:rsid w:val="2F7E7F6E"/>
    <w:rsid w:val="2F875074"/>
    <w:rsid w:val="2F9D4F14"/>
    <w:rsid w:val="2FA20F35"/>
    <w:rsid w:val="2FA554FB"/>
    <w:rsid w:val="2FD065E6"/>
    <w:rsid w:val="2FD96870"/>
    <w:rsid w:val="2FE32CE6"/>
    <w:rsid w:val="2FEE6B43"/>
    <w:rsid w:val="30071D11"/>
    <w:rsid w:val="300A7A53"/>
    <w:rsid w:val="30124978"/>
    <w:rsid w:val="30505BCC"/>
    <w:rsid w:val="30580BC9"/>
    <w:rsid w:val="30617398"/>
    <w:rsid w:val="30634407"/>
    <w:rsid w:val="306A74E7"/>
    <w:rsid w:val="308052DC"/>
    <w:rsid w:val="308B7D14"/>
    <w:rsid w:val="309554DA"/>
    <w:rsid w:val="30B440F9"/>
    <w:rsid w:val="30CD2777"/>
    <w:rsid w:val="30CD750B"/>
    <w:rsid w:val="30CF296B"/>
    <w:rsid w:val="30DA2552"/>
    <w:rsid w:val="30EE6F82"/>
    <w:rsid w:val="310224D9"/>
    <w:rsid w:val="31074D10"/>
    <w:rsid w:val="31156E40"/>
    <w:rsid w:val="311E2ED7"/>
    <w:rsid w:val="31381F6C"/>
    <w:rsid w:val="31383FA4"/>
    <w:rsid w:val="313A7EC4"/>
    <w:rsid w:val="315619EE"/>
    <w:rsid w:val="315C449C"/>
    <w:rsid w:val="31AC51EB"/>
    <w:rsid w:val="31B53B6A"/>
    <w:rsid w:val="31B56840"/>
    <w:rsid w:val="31B82709"/>
    <w:rsid w:val="31C51E84"/>
    <w:rsid w:val="31D05482"/>
    <w:rsid w:val="31E417FE"/>
    <w:rsid w:val="322949E6"/>
    <w:rsid w:val="3235077D"/>
    <w:rsid w:val="32400B34"/>
    <w:rsid w:val="327C40E9"/>
    <w:rsid w:val="329E6876"/>
    <w:rsid w:val="329F0927"/>
    <w:rsid w:val="32B53CA7"/>
    <w:rsid w:val="32C57C62"/>
    <w:rsid w:val="32C9115A"/>
    <w:rsid w:val="32CD6C36"/>
    <w:rsid w:val="32CE4D68"/>
    <w:rsid w:val="32DA195F"/>
    <w:rsid w:val="32DE1609"/>
    <w:rsid w:val="32EF6DB2"/>
    <w:rsid w:val="33024A12"/>
    <w:rsid w:val="33031874"/>
    <w:rsid w:val="331976A7"/>
    <w:rsid w:val="332E5807"/>
    <w:rsid w:val="333015F2"/>
    <w:rsid w:val="334B6320"/>
    <w:rsid w:val="335F23E7"/>
    <w:rsid w:val="33764CAD"/>
    <w:rsid w:val="33770F5C"/>
    <w:rsid w:val="338027AA"/>
    <w:rsid w:val="338531C9"/>
    <w:rsid w:val="33AA6292"/>
    <w:rsid w:val="33AC20D1"/>
    <w:rsid w:val="33B72A4E"/>
    <w:rsid w:val="33C11E68"/>
    <w:rsid w:val="33D934D4"/>
    <w:rsid w:val="33FE2F6A"/>
    <w:rsid w:val="3408534B"/>
    <w:rsid w:val="340B469D"/>
    <w:rsid w:val="340E07E5"/>
    <w:rsid w:val="341345A5"/>
    <w:rsid w:val="34235BF7"/>
    <w:rsid w:val="3427402B"/>
    <w:rsid w:val="34277CED"/>
    <w:rsid w:val="343F50D0"/>
    <w:rsid w:val="34445CFA"/>
    <w:rsid w:val="345237B7"/>
    <w:rsid w:val="345F4848"/>
    <w:rsid w:val="346E05B1"/>
    <w:rsid w:val="3477565E"/>
    <w:rsid w:val="348A4CBF"/>
    <w:rsid w:val="34A43FD3"/>
    <w:rsid w:val="34A55F9D"/>
    <w:rsid w:val="34AB40DD"/>
    <w:rsid w:val="34E71089"/>
    <w:rsid w:val="34F701CE"/>
    <w:rsid w:val="34FB5BBD"/>
    <w:rsid w:val="351D3D85"/>
    <w:rsid w:val="353A070D"/>
    <w:rsid w:val="35411630"/>
    <w:rsid w:val="354C64FD"/>
    <w:rsid w:val="35681FEA"/>
    <w:rsid w:val="358C5FA8"/>
    <w:rsid w:val="35B00888"/>
    <w:rsid w:val="35B27A2B"/>
    <w:rsid w:val="35C12962"/>
    <w:rsid w:val="35C15DF1"/>
    <w:rsid w:val="35D103BD"/>
    <w:rsid w:val="35E65FD8"/>
    <w:rsid w:val="36074A7F"/>
    <w:rsid w:val="361138EA"/>
    <w:rsid w:val="36176C07"/>
    <w:rsid w:val="362A7420"/>
    <w:rsid w:val="363B26C5"/>
    <w:rsid w:val="36544E0C"/>
    <w:rsid w:val="366003CD"/>
    <w:rsid w:val="3665184D"/>
    <w:rsid w:val="36923549"/>
    <w:rsid w:val="369260AD"/>
    <w:rsid w:val="36A36CDD"/>
    <w:rsid w:val="36B6242F"/>
    <w:rsid w:val="36B75FBF"/>
    <w:rsid w:val="36BC193A"/>
    <w:rsid w:val="36BD0C45"/>
    <w:rsid w:val="36C35881"/>
    <w:rsid w:val="36E27034"/>
    <w:rsid w:val="370F3855"/>
    <w:rsid w:val="372E6E1A"/>
    <w:rsid w:val="3736112E"/>
    <w:rsid w:val="37411FAD"/>
    <w:rsid w:val="374478EB"/>
    <w:rsid w:val="37475806"/>
    <w:rsid w:val="375C0B95"/>
    <w:rsid w:val="376C73CA"/>
    <w:rsid w:val="37702892"/>
    <w:rsid w:val="37706DE5"/>
    <w:rsid w:val="37805B4B"/>
    <w:rsid w:val="37A12A4B"/>
    <w:rsid w:val="37BF7375"/>
    <w:rsid w:val="37D20507"/>
    <w:rsid w:val="37E00298"/>
    <w:rsid w:val="37E42938"/>
    <w:rsid w:val="37F0752F"/>
    <w:rsid w:val="380342BB"/>
    <w:rsid w:val="381B6DB3"/>
    <w:rsid w:val="383C34DE"/>
    <w:rsid w:val="383F0A8C"/>
    <w:rsid w:val="385007ED"/>
    <w:rsid w:val="386F1D3A"/>
    <w:rsid w:val="387C7014"/>
    <w:rsid w:val="38877D27"/>
    <w:rsid w:val="38881588"/>
    <w:rsid w:val="38960E58"/>
    <w:rsid w:val="38A54FA9"/>
    <w:rsid w:val="38B302F9"/>
    <w:rsid w:val="38BE6742"/>
    <w:rsid w:val="38C93665"/>
    <w:rsid w:val="38CA0D67"/>
    <w:rsid w:val="38F12CD3"/>
    <w:rsid w:val="38F94775"/>
    <w:rsid w:val="38FE732B"/>
    <w:rsid w:val="390019F4"/>
    <w:rsid w:val="391628B9"/>
    <w:rsid w:val="392329E5"/>
    <w:rsid w:val="392971ED"/>
    <w:rsid w:val="39325651"/>
    <w:rsid w:val="39333B77"/>
    <w:rsid w:val="39812B34"/>
    <w:rsid w:val="39900922"/>
    <w:rsid w:val="399832B2"/>
    <w:rsid w:val="39A55AE7"/>
    <w:rsid w:val="39B8474B"/>
    <w:rsid w:val="39BB1246"/>
    <w:rsid w:val="39C20A75"/>
    <w:rsid w:val="39CD5FFB"/>
    <w:rsid w:val="3A007FE7"/>
    <w:rsid w:val="3A2833D9"/>
    <w:rsid w:val="3A384C4B"/>
    <w:rsid w:val="3A3A1EC9"/>
    <w:rsid w:val="3A566FAA"/>
    <w:rsid w:val="3A640AF2"/>
    <w:rsid w:val="3A740D82"/>
    <w:rsid w:val="3A7A1D02"/>
    <w:rsid w:val="3A7C154E"/>
    <w:rsid w:val="3A856531"/>
    <w:rsid w:val="3A872856"/>
    <w:rsid w:val="3A951E4A"/>
    <w:rsid w:val="3A9629E0"/>
    <w:rsid w:val="3A9A27F5"/>
    <w:rsid w:val="3AB8487D"/>
    <w:rsid w:val="3ACD0182"/>
    <w:rsid w:val="3AEA6C56"/>
    <w:rsid w:val="3AED318F"/>
    <w:rsid w:val="3B046343"/>
    <w:rsid w:val="3B2331D6"/>
    <w:rsid w:val="3B280FEC"/>
    <w:rsid w:val="3B2D7096"/>
    <w:rsid w:val="3B3763D1"/>
    <w:rsid w:val="3B4C6FCC"/>
    <w:rsid w:val="3B5F1048"/>
    <w:rsid w:val="3B67444A"/>
    <w:rsid w:val="3B7622A2"/>
    <w:rsid w:val="3B82563E"/>
    <w:rsid w:val="3BBB5E21"/>
    <w:rsid w:val="3BBD597A"/>
    <w:rsid w:val="3BC70C62"/>
    <w:rsid w:val="3BCD69C6"/>
    <w:rsid w:val="3BCF2A05"/>
    <w:rsid w:val="3BD159C6"/>
    <w:rsid w:val="3BF05D4F"/>
    <w:rsid w:val="3BF176A1"/>
    <w:rsid w:val="3BF75330"/>
    <w:rsid w:val="3C027C25"/>
    <w:rsid w:val="3C2F6E1E"/>
    <w:rsid w:val="3C3744B2"/>
    <w:rsid w:val="3C3C2D43"/>
    <w:rsid w:val="3C456307"/>
    <w:rsid w:val="3C4578E4"/>
    <w:rsid w:val="3C491352"/>
    <w:rsid w:val="3C4D182B"/>
    <w:rsid w:val="3C4F64BA"/>
    <w:rsid w:val="3C5C5E44"/>
    <w:rsid w:val="3C6D114E"/>
    <w:rsid w:val="3C756255"/>
    <w:rsid w:val="3C9C0F26"/>
    <w:rsid w:val="3C9E6007"/>
    <w:rsid w:val="3CA001E9"/>
    <w:rsid w:val="3CC33464"/>
    <w:rsid w:val="3CCB3B37"/>
    <w:rsid w:val="3CD04CDC"/>
    <w:rsid w:val="3CDA245A"/>
    <w:rsid w:val="3CF87782"/>
    <w:rsid w:val="3CFB2BFE"/>
    <w:rsid w:val="3D0C03B4"/>
    <w:rsid w:val="3D1E06B7"/>
    <w:rsid w:val="3D303D9E"/>
    <w:rsid w:val="3D346110"/>
    <w:rsid w:val="3D360C29"/>
    <w:rsid w:val="3D3D4D24"/>
    <w:rsid w:val="3D3E46EB"/>
    <w:rsid w:val="3D406863"/>
    <w:rsid w:val="3D4323F8"/>
    <w:rsid w:val="3D4943FD"/>
    <w:rsid w:val="3D5E4535"/>
    <w:rsid w:val="3D6F38AC"/>
    <w:rsid w:val="3D8276DD"/>
    <w:rsid w:val="3D8472C7"/>
    <w:rsid w:val="3D8B235E"/>
    <w:rsid w:val="3D960162"/>
    <w:rsid w:val="3D9A7B26"/>
    <w:rsid w:val="3D9F3CDC"/>
    <w:rsid w:val="3DA107AF"/>
    <w:rsid w:val="3DBA54A7"/>
    <w:rsid w:val="3DDD67A7"/>
    <w:rsid w:val="3DDF084A"/>
    <w:rsid w:val="3DDF7E2A"/>
    <w:rsid w:val="3DED7C3A"/>
    <w:rsid w:val="3E022B3A"/>
    <w:rsid w:val="3E281786"/>
    <w:rsid w:val="3E3C050B"/>
    <w:rsid w:val="3E47234F"/>
    <w:rsid w:val="3E782EE2"/>
    <w:rsid w:val="3EA572C5"/>
    <w:rsid w:val="3EC477E9"/>
    <w:rsid w:val="3ED104B0"/>
    <w:rsid w:val="3EDA0523"/>
    <w:rsid w:val="3EDC5CC4"/>
    <w:rsid w:val="3EF124B9"/>
    <w:rsid w:val="3F081884"/>
    <w:rsid w:val="3F190CFD"/>
    <w:rsid w:val="3F364B2D"/>
    <w:rsid w:val="3F3E1078"/>
    <w:rsid w:val="3F5016CA"/>
    <w:rsid w:val="3F5F0F5A"/>
    <w:rsid w:val="3F810D36"/>
    <w:rsid w:val="3F9154BE"/>
    <w:rsid w:val="3FA859D5"/>
    <w:rsid w:val="3FAD4DF1"/>
    <w:rsid w:val="3FE61943"/>
    <w:rsid w:val="3FEC2CD2"/>
    <w:rsid w:val="3FFA719D"/>
    <w:rsid w:val="40033813"/>
    <w:rsid w:val="40416FDA"/>
    <w:rsid w:val="40426772"/>
    <w:rsid w:val="407A6407"/>
    <w:rsid w:val="407B1DF1"/>
    <w:rsid w:val="407E1B94"/>
    <w:rsid w:val="40A34826"/>
    <w:rsid w:val="40AF61D9"/>
    <w:rsid w:val="40BE02F1"/>
    <w:rsid w:val="40C76B6F"/>
    <w:rsid w:val="40CA0044"/>
    <w:rsid w:val="40D07EFD"/>
    <w:rsid w:val="40F177D1"/>
    <w:rsid w:val="411A565E"/>
    <w:rsid w:val="412D5573"/>
    <w:rsid w:val="41412BA9"/>
    <w:rsid w:val="41494290"/>
    <w:rsid w:val="414F0163"/>
    <w:rsid w:val="41547687"/>
    <w:rsid w:val="416D2F03"/>
    <w:rsid w:val="417B430D"/>
    <w:rsid w:val="418A25DB"/>
    <w:rsid w:val="41AC2719"/>
    <w:rsid w:val="41C93DAC"/>
    <w:rsid w:val="4200449D"/>
    <w:rsid w:val="420936C7"/>
    <w:rsid w:val="42153698"/>
    <w:rsid w:val="423879B0"/>
    <w:rsid w:val="423A3BCC"/>
    <w:rsid w:val="4241422E"/>
    <w:rsid w:val="424D616C"/>
    <w:rsid w:val="424E57D2"/>
    <w:rsid w:val="42634BF3"/>
    <w:rsid w:val="426C5164"/>
    <w:rsid w:val="428A3DC6"/>
    <w:rsid w:val="42A61A61"/>
    <w:rsid w:val="42B26C49"/>
    <w:rsid w:val="42B31885"/>
    <w:rsid w:val="42BC05C8"/>
    <w:rsid w:val="42D42037"/>
    <w:rsid w:val="42F8340E"/>
    <w:rsid w:val="430B217C"/>
    <w:rsid w:val="431864E9"/>
    <w:rsid w:val="43257BDB"/>
    <w:rsid w:val="432C158F"/>
    <w:rsid w:val="432F64BB"/>
    <w:rsid w:val="43321D58"/>
    <w:rsid w:val="433A6FE6"/>
    <w:rsid w:val="43480868"/>
    <w:rsid w:val="4350713C"/>
    <w:rsid w:val="436541E4"/>
    <w:rsid w:val="436653E0"/>
    <w:rsid w:val="43AD3A73"/>
    <w:rsid w:val="43AD4526"/>
    <w:rsid w:val="43B334E4"/>
    <w:rsid w:val="43BC7A54"/>
    <w:rsid w:val="43C4431A"/>
    <w:rsid w:val="43C815CD"/>
    <w:rsid w:val="43C875B2"/>
    <w:rsid w:val="43D816F7"/>
    <w:rsid w:val="43E443EC"/>
    <w:rsid w:val="44184F2E"/>
    <w:rsid w:val="441A7BFD"/>
    <w:rsid w:val="441B44B6"/>
    <w:rsid w:val="446B0669"/>
    <w:rsid w:val="446C43E1"/>
    <w:rsid w:val="44750B95"/>
    <w:rsid w:val="4494139D"/>
    <w:rsid w:val="44B87626"/>
    <w:rsid w:val="44B951CC"/>
    <w:rsid w:val="44BA09DD"/>
    <w:rsid w:val="44BC0B25"/>
    <w:rsid w:val="44CA637F"/>
    <w:rsid w:val="44CD14E0"/>
    <w:rsid w:val="44ED5522"/>
    <w:rsid w:val="44F20B0B"/>
    <w:rsid w:val="44F3240C"/>
    <w:rsid w:val="44FE772F"/>
    <w:rsid w:val="45074AB4"/>
    <w:rsid w:val="45091A97"/>
    <w:rsid w:val="45284796"/>
    <w:rsid w:val="452E5F4C"/>
    <w:rsid w:val="454448F9"/>
    <w:rsid w:val="45444C75"/>
    <w:rsid w:val="4550336E"/>
    <w:rsid w:val="455F003D"/>
    <w:rsid w:val="45600C15"/>
    <w:rsid w:val="45612018"/>
    <w:rsid w:val="45725FE8"/>
    <w:rsid w:val="457E3860"/>
    <w:rsid w:val="458946E9"/>
    <w:rsid w:val="45A47C0E"/>
    <w:rsid w:val="45A80CC7"/>
    <w:rsid w:val="45D870F5"/>
    <w:rsid w:val="45E50371"/>
    <w:rsid w:val="461A60A7"/>
    <w:rsid w:val="4631143E"/>
    <w:rsid w:val="46380A1F"/>
    <w:rsid w:val="463B5898"/>
    <w:rsid w:val="46577FD6"/>
    <w:rsid w:val="46654BE9"/>
    <w:rsid w:val="4691783B"/>
    <w:rsid w:val="46A54D8A"/>
    <w:rsid w:val="46B3055E"/>
    <w:rsid w:val="46BE07FF"/>
    <w:rsid w:val="46D955A7"/>
    <w:rsid w:val="46E6047B"/>
    <w:rsid w:val="470F350F"/>
    <w:rsid w:val="47133957"/>
    <w:rsid w:val="47150D60"/>
    <w:rsid w:val="4730173F"/>
    <w:rsid w:val="47394A4E"/>
    <w:rsid w:val="47427186"/>
    <w:rsid w:val="47645915"/>
    <w:rsid w:val="479559FD"/>
    <w:rsid w:val="479A1EF4"/>
    <w:rsid w:val="479A2D53"/>
    <w:rsid w:val="479E0D55"/>
    <w:rsid w:val="47A07E0C"/>
    <w:rsid w:val="47BA1C44"/>
    <w:rsid w:val="47E0210B"/>
    <w:rsid w:val="47F04433"/>
    <w:rsid w:val="480E5EDB"/>
    <w:rsid w:val="481334F1"/>
    <w:rsid w:val="481903DC"/>
    <w:rsid w:val="481D24C0"/>
    <w:rsid w:val="48287F59"/>
    <w:rsid w:val="482E1968"/>
    <w:rsid w:val="4843703D"/>
    <w:rsid w:val="4870272E"/>
    <w:rsid w:val="48774F00"/>
    <w:rsid w:val="487B1097"/>
    <w:rsid w:val="48B26AF2"/>
    <w:rsid w:val="48B30830"/>
    <w:rsid w:val="48CC4BDA"/>
    <w:rsid w:val="48D44069"/>
    <w:rsid w:val="48D83DF3"/>
    <w:rsid w:val="49073975"/>
    <w:rsid w:val="49081BC8"/>
    <w:rsid w:val="49223B66"/>
    <w:rsid w:val="492472E2"/>
    <w:rsid w:val="49493B1F"/>
    <w:rsid w:val="49624E28"/>
    <w:rsid w:val="496D6C31"/>
    <w:rsid w:val="499C12C5"/>
    <w:rsid w:val="49A14B2D"/>
    <w:rsid w:val="49A53795"/>
    <w:rsid w:val="49B13FBD"/>
    <w:rsid w:val="49CA4084"/>
    <w:rsid w:val="49CE728F"/>
    <w:rsid w:val="49DC7715"/>
    <w:rsid w:val="49DE368B"/>
    <w:rsid w:val="49E240DF"/>
    <w:rsid w:val="49E40946"/>
    <w:rsid w:val="49F466D9"/>
    <w:rsid w:val="4A023139"/>
    <w:rsid w:val="4A0A4480"/>
    <w:rsid w:val="4A17094B"/>
    <w:rsid w:val="4A377195"/>
    <w:rsid w:val="4A430BEE"/>
    <w:rsid w:val="4A45552A"/>
    <w:rsid w:val="4A4B7590"/>
    <w:rsid w:val="4A5B2F2E"/>
    <w:rsid w:val="4A712751"/>
    <w:rsid w:val="4A7B576F"/>
    <w:rsid w:val="4AA6260C"/>
    <w:rsid w:val="4AD64380"/>
    <w:rsid w:val="4AD972BD"/>
    <w:rsid w:val="4AE70861"/>
    <w:rsid w:val="4AEF6D9B"/>
    <w:rsid w:val="4AF31AE4"/>
    <w:rsid w:val="4AF561A9"/>
    <w:rsid w:val="4B0C247A"/>
    <w:rsid w:val="4B1D79F5"/>
    <w:rsid w:val="4B43499A"/>
    <w:rsid w:val="4B466488"/>
    <w:rsid w:val="4B51567F"/>
    <w:rsid w:val="4B574C96"/>
    <w:rsid w:val="4B660D1C"/>
    <w:rsid w:val="4B694536"/>
    <w:rsid w:val="4B7E59DB"/>
    <w:rsid w:val="4B8B662A"/>
    <w:rsid w:val="4BA44460"/>
    <w:rsid w:val="4BA45F7F"/>
    <w:rsid w:val="4BB548C0"/>
    <w:rsid w:val="4BC028BC"/>
    <w:rsid w:val="4BCB0290"/>
    <w:rsid w:val="4BD00319"/>
    <w:rsid w:val="4BE5516A"/>
    <w:rsid w:val="4BEC7B31"/>
    <w:rsid w:val="4C0B177B"/>
    <w:rsid w:val="4C120BAA"/>
    <w:rsid w:val="4C4A0649"/>
    <w:rsid w:val="4C752929"/>
    <w:rsid w:val="4C7E5ECA"/>
    <w:rsid w:val="4C835872"/>
    <w:rsid w:val="4C876AA5"/>
    <w:rsid w:val="4C8F7976"/>
    <w:rsid w:val="4C92048F"/>
    <w:rsid w:val="4CA31372"/>
    <w:rsid w:val="4CC445E2"/>
    <w:rsid w:val="4CC938E8"/>
    <w:rsid w:val="4CEF795D"/>
    <w:rsid w:val="4CFD5717"/>
    <w:rsid w:val="4D0325B9"/>
    <w:rsid w:val="4D0E00FB"/>
    <w:rsid w:val="4D176606"/>
    <w:rsid w:val="4D39645A"/>
    <w:rsid w:val="4D3F08E5"/>
    <w:rsid w:val="4D4B4AC1"/>
    <w:rsid w:val="4D4B5B7F"/>
    <w:rsid w:val="4D5013B9"/>
    <w:rsid w:val="4D5634EF"/>
    <w:rsid w:val="4D665BC0"/>
    <w:rsid w:val="4D716537"/>
    <w:rsid w:val="4D734321"/>
    <w:rsid w:val="4D994744"/>
    <w:rsid w:val="4DA71B77"/>
    <w:rsid w:val="4DA7544C"/>
    <w:rsid w:val="4DB34E2F"/>
    <w:rsid w:val="4DEC4FB0"/>
    <w:rsid w:val="4DF7145B"/>
    <w:rsid w:val="4E075D8A"/>
    <w:rsid w:val="4E271E9C"/>
    <w:rsid w:val="4E2900AD"/>
    <w:rsid w:val="4E3F2675"/>
    <w:rsid w:val="4E434405"/>
    <w:rsid w:val="4E586CE1"/>
    <w:rsid w:val="4E68491E"/>
    <w:rsid w:val="4E720846"/>
    <w:rsid w:val="4E8F764A"/>
    <w:rsid w:val="4EAC1FAA"/>
    <w:rsid w:val="4EC00FAD"/>
    <w:rsid w:val="4ECC264C"/>
    <w:rsid w:val="4F075432"/>
    <w:rsid w:val="4F0A1018"/>
    <w:rsid w:val="4F1142B4"/>
    <w:rsid w:val="4F2D295F"/>
    <w:rsid w:val="4F49194D"/>
    <w:rsid w:val="4F531C6E"/>
    <w:rsid w:val="4F563CC4"/>
    <w:rsid w:val="4F6D2F9A"/>
    <w:rsid w:val="4F702FD7"/>
    <w:rsid w:val="4F775BE0"/>
    <w:rsid w:val="4F827998"/>
    <w:rsid w:val="4F953BF4"/>
    <w:rsid w:val="4F9843DC"/>
    <w:rsid w:val="4F9A310B"/>
    <w:rsid w:val="4FC62A8C"/>
    <w:rsid w:val="4FCB31FF"/>
    <w:rsid w:val="4FD5382D"/>
    <w:rsid w:val="4FDA66A3"/>
    <w:rsid w:val="4FDC78A4"/>
    <w:rsid w:val="4FE20F0D"/>
    <w:rsid w:val="4FE51552"/>
    <w:rsid w:val="4FF66D6F"/>
    <w:rsid w:val="500E15CE"/>
    <w:rsid w:val="502C7299"/>
    <w:rsid w:val="504215C6"/>
    <w:rsid w:val="504E45C8"/>
    <w:rsid w:val="50504C4B"/>
    <w:rsid w:val="506D7517"/>
    <w:rsid w:val="508E2F3A"/>
    <w:rsid w:val="50947199"/>
    <w:rsid w:val="509C6E7C"/>
    <w:rsid w:val="50AC48AE"/>
    <w:rsid w:val="50AE66B2"/>
    <w:rsid w:val="50B24039"/>
    <w:rsid w:val="50B87AF1"/>
    <w:rsid w:val="50BB2D72"/>
    <w:rsid w:val="50BD0EAB"/>
    <w:rsid w:val="50C3182D"/>
    <w:rsid w:val="50C45D0E"/>
    <w:rsid w:val="50D056A8"/>
    <w:rsid w:val="510803CA"/>
    <w:rsid w:val="51142088"/>
    <w:rsid w:val="512E314A"/>
    <w:rsid w:val="51370A4D"/>
    <w:rsid w:val="514A7692"/>
    <w:rsid w:val="5162104E"/>
    <w:rsid w:val="51937291"/>
    <w:rsid w:val="51954F77"/>
    <w:rsid w:val="519F42C1"/>
    <w:rsid w:val="51ED295F"/>
    <w:rsid w:val="51F16065"/>
    <w:rsid w:val="52072044"/>
    <w:rsid w:val="521C7446"/>
    <w:rsid w:val="52204129"/>
    <w:rsid w:val="523C7415"/>
    <w:rsid w:val="52434EA8"/>
    <w:rsid w:val="52572E01"/>
    <w:rsid w:val="52756B57"/>
    <w:rsid w:val="529736E2"/>
    <w:rsid w:val="529B5F0C"/>
    <w:rsid w:val="52AC2690"/>
    <w:rsid w:val="52DE64AA"/>
    <w:rsid w:val="52E3635F"/>
    <w:rsid w:val="52F24FB3"/>
    <w:rsid w:val="52FC4694"/>
    <w:rsid w:val="53062D84"/>
    <w:rsid w:val="53083AF8"/>
    <w:rsid w:val="53222C01"/>
    <w:rsid w:val="53230361"/>
    <w:rsid w:val="5339534A"/>
    <w:rsid w:val="533E2B0B"/>
    <w:rsid w:val="5345477B"/>
    <w:rsid w:val="535A6478"/>
    <w:rsid w:val="537A1119"/>
    <w:rsid w:val="537A61AC"/>
    <w:rsid w:val="539820DA"/>
    <w:rsid w:val="539B130F"/>
    <w:rsid w:val="53A0217F"/>
    <w:rsid w:val="53A039CC"/>
    <w:rsid w:val="53A1505A"/>
    <w:rsid w:val="53A5355D"/>
    <w:rsid w:val="53C32625"/>
    <w:rsid w:val="53C35BF7"/>
    <w:rsid w:val="53CE2327"/>
    <w:rsid w:val="53D33B35"/>
    <w:rsid w:val="53E64FFD"/>
    <w:rsid w:val="53E74DA5"/>
    <w:rsid w:val="53EA6BCF"/>
    <w:rsid w:val="53F820A0"/>
    <w:rsid w:val="54063E08"/>
    <w:rsid w:val="540939FA"/>
    <w:rsid w:val="540B2BA0"/>
    <w:rsid w:val="54107BDD"/>
    <w:rsid w:val="541C1980"/>
    <w:rsid w:val="542D593B"/>
    <w:rsid w:val="543437E8"/>
    <w:rsid w:val="54440686"/>
    <w:rsid w:val="54560EE2"/>
    <w:rsid w:val="545F65B9"/>
    <w:rsid w:val="548C1797"/>
    <w:rsid w:val="548D39D5"/>
    <w:rsid w:val="54B773D8"/>
    <w:rsid w:val="54D062C6"/>
    <w:rsid w:val="54F247A3"/>
    <w:rsid w:val="54F73313"/>
    <w:rsid w:val="54F80955"/>
    <w:rsid w:val="54F975CB"/>
    <w:rsid w:val="54FE437A"/>
    <w:rsid w:val="55222FC6"/>
    <w:rsid w:val="554C1E81"/>
    <w:rsid w:val="554C27F2"/>
    <w:rsid w:val="555170A7"/>
    <w:rsid w:val="55541CB9"/>
    <w:rsid w:val="55645B6B"/>
    <w:rsid w:val="5566372A"/>
    <w:rsid w:val="556F5ADF"/>
    <w:rsid w:val="5587536D"/>
    <w:rsid w:val="558E436B"/>
    <w:rsid w:val="559B174B"/>
    <w:rsid w:val="559D089E"/>
    <w:rsid w:val="55A455DA"/>
    <w:rsid w:val="55AF1344"/>
    <w:rsid w:val="55CE0CF4"/>
    <w:rsid w:val="55DF0FD3"/>
    <w:rsid w:val="55E34CE0"/>
    <w:rsid w:val="55F67590"/>
    <w:rsid w:val="55F71479"/>
    <w:rsid w:val="55FF53A7"/>
    <w:rsid w:val="56047940"/>
    <w:rsid w:val="560E1420"/>
    <w:rsid w:val="56361EB2"/>
    <w:rsid w:val="563F3703"/>
    <w:rsid w:val="56446F6C"/>
    <w:rsid w:val="56677356"/>
    <w:rsid w:val="566E141A"/>
    <w:rsid w:val="567D7917"/>
    <w:rsid w:val="56B22A9C"/>
    <w:rsid w:val="56B37C4E"/>
    <w:rsid w:val="56BA6EAA"/>
    <w:rsid w:val="56C45D0E"/>
    <w:rsid w:val="56C8194B"/>
    <w:rsid w:val="56CF4B6D"/>
    <w:rsid w:val="56D23B80"/>
    <w:rsid w:val="56DD6C8E"/>
    <w:rsid w:val="56DF25EB"/>
    <w:rsid w:val="56F8252A"/>
    <w:rsid w:val="57081D47"/>
    <w:rsid w:val="57110AC7"/>
    <w:rsid w:val="57153621"/>
    <w:rsid w:val="571701DC"/>
    <w:rsid w:val="571E7ECD"/>
    <w:rsid w:val="57203DF1"/>
    <w:rsid w:val="57220F27"/>
    <w:rsid w:val="575703CF"/>
    <w:rsid w:val="5761791D"/>
    <w:rsid w:val="578147B5"/>
    <w:rsid w:val="57996D2A"/>
    <w:rsid w:val="57A1145A"/>
    <w:rsid w:val="57B72A76"/>
    <w:rsid w:val="57B95DA0"/>
    <w:rsid w:val="57C3426C"/>
    <w:rsid w:val="57CC546B"/>
    <w:rsid w:val="57CE1F93"/>
    <w:rsid w:val="57E427B4"/>
    <w:rsid w:val="57EE0F54"/>
    <w:rsid w:val="57EF720D"/>
    <w:rsid w:val="57F571F1"/>
    <w:rsid w:val="57FD7AB2"/>
    <w:rsid w:val="580309D4"/>
    <w:rsid w:val="58093FC9"/>
    <w:rsid w:val="580E5D24"/>
    <w:rsid w:val="580F7106"/>
    <w:rsid w:val="58431BDF"/>
    <w:rsid w:val="584A21AC"/>
    <w:rsid w:val="58564D34"/>
    <w:rsid w:val="585B71BE"/>
    <w:rsid w:val="585C0D36"/>
    <w:rsid w:val="586C27AA"/>
    <w:rsid w:val="588743D1"/>
    <w:rsid w:val="5887701A"/>
    <w:rsid w:val="588F1C04"/>
    <w:rsid w:val="58B8154B"/>
    <w:rsid w:val="58C44394"/>
    <w:rsid w:val="58D33777"/>
    <w:rsid w:val="58DB18E9"/>
    <w:rsid w:val="58E73CAE"/>
    <w:rsid w:val="58F67150"/>
    <w:rsid w:val="590B3D71"/>
    <w:rsid w:val="59267244"/>
    <w:rsid w:val="59275E6A"/>
    <w:rsid w:val="593E730A"/>
    <w:rsid w:val="595B5339"/>
    <w:rsid w:val="59682F71"/>
    <w:rsid w:val="59860DCF"/>
    <w:rsid w:val="59973856"/>
    <w:rsid w:val="599B2CB4"/>
    <w:rsid w:val="59A855C0"/>
    <w:rsid w:val="59C0439F"/>
    <w:rsid w:val="59C24216"/>
    <w:rsid w:val="59DC483D"/>
    <w:rsid w:val="59E50BDF"/>
    <w:rsid w:val="5A01099E"/>
    <w:rsid w:val="5A0C331A"/>
    <w:rsid w:val="5A1307F4"/>
    <w:rsid w:val="5A1418BA"/>
    <w:rsid w:val="5A185DF7"/>
    <w:rsid w:val="5A3D7F5A"/>
    <w:rsid w:val="5A531294"/>
    <w:rsid w:val="5A6574B1"/>
    <w:rsid w:val="5A687E65"/>
    <w:rsid w:val="5A8F2D11"/>
    <w:rsid w:val="5AA72D10"/>
    <w:rsid w:val="5ABE2233"/>
    <w:rsid w:val="5B1255E9"/>
    <w:rsid w:val="5B1643AA"/>
    <w:rsid w:val="5B427AB8"/>
    <w:rsid w:val="5B4C6084"/>
    <w:rsid w:val="5B540576"/>
    <w:rsid w:val="5B7F5F85"/>
    <w:rsid w:val="5B910088"/>
    <w:rsid w:val="5B927A9B"/>
    <w:rsid w:val="5B9354CF"/>
    <w:rsid w:val="5BB8303C"/>
    <w:rsid w:val="5BB95D06"/>
    <w:rsid w:val="5BCC5A39"/>
    <w:rsid w:val="5BDF5D95"/>
    <w:rsid w:val="5BE16F4E"/>
    <w:rsid w:val="5BFE7528"/>
    <w:rsid w:val="5C121CA4"/>
    <w:rsid w:val="5C3A0FD9"/>
    <w:rsid w:val="5C607D77"/>
    <w:rsid w:val="5C695F45"/>
    <w:rsid w:val="5C7F2AAC"/>
    <w:rsid w:val="5C9222F7"/>
    <w:rsid w:val="5CD01559"/>
    <w:rsid w:val="5CF91B34"/>
    <w:rsid w:val="5D170190"/>
    <w:rsid w:val="5D2C42B6"/>
    <w:rsid w:val="5D4B519D"/>
    <w:rsid w:val="5D4C3CAC"/>
    <w:rsid w:val="5D5340D1"/>
    <w:rsid w:val="5D7B5F87"/>
    <w:rsid w:val="5DA052A8"/>
    <w:rsid w:val="5DC170D8"/>
    <w:rsid w:val="5DC351D7"/>
    <w:rsid w:val="5DC70D7B"/>
    <w:rsid w:val="5DEC1EC5"/>
    <w:rsid w:val="5DF106FD"/>
    <w:rsid w:val="5E1A2810"/>
    <w:rsid w:val="5E2467F1"/>
    <w:rsid w:val="5E2733FB"/>
    <w:rsid w:val="5E2C0A11"/>
    <w:rsid w:val="5E5464D1"/>
    <w:rsid w:val="5E547F68"/>
    <w:rsid w:val="5E6379D2"/>
    <w:rsid w:val="5E6C1632"/>
    <w:rsid w:val="5E81663B"/>
    <w:rsid w:val="5E9640DD"/>
    <w:rsid w:val="5E9820AA"/>
    <w:rsid w:val="5E9A0F1F"/>
    <w:rsid w:val="5EAF3EDC"/>
    <w:rsid w:val="5ECA0081"/>
    <w:rsid w:val="5ED20696"/>
    <w:rsid w:val="5EE404C5"/>
    <w:rsid w:val="5EEE7935"/>
    <w:rsid w:val="5F1A2B43"/>
    <w:rsid w:val="5F6460BD"/>
    <w:rsid w:val="5F766A05"/>
    <w:rsid w:val="5F7A57AC"/>
    <w:rsid w:val="5F7F3BB2"/>
    <w:rsid w:val="5FAD3CA9"/>
    <w:rsid w:val="5FB34D06"/>
    <w:rsid w:val="5FB837BB"/>
    <w:rsid w:val="5FC811E3"/>
    <w:rsid w:val="5FD45995"/>
    <w:rsid w:val="5FDB426F"/>
    <w:rsid w:val="5FDD67FB"/>
    <w:rsid w:val="5FFC4F4D"/>
    <w:rsid w:val="60084844"/>
    <w:rsid w:val="600B417B"/>
    <w:rsid w:val="6030455F"/>
    <w:rsid w:val="60575AEE"/>
    <w:rsid w:val="60822822"/>
    <w:rsid w:val="60824520"/>
    <w:rsid w:val="60B373D2"/>
    <w:rsid w:val="60C72C73"/>
    <w:rsid w:val="60CC405A"/>
    <w:rsid w:val="60D5627E"/>
    <w:rsid w:val="60DE5FC9"/>
    <w:rsid w:val="610C5C38"/>
    <w:rsid w:val="611934A3"/>
    <w:rsid w:val="612E02B4"/>
    <w:rsid w:val="61457D09"/>
    <w:rsid w:val="615B502A"/>
    <w:rsid w:val="61646714"/>
    <w:rsid w:val="61664059"/>
    <w:rsid w:val="619A0242"/>
    <w:rsid w:val="61E215D8"/>
    <w:rsid w:val="61E86D77"/>
    <w:rsid w:val="620500A2"/>
    <w:rsid w:val="621B3775"/>
    <w:rsid w:val="621D6518"/>
    <w:rsid w:val="623427DD"/>
    <w:rsid w:val="62364782"/>
    <w:rsid w:val="62405052"/>
    <w:rsid w:val="62634C1E"/>
    <w:rsid w:val="62652744"/>
    <w:rsid w:val="6269042F"/>
    <w:rsid w:val="626B044A"/>
    <w:rsid w:val="626F44BC"/>
    <w:rsid w:val="627653B1"/>
    <w:rsid w:val="627D7A8D"/>
    <w:rsid w:val="62946B85"/>
    <w:rsid w:val="629D0C87"/>
    <w:rsid w:val="62B466B2"/>
    <w:rsid w:val="62B56875"/>
    <w:rsid w:val="62C34DCE"/>
    <w:rsid w:val="62C4299B"/>
    <w:rsid w:val="62C652A8"/>
    <w:rsid w:val="62F40460"/>
    <w:rsid w:val="62F85366"/>
    <w:rsid w:val="630261E5"/>
    <w:rsid w:val="63043978"/>
    <w:rsid w:val="63464323"/>
    <w:rsid w:val="636F3123"/>
    <w:rsid w:val="636F60A0"/>
    <w:rsid w:val="63731C84"/>
    <w:rsid w:val="63745A5D"/>
    <w:rsid w:val="6375355B"/>
    <w:rsid w:val="637B1AF3"/>
    <w:rsid w:val="6394356A"/>
    <w:rsid w:val="639F1C85"/>
    <w:rsid w:val="63A64DC2"/>
    <w:rsid w:val="63C45248"/>
    <w:rsid w:val="63C61B2C"/>
    <w:rsid w:val="63CE4F5B"/>
    <w:rsid w:val="63D00091"/>
    <w:rsid w:val="63D40BE9"/>
    <w:rsid w:val="63D83B02"/>
    <w:rsid w:val="64032214"/>
    <w:rsid w:val="64102431"/>
    <w:rsid w:val="64137808"/>
    <w:rsid w:val="642F6A04"/>
    <w:rsid w:val="64310900"/>
    <w:rsid w:val="643F0D73"/>
    <w:rsid w:val="64790728"/>
    <w:rsid w:val="64A5243A"/>
    <w:rsid w:val="64B54EEE"/>
    <w:rsid w:val="64B5748D"/>
    <w:rsid w:val="64BC3F71"/>
    <w:rsid w:val="64BD0615"/>
    <w:rsid w:val="64C73242"/>
    <w:rsid w:val="64D74D80"/>
    <w:rsid w:val="64F531DE"/>
    <w:rsid w:val="64FD355D"/>
    <w:rsid w:val="65000502"/>
    <w:rsid w:val="65164DA3"/>
    <w:rsid w:val="651E6BDA"/>
    <w:rsid w:val="6520099E"/>
    <w:rsid w:val="6521103C"/>
    <w:rsid w:val="65320BF9"/>
    <w:rsid w:val="65373578"/>
    <w:rsid w:val="653A1A32"/>
    <w:rsid w:val="654A3AC4"/>
    <w:rsid w:val="65516EAF"/>
    <w:rsid w:val="656004FE"/>
    <w:rsid w:val="657412F6"/>
    <w:rsid w:val="658622D4"/>
    <w:rsid w:val="659429BB"/>
    <w:rsid w:val="65B44E90"/>
    <w:rsid w:val="65B528A2"/>
    <w:rsid w:val="65B732B6"/>
    <w:rsid w:val="65C52709"/>
    <w:rsid w:val="65C77271"/>
    <w:rsid w:val="65DB5C3C"/>
    <w:rsid w:val="65DB5F99"/>
    <w:rsid w:val="65DE2D18"/>
    <w:rsid w:val="65EA793F"/>
    <w:rsid w:val="66284CDF"/>
    <w:rsid w:val="66507267"/>
    <w:rsid w:val="669076C5"/>
    <w:rsid w:val="66A56750"/>
    <w:rsid w:val="66C06FCD"/>
    <w:rsid w:val="66DB1226"/>
    <w:rsid w:val="671F124A"/>
    <w:rsid w:val="672A75CD"/>
    <w:rsid w:val="673D592A"/>
    <w:rsid w:val="674D4CE2"/>
    <w:rsid w:val="675863D3"/>
    <w:rsid w:val="67672ABA"/>
    <w:rsid w:val="676A5669"/>
    <w:rsid w:val="676F5D38"/>
    <w:rsid w:val="677A33C6"/>
    <w:rsid w:val="678D7A81"/>
    <w:rsid w:val="67AE78E8"/>
    <w:rsid w:val="67C03C15"/>
    <w:rsid w:val="67C938CC"/>
    <w:rsid w:val="67EE31DB"/>
    <w:rsid w:val="67F27593"/>
    <w:rsid w:val="680065E4"/>
    <w:rsid w:val="681607A1"/>
    <w:rsid w:val="68185DB0"/>
    <w:rsid w:val="681914B5"/>
    <w:rsid w:val="681F4998"/>
    <w:rsid w:val="681F6961"/>
    <w:rsid w:val="68395E88"/>
    <w:rsid w:val="684E77D6"/>
    <w:rsid w:val="68540B79"/>
    <w:rsid w:val="68610A2F"/>
    <w:rsid w:val="6874127F"/>
    <w:rsid w:val="68790CF7"/>
    <w:rsid w:val="687B7615"/>
    <w:rsid w:val="68805514"/>
    <w:rsid w:val="688425FF"/>
    <w:rsid w:val="6890266E"/>
    <w:rsid w:val="689065F0"/>
    <w:rsid w:val="689131FB"/>
    <w:rsid w:val="6894639E"/>
    <w:rsid w:val="68993147"/>
    <w:rsid w:val="689F476D"/>
    <w:rsid w:val="68B61B6A"/>
    <w:rsid w:val="68B7181F"/>
    <w:rsid w:val="68B7537B"/>
    <w:rsid w:val="68C50EA5"/>
    <w:rsid w:val="68DF4442"/>
    <w:rsid w:val="68F24605"/>
    <w:rsid w:val="68FB5BB0"/>
    <w:rsid w:val="68FF70FA"/>
    <w:rsid w:val="690E599F"/>
    <w:rsid w:val="691C1682"/>
    <w:rsid w:val="691C45A9"/>
    <w:rsid w:val="69227605"/>
    <w:rsid w:val="692C35D8"/>
    <w:rsid w:val="692D722A"/>
    <w:rsid w:val="69316E2F"/>
    <w:rsid w:val="694E2071"/>
    <w:rsid w:val="69540E1C"/>
    <w:rsid w:val="69756E62"/>
    <w:rsid w:val="69766163"/>
    <w:rsid w:val="697A3B33"/>
    <w:rsid w:val="69855479"/>
    <w:rsid w:val="699B797F"/>
    <w:rsid w:val="69B840B8"/>
    <w:rsid w:val="69BF2EBE"/>
    <w:rsid w:val="69D44760"/>
    <w:rsid w:val="69E05665"/>
    <w:rsid w:val="69FF2BD5"/>
    <w:rsid w:val="69FF30B1"/>
    <w:rsid w:val="6A065349"/>
    <w:rsid w:val="6A085950"/>
    <w:rsid w:val="6A0D08A4"/>
    <w:rsid w:val="6A1544D2"/>
    <w:rsid w:val="6A32497F"/>
    <w:rsid w:val="6A3273AF"/>
    <w:rsid w:val="6A3E383E"/>
    <w:rsid w:val="6A473901"/>
    <w:rsid w:val="6A520EC7"/>
    <w:rsid w:val="6A54232D"/>
    <w:rsid w:val="6A5E2983"/>
    <w:rsid w:val="6A6933DC"/>
    <w:rsid w:val="6A70612A"/>
    <w:rsid w:val="6A723C50"/>
    <w:rsid w:val="6A753740"/>
    <w:rsid w:val="6A965991"/>
    <w:rsid w:val="6AA81420"/>
    <w:rsid w:val="6AAA3B8D"/>
    <w:rsid w:val="6AAF1E18"/>
    <w:rsid w:val="6AC81117"/>
    <w:rsid w:val="6AED7525"/>
    <w:rsid w:val="6AF87E20"/>
    <w:rsid w:val="6B030D4C"/>
    <w:rsid w:val="6B096786"/>
    <w:rsid w:val="6B1C191C"/>
    <w:rsid w:val="6B317667"/>
    <w:rsid w:val="6B322639"/>
    <w:rsid w:val="6B5520AB"/>
    <w:rsid w:val="6B590F0D"/>
    <w:rsid w:val="6B7515DB"/>
    <w:rsid w:val="6B9D2739"/>
    <w:rsid w:val="6BDA3C8A"/>
    <w:rsid w:val="6BE83381"/>
    <w:rsid w:val="6BEE7306"/>
    <w:rsid w:val="6BF527C5"/>
    <w:rsid w:val="6BFF1C8E"/>
    <w:rsid w:val="6C0205C2"/>
    <w:rsid w:val="6C163DE7"/>
    <w:rsid w:val="6C36125E"/>
    <w:rsid w:val="6C430943"/>
    <w:rsid w:val="6C523D39"/>
    <w:rsid w:val="6C636C38"/>
    <w:rsid w:val="6C664D78"/>
    <w:rsid w:val="6C9067D9"/>
    <w:rsid w:val="6C96121B"/>
    <w:rsid w:val="6C9C2F2D"/>
    <w:rsid w:val="6CDA3D2E"/>
    <w:rsid w:val="6D1C03B5"/>
    <w:rsid w:val="6D1E3C1B"/>
    <w:rsid w:val="6D463172"/>
    <w:rsid w:val="6D5514CD"/>
    <w:rsid w:val="6D594C53"/>
    <w:rsid w:val="6D627650"/>
    <w:rsid w:val="6D6511DE"/>
    <w:rsid w:val="6D897EAC"/>
    <w:rsid w:val="6D937222"/>
    <w:rsid w:val="6D946709"/>
    <w:rsid w:val="6D98654F"/>
    <w:rsid w:val="6DAA54AF"/>
    <w:rsid w:val="6DB149D5"/>
    <w:rsid w:val="6DB34098"/>
    <w:rsid w:val="6DB46DDC"/>
    <w:rsid w:val="6DB545B6"/>
    <w:rsid w:val="6DB90BB2"/>
    <w:rsid w:val="6DC57696"/>
    <w:rsid w:val="6DCD4652"/>
    <w:rsid w:val="6DE02FB4"/>
    <w:rsid w:val="6DE04EB0"/>
    <w:rsid w:val="6E0B3564"/>
    <w:rsid w:val="6E1225E4"/>
    <w:rsid w:val="6E165A4B"/>
    <w:rsid w:val="6E231786"/>
    <w:rsid w:val="6E4869ED"/>
    <w:rsid w:val="6E514CED"/>
    <w:rsid w:val="6E65267E"/>
    <w:rsid w:val="6E6B40C0"/>
    <w:rsid w:val="6E747A0A"/>
    <w:rsid w:val="6EA840E4"/>
    <w:rsid w:val="6EAC2D6E"/>
    <w:rsid w:val="6EB563D5"/>
    <w:rsid w:val="6EBD7C19"/>
    <w:rsid w:val="6ED726F2"/>
    <w:rsid w:val="6ED92677"/>
    <w:rsid w:val="6ED96612"/>
    <w:rsid w:val="6EED53E4"/>
    <w:rsid w:val="6F13547A"/>
    <w:rsid w:val="6F15179D"/>
    <w:rsid w:val="6F1924CB"/>
    <w:rsid w:val="6F193156"/>
    <w:rsid w:val="6F225983"/>
    <w:rsid w:val="6F3F60CB"/>
    <w:rsid w:val="6F531860"/>
    <w:rsid w:val="6F7064D2"/>
    <w:rsid w:val="6FA355A6"/>
    <w:rsid w:val="6FA50623"/>
    <w:rsid w:val="6FE74798"/>
    <w:rsid w:val="6FF45EEC"/>
    <w:rsid w:val="6FFC5590"/>
    <w:rsid w:val="70010145"/>
    <w:rsid w:val="701B2DDB"/>
    <w:rsid w:val="704741CE"/>
    <w:rsid w:val="706D1DD0"/>
    <w:rsid w:val="70835B3B"/>
    <w:rsid w:val="70856B87"/>
    <w:rsid w:val="709F713D"/>
    <w:rsid w:val="70A42689"/>
    <w:rsid w:val="70AF7F0C"/>
    <w:rsid w:val="70B86135"/>
    <w:rsid w:val="70C65F6F"/>
    <w:rsid w:val="70D527EE"/>
    <w:rsid w:val="70D5673D"/>
    <w:rsid w:val="70E403A8"/>
    <w:rsid w:val="70E40D60"/>
    <w:rsid w:val="70F3716D"/>
    <w:rsid w:val="70F974D8"/>
    <w:rsid w:val="70FD7795"/>
    <w:rsid w:val="70FE1669"/>
    <w:rsid w:val="71082F8E"/>
    <w:rsid w:val="71227BB4"/>
    <w:rsid w:val="7127230C"/>
    <w:rsid w:val="715B5300"/>
    <w:rsid w:val="717D3DB8"/>
    <w:rsid w:val="71855FE6"/>
    <w:rsid w:val="71BB5EDC"/>
    <w:rsid w:val="71D27F8A"/>
    <w:rsid w:val="71EC7843"/>
    <w:rsid w:val="72052354"/>
    <w:rsid w:val="7208084A"/>
    <w:rsid w:val="721245BB"/>
    <w:rsid w:val="721455EC"/>
    <w:rsid w:val="721675B7"/>
    <w:rsid w:val="72273572"/>
    <w:rsid w:val="72274724"/>
    <w:rsid w:val="72277783"/>
    <w:rsid w:val="7242215A"/>
    <w:rsid w:val="724827BA"/>
    <w:rsid w:val="72553024"/>
    <w:rsid w:val="726F6CC7"/>
    <w:rsid w:val="727367B7"/>
    <w:rsid w:val="727B566C"/>
    <w:rsid w:val="72884E48"/>
    <w:rsid w:val="72BC307F"/>
    <w:rsid w:val="72D927B3"/>
    <w:rsid w:val="72DA27AA"/>
    <w:rsid w:val="72DF7360"/>
    <w:rsid w:val="72E7339E"/>
    <w:rsid w:val="72E80602"/>
    <w:rsid w:val="73025D8D"/>
    <w:rsid w:val="730649BD"/>
    <w:rsid w:val="730D09BA"/>
    <w:rsid w:val="73122968"/>
    <w:rsid w:val="731F5D5E"/>
    <w:rsid w:val="73217FC1"/>
    <w:rsid w:val="73602EA4"/>
    <w:rsid w:val="736C5A99"/>
    <w:rsid w:val="737606B6"/>
    <w:rsid w:val="73762837"/>
    <w:rsid w:val="73995543"/>
    <w:rsid w:val="73C0182D"/>
    <w:rsid w:val="73C51AD5"/>
    <w:rsid w:val="73C64AB6"/>
    <w:rsid w:val="73D958F8"/>
    <w:rsid w:val="741E793C"/>
    <w:rsid w:val="741E7F2C"/>
    <w:rsid w:val="7428032F"/>
    <w:rsid w:val="74335A6F"/>
    <w:rsid w:val="7439304F"/>
    <w:rsid w:val="745E3944"/>
    <w:rsid w:val="74670CC8"/>
    <w:rsid w:val="747113CD"/>
    <w:rsid w:val="74860C5A"/>
    <w:rsid w:val="74977172"/>
    <w:rsid w:val="74AD669F"/>
    <w:rsid w:val="74BC0805"/>
    <w:rsid w:val="74CD4CEA"/>
    <w:rsid w:val="74E3348F"/>
    <w:rsid w:val="75196443"/>
    <w:rsid w:val="751C1388"/>
    <w:rsid w:val="751C791C"/>
    <w:rsid w:val="751F6782"/>
    <w:rsid w:val="75275343"/>
    <w:rsid w:val="754E2022"/>
    <w:rsid w:val="757211AA"/>
    <w:rsid w:val="75814D68"/>
    <w:rsid w:val="7589009F"/>
    <w:rsid w:val="75B55338"/>
    <w:rsid w:val="75C65A3D"/>
    <w:rsid w:val="75C70F22"/>
    <w:rsid w:val="75DA4994"/>
    <w:rsid w:val="75F47C0F"/>
    <w:rsid w:val="76087AE2"/>
    <w:rsid w:val="76122E92"/>
    <w:rsid w:val="76210E85"/>
    <w:rsid w:val="76276A0E"/>
    <w:rsid w:val="7635099D"/>
    <w:rsid w:val="7638169F"/>
    <w:rsid w:val="763A49C9"/>
    <w:rsid w:val="764C17F9"/>
    <w:rsid w:val="76500BBD"/>
    <w:rsid w:val="76990A05"/>
    <w:rsid w:val="769F005B"/>
    <w:rsid w:val="76A72ED3"/>
    <w:rsid w:val="76AC2297"/>
    <w:rsid w:val="76BA6B8F"/>
    <w:rsid w:val="76D74F3C"/>
    <w:rsid w:val="76E97048"/>
    <w:rsid w:val="770902A3"/>
    <w:rsid w:val="771B741D"/>
    <w:rsid w:val="77216BD7"/>
    <w:rsid w:val="77277B70"/>
    <w:rsid w:val="77482DDB"/>
    <w:rsid w:val="776326AC"/>
    <w:rsid w:val="776F48CD"/>
    <w:rsid w:val="77757E28"/>
    <w:rsid w:val="77762421"/>
    <w:rsid w:val="778016A7"/>
    <w:rsid w:val="779C1D97"/>
    <w:rsid w:val="77B230C1"/>
    <w:rsid w:val="77B51620"/>
    <w:rsid w:val="77B56B1F"/>
    <w:rsid w:val="77C41863"/>
    <w:rsid w:val="77D576AF"/>
    <w:rsid w:val="77DE4401"/>
    <w:rsid w:val="77E837A3"/>
    <w:rsid w:val="77EB4828"/>
    <w:rsid w:val="77F83AFA"/>
    <w:rsid w:val="780F09F4"/>
    <w:rsid w:val="7821638E"/>
    <w:rsid w:val="782A5B6A"/>
    <w:rsid w:val="783A6CF7"/>
    <w:rsid w:val="78494477"/>
    <w:rsid w:val="787C3EEC"/>
    <w:rsid w:val="78A56034"/>
    <w:rsid w:val="78A90480"/>
    <w:rsid w:val="78B32D9B"/>
    <w:rsid w:val="78B378BC"/>
    <w:rsid w:val="78DC758F"/>
    <w:rsid w:val="78F10436"/>
    <w:rsid w:val="78F82C02"/>
    <w:rsid w:val="78F974E8"/>
    <w:rsid w:val="78FD2893"/>
    <w:rsid w:val="790978E3"/>
    <w:rsid w:val="791B3E7E"/>
    <w:rsid w:val="794A6E1E"/>
    <w:rsid w:val="794E177D"/>
    <w:rsid w:val="799C4845"/>
    <w:rsid w:val="79A46FD0"/>
    <w:rsid w:val="79B57360"/>
    <w:rsid w:val="79BB5EA5"/>
    <w:rsid w:val="79DD3103"/>
    <w:rsid w:val="79DF0133"/>
    <w:rsid w:val="79E63907"/>
    <w:rsid w:val="79EC5C96"/>
    <w:rsid w:val="7A043277"/>
    <w:rsid w:val="7A0475E2"/>
    <w:rsid w:val="7A0C2CC5"/>
    <w:rsid w:val="7A2F16AA"/>
    <w:rsid w:val="7A364017"/>
    <w:rsid w:val="7A3E76AA"/>
    <w:rsid w:val="7A3F3423"/>
    <w:rsid w:val="7A542CE8"/>
    <w:rsid w:val="7A631305"/>
    <w:rsid w:val="7A70182E"/>
    <w:rsid w:val="7A7632E8"/>
    <w:rsid w:val="7A8265E1"/>
    <w:rsid w:val="7A965738"/>
    <w:rsid w:val="7A9E283F"/>
    <w:rsid w:val="7AA71EE9"/>
    <w:rsid w:val="7AC06311"/>
    <w:rsid w:val="7ACB4CB6"/>
    <w:rsid w:val="7ACE3A64"/>
    <w:rsid w:val="7AD526A0"/>
    <w:rsid w:val="7AD87AFF"/>
    <w:rsid w:val="7ADA3086"/>
    <w:rsid w:val="7AF07139"/>
    <w:rsid w:val="7B2320CA"/>
    <w:rsid w:val="7B5B24DE"/>
    <w:rsid w:val="7B686D42"/>
    <w:rsid w:val="7B841746"/>
    <w:rsid w:val="7B95265D"/>
    <w:rsid w:val="7B9A3022"/>
    <w:rsid w:val="7B9B28DB"/>
    <w:rsid w:val="7BA160C7"/>
    <w:rsid w:val="7BB01C68"/>
    <w:rsid w:val="7BB160E7"/>
    <w:rsid w:val="7BB51BEE"/>
    <w:rsid w:val="7BC02341"/>
    <w:rsid w:val="7BE04D76"/>
    <w:rsid w:val="7BE77E33"/>
    <w:rsid w:val="7C1F52BA"/>
    <w:rsid w:val="7C26489A"/>
    <w:rsid w:val="7C2C7009"/>
    <w:rsid w:val="7C4C370C"/>
    <w:rsid w:val="7C5F002C"/>
    <w:rsid w:val="7C6C5AC7"/>
    <w:rsid w:val="7C7118E2"/>
    <w:rsid w:val="7C746C22"/>
    <w:rsid w:val="7C7E21C7"/>
    <w:rsid w:val="7C9078C6"/>
    <w:rsid w:val="7C945CA8"/>
    <w:rsid w:val="7C990F40"/>
    <w:rsid w:val="7CA60372"/>
    <w:rsid w:val="7CB04B17"/>
    <w:rsid w:val="7CC6544B"/>
    <w:rsid w:val="7CD941B8"/>
    <w:rsid w:val="7D0239FF"/>
    <w:rsid w:val="7D132AB8"/>
    <w:rsid w:val="7D20791C"/>
    <w:rsid w:val="7D366E11"/>
    <w:rsid w:val="7D3D2AA8"/>
    <w:rsid w:val="7D425704"/>
    <w:rsid w:val="7D5A3E43"/>
    <w:rsid w:val="7D5E40CD"/>
    <w:rsid w:val="7D7F2695"/>
    <w:rsid w:val="7D7F6AB0"/>
    <w:rsid w:val="7D83409D"/>
    <w:rsid w:val="7DCA68D4"/>
    <w:rsid w:val="7DCD56F2"/>
    <w:rsid w:val="7DD26CEB"/>
    <w:rsid w:val="7DDA20A3"/>
    <w:rsid w:val="7DEC38C1"/>
    <w:rsid w:val="7DEF719A"/>
    <w:rsid w:val="7E2A1B67"/>
    <w:rsid w:val="7E2E161D"/>
    <w:rsid w:val="7E3E0995"/>
    <w:rsid w:val="7E3F1368"/>
    <w:rsid w:val="7E486D4A"/>
    <w:rsid w:val="7E5356EF"/>
    <w:rsid w:val="7E553C2B"/>
    <w:rsid w:val="7E5A37C3"/>
    <w:rsid w:val="7E6D3654"/>
    <w:rsid w:val="7EDA5267"/>
    <w:rsid w:val="7EE71C83"/>
    <w:rsid w:val="7EEC3216"/>
    <w:rsid w:val="7F001CE7"/>
    <w:rsid w:val="7F007624"/>
    <w:rsid w:val="7F0E0C8D"/>
    <w:rsid w:val="7F103455"/>
    <w:rsid w:val="7F105EC3"/>
    <w:rsid w:val="7F160BF6"/>
    <w:rsid w:val="7F172E05"/>
    <w:rsid w:val="7F2C666B"/>
    <w:rsid w:val="7F2E371E"/>
    <w:rsid w:val="7F322925"/>
    <w:rsid w:val="7F35397F"/>
    <w:rsid w:val="7F38785F"/>
    <w:rsid w:val="7F6E2666"/>
    <w:rsid w:val="7F8042C1"/>
    <w:rsid w:val="7F8B62D0"/>
    <w:rsid w:val="7F9D5B54"/>
    <w:rsid w:val="7FC77F7C"/>
    <w:rsid w:val="7FC93EBA"/>
    <w:rsid w:val="7FCF0448"/>
    <w:rsid w:val="7FD02408"/>
    <w:rsid w:val="7FD94744"/>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qFormat="1" w:uiPriority="99"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iPriority="99"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ocked="1"/>
    <w:lsdException w:unhideWhenUsed="0" w:uiPriority="0" w:semiHidden="0" w:name="Body Text 3" w:locked="1"/>
    <w:lsdException w:qFormat="1" w:unhideWhenUsed="0" w:uiPriority="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keepNext/>
      <w:keepLines/>
      <w:spacing w:before="240" w:after="120"/>
      <w:outlineLvl w:val="1"/>
    </w:pPr>
    <w:rPr>
      <w:rFonts w:ascii="Arial" w:hAnsi="Arial" w:eastAsia="黑体"/>
      <w:b/>
      <w:sz w:val="28"/>
    </w:rPr>
  </w:style>
  <w:style w:type="paragraph" w:styleId="4">
    <w:name w:val="heading 3"/>
    <w:basedOn w:val="1"/>
    <w:next w:val="1"/>
    <w:qFormat/>
    <w:locked/>
    <w:uiPriority w:val="0"/>
    <w:pPr>
      <w:keepNext/>
      <w:keepLines/>
      <w:spacing w:before="120" w:beforeLines="0" w:after="120" w:afterLines="0"/>
      <w:outlineLvl w:val="2"/>
    </w:pPr>
    <w:rPr>
      <w:b/>
      <w:sz w:val="26"/>
    </w:rPr>
  </w:style>
  <w:style w:type="paragraph" w:styleId="5">
    <w:name w:val="heading 4"/>
    <w:basedOn w:val="1"/>
    <w:next w:val="1"/>
    <w:qFormat/>
    <w:locked/>
    <w:uiPriority w:val="0"/>
    <w:pPr>
      <w:keepNext/>
      <w:jc w:val="center"/>
      <w:outlineLvl w:val="3"/>
    </w:pPr>
    <w:rPr>
      <w:u w:val="single"/>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6">
    <w:name w:val="Note Heading"/>
    <w:basedOn w:val="1"/>
    <w:next w:val="1"/>
    <w:qFormat/>
    <w:locked/>
    <w:uiPriority w:val="0"/>
    <w:pPr>
      <w:jc w:val="center"/>
    </w:pPr>
  </w:style>
  <w:style w:type="paragraph" w:styleId="7">
    <w:name w:val="Normal Indent"/>
    <w:basedOn w:val="1"/>
    <w:next w:val="8"/>
    <w:qFormat/>
    <w:locked/>
    <w:uiPriority w:val="0"/>
    <w:rPr>
      <w:kern w:val="2"/>
      <w:sz w:val="28"/>
    </w:rPr>
  </w:style>
  <w:style w:type="paragraph" w:styleId="8">
    <w:name w:val="Body Text"/>
    <w:basedOn w:val="1"/>
    <w:next w:val="9"/>
    <w:link w:val="35"/>
    <w:qFormat/>
    <w:uiPriority w:val="0"/>
    <w:pPr>
      <w:widowControl/>
      <w:snapToGrid w:val="0"/>
      <w:spacing w:before="60" w:after="160" w:line="259" w:lineRule="auto"/>
      <w:ind w:right="113"/>
    </w:pPr>
    <w:rPr>
      <w:kern w:val="0"/>
      <w:sz w:val="18"/>
      <w:szCs w:val="20"/>
    </w:rPr>
  </w:style>
  <w:style w:type="paragraph" w:styleId="9">
    <w:name w:val="Body Text 2"/>
    <w:basedOn w:val="1"/>
    <w:qFormat/>
    <w:locked/>
    <w:uiPriority w:val="0"/>
    <w:pPr>
      <w:spacing w:after="120" w:line="480" w:lineRule="auto"/>
    </w:pPr>
  </w:style>
  <w:style w:type="paragraph" w:styleId="10">
    <w:name w:val="index 5"/>
    <w:basedOn w:val="1"/>
    <w:next w:val="1"/>
    <w:unhideWhenUsed/>
    <w:qFormat/>
    <w:locked/>
    <w:uiPriority w:val="99"/>
    <w:pPr>
      <w:ind w:left="1680" w:leftChars="800"/>
    </w:pPr>
  </w:style>
  <w:style w:type="paragraph" w:styleId="11">
    <w:name w:val="annotation text"/>
    <w:basedOn w:val="1"/>
    <w:link w:val="36"/>
    <w:semiHidden/>
    <w:qFormat/>
    <w:uiPriority w:val="0"/>
    <w:pPr>
      <w:jc w:val="left"/>
    </w:pPr>
    <w:rPr>
      <w:kern w:val="0"/>
      <w:sz w:val="24"/>
      <w:szCs w:val="20"/>
    </w:rPr>
  </w:style>
  <w:style w:type="paragraph" w:styleId="12">
    <w:name w:val="Body Text Indent"/>
    <w:basedOn w:val="1"/>
    <w:next w:val="1"/>
    <w:link w:val="37"/>
    <w:qFormat/>
    <w:uiPriority w:val="0"/>
    <w:pPr>
      <w:spacing w:after="120"/>
      <w:ind w:left="420" w:leftChars="200"/>
    </w:pPr>
    <w:rPr>
      <w:kern w:val="0"/>
      <w:sz w:val="24"/>
      <w:szCs w:val="20"/>
    </w:rPr>
  </w:style>
  <w:style w:type="paragraph" w:styleId="13">
    <w:name w:val="Block Text"/>
    <w:basedOn w:val="1"/>
    <w:next w:val="1"/>
    <w:qFormat/>
    <w:locked/>
    <w:uiPriority w:val="0"/>
    <w:pPr>
      <w:spacing w:line="460" w:lineRule="atLeast"/>
      <w:ind w:left="108" w:right="170" w:firstLine="499"/>
    </w:pPr>
    <w:rPr>
      <w:sz w:val="24"/>
    </w:rPr>
  </w:style>
  <w:style w:type="paragraph" w:styleId="14">
    <w:name w:val="Plain Text"/>
    <w:basedOn w:val="1"/>
    <w:qFormat/>
    <w:locked/>
    <w:uiPriority w:val="0"/>
    <w:rPr>
      <w:rFonts w:ascii="宋体" w:hAnsi="Courier New"/>
      <w:kern w:val="2"/>
      <w:sz w:val="21"/>
    </w:rPr>
  </w:style>
  <w:style w:type="paragraph" w:styleId="15">
    <w:name w:val="Date"/>
    <w:basedOn w:val="1"/>
    <w:next w:val="1"/>
    <w:link w:val="38"/>
    <w:qFormat/>
    <w:uiPriority w:val="0"/>
    <w:pPr>
      <w:ind w:left="100" w:leftChars="2500"/>
    </w:pPr>
    <w:rPr>
      <w:kern w:val="0"/>
      <w:sz w:val="24"/>
      <w:szCs w:val="20"/>
    </w:rPr>
  </w:style>
  <w:style w:type="paragraph" w:styleId="16">
    <w:name w:val="Body Text Indent 2"/>
    <w:basedOn w:val="1"/>
    <w:next w:val="1"/>
    <w:semiHidden/>
    <w:qFormat/>
    <w:locked/>
    <w:uiPriority w:val="0"/>
    <w:pPr>
      <w:spacing w:after="120" w:line="480" w:lineRule="auto"/>
      <w:ind w:left="420" w:leftChars="200"/>
    </w:pPr>
  </w:style>
  <w:style w:type="paragraph" w:styleId="17">
    <w:name w:val="Balloon Text"/>
    <w:basedOn w:val="1"/>
    <w:link w:val="39"/>
    <w:semiHidden/>
    <w:qFormat/>
    <w:uiPriority w:val="0"/>
    <w:rPr>
      <w:kern w:val="0"/>
      <w:sz w:val="18"/>
      <w:szCs w:val="20"/>
    </w:rPr>
  </w:style>
  <w:style w:type="paragraph" w:styleId="18">
    <w:name w:val="footer"/>
    <w:basedOn w:val="1"/>
    <w:link w:val="40"/>
    <w:qFormat/>
    <w:uiPriority w:val="99"/>
    <w:pPr>
      <w:tabs>
        <w:tab w:val="center" w:pos="4153"/>
        <w:tab w:val="right" w:pos="8306"/>
      </w:tabs>
      <w:snapToGrid w:val="0"/>
      <w:jc w:val="left"/>
    </w:pPr>
    <w:rPr>
      <w:kern w:val="0"/>
      <w:sz w:val="18"/>
      <w:szCs w:val="20"/>
    </w:rPr>
  </w:style>
  <w:style w:type="paragraph" w:styleId="19">
    <w:name w:val="header"/>
    <w:basedOn w:val="1"/>
    <w:link w:val="41"/>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List"/>
    <w:basedOn w:val="1"/>
    <w:unhideWhenUsed/>
    <w:qFormat/>
    <w:locked/>
    <w:uiPriority w:val="99"/>
    <w:pPr>
      <w:ind w:left="200" w:hanging="200" w:hangingChars="200"/>
      <w:contextualSpacing/>
    </w:pPr>
  </w:style>
  <w:style w:type="paragraph" w:styleId="21">
    <w:name w:val="toc 2"/>
    <w:basedOn w:val="1"/>
    <w:next w:val="1"/>
    <w:qFormat/>
    <w:locked/>
    <w:uiPriority w:val="0"/>
    <w:pPr>
      <w:ind w:left="420" w:leftChars="200"/>
    </w:pPr>
  </w:style>
  <w:style w:type="paragraph" w:styleId="22">
    <w:name w:val="Normal (Web)"/>
    <w:basedOn w:val="1"/>
    <w:link w:val="42"/>
    <w:qFormat/>
    <w:uiPriority w:val="0"/>
    <w:pPr>
      <w:widowControl/>
      <w:spacing w:before="100" w:beforeAutospacing="1" w:after="100" w:afterAutospacing="1"/>
      <w:jc w:val="left"/>
    </w:pPr>
    <w:rPr>
      <w:rFonts w:ascii="宋体" w:hAnsi="宋体"/>
      <w:kern w:val="0"/>
      <w:sz w:val="24"/>
      <w:szCs w:val="20"/>
    </w:rPr>
  </w:style>
  <w:style w:type="paragraph" w:styleId="23">
    <w:name w:val="annotation subject"/>
    <w:basedOn w:val="11"/>
    <w:next w:val="11"/>
    <w:link w:val="43"/>
    <w:semiHidden/>
    <w:qFormat/>
    <w:uiPriority w:val="0"/>
    <w:rPr>
      <w:b/>
      <w:sz w:val="24"/>
      <w:szCs w:val="20"/>
    </w:rPr>
  </w:style>
  <w:style w:type="paragraph" w:styleId="24">
    <w:name w:val="Body Text First Indent"/>
    <w:basedOn w:val="8"/>
    <w:next w:val="25"/>
    <w:qFormat/>
    <w:locked/>
    <w:uiPriority w:val="0"/>
    <w:pPr>
      <w:ind w:firstLine="420" w:firstLineChars="100"/>
    </w:pPr>
  </w:style>
  <w:style w:type="paragraph" w:styleId="25">
    <w:name w:val="Body Text First Indent 2"/>
    <w:basedOn w:val="1"/>
    <w:next w:val="1"/>
    <w:qFormat/>
    <w:locked/>
    <w:uiPriority w:val="0"/>
    <w:pPr>
      <w:spacing w:after="120" w:line="240" w:lineRule="auto"/>
      <w:ind w:left="420" w:leftChars="200" w:firstLine="420" w:firstLineChars="200"/>
    </w:pPr>
    <w:rPr>
      <w:spacing w:val="0"/>
      <w:sz w:val="28"/>
    </w:rPr>
  </w:style>
  <w:style w:type="table" w:styleId="27">
    <w:name w:val="Table Grid"/>
    <w:basedOn w:val="2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locked/>
    <w:uiPriority w:val="0"/>
    <w:rPr>
      <w:b/>
    </w:rPr>
  </w:style>
  <w:style w:type="character" w:styleId="30">
    <w:name w:val="page number"/>
    <w:basedOn w:val="28"/>
    <w:qFormat/>
    <w:locked/>
    <w:uiPriority w:val="0"/>
  </w:style>
  <w:style w:type="character" w:styleId="31">
    <w:name w:val="Hyperlink"/>
    <w:basedOn w:val="28"/>
    <w:qFormat/>
    <w:locked/>
    <w:uiPriority w:val="0"/>
    <w:rPr>
      <w:color w:val="0000FF"/>
      <w:u w:val="single"/>
    </w:rPr>
  </w:style>
  <w:style w:type="character" w:styleId="32">
    <w:name w:val="annotation reference"/>
    <w:semiHidden/>
    <w:qFormat/>
    <w:uiPriority w:val="0"/>
    <w:rPr>
      <w:sz w:val="21"/>
    </w:rPr>
  </w:style>
  <w:style w:type="paragraph" w:customStyle="1" w:styleId="33">
    <w:name w:val="Default"/>
    <w:basedOn w:val="34"/>
    <w:next w:val="10"/>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4">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character" w:customStyle="1" w:styleId="35">
    <w:name w:val="正文文本 Char"/>
    <w:link w:val="8"/>
    <w:qFormat/>
    <w:locked/>
    <w:uiPriority w:val="0"/>
    <w:rPr>
      <w:sz w:val="18"/>
    </w:rPr>
  </w:style>
  <w:style w:type="character" w:customStyle="1" w:styleId="36">
    <w:name w:val="批注文字 Char"/>
    <w:link w:val="11"/>
    <w:qFormat/>
    <w:locked/>
    <w:uiPriority w:val="0"/>
    <w:rPr>
      <w:rFonts w:ascii="Times New Roman" w:hAnsi="Times New Roman" w:eastAsia="宋体"/>
      <w:sz w:val="24"/>
    </w:rPr>
  </w:style>
  <w:style w:type="character" w:customStyle="1" w:styleId="37">
    <w:name w:val="正文文本缩进 Char"/>
    <w:link w:val="12"/>
    <w:semiHidden/>
    <w:qFormat/>
    <w:locked/>
    <w:uiPriority w:val="0"/>
    <w:rPr>
      <w:rFonts w:ascii="Times New Roman" w:hAnsi="Times New Roman" w:eastAsia="宋体"/>
      <w:sz w:val="24"/>
    </w:rPr>
  </w:style>
  <w:style w:type="character" w:customStyle="1" w:styleId="38">
    <w:name w:val="日期 Char"/>
    <w:link w:val="15"/>
    <w:qFormat/>
    <w:locked/>
    <w:uiPriority w:val="0"/>
    <w:rPr>
      <w:rFonts w:ascii="Times New Roman" w:hAnsi="Times New Roman" w:eastAsia="宋体"/>
      <w:sz w:val="24"/>
    </w:rPr>
  </w:style>
  <w:style w:type="character" w:customStyle="1" w:styleId="39">
    <w:name w:val="批注框文本 Char"/>
    <w:link w:val="17"/>
    <w:semiHidden/>
    <w:qFormat/>
    <w:locked/>
    <w:uiPriority w:val="0"/>
    <w:rPr>
      <w:rFonts w:ascii="Times New Roman" w:hAnsi="Times New Roman" w:eastAsia="宋体"/>
      <w:sz w:val="18"/>
    </w:rPr>
  </w:style>
  <w:style w:type="character" w:customStyle="1" w:styleId="40">
    <w:name w:val="页脚 Char"/>
    <w:link w:val="18"/>
    <w:qFormat/>
    <w:locked/>
    <w:uiPriority w:val="99"/>
    <w:rPr>
      <w:sz w:val="18"/>
    </w:rPr>
  </w:style>
  <w:style w:type="character" w:customStyle="1" w:styleId="41">
    <w:name w:val="页眉 Char"/>
    <w:link w:val="19"/>
    <w:qFormat/>
    <w:locked/>
    <w:uiPriority w:val="0"/>
    <w:rPr>
      <w:sz w:val="18"/>
    </w:rPr>
  </w:style>
  <w:style w:type="character" w:customStyle="1" w:styleId="42">
    <w:name w:val="普通(网站) Char"/>
    <w:link w:val="22"/>
    <w:qFormat/>
    <w:locked/>
    <w:uiPriority w:val="0"/>
    <w:rPr>
      <w:rFonts w:ascii="宋体" w:hAnsi="宋体" w:eastAsia="宋体"/>
      <w:sz w:val="24"/>
    </w:rPr>
  </w:style>
  <w:style w:type="character" w:customStyle="1" w:styleId="43">
    <w:name w:val="批注主题 Char"/>
    <w:link w:val="23"/>
    <w:semiHidden/>
    <w:qFormat/>
    <w:locked/>
    <w:uiPriority w:val="0"/>
    <w:rPr>
      <w:rFonts w:ascii="Times New Roman" w:hAnsi="Times New Roman" w:eastAsia="宋体"/>
      <w:b/>
      <w:kern w:val="2"/>
      <w:sz w:val="24"/>
    </w:rPr>
  </w:style>
  <w:style w:type="character" w:customStyle="1" w:styleId="44">
    <w:name w:val="日期 字符"/>
    <w:semiHidden/>
    <w:qFormat/>
    <w:uiPriority w:val="0"/>
    <w:rPr>
      <w:rFonts w:ascii="Times New Roman" w:hAnsi="Times New Roman" w:eastAsia="宋体"/>
      <w:sz w:val="24"/>
    </w:rPr>
  </w:style>
  <w:style w:type="character" w:customStyle="1" w:styleId="45">
    <w:name w:val="批注文字 字符1"/>
    <w:semiHidden/>
    <w:qFormat/>
    <w:uiPriority w:val="0"/>
    <w:rPr>
      <w:rFonts w:ascii="Times New Roman" w:hAnsi="Times New Roman" w:eastAsia="宋体"/>
      <w:sz w:val="24"/>
    </w:rPr>
  </w:style>
  <w:style w:type="character" w:customStyle="1" w:styleId="46">
    <w:name w:val="页脚 字符"/>
    <w:basedOn w:val="28"/>
    <w:qFormat/>
    <w:uiPriority w:val="99"/>
  </w:style>
  <w:style w:type="character" w:customStyle="1" w:styleId="47">
    <w:name w:val="正文文本 字符1"/>
    <w:semiHidden/>
    <w:qFormat/>
    <w:uiPriority w:val="0"/>
    <w:rPr>
      <w:rFonts w:ascii="Times New Roman" w:hAnsi="Times New Roman" w:eastAsia="宋体"/>
      <w:sz w:val="24"/>
    </w:rPr>
  </w:style>
  <w:style w:type="character" w:customStyle="1" w:styleId="48">
    <w:name w:val="表格 Char"/>
    <w:link w:val="49"/>
    <w:qFormat/>
    <w:locked/>
    <w:uiPriority w:val="0"/>
    <w:rPr>
      <w:rFonts w:ascii="宋体"/>
      <w:sz w:val="21"/>
    </w:rPr>
  </w:style>
  <w:style w:type="paragraph" w:customStyle="1" w:styleId="49">
    <w:name w:val="表格"/>
    <w:basedOn w:val="20"/>
    <w:next w:val="1"/>
    <w:link w:val="48"/>
    <w:qFormat/>
    <w:uiPriority w:val="0"/>
    <w:pPr>
      <w:adjustRightInd w:val="0"/>
      <w:snapToGrid w:val="0"/>
      <w:spacing w:beforeLines="10" w:afterLines="10" w:line="259" w:lineRule="auto"/>
      <w:jc w:val="center"/>
    </w:pPr>
    <w:rPr>
      <w:rFonts w:ascii="宋体"/>
      <w:kern w:val="0"/>
      <w:szCs w:val="20"/>
    </w:rPr>
  </w:style>
  <w:style w:type="character" w:customStyle="1" w:styleId="50">
    <w:name w:val="NormalCharacter"/>
    <w:semiHidden/>
    <w:qFormat/>
    <w:uiPriority w:val="0"/>
    <w:rPr>
      <w:kern w:val="2"/>
      <w:sz w:val="21"/>
      <w:lang w:val="en-US" w:eastAsia="zh-CN" w:bidi="ar-SA"/>
    </w:rPr>
  </w:style>
  <w:style w:type="paragraph" w:customStyle="1" w:styleId="51">
    <w:name w:val="表格文字"/>
    <w:basedOn w:val="24"/>
    <w:qFormat/>
    <w:uiPriority w:val="0"/>
    <w:pPr>
      <w:adjustRightInd w:val="0"/>
      <w:spacing w:line="400" w:lineRule="atLeast"/>
      <w:jc w:val="center"/>
    </w:pPr>
    <w:rPr>
      <w:kern w:val="24"/>
      <w:sz w:val="24"/>
    </w:rPr>
  </w:style>
  <w:style w:type="paragraph" w:customStyle="1" w:styleId="52">
    <w:name w:val="表格 32"/>
    <w:basedOn w:val="1"/>
    <w:qFormat/>
    <w:uiPriority w:val="0"/>
    <w:pPr>
      <w:autoSpaceDE w:val="0"/>
      <w:autoSpaceDN w:val="0"/>
      <w:adjustRightInd w:val="0"/>
      <w:spacing w:line="0" w:lineRule="atLeast"/>
      <w:jc w:val="center"/>
      <w:textAlignment w:val="baseline"/>
    </w:pPr>
    <w:rPr>
      <w:kern w:val="0"/>
      <w:szCs w:val="21"/>
    </w:rPr>
  </w:style>
  <w:style w:type="paragraph" w:customStyle="1" w:styleId="53">
    <w:name w:val="段落1"/>
    <w:basedOn w:val="1"/>
    <w:qFormat/>
    <w:uiPriority w:val="0"/>
    <w:pPr>
      <w:spacing w:line="480" w:lineRule="exact"/>
      <w:ind w:firstLine="584" w:firstLineChars="200"/>
    </w:pPr>
    <w:rPr>
      <w:spacing w:val="6"/>
      <w:sz w:val="28"/>
      <w:szCs w:val="24"/>
    </w:rPr>
  </w:style>
  <w:style w:type="paragraph" w:customStyle="1" w:styleId="54">
    <w:name w:val="正文1"/>
    <w:basedOn w:val="1"/>
    <w:qFormat/>
    <w:uiPriority w:val="0"/>
    <w:pPr>
      <w:spacing w:beforeLines="25" w:afterLines="25" w:line="360" w:lineRule="auto"/>
      <w:ind w:firstLine="420" w:firstLineChars="200"/>
    </w:pPr>
    <w:rPr>
      <w:position w:val="-14"/>
      <w:sz w:val="21"/>
      <w:szCs w:val="21"/>
    </w:rPr>
  </w:style>
  <w:style w:type="paragraph" w:customStyle="1" w:styleId="55">
    <w:name w:val="正文内容"/>
    <w:basedOn w:val="1"/>
    <w:qFormat/>
    <w:uiPriority w:val="0"/>
    <w:pPr>
      <w:spacing w:line="360" w:lineRule="auto"/>
      <w:ind w:firstLine="200" w:firstLineChars="200"/>
      <w:jc w:val="left"/>
    </w:pPr>
    <w:rPr>
      <w:rFonts w:ascii="宋体" w:hAnsi="宋体" w:cs="宋体"/>
      <w:sz w:val="28"/>
      <w:szCs w:val="24"/>
    </w:rPr>
  </w:style>
  <w:style w:type="paragraph" w:customStyle="1" w:styleId="56">
    <w:name w:val="鸿达表格文字"/>
    <w:basedOn w:val="1"/>
    <w:qFormat/>
    <w:uiPriority w:val="0"/>
    <w:pPr>
      <w:contextualSpacing/>
      <w:jc w:val="center"/>
    </w:pPr>
    <w:rPr>
      <w:sz w:val="21"/>
      <w:szCs w:val="21"/>
    </w:rPr>
  </w:style>
  <w:style w:type="paragraph" w:customStyle="1" w:styleId="57">
    <w:name w:val="1111正文"/>
    <w:basedOn w:val="1"/>
    <w:qFormat/>
    <w:uiPriority w:val="0"/>
    <w:pPr>
      <w:spacing w:line="480" w:lineRule="exact"/>
      <w:ind w:firstLine="480"/>
    </w:pPr>
    <w:rPr>
      <w:szCs w:val="24"/>
    </w:rPr>
  </w:style>
  <w:style w:type="paragraph" w:customStyle="1" w:styleId="58">
    <w:name w:val="表格内容"/>
    <w:basedOn w:val="1"/>
    <w:qFormat/>
    <w:uiPriority w:val="0"/>
    <w:pPr>
      <w:keepNext w:val="0"/>
      <w:keepLines w:val="0"/>
      <w:widowControl w:val="0"/>
      <w:suppressLineNumbers w:val="0"/>
      <w:spacing w:before="0" w:beforeAutospacing="0" w:after="0" w:afterAutospacing="0" w:line="400" w:lineRule="atLeast"/>
      <w:ind w:left="0" w:right="0"/>
      <w:jc w:val="center"/>
    </w:pPr>
    <w:rPr>
      <w:rFonts w:hint="eastAsia" w:ascii="Microsoft JhengHei Light" w:hAnsi="Microsoft JhengHei Light" w:eastAsia="Microsoft JhengHei Light" w:cs="Microsoft JhengHei Light"/>
      <w:color w:val="000000"/>
      <w:kern w:val="0"/>
      <w:sz w:val="22"/>
      <w:szCs w:val="24"/>
      <w:lang w:val="en-US" w:eastAsia="zh-CN" w:bidi="ar"/>
    </w:rPr>
  </w:style>
  <w:style w:type="paragraph" w:customStyle="1" w:styleId="59">
    <w:name w:val="无间隔1"/>
    <w:qFormat/>
    <w:uiPriority w:val="1"/>
    <w:pPr>
      <w:widowControl w:val="0"/>
      <w:jc w:val="center"/>
    </w:pPr>
    <w:rPr>
      <w:rFonts w:ascii="Calibri" w:hAnsi="Calibri" w:eastAsia="宋体" w:cs="Times New Roman"/>
      <w:kern w:val="2"/>
      <w:sz w:val="21"/>
      <w:szCs w:val="22"/>
      <w:lang w:val="en-US" w:eastAsia="zh-CN" w:bidi="ar-SA"/>
    </w:rPr>
  </w:style>
  <w:style w:type="paragraph" w:styleId="60">
    <w:name w:val="List Paragraph"/>
    <w:basedOn w:val="1"/>
    <w:qFormat/>
    <w:uiPriority w:val="0"/>
    <w:pPr>
      <w:ind w:firstLine="420" w:firstLineChars="200"/>
    </w:pPr>
    <w:rPr>
      <w:rFonts w:ascii="Calibri" w:hAnsi="Calibri"/>
      <w:szCs w:val="22"/>
    </w:rPr>
  </w:style>
  <w:style w:type="paragraph" w:customStyle="1" w:styleId="61">
    <w:name w:val="CM61"/>
    <w:basedOn w:val="33"/>
    <w:next w:val="33"/>
    <w:unhideWhenUsed/>
    <w:qFormat/>
    <w:uiPriority w:val="99"/>
    <w:rPr>
      <w:rFonts w:hint="default"/>
    </w:rPr>
  </w:style>
  <w:style w:type="paragraph" w:customStyle="1" w:styleId="62">
    <w:name w:val="CM63"/>
    <w:basedOn w:val="33"/>
    <w:next w:val="33"/>
    <w:unhideWhenUsed/>
    <w:qFormat/>
    <w:uiPriority w:val="99"/>
    <w:rPr>
      <w:rFonts w:hint="default"/>
    </w:rPr>
  </w:style>
  <w:style w:type="paragraph" w:customStyle="1" w:styleId="63">
    <w:name w:val="表中"/>
    <w:qFormat/>
    <w:uiPriority w:val="0"/>
    <w:pPr>
      <w:ind w:left="1" w:leftChars="-51" w:right="-105" w:rightChars="-50" w:hanging="108" w:hangingChars="60"/>
      <w:jc w:val="center"/>
    </w:pPr>
    <w:rPr>
      <w:rFonts w:ascii="Times New Roman" w:hAnsi="Times New Roman" w:eastAsia="宋体" w:cs="Times New Roman"/>
      <w:kern w:val="44"/>
      <w:sz w:val="18"/>
      <w:lang w:val="en-US" w:eastAsia="zh-CN" w:bidi="ar-SA"/>
    </w:rPr>
  </w:style>
  <w:style w:type="paragraph" w:customStyle="1" w:styleId="64">
    <w:name w:val="Body Text 2_050de59c-084d-4175-9105-ef8c1c28e700"/>
    <w:basedOn w:val="1"/>
    <w:qFormat/>
    <w:uiPriority w:val="0"/>
    <w:pPr>
      <w:spacing w:after="120" w:line="480" w:lineRule="auto"/>
    </w:pPr>
  </w:style>
  <w:style w:type="paragraph" w:customStyle="1" w:styleId="65">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3级标题"/>
    <w:basedOn w:val="1"/>
    <w:qFormat/>
    <w:uiPriority w:val="0"/>
    <w:pPr>
      <w:spacing w:beforeLines="50" w:line="360" w:lineRule="auto"/>
    </w:pPr>
    <w:rPr>
      <w:rFonts w:ascii="楷体_GB2312" w:eastAsia="楷体_GB2312"/>
      <w:sz w:val="28"/>
      <w:szCs w:val="28"/>
    </w:rPr>
  </w:style>
  <w:style w:type="paragraph" w:customStyle="1" w:styleId="68">
    <w:name w:val="表格正文"/>
    <w:basedOn w:val="1"/>
    <w:qFormat/>
    <w:uiPriority w:val="0"/>
    <w:pPr>
      <w:spacing w:line="360" w:lineRule="exact"/>
      <w:jc w:val="center"/>
    </w:pPr>
    <w:rPr>
      <w:szCs w:val="24"/>
    </w:rPr>
  </w:style>
  <w:style w:type="paragraph" w:customStyle="1" w:styleId="69">
    <w:name w:val="环评正文"/>
    <w:basedOn w:val="1"/>
    <w:qFormat/>
    <w:uiPriority w:val="0"/>
    <w:pPr>
      <w:spacing w:line="360" w:lineRule="auto"/>
      <w:ind w:firstLine="420" w:firstLineChars="200"/>
    </w:pPr>
    <w:rPr>
      <w:sz w:val="24"/>
      <w:szCs w:val="24"/>
    </w:rPr>
  </w:style>
  <w:style w:type="paragraph" w:customStyle="1" w:styleId="70">
    <w:name w:val="1111表文字"/>
    <w:basedOn w:val="57"/>
    <w:next w:val="57"/>
    <w:qFormat/>
    <w:uiPriority w:val="0"/>
    <w:pPr>
      <w:spacing w:line="320" w:lineRule="exact"/>
      <w:ind w:firstLine="0" w:firstLineChars="0"/>
      <w:jc w:val="center"/>
    </w:pPr>
    <w:rPr>
      <w:spacing w:val="14"/>
      <w:kern w:val="0"/>
      <w:sz w:val="21"/>
      <w:szCs w:val="22"/>
    </w:rPr>
  </w:style>
  <w:style w:type="paragraph" w:customStyle="1" w:styleId="71">
    <w:name w:val="Table Paragraph"/>
    <w:basedOn w:val="1"/>
    <w:qFormat/>
    <w:uiPriority w:val="0"/>
    <w:pPr>
      <w:spacing w:before="100" w:beforeAutospacing="1"/>
      <w:jc w:val="left"/>
    </w:pPr>
    <w:rPr>
      <w:rFonts w:ascii="Calibri" w:hAnsi="Calibri"/>
      <w:kern w:val="0"/>
      <w:sz w:val="22"/>
      <w:szCs w:val="22"/>
    </w:rPr>
  </w:style>
  <w:style w:type="paragraph" w:customStyle="1" w:styleId="72">
    <w:name w:val="Body Text Indent"/>
    <w:basedOn w:val="1"/>
    <w:qFormat/>
    <w:uiPriority w:val="0"/>
    <w:pPr>
      <w:ind w:firstLine="560" w:firstLineChars="200"/>
    </w:pPr>
    <w:rPr>
      <w:sz w:val="28"/>
      <w:szCs w:val="24"/>
    </w:rPr>
  </w:style>
  <w:style w:type="paragraph" w:customStyle="1" w:styleId="73">
    <w:name w:val="3正文"/>
    <w:qFormat/>
    <w:uiPriority w:val="0"/>
    <w:pPr>
      <w:widowControl w:val="0"/>
      <w:spacing w:line="520" w:lineRule="exact"/>
      <w:ind w:firstLine="200" w:firstLineChars="200"/>
      <w:jc w:val="both"/>
    </w:pPr>
    <w:rPr>
      <w:rFonts w:ascii="Calibri" w:hAnsi="Calibri" w:eastAsia="Times New Roman" w:cs="Times New Roman"/>
      <w:kern w:val="2"/>
      <w:sz w:val="24"/>
      <w:szCs w:val="24"/>
      <w:lang w:val="en-US" w:eastAsia="zh-CN" w:bidi="ar-SA"/>
    </w:rPr>
  </w:style>
  <w:style w:type="paragraph" w:customStyle="1" w:styleId="74">
    <w:name w:val="中文报告书样式"/>
    <w:basedOn w:val="1"/>
    <w:qFormat/>
    <w:uiPriority w:val="0"/>
    <w:pPr>
      <w:adjustRightInd w:val="0"/>
      <w:spacing w:line="480" w:lineRule="atLeast"/>
      <w:ind w:firstLine="482"/>
      <w:textAlignment w:val="baseline"/>
    </w:pPr>
    <w:rPr>
      <w:kern w:val="24"/>
      <w:sz w:val="24"/>
    </w:rPr>
  </w:style>
  <w:style w:type="paragraph" w:customStyle="1" w:styleId="75">
    <w:name w:val="鸿达表加粗"/>
    <w:basedOn w:val="1"/>
    <w:qFormat/>
    <w:uiPriority w:val="0"/>
    <w:pPr>
      <w:jc w:val="center"/>
    </w:pPr>
    <w:rPr>
      <w:rFonts w:cs="宋体"/>
      <w:b/>
      <w:color w:val="000000"/>
      <w:kern w:val="2"/>
      <w:sz w:val="21"/>
    </w:rPr>
  </w:style>
  <w:style w:type="paragraph" w:customStyle="1" w:styleId="76">
    <w:name w:val="CM51"/>
    <w:basedOn w:val="33"/>
    <w:next w:val="33"/>
    <w:unhideWhenUsed/>
    <w:qFormat/>
    <w:uiPriority w:val="99"/>
    <w:rPr>
      <w:rFonts w:hint="default"/>
    </w:rPr>
  </w:style>
  <w:style w:type="paragraph" w:customStyle="1" w:styleId="77">
    <w:name w:val="表内"/>
    <w:basedOn w:val="21"/>
    <w:qFormat/>
    <w:uiPriority w:val="0"/>
    <w:pPr>
      <w:spacing w:line="240" w:lineRule="auto"/>
      <w:ind w:left="0" w:leftChars="0" w:firstLine="0" w:firstLineChars="0"/>
      <w:jc w:val="center"/>
    </w:pPr>
    <w:rPr>
      <w:sz w:val="21"/>
      <w:szCs w:val="21"/>
    </w:rPr>
  </w:style>
  <w:style w:type="paragraph" w:customStyle="1" w:styleId="78">
    <w:name w:val="报告表正文格式"/>
    <w:basedOn w:val="1"/>
    <w:qFormat/>
    <w:uiPriority w:val="0"/>
    <w:pPr>
      <w:tabs>
        <w:tab w:val="center" w:pos="0"/>
      </w:tabs>
      <w:spacing w:line="520" w:lineRule="exact"/>
      <w:ind w:firstLine="640" w:firstLineChars="200"/>
    </w:pPr>
    <w:rPr>
      <w:sz w:val="24"/>
    </w:rPr>
  </w:style>
  <w:style w:type="paragraph" w:customStyle="1" w:styleId="79">
    <w:name w:val="图表"/>
    <w:basedOn w:val="8"/>
    <w:qFormat/>
    <w:uiPriority w:val="0"/>
    <w:pPr>
      <w:spacing w:line="240" w:lineRule="atLeast"/>
      <w:ind w:firstLine="0" w:firstLineChars="0"/>
      <w:jc w:val="center"/>
    </w:pPr>
  </w:style>
  <w:style w:type="table" w:customStyle="1" w:styleId="80">
    <w:name w:val="Table Normal"/>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81">
    <w:name w:val="正文4号"/>
    <w:qFormat/>
    <w:uiPriority w:val="0"/>
    <w:pPr>
      <w:widowControl w:val="0"/>
      <w:spacing w:line="440" w:lineRule="exact"/>
      <w:ind w:firstLine="200" w:firstLineChars="200"/>
      <w:jc w:val="both"/>
    </w:pPr>
    <w:rPr>
      <w:rFonts w:ascii="Times New Roman" w:hAnsi="Times New Roman" w:eastAsia="仿宋_GB2312" w:cs="Times New Roman"/>
      <w:kern w:val="2"/>
      <w:szCs w:val="24"/>
      <w:lang w:val="en-US" w:eastAsia="zh-CN" w:bidi="ar-SA"/>
    </w:rPr>
  </w:style>
  <w:style w:type="character" w:customStyle="1" w:styleId="82">
    <w:name w:val="font11"/>
    <w:basedOn w:val="28"/>
    <w:qFormat/>
    <w:uiPriority w:val="0"/>
    <w:rPr>
      <w:rFonts w:hint="default" w:ascii="MingLiU" w:hAnsi="MingLiU" w:eastAsia="MingLiU" w:cs="MingLiU"/>
      <w:color w:val="000000"/>
      <w:sz w:val="18"/>
      <w:szCs w:val="18"/>
      <w:u w:val="none"/>
    </w:rPr>
  </w:style>
  <w:style w:type="character" w:customStyle="1" w:styleId="83">
    <w:name w:val="font41"/>
    <w:basedOn w:val="28"/>
    <w:qFormat/>
    <w:uiPriority w:val="0"/>
    <w:rPr>
      <w:rFonts w:hint="eastAsia" w:ascii="宋体" w:hAnsi="宋体" w:eastAsia="宋体" w:cs="宋体"/>
      <w:color w:val="000000"/>
      <w:sz w:val="22"/>
      <w:szCs w:val="22"/>
      <w:u w:val="none"/>
    </w:rPr>
  </w:style>
  <w:style w:type="character" w:customStyle="1" w:styleId="84">
    <w:name w:val="font51"/>
    <w:basedOn w:val="28"/>
    <w:qFormat/>
    <w:uiPriority w:val="0"/>
    <w:rPr>
      <w:rFonts w:hint="eastAsia" w:ascii="宋体" w:hAnsi="宋体" w:eastAsia="宋体" w:cs="宋体"/>
      <w:color w:val="000000"/>
      <w:sz w:val="18"/>
      <w:szCs w:val="18"/>
      <w:u w:val="none"/>
    </w:rPr>
  </w:style>
  <w:style w:type="character" w:customStyle="1" w:styleId="85">
    <w:name w:val="font31"/>
    <w:basedOn w:val="28"/>
    <w:qFormat/>
    <w:uiPriority w:val="0"/>
    <w:rPr>
      <w:rFonts w:hint="default" w:ascii="Times New Roman" w:hAnsi="Times New Roman" w:cs="Times New Roman"/>
      <w:color w:val="000000"/>
      <w:sz w:val="18"/>
      <w:szCs w:val="18"/>
      <w:u w:val="none"/>
    </w:rPr>
  </w:style>
  <w:style w:type="character" w:customStyle="1" w:styleId="86">
    <w:name w:val="font21"/>
    <w:basedOn w:val="28"/>
    <w:qFormat/>
    <w:uiPriority w:val="0"/>
    <w:rPr>
      <w:rFonts w:hint="default" w:ascii="Times New Roman" w:hAnsi="Times New Roman" w:cs="Times New Roman"/>
      <w:b/>
      <w:bCs/>
      <w:color w:val="000000"/>
      <w:sz w:val="18"/>
      <w:szCs w:val="18"/>
      <w:u w:val="none"/>
    </w:rPr>
  </w:style>
  <w:style w:type="paragraph" w:customStyle="1" w:styleId="87">
    <w:name w:val="正文-表格"/>
    <w:basedOn w:val="1"/>
    <w:qFormat/>
    <w:uiPriority w:val="0"/>
    <w:pPr>
      <w:spacing w:line="240" w:lineRule="auto"/>
      <w:jc w:val="both"/>
    </w:pPr>
    <w:rPr>
      <w:rFonts w:cs="Times New Roman"/>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7.wmf"/><Relationship Id="rId22" Type="http://schemas.openxmlformats.org/officeDocument/2006/relationships/oleObject" Target="embeddings/oleObject1.bin"/><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chemeClr val="tx1"/>
          </a:solidFill>
          <a:prstDash val="lgDashDot"/>
        </a:ln>
      </a:spPr>
      <a:bodyPr rot="0" vertOverflow="overflow" horzOverflow="overflow" vert="horz" wrap="square" lIns="91440" tIns="45720" rIns="91440" bIns="45720" numCol="1" spcCol="0" rtlCol="0" fromWordArt="0" anchor="ctr" anchorCtr="0" forceAA="0" compatLnSpc="1">
        <a:noAutofit/>
      </a:bodyPr>
      <a:lstStyle/>
      <a:style>
        <a:lnRef idx="2">
          <a:schemeClr val="accent1">
            <a:shade val="50000"/>
          </a:schemeClr>
        </a:lnRef>
        <a:fillRef idx="1">
          <a:schemeClr val="accent1"/>
        </a:fillRef>
        <a:effectRef idx="0">
          <a:schemeClr val="accent1"/>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fabca88e-8e82-4680-968c-9f3c2b094a92</errorID>
      <errorWord>河南省安阳市汤阴县</errorWord>
      <group>L1_AI</group>
      <groupName>深度校对</groupName>
      <ability>L2_AI_Grammar</ability>
      <abilityName>语法纠错</abilityName>
      <candidateList>
        <item>河南省</item>
      </candidateList>
      <explain/>
      <paraID>2541232E</paraID>
      <start>0</start>
      <end>9</end>
      <status>unmodified</status>
      <modifiedWord/>
      <trackRevisions>false</trackRevisions>
    </reviewItem>
    <reviewItem>
      <errorID>07c6c08f-482d-44e6-a86f-15fd0f1288b6</errorID>
      <errorWord>[2012]1076号</errorWord>
      <group>L1_Knowledge</group>
      <groupName>知识性问题</groupName>
      <ability>L2_Knowledge</ability>
      <abilityName>其他知识</abilityName>
      <candidateList>
        <item>〔2012〕1076号</item>
      </candidateList>
      <explain>发文字号格式错误。</explain>
      <paraID>51CAEBF9</paraID>
      <start>15</start>
      <end>26</end>
      <status>unmodified</status>
      <modifiedWord/>
      <trackRevisions>false</trackRevisions>
    </reviewItem>
    <reviewItem>
      <errorID>d86e58a4-667d-47aa-9cae-07a7cd6b28ae</errorID>
      <errorWord>[2017]251号</errorWord>
      <group>L1_Knowledge</group>
      <groupName>知识性问题</groupName>
      <ability>L2_Knowledge</ability>
      <abilityName>其他知识</abilityName>
      <candidateList>
        <item>〔2017〕251号</item>
      </candidateList>
      <explain>发文字号格式错误。</explain>
      <paraID>488AE212</paraID>
      <start>13</start>
      <end>23</end>
      <status>unmodified</status>
      <modifiedWord/>
      <trackRevisions>false</trackRevisions>
    </reviewItem>
    <reviewItem>
      <errorID>445eb684-47a5-4a11-a60e-1ddf6f4a3e69</errorID>
      <errorWord>一、与汤阴县产业集聚区规划及规划环评符合性分析</errorWord>
      <group>L1_AI</group>
      <groupName>深度校对</groupName>
      <ability>L2_AI_Title</ability>
      <abilityName>标题检查</abilityName>
      <candidateList/>
      <explain>相邻标题序号不连续。前文已有一级标题“一、建设项目基本情况”，此处再次出现一级标题“一、与汤阴县产业集聚区规划及规划环评符合性分析”，导致相邻一级标题序号不连续</explain>
      <paraID>12E2D5EC</paraID>
      <start>0</start>
      <end>23</end>
      <status>unmodified</status>
      <modifiedWord/>
      <trackRevisions>false</trackRevisions>
    </reviewItem>
    <reviewItem>
      <errorID>9d920bfb-03e8-418e-a610-bf9575b25841</errorID>
      <errorWord>[2010]44号</errorWord>
      <group>L1_Knowledge</group>
      <groupName>知识性问题</groupName>
      <ability>L2_Knowledge</ability>
      <abilityName>其他知识</abilityName>
      <candidateList>
        <item>〔2010〕44号</item>
      </candidateList>
      <explain>发文字号格式错误。</explain>
      <paraID>1CA5EE70</paraID>
      <start>88</start>
      <end>97</end>
      <status>unmodified</status>
      <modifiedWord/>
      <trackRevisions>false</trackRevisions>
    </reviewItem>
    <reviewItem>
      <errorID>382413b6-78af-4f43-9f94-9babe451674a</errorID>
      <errorWord>占地面积为</errorWord>
      <group>L1_Word</group>
      <groupName>字词问题</groupName>
      <ability>L2_Typo</ability>
      <abilityName>字词错误</abilityName>
      <candidateList>
        <item>占地面积</item>
      </candidateList>
      <explain/>
      <paraID>10DE9D90</paraID>
      <start>174</start>
      <end>179</end>
      <status>unmodified</status>
      <modifiedWord/>
      <trackRevisions>false</trackRevisions>
    </reviewItem>
    <reviewItem>
      <errorID>f19a4437-455d-466b-b64e-0336c55d9d7b</errorID>
      <errorWord>向北取直接</errorWord>
      <group>L1_AI</group>
      <groupName>深度校对</groupName>
      <ability>L2_AI_Grammar</ability>
      <abilityName>语法纠错</abilityName>
      <candidateList>
        <item>处折向</item>
      </candidateList>
      <explain/>
      <paraID>1C0303AD</paraID>
      <start>43</start>
      <end>48</end>
      <status>unmodified</status>
      <modifiedWord/>
      <trackRevisions>false</trackRevisions>
    </reviewItem>
    <reviewItem>
      <errorID>63785f13-7c68-4fa1-a6f2-90b8f94c61a8</errorID>
      <errorWord>、</errorWord>
      <group>L1_AI</group>
      <groupName>深度校对</groupName>
      <ability>L2_AI_Punc</ability>
      <abilityName>标点纠错</abilityName>
      <candidateList>
        <item>，</item>
      </candidateList>
      <explain/>
      <paraID>4ED065D2</paraID>
      <start>18</start>
      <end>19</end>
      <status>unmodified</status>
      <modifiedWord/>
      <trackRevisions>false</trackRevisions>
    </reviewItem>
    <reviewItem>
      <errorID>4fc4d170-6f10-4829-87e4-78fc96656d5a</errorID>
      <errorWord>[2013]41号</errorWord>
      <group>L1_Knowledge</group>
      <groupName>知识性问题</groupName>
      <ability>L2_Knowledge</ability>
      <abilityName>其他知识</abilityName>
      <candidateList>
        <item>〔2013〕41号</item>
      </candidateList>
      <explain>发文字号格式错误。</explain>
      <paraID>7C02EA19</paraID>
      <start>29</start>
      <end>38</end>
      <status>unmodified</status>
      <modifiedWord/>
      <trackRevisions>false</trackRevisions>
    </reviewItem>
    <reviewItem>
      <errorID>6f2e98a1-5cc5-43ac-a7d2-c501e8f4caf9</errorID>
      <errorWord>[2015]66号</errorWord>
      <group>L1_Knowledge</group>
      <groupName>知识性问题</groupName>
      <ability>L2_Knowledge</ability>
      <abilityName>其他知识</abilityName>
      <candidateList>
        <item>〔2015〕66号</item>
      </candidateList>
      <explain>发文字号格式错误。</explain>
      <paraID>1F75C124</paraID>
      <start>43</start>
      <end>52</end>
      <status>unmodified</status>
      <modifiedWord/>
      <trackRevisions>false</trackRevisions>
    </reviewItem>
    <reviewItem>
      <errorID>9a4f93e2-0062-410c-ac67-f8ef068570db</errorID>
      <errorWord>，</errorWord>
      <group>L1_Grammar</group>
      <groupName>语法问题</groupName>
      <ability>L2_Missing</ability>
      <abilityName>成分残缺</abilityName>
      <candidateList>
        <item>的项目，</item>
      </candidateList>
      <explain>句子中可能存在主谓宾、修饰语或者必要的词语残缺。</explain>
      <paraID>3DBF1D73</paraID>
      <start>20</start>
      <end>21</end>
      <status>unmodified</status>
      <modifiedWord/>
      <trackRevisions>false</trackRevisions>
    </reviewItem>
    <reviewItem>
      <errorID>39e4ab6b-3605-401e-a336-8c1f01eb239c</errorID>
      <errorWord>洁霉素</errorWord>
      <group>L1_Knowledge</group>
      <groupName>知识性问题</groupName>
      <ability>L2_Term</ability>
      <abilityName>专业术语</abilityName>
      <candidateList>
        <item>林可霉素</item>
      </candidateList>
      <explain>医学名词[洁霉素]为不规范表述或旧称，其规范书面表述为[林可霉素]。</explain>
      <paraID>52AC8913</paraID>
      <start>30</start>
      <end>33</end>
      <status>unmodified</status>
      <modifiedWord/>
      <trackRevisions>false</trackRevisions>
    </reviewItem>
    <reviewItem>
      <errorID>e0dcd7cc-69ce-45a3-89cd-4552a2abdd18</errorID>
      <errorWord>盐磺酸</errorWord>
      <group>L1_AI</group>
      <groupName>深度校对</groupName>
      <ability>L2_AI_Grammar</ability>
      <abilityName>语法纠错</abilityName>
      <candidateList>
        <item>盐酸</item>
      </candidateList>
      <explain/>
      <paraID>70E8F12A</paraID>
      <start>21</start>
      <end>24</end>
      <status>unmodified</status>
      <modifiedWord/>
      <trackRevisions>false</trackRevisions>
    </reviewItem>
    <reviewItem>
      <errorID>d76d62b3-92e7-4930-85d8-4ceec09eda7e</errorID>
      <errorWord>黄连素</errorWord>
      <group>L1_Knowledge</group>
      <groupName>知识性问题</groupName>
      <ability>L2_Term</ability>
      <abilityName>专业术语</abilityName>
      <candidateList>
        <item>小檗碱</item>
      </candidateList>
      <explain>医学名词[黄连素]为不规范表述或旧称，其规范书面表述为[小檗碱]。</explain>
      <paraID>70E8F12A</paraID>
      <start>24</start>
      <end>27</end>
      <status>unmodified</status>
      <modifiedWord/>
      <trackRevisions>false</trackRevisions>
    </reviewItem>
    <reviewItem>
      <errorID>d69e799d-88c8-48d1-9a9d-49f7e7d04b1a</errorID>
      <errorWord>国家发改委</errorWord>
      <group>L1_Knowledge</group>
      <groupName>知识性问题</groupName>
      <ability>L2_Knowledge</ability>
      <abilityName>其他知识</abilityName>
      <candidateList>
        <item>国家发展改革委</item>
      </candidateList>
      <explain/>
      <paraID>5E6549EF</paraID>
      <start>25</start>
      <end>30</end>
      <status>unmodified</status>
      <modifiedWord/>
      <trackRevisions>false</trackRevisions>
    </reviewItem>
    <reviewItem>
      <errorID>548e83d2-7917-49b3-8cbb-c87bbfd62e1a</errorID>
      <errorWord>：</errorWord>
      <group>L1_AI</group>
      <groupName>深度校对</groupName>
      <ability>L2_AI_Punc</ability>
      <abilityName>标点纠错</abilityName>
      <candidateList>
        <item>。</item>
      </candidateList>
      <explain/>
      <paraID>37CEC471</paraID>
      <start>37</start>
      <end>38</end>
      <status>unmodified</status>
      <modifiedWord/>
      <trackRevisions>false</trackRevisions>
    </reviewItem>
    <reviewItem>
      <errorID>8cf72eeb-d83b-474c-8b7c-abf4b54e920b</errorID>
      <errorWord>法律、法规</errorWord>
      <group>L1_Word</group>
      <groupName>字词问题</groupName>
      <ability>L2_Typo</ability>
      <abilityName>字词错误</abilityName>
      <candidateList>
        <item>法律法规</item>
      </candidateList>
      <explain/>
      <paraID>64D7838F</paraID>
      <start>58</start>
      <end>63</end>
      <status>unmodified</status>
      <modifiedWord/>
      <trackRevisions>false</trackRevisions>
    </reviewItem>
    <reviewItem>
      <errorID>b1970be7-e4b4-4f11-a757-fca51265320a</errorID>
      <errorWord>）</errorWord>
      <group>L1_Word</group>
      <groupName>字词问题</groupName>
      <ability>L2_Typo</ability>
      <abilityName>字词错误</abilityName>
      <candidateList>
        <item>）进</item>
      </candidateList>
      <explain/>
      <paraID>1D81A708</paraID>
      <start>2</start>
      <end>3</end>
      <status>unmodified</status>
      <modifiedWord/>
      <trackRevisions>false</trackRevisions>
    </reviewItem>
    <reviewItem>
      <errorID>20ee6fb1-a762-4e58-acf0-a135e3cf729e</errorID>
      <errorWord>建</errorWord>
      <group>L1_Word</group>
      <groupName>字词问题</groupName>
      <ability>L2_Typo</ability>
      <abilityName>字词错误</abilityName>
      <candidateList>
        <item>建设</item>
      </candidateList>
      <explain>〈动〉创立新事业；增加新设施：经济～｜～家园｜～现代化强国◇组织～｜思想～。</explain>
      <paraID>270133D3</paraID>
      <start>16</start>
      <end>17</end>
      <status>unmodified</status>
      <modifiedWord/>
      <trackRevisions>false</trackRevisions>
    </reviewItem>
    <reviewItem>
      <errorID>2bbbd05a-60e1-402f-9c18-68278509620b</errorID>
      <errorWord>渔业法</errorWord>
      <group>L1_Knowledge</group>
      <groupName>知识性问题</groupName>
      <ability>L2_Knowledge</ability>
      <abilityName>其他知识</abilityName>
      <candidateList>
        <item>中华人民共和国渔业法</item>
      </candidateList>
      <explain>当前法律法规名称使用简称，请注意是否应当使用全称。</explain>
      <paraID> 2B6CD36</paraID>
      <start>85</start>
      <end>88</end>
      <status>unmodified</status>
      <modifiedWord/>
      <trackRevisions>false</trackRevisions>
    </reviewItem>
    <reviewItem>
      <errorID>07f494fa-9a16-4dfd-9378-49f8d6d43581</errorID>
      <errorWord>取水水质</errorWord>
      <group>L1_Knowledge</group>
      <groupName>知识性问题</groupName>
      <ability>L2_Term</ability>
      <abilityName>专业术语</abilityName>
      <candidateList>
        <item>出水水质</item>
      </candidateList>
      <explain/>
      <paraID>197C7728</paraID>
      <start>103</start>
      <end>107</end>
      <status>unmodified</status>
      <modifiedWord/>
      <trackRevisions>false</trackRevisions>
    </reviewItem>
    <reviewItem>
      <errorID>13c8b80b-92b9-489b-b0d1-fefa8551f3e7</errorID>
      <errorWord>,</errorWord>
      <group>L1_Format</group>
      <groupName>格式问题</groupName>
      <ability>L2_HalfPunc</ability>
      <abilityName>全半角检查</abilityName>
      <candidateList>
        <item>，</item>
      </candidateList>
      <explain>文本全半角错误。</explain>
      <paraID>197C7728</paraID>
      <start>128</start>
      <end>129</end>
      <status>unmodified</status>
      <modifiedWord/>
      <trackRevisions>false</trackRevisions>
    </reviewItem>
    <reviewItem>
      <errorID>dbdb494d-b90e-4dbf-9e26-2d421a10a34c</errorID>
      <errorWord>,</errorWord>
      <group>L1_Format</group>
      <groupName>格式问题</groupName>
      <ability>L2_HalfPunc</ability>
      <abilityName>全半角检查</abilityName>
      <candidateList>
        <item>，</item>
      </candidateList>
      <explain>文本全半角错误。</explain>
      <paraID>197C7728</paraID>
      <start>139</start>
      <end>140</end>
      <status>unmodified</status>
      <modifiedWord/>
      <trackRevisions>false</trackRevisions>
    </reviewItem>
    <reviewItem>
      <errorID>48f26650-32bc-4ac5-ac7d-39cd53a3d77c</errorID>
      <errorWord>污水厂</errorWord>
      <group>L1_Word</group>
      <groupName>字词问题</groupName>
      <ability>L2_Typo</ability>
      <abilityName>字词错误</abilityName>
      <candidateList>
        <item>污水处理厂</item>
      </candidateList>
      <explain/>
      <paraID>7E8EEDBB</paraID>
      <start>21</start>
      <end>24</end>
      <status>unmodified</status>
      <modifiedWord/>
      <trackRevisions>false</trackRevisions>
    </reviewItem>
    <reviewItem>
      <errorID>1a33882c-bec1-4737-a671-5eee4a3b459b</errorID>
      <errorWord>十四五期间</errorWord>
      <group>L1_Political</group>
      <groupName>政治性问题</groupName>
      <ability>L2_Keyword</ability>
      <abilityName>固定表述</abilityName>
      <candidateList>
        <item>“十四五”期间</item>
      </candidateList>
      <explain>注意检查当前固定表述标点是否使用规范。</explain>
      <paraID>7B6E5DD1</paraID>
      <start>0</start>
      <end>5</end>
      <status>unmodified</status>
      <modifiedWord/>
      <trackRevisions>false</trackRevisions>
    </reviewItem>
    <reviewItem>
      <errorID>2d631e4e-e7da-4229-9156-28ad4a6493c3</errorID>
      <errorWord>备用</errorWord>
      <group>L1_Word</group>
      <groupName>字词问题</groupName>
      <ability>L2_Typo</ability>
      <abilityName>字词错误</abilityName>
      <candidateList>
        <item>用</item>
      </candidateList>
      <explain/>
      <paraID>6BDD5FA1</paraID>
      <start>89</start>
      <end>91</end>
      <status>unmodified</status>
      <modifiedWord/>
      <trackRevisions>false</trackRevisions>
    </reviewItem>
    <reviewItem>
      <errorID>24dda750-e547-47c7-9240-08f82e63be33</errorID>
      <errorWord>污水厂</errorWord>
      <group>L1_Word</group>
      <groupName>字词问题</groupName>
      <ability>L2_Typo</ability>
      <abilityName>字词错误</abilityName>
      <candidateList>
        <item>污水处理厂</item>
      </candidateList>
      <explain/>
      <paraID> C4221BA</paraID>
      <start>21</start>
      <end>24</end>
      <status>unmodified</status>
      <modifiedWord/>
      <trackRevisions>false</trackRevisions>
    </reviewItem>
    <reviewItem>
      <errorID>fdcadb3e-4262-4af2-af42-9b80b1d84005</errorID>
      <errorWord>[2016]23号</errorWord>
      <group>L1_Knowledge</group>
      <groupName>知识性问题</groupName>
      <ability>L2_Knowledge</ability>
      <abilityName>其他知识</abilityName>
      <candidateList>
        <item>〔2016〕23号</item>
      </candidateList>
      <explain>发文字号格式错误。</explain>
      <paraID>4DDD8D5D</paraID>
      <start>42</start>
      <end>51</end>
      <status>unmodified</status>
      <modifiedWord/>
      <trackRevisions>false</trackRevisions>
    </reviewItem>
    <reviewItem>
      <errorID>1c7e8a27-d04a-4b3e-91ce-7c4a2a71e8d3</errorID>
      <errorWord>[2018]114号</errorWord>
      <group>L1_Knowledge</group>
      <groupName>知识性问题</groupName>
      <ability>L2_Knowledge</ability>
      <abilityName>其他知识</abilityName>
      <candidateList>
        <item>〔2018〕114号</item>
      </candidateList>
      <explain>发文字号格式错误。</explain>
      <paraID>4DDD8D5D</paraID>
      <start>84</start>
      <end>94</end>
      <status>unmodified</status>
      <modifiedWord/>
      <trackRevisions>false</trackRevisions>
    </reviewItem>
    <reviewItem>
      <errorID>ed97879a-4328-4424-92d2-e26672cacaa4</errorID>
      <errorWord>[2020]56号</errorWord>
      <group>L1_Knowledge</group>
      <groupName>知识性问题</groupName>
      <ability>L2_Knowledge</ability>
      <abilityName>其他知识</abilityName>
      <candidateList>
        <item>〔2020〕56号</item>
      </candidateList>
      <explain>发文字号格式错误。</explain>
      <paraID>4DDD8D5D</paraID>
      <start>133</start>
      <end>142</end>
      <status>unmodified</status>
      <modifiedWord/>
      <trackRevisions>false</trackRevisions>
    </reviewItem>
    <reviewItem>
      <errorID>f99c59ac-fe61-43b3-b303-5e62306968a6</errorID>
      <errorWord>[2020]99号</errorWord>
      <group>L1_Knowledge</group>
      <groupName>知识性问题</groupName>
      <ability>L2_Knowledge</ability>
      <abilityName>其他知识</abilityName>
      <candidateList>
        <item>〔2020〕99号</item>
      </candidateList>
      <explain>发文字号格式错误。</explain>
      <paraID>4DDD8D5D</paraID>
      <start>181</start>
      <end>190</end>
      <status>unmodified</status>
      <modifiedWord/>
      <trackRevisions>false</trackRevisions>
    </reviewItem>
    <reviewItem>
      <errorID>8265f2d6-df87-4f8d-9ffa-fbf80b39ac78</errorID>
      <errorWord>级级</errorWord>
      <group>L1_Word</group>
      <groupName>字词问题</groupName>
      <ability>L2_Typo</ability>
      <abilityName>字词错误</abilityName>
      <candidateList>
        <item>级</item>
      </candidateList>
      <explain/>
      <paraID>4DDD8D5D</paraID>
      <start>200</start>
      <end>202</end>
      <status>unmodified</status>
      <modifiedWord/>
      <trackRevisions>false</trackRevisions>
    </reviewItem>
    <reviewItem>
      <errorID>8132fc32-1ccc-4ed3-955b-b3b4244d21f5</errorID>
      <errorWord>进行</errorWord>
      <group>L1_Word</group>
      <groupName>字词问题</groupName>
      <ability>L2_Typo</ability>
      <abilityName>字词错误</abilityName>
      <candidateList>
        <item>进</item>
      </candidateList>
      <explain/>
      <paraID>3D000DAA</paraID>
      <start>44</start>
      <end>46</end>
      <status>unmodified</status>
      <modifiedWord/>
      <trackRevisions>false</trackRevisions>
    </reviewItem>
    <reviewItem>
      <errorID>794e202b-0c40-4189-a072-cc8602030816</errorID>
      <errorWord>进行</errorWord>
      <group>L1_Word</group>
      <groupName>字词问题</groupName>
      <ability>L2_Typo</ability>
      <abilityName>字词错误</abilityName>
      <candidateList>
        <item>进</item>
      </candidateList>
      <explain/>
      <paraID>380B1E40</paraID>
      <start>16</start>
      <end>18</end>
      <status>unmodified</status>
      <modifiedWord/>
      <trackRevisions>false</trackRevisions>
    </reviewItem>
    <reviewItem>
      <errorID>777bacdb-e8ab-4489-84cb-b947be5c3b7d</errorID>
      <errorWord>.</errorWord>
      <group>L1_Format</group>
      <groupName>格式问题</groupName>
      <ability>L2_HalfPunc</ability>
      <abilityName>全半角检查</abilityName>
      <candidateList>
        <item>。</item>
      </candidateList>
      <explain>文本全半角错误。</explain>
      <paraID>1FD9727F</paraID>
      <start>3</start>
      <end>4</end>
      <status>unmodified</status>
      <modifiedWord/>
      <trackRevisions>false</trackRevisions>
    </reviewItem>
    <reviewItem>
      <errorID>7ae6ebdd-d0b9-4c93-920c-235a2a59c691</errorID>
      <errorWord>,</errorWord>
      <group>L1_Format</group>
      <groupName>格式问题</groupName>
      <ability>L2_HalfPunc</ability>
      <abilityName>全半角检查</abilityName>
      <candidateList>
        <item>，</item>
      </candidateList>
      <explain>文本全半角错误。</explain>
      <paraID>22E632F3</paraID>
      <start>85</start>
      <end>86</end>
      <status>unmodified</status>
      <modifiedWord/>
      <trackRevisions>false</trackRevisions>
    </reviewItem>
    <reviewItem>
      <errorID>37a63df2-01b6-4adb-b186-d18961cc6fc2</errorID>
      <errorWord>,</errorWord>
      <group>L1_Format</group>
      <groupName>格式问题</groupName>
      <ability>L2_HalfPunc</ability>
      <abilityName>全半角检查</abilityName>
      <candidateList>
        <item>，</item>
      </candidateList>
      <explain>文本全半角错误。</explain>
      <paraID>798078FD</paraID>
      <start>88</start>
      <end>89</end>
      <status>unmodified</status>
      <modifiedWord/>
      <trackRevisions>false</trackRevisions>
    </reviewItem>
    <reviewItem>
      <errorID>73968dc8-1082-4a08-ae1a-6364a8618cd1</errorID>
      <errorWord>,</errorWord>
      <group>L1_Format</group>
      <groupName>格式问题</groupName>
      <ability>L2_HalfPunc</ability>
      <abilityName>全半角检查</abilityName>
      <candidateList>
        <item>，</item>
      </candidateList>
      <explain>文本全半角错误。</explain>
      <paraID>74B72EE2</paraID>
      <start>42</start>
      <end>43</end>
      <status>unmodified</status>
      <modifiedWord/>
      <trackRevisions>false</trackRevisions>
    </reviewItem>
    <reviewItem>
      <errorID>d4f1637e-c65d-4543-a4b4-a45d8e035ddf</errorID>
      <errorWord>,</errorWord>
      <group>L1_Format</group>
      <groupName>格式问题</groupName>
      <ability>L2_HalfPunc</ability>
      <abilityName>全半角检查</abilityName>
      <candidateList>
        <item>，</item>
      </candidateList>
      <explain>文本全半角错误。</explain>
      <paraID>6509D991</paraID>
      <start>41</start>
      <end>42</end>
      <status>unmodified</status>
      <modifiedWord/>
      <trackRevisions>false</trackRevisions>
    </reviewItem>
    <reviewItem>
      <errorID>05a91498-70bc-447a-ae15-20b3d0dfc99c</errorID>
      <errorWord>,</errorWord>
      <group>L1_Format</group>
      <groupName>格式问题</groupName>
      <ability>L2_HalfPunc</ability>
      <abilityName>全半角检查</abilityName>
      <candidateList>
        <item>，</item>
      </candidateList>
      <explain>文本全半角错误。</explain>
      <paraID>484F663D</paraID>
      <start>37</start>
      <end>38</end>
      <status>unmodified</status>
      <modifiedWord/>
      <trackRevisions>false</trackRevisions>
    </reviewItem>
    <reviewItem>
      <errorID>c1700a5c-5753-4592-b9fb-60a5d05c248c</errorID>
      <errorWord>,</errorWord>
      <group>L1_Format</group>
      <groupName>格式问题</groupName>
      <ability>L2_HalfPunc</ability>
      <abilityName>全半角检查</abilityName>
      <candidateList>
        <item>，</item>
      </candidateList>
      <explain>文本全半角错误。</explain>
      <paraID>44868027</paraID>
      <start>38</start>
      <end>39</end>
      <status>unmodified</status>
      <modifiedWord/>
      <trackRevisions>false</trackRevisions>
    </reviewItem>
    <reviewItem>
      <errorID>ae8a9d8b-e956-4340-8518-77895726d74b</errorID>
      <errorWord>进行</errorWord>
      <group>L1_Word</group>
      <groupName>字词问题</groupName>
      <ability>L2_Typo</ability>
      <abilityName>字词错误</abilityName>
      <candidateList>
        <item>进</item>
      </candidateList>
      <explain/>
      <paraID>70839733</paraID>
      <start>17</start>
      <end>19</end>
      <status>unmodified</status>
      <modifiedWord/>
      <trackRevisions>false</trackRevisions>
    </reviewItem>
    <reviewItem>
      <errorID>f529f98c-da14-4bcd-ae5c-98d40f24a32c</errorID>
      <errorWord>全</errorWord>
      <group>L1_Word</group>
      <groupName>字词问题</groupName>
      <ability>L2_Typo</ability>
      <abilityName>字词错误</abilityName>
      <candidateList>
        <item>前</item>
      </candidateList>
      <explain>存在发音相近字词的误用。</explain>
      <paraID>73E22E76</paraID>
      <start>64</start>
      <end>65</end>
      <status>unmodified</status>
      <modifiedWord/>
      <trackRevisions>false</trackRevisions>
    </reviewItem>
    <reviewItem>
      <errorID>847b748e-44c7-499d-b2e9-9a3242adbfd8</errorID>
      <errorWord>标示</errorWord>
      <group>L1_Word</group>
      <groupName>字词问题</groupName>
      <ability>L2_Typo</ability>
      <abilityName>字词错误</abilityName>
      <candidateList>
        <item>标识</item>
      </candidateList>
      <explain>存在发音相同字词的误用。</explain>
      <paraID>1B318459</paraID>
      <start>4</start>
      <end>6</end>
      <status>unmodified</status>
      <modifiedWord/>
      <trackRevisions>false</trackRevisions>
    </reviewItem>
    <reviewItem>
      <errorID>6a4dc4ed-c2fb-4cf4-9d69-53fd9eacb520</errorID>
      <errorWord>标示</errorWord>
      <group>L1_Word</group>
      <groupName>字词问题</groupName>
      <ability>L2_Typo</ability>
      <abilityName>字词错误</abilityName>
      <candidateList>
        <item>标识</item>
      </candidateList>
      <explain>存在发音相同字词的误用。</explain>
      <paraID>  E3208C</paraID>
      <start>4</start>
      <end>6</end>
      <status>unmodified</status>
      <modifiedWord/>
      <trackRevisions>false</trackRevisions>
    </reviewItem>
    <reviewItem>
      <errorID>a8fd767b-146a-445d-bcae-b7faebec6f8c</errorID>
      <errorWord>意苡</errorWord>
      <group>L1_Knowledge</group>
      <groupName>知识性问题</groupName>
      <ability>L2_Term</ability>
      <abilityName>专业术语</abilityName>
      <candidateList>
        <item>薏苡</item>
      </candidateList>
      <explain>医学名词[意苡]为不规范表述或旧称，其规范书面表述为[薏苡]。</explain>
      <paraID>2FCC039C</paraID>
      <start>0</start>
      <end>2</end>
      <status>unmodified</status>
      <modifiedWord/>
      <trackRevisions>false</trackRevisions>
    </reviewItem>
    <reviewItem>
      <errorID>4bfe818d-ac24-4f80-ba46-ed5912dc26e8</errorID>
      <errorWord>70%~75%</errorWord>
      <group>L1_Knowledge</group>
      <groupName>知识性问题</groupName>
      <ability>L2_Knowledge</ability>
      <abilityName>其他知识</abilityName>
      <candidateList>
        <item>70%～75%</item>
      </candidateList>
      <explain>1. “70%~75%”中的单位“%”仅出现在后一个数字上，容易引起歧义；根据《现代汉语标点符号数字用法规范手册》，数字表示范围两边需要使用统一的格式。2. 根据标点国标 4.13 中的规则，数字、时间或地域连接符应使用（视觉上更长的）“—”或“～”。</explain>
      <paraID> 205B6A6</paraID>
      <start>191</start>
      <end>198</end>
      <status>unmodified</status>
      <modifiedWord/>
      <trackRevisions>false</trackRevisions>
    </reviewItem>
    <reviewItem>
      <errorID>45a5c681-5f68-4b66-82bf-94f74115de3d</errorID>
      <errorWord>配置</errorWord>
      <group>L1_Word</group>
      <groupName>字词问题</groupName>
      <ability>L2_Typo</ability>
      <abilityName>字词错误</abilityName>
      <candidateList>
        <item>配制</item>
      </candidateList>
      <explain/>
      <paraID>7D842531</paraID>
      <start>26</start>
      <end>28</end>
      <status>unmodified</status>
      <modifiedWord/>
      <trackRevisions>false</trackRevisions>
    </reviewItem>
    <reviewItem>
      <errorID>de506a10-7f87-44d9-9ab8-5eeb73e5ea96</errorID>
      <errorWord>1万~10万</errorWord>
      <group>L1_Knowledge</group>
      <groupName>知识性问题</groupName>
      <ability>L2_Knowledge</ability>
      <abilityName>其他知识</abilityName>
      <candidateList>
        <item>1万～10万</item>
      </candidateList>
      <explain>1. “1万~10万”中的单位“万”仅出现在后一个数字上，容易引起歧义；根据《现代汉语标点符号数字用法规范手册》，数字表示范围两边需要使用统一的格式。2.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2F6CF32A</paraID>
      <start>86</start>
      <end>92</end>
      <status>unmodified</status>
      <modifiedWord/>
      <trackRevisions>false</trackRevisions>
    </reviewItem>
    <reviewItem>
      <errorID>35d40758-ff7c-4fb7-875d-71ba58099e59</errorID>
      <errorWord>融化</errorWord>
      <group>L1_Word</group>
      <groupName>字词问题</groupName>
      <ability>L2_Typo</ability>
      <abilityName>字词错误</abilityName>
      <candidateList>
        <item>熔化</item>
      </candidateList>
      <explain>存在发音相同字词的误用。</explain>
      <paraID>37F02548</paraID>
      <start>71</start>
      <end>73</end>
      <status>unmodified</status>
      <modifiedWord/>
      <trackRevisions>false</trackRevisions>
    </reviewItem>
    <reviewItem>
      <errorID>80b37b0e-36bb-4143-a756-1e6c1bfa55ea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7D822B16</paraID>
      <start>0</start>
      <end>2</end>
      <status>unmodified</status>
      <modifiedWord/>
      <trackRevisions>false</trackRevisions>
    </reviewItem>
    <reviewItem>
      <errorID>cfa46775-e712-4ad9-be87-caf5c7cc3fd1</errorID>
      <errorWord>意苡</errorWord>
      <group>L1_Knowledge</group>
      <groupName>知识性问题</groupName>
      <ability>L2_Term</ability>
      <abilityName>专业术语</abilityName>
      <candidateList>
        <item>薏苡</item>
      </candidateList>
      <explain>医学名词[意苡]为不规范表述或旧称，其规范书面表述为[薏苡]。</explain>
      <paraID>4C7455A3</paraID>
      <start>0</start>
      <end>2</end>
      <status>unmodified</status>
      <modifiedWord/>
      <trackRevisions>false</trackRevisions>
    </reviewItem>
    <reviewItem>
      <errorID>df652744-a217-4e12-86b2-8db3b3b9c2bf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5FB9CC4</paraID>
      <start>0</start>
      <end>2</end>
      <status>unmodified</status>
      <modifiedWord/>
      <trackRevisions>false</trackRevisions>
    </reviewItem>
    <reviewItem>
      <errorID>8f3fd58c-bb9e-47c0-8a8d-72b8932922eb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6E6E89D4</paraID>
      <start>0</start>
      <end>2</end>
      <status>unmodified</status>
      <modifiedWord/>
      <trackRevisions>false</trackRevisions>
    </reviewItem>
    <reviewItem>
      <errorID>9130c75f-f8a2-4790-a9d0-405e108cca56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5F2AC516</paraID>
      <start>0</start>
      <end>2</end>
      <status>unmodified</status>
      <modifiedWord/>
      <trackRevisions>false</trackRevisions>
    </reviewItem>
    <reviewItem>
      <errorID>e06f5b05-bbca-4cd7-a085-80623094c4ac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47B1327D</paraID>
      <start>0</start>
      <end>2</end>
      <status>unmodified</status>
      <modifiedWord/>
      <trackRevisions>false</trackRevisions>
    </reviewItem>
    <reviewItem>
      <errorID>09466ce6-29c5-4d2d-97f6-019d0de173e0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3A893EE0</paraID>
      <start>0</start>
      <end>2</end>
      <status>unmodified</status>
      <modifiedWord/>
      <trackRevisions>false</trackRevisions>
    </reviewItem>
    <reviewItem>
      <errorID>af3030e9-f90b-413d-b0d3-fe01ff3eecc0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27263EAE</paraID>
      <start>0</start>
      <end>2</end>
      <status>unmodified</status>
      <modifiedWord/>
      <trackRevisions>false</trackRevisions>
    </reviewItem>
    <reviewItem>
      <errorID>ab1f38f1-49c8-4b97-9d50-e62be518c48f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2ADB6383</paraID>
      <start>0</start>
      <end>2</end>
      <status>unmodified</status>
      <modifiedWord/>
      <trackRevisions>false</trackRevisions>
    </reviewItem>
    <reviewItem>
      <errorID>77fe8802-eb7a-449c-896c-79ff0e684188</errorID>
      <errorWord>炮炙</errorWord>
      <group>L1_Word</group>
      <groupName>字词问题</groupName>
      <ability>L2_Typo</ability>
      <abilityName>字词错误</abilityName>
      <candidateList>
        <item>炮制</item>
      </candidateList>
      <explain/>
      <paraID>429197E7</paraID>
      <start>19</start>
      <end>21</end>
      <status>unmodified</status>
      <modifiedWord/>
      <trackRevisions>false</trackRevisions>
    </reviewItem>
    <reviewItem>
      <errorID>9b0ded4e-36cb-4d63-ab2c-d2cefe6847f1</errorID>
      <errorWord>拌均</errorWord>
      <group>L1_Word</group>
      <groupName>字词问题</groupName>
      <ability>L2_Typo</ability>
      <abilityName>字词错误</abilityName>
      <candidateList>
        <item>拌匀</item>
      </candidateList>
      <explain>存在字形相近字词的误用。</explain>
      <paraID>252924C4</paraID>
      <start>107</start>
      <end>109</end>
      <status>unmodified</status>
      <modifiedWord/>
      <trackRevisions>false</trackRevisions>
    </reviewItem>
    <reviewItem>
      <errorID>1c7162a1-f728-4aa5-96e8-1fc7879f7118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2831998</paraID>
      <start>0</start>
      <end>2</end>
      <status>unmodified</status>
      <modifiedWord/>
      <trackRevisions>false</trackRevisions>
    </reviewItem>
    <reviewItem>
      <errorID>91312508-e561-4921-896d-a69cafb3d99f</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18D0B60B</paraID>
      <start>84</start>
      <end>90</end>
      <status>unmodified</status>
      <modifiedWord/>
      <trackRevisions>false</trackRevisions>
    </reviewItem>
    <reviewItem>
      <errorID>84b9f82a-a04c-42cf-9a6c-f8e3e23ef1a8</errorID>
      <errorWord>没入</errorWord>
      <group>L1_Word</group>
      <groupName>字词问题</groupName>
      <ability>L2_Typo</ability>
      <abilityName>字词错误</abilityName>
      <candidateList>
        <item>浸入</item>
      </candidateList>
      <explain/>
      <paraID>18D0B60B</paraID>
      <start>173</start>
      <end>175</end>
      <status>unmodified</status>
      <modifiedWord/>
      <trackRevisions>false</trackRevisions>
    </reviewItem>
    <reviewItem>
      <errorID>5d1491df-f0f3-4e8e-af34-d06ea18f1332</errorID>
      <errorWord>~</errorWord>
      <group>L1_Format</group>
      <groupName>格式问题</groupName>
      <ability>L2_HalfPunc</ability>
      <abilityName>全半角检查</abilityName>
      <candidateList>
        <item>～</item>
      </candidateList>
      <explain>文本全半角错误。</explain>
      <paraID>18D0B60B</paraID>
      <start>181</start>
      <end>182</end>
      <status>unmodified</status>
      <modifiedWord/>
      <trackRevisions>false</trackRevisions>
    </reviewItem>
    <reviewItem>
      <errorID>aaf2a099-bb1b-446f-a1b4-9a3067c6404b</errorID>
      <errorWord>50%~90%</errorWord>
      <group>L1_Knowledge</group>
      <groupName>知识性问题</groupName>
      <ability>L2_Knowledge</ability>
      <abilityName>其他知识</abilityName>
      <candidateList>
        <item>50%～90%</item>
      </candidateList>
      <explain>1. “50%~90%”中的单位“%”仅出现在后一个数字上，容易引起歧义；根据《现代汉语标点符号数字用法规范手册》，数字表示范围两边需要使用统一的格式。2. 根据标点国标 4.13 中的规则，数字、时间或地域连接符应使用（视觉上更长的）“—”或“～”。</explain>
      <paraID> A5DEC96</paraID>
      <start>38</start>
      <end>45</end>
      <status>unmodified</status>
      <modifiedWord/>
      <trackRevisions>false</trackRevisions>
    </reviewItem>
    <reviewItem>
      <errorID>d12c26f1-04fa-4852-a977-9ed1b3bfc2df</errorID>
      <errorWord>粘稠</errorWord>
      <group>L1_Word</group>
      <groupName>字词问题</groupName>
      <ability>L2_Typo</ability>
      <abilityName>字词错误</abilityName>
      <candidateList>
        <item>黏稠</item>
      </candidateList>
      <explain>存在发音相同字词的误用。</explain>
      <paraID>294C7BB8</paraID>
      <start>21</start>
      <end>23</end>
      <status>unmodified</status>
      <modifiedWord/>
      <trackRevisions>false</trackRevisions>
    </reviewItem>
    <reviewItem>
      <errorID>c338e8bd-a3ff-42de-8df2-8ca9b4c6fe91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2CB8A4BA</paraID>
      <start>0</start>
      <end>2</end>
      <status>unmodified</status>
      <modifiedWord/>
      <trackRevisions>false</trackRevisions>
    </reviewItem>
    <reviewItem>
      <errorID>8c2b283d-5d9e-4b14-a4f8-5c3c8c883888</errorID>
      <errorWord>意苡</errorWord>
      <group>L1_Knowledge</group>
      <groupName>知识性问题</groupName>
      <ability>L2_Term</ability>
      <abilityName>专业术语</abilityName>
      <candidateList>
        <item>薏苡</item>
      </candidateList>
      <explain>医学名词[意苡]为不规范表述或旧称，其规范书面表述为[薏苡]。</explain>
      <paraID>56CEE632</paraID>
      <start>69</start>
      <end>71</end>
      <status>unmodified</status>
      <modifiedWord/>
      <trackRevisions>false</trackRevisions>
    </reviewItem>
    <reviewItem>
      <errorID>ff1fd595-2060-4946-9950-09c6580b5ce6</errorID>
      <errorWord>槽形</errorWord>
      <group>L1_Word</group>
      <groupName>字词问题</groupName>
      <ability>L2_Typo</ability>
      <abilityName>字词错误</abilityName>
      <candidateList>
        <item>槽型</item>
      </candidateList>
      <explain/>
      <paraID>20F6B518</paraID>
      <start>57</start>
      <end>59</end>
      <status>unmodified</status>
      <modifiedWord/>
      <trackRevisions>false</trackRevisions>
    </reviewItem>
    <reviewItem>
      <errorID>e813afa0-cebb-4cf4-8ebc-917fd4361d45</errorID>
      <errorWord>槽形</errorWord>
      <group>L1_Word</group>
      <groupName>字词问题</groupName>
      <ability>L2_Typo</ability>
      <abilityName>字词错误</abilityName>
      <candidateList>
        <item>槽型</item>
      </candidateList>
      <explain/>
      <paraID>6C52A4C7</paraID>
      <start>59</start>
      <end>61</end>
      <status>unmodified</status>
      <modifiedWord/>
      <trackRevisions>false</trackRevisions>
    </reviewItem>
    <reviewItem>
      <errorID>7761aa37-f972-4d0f-bd59-637d82471267</errorID>
      <errorWord>40～50%</errorWord>
      <group>L1_Knowledge</group>
      <groupName>知识性问题</groupName>
      <ability>L2_Knowledge</ability>
      <abilityName>其他知识</abilityName>
      <candidateList>
        <item>40%～50%</item>
      </candidateList>
      <explain>1. “40～50%”中的单位“%”仅出现在后一个数字上，容易引起歧义；根据《现代汉语标点符号数字用法规范手册》，数字表示范围两边需要使用统一的格式。2. 根据标点国标 4.13 中的规则，数字、时间或地域连接符应使用（视觉上更长的）“—”或“～”。</explain>
      <paraID>7FE05FE3</paraID>
      <start>138</start>
      <end>144</end>
      <status>unmodified</status>
      <modifiedWord/>
      <trackRevisions>false</trackRevisions>
    </reviewItem>
    <reviewItem>
      <errorID>3ae23439-dbb9-4b80-86e0-b0d4947a3a24</errorID>
      <errorWord>，</errorWord>
      <group>L1_Word</group>
      <groupName>字词问题</groupName>
      <ability>L2_Typo</ability>
      <abilityName>字词错误</abilityName>
      <candidateList>
        <item>，具</item>
      </candidateList>
      <explain/>
      <paraID>7FE05FE3</paraID>
      <start>228</start>
      <end>229</end>
      <status>unmodified</status>
      <modifiedWord/>
      <trackRevisions>false</trackRevisions>
    </reviewItem>
    <reviewItem>
      <errorID>588e9adb-1ecd-42d0-956f-6c80fcdfa335</errorID>
      <errorWord>芬芬</errorWord>
      <group>L1_Word</group>
      <groupName>字词问题</groupName>
      <ability>L2_Typo</ability>
      <abilityName>字词错误</abilityName>
      <candidateList>
        <item>芬</item>
      </candidateList>
      <explain/>
      <paraID>52B51DEB</paraID>
      <start>95</start>
      <end>97</end>
      <status>unmodified</status>
      <modifiedWord/>
      <trackRevisions>false</trackRevisions>
    </reviewItem>
    <reviewItem>
      <errorID>8eda273d-fec8-49c7-86eb-d48040b2901a</errorID>
      <errorWord>[2004]1号</errorWord>
      <group>L1_Knowledge</group>
      <groupName>知识性问题</groupName>
      <ability>L2_Knowledge</ability>
      <abilityName>其他知识</abilityName>
      <candidateList>
        <item>〔2004〕1号</item>
      </candidateList>
      <explain>发文字号格式错误。</explain>
      <paraID>20077B23</paraID>
      <start>19</start>
      <end>27</end>
      <status>unmodified</status>
      <modifiedWord/>
      <trackRevisions>false</trackRevisions>
    </reviewItem>
    <reviewItem>
      <errorID>95bcd722-a043-40e9-886b-ef626a369ee0</errorID>
      <errorWord>（2022）7号</errorWord>
      <group>L1_Knowledge</group>
      <groupName>知识性问题</groupName>
      <ability>L2_Knowledge</ability>
      <abilityName>其他知识</abilityName>
      <candidateList>
        <item>〔2022〕7号</item>
      </candidateList>
      <explain>发文字号格式错误。</explain>
      <paraID>1B404C02</paraID>
      <start>20</start>
      <end>28</end>
      <status>unmodified</status>
      <modifiedWord/>
      <trackRevisions>false</trackRevisions>
    </reviewItem>
    <reviewItem>
      <errorID>2ce22281-174e-480a-af26-dae3c0851afc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27FF76A6</paraID>
      <start>0</start>
      <end>2</end>
      <status>unmodified</status>
      <modifiedWord/>
      <trackRevisions>false</trackRevisions>
    </reviewItem>
    <reviewItem>
      <errorID>532f9c2f-74e7-4e7e-b5fd-a97f3354dfdd</errorID>
      <errorWord>可压性</errorWord>
      <group>L1_Word</group>
      <groupName>字词问题</groupName>
      <ability>L2_Typo</ability>
      <abilityName>字词错误</abilityName>
      <candidateList>
        <item>可塑性</item>
      </candidateList>
      <explain/>
      <paraID> 8655E85</paraID>
      <start>58</start>
      <end>61</end>
      <status>unmodified</status>
      <modifiedWord/>
      <trackRevisions>false</trackRevisions>
    </reviewItem>
    <reviewItem>
      <errorID>59a2f466-3471-4e05-9bef-7bb8fce6d5e2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BC00116</paraID>
      <start>0</start>
      <end>2</end>
      <status>unmodified</status>
      <modifiedWord/>
      <trackRevisions>false</trackRevisions>
    </reviewItem>
    <reviewItem>
      <errorID>61989e58-87c1-4fdf-bec6-97f3f38a6c6c</errorID>
      <errorWord>程</errorWord>
      <group>L1_Word</group>
      <groupName>字词问题</groupName>
      <ability>L2_Typo</ability>
      <abilityName>字词错误</abilityName>
      <candidateList>
        <item>程中</item>
      </candidateList>
      <explain/>
      <paraID>6B00E275</paraID>
      <start>35</start>
      <end>36</end>
      <status>unmodified</status>
      <modifiedWord/>
      <trackRevisions>false</trackRevisions>
    </reviewItem>
    <reviewItem>
      <errorID>f598ddc6-b794-4bb4-9d47-25c389496248</errorID>
      <errorWord>）</errorWord>
      <group>L1_Word</group>
      <groupName>字词问题</groupName>
      <ability>L2_Typo</ability>
      <abilityName>字词错误</abilityName>
      <candidateList>
        <item>）第</item>
      </candidateList>
      <explain/>
      <paraID>5616D804</paraID>
      <start>130</start>
      <end>131</end>
      <status>unmodified</status>
      <modifiedWord/>
      <trackRevisions>false</trackRevisions>
    </reviewItem>
    <reviewItem>
      <errorID>3b5d406a-71fa-49d6-b260-b799712e7317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74A59DF0</paraID>
      <start>0</start>
      <end>2</end>
      <status>unmodified</status>
      <modifiedWord/>
      <trackRevisions>false</trackRevisions>
    </reviewItem>
    <reviewItem>
      <errorID>08b92c6b-90bf-41ca-9e1c-5de9737fc328</errorID>
      <errorWord>年</errorWord>
      <group>L1_Word</group>
      <groupName>字词问题</groupName>
      <ability>L2_Typo</ability>
      <abilityName>字词错误</abilityName>
      <candidateList>
        <item>年度</item>
      </candidateList>
      <explain/>
      <paraID>29802336</paraID>
      <start>0</start>
      <end>1</end>
      <status>unmodified</status>
      <modifiedWord/>
      <trackRevisions>false</trackRevisions>
    </reviewItem>
    <reviewItem>
      <errorID>c252c4d1-aad6-4c9d-be3d-d4aca8829cc4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18BE105D</paraID>
      <start>0</start>
      <end>2</end>
      <status>unmodified</status>
      <modifiedWord/>
      <trackRevisions>false</trackRevisions>
    </reviewItem>
    <reviewItem>
      <errorID>050bcb10-fdb8-493d-ab32-3fdffddc0ba3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2E3153C2</paraID>
      <start>0</start>
      <end>2</end>
      <status>unmodified</status>
      <modifiedWord/>
      <trackRevisions>false</trackRevisions>
    </reviewItem>
    <reviewItem>
      <errorID>87e5a328-fdbb-4130-90cb-7c4b5d0a3ec9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4B450116</paraID>
      <start>0</start>
      <end>2</end>
      <status>unmodified</status>
      <modifiedWord/>
      <trackRevisions>false</trackRevisions>
    </reviewItem>
    <reviewItem>
      <errorID>f079cd3e-3206-4325-894d-c08ae0a55711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4D6B294C</paraID>
      <start>0</start>
      <end>2</end>
      <status>unmodified</status>
      <modifiedWord/>
      <trackRevisions>false</trackRevisions>
    </reviewItem>
    <reviewItem>
      <errorID>5a503800-4c2f-4bd4-a756-9236b9faa00c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28D2A350</paraID>
      <start>0</start>
      <end>2</end>
      <status>unmodified</status>
      <modifiedWord/>
      <trackRevisions>false</trackRevisions>
    </reviewItem>
    <reviewItem>
      <errorID>87284c56-4ed5-4312-b16c-3133839e2d80</errorID>
      <errorWord>配置</errorWord>
      <group>L1_Word</group>
      <groupName>字词问题</groupName>
      <ability>L2_Typo</ability>
      <abilityName>字词错误</abilityName>
      <candidateList>
        <item>配制</item>
      </candidateList>
      <explain/>
      <paraID>54CA2DEC</paraID>
      <start>241</start>
      <end>243</end>
      <status>unmodified</status>
      <modifiedWord/>
      <trackRevisions>false</trackRevisions>
    </reviewItem>
    <reviewItem>
      <errorID>7fc11902-9b64-4ada-aa6a-b60022981c20</errorID>
      <errorWord>中撒落</errorWord>
      <group>L1_Word</group>
      <groupName>字词问题</groupName>
      <ability>L2_Typo</ability>
      <abilityName>字词错误</abilityName>
      <candidateList>
        <item>中洒落</item>
      </candidateList>
      <explain/>
      <paraID>332A2759</paraID>
      <start>4</start>
      <end>7</end>
      <status>unmodified</status>
      <modifiedWord/>
      <trackRevisions>false</trackRevisions>
    </reviewItem>
    <reviewItem>
      <errorID>9bc607ef-34ac-4fc7-adcc-3429eee60f34</errorID>
      <errorWord>其它</errorWord>
      <group>L1_Word</group>
      <groupName>字词问题</groupName>
      <ability>L2_Alias</ability>
      <abilityName>也作/曾用词</abilityName>
      <candidateList>
        <item>其他</item>
      </candidateList>
      <explain>词汇[其它]为不规范表述或旧称，其规范书面表述为[其他]。</explain>
      <paraID>511A328B</paraID>
      <start>0</start>
      <end>2</end>
      <status>unmodified</status>
      <modifiedWord/>
      <trackRevisions>false</trackRevisions>
    </reviewItem>
    <reviewItem>
      <errorID>543a1295-c973-4740-a6eb-b686e6663952</errorID>
      <errorWord>期</errorWord>
      <group>L1_Word</group>
      <groupName>字词问题</groupName>
      <ability>L2_Typo</ability>
      <abilityName>字词错误</abilityName>
      <candidateList>
        <item>期间</item>
      </candidateList>
      <explain>〈名〉某个时期里面：农忙～｜春节～｜抗战～。</explain>
      <paraID> 9668833</paraID>
      <start>16</start>
      <end>17</end>
      <status>unmodified</status>
      <modifiedWord/>
      <trackRevisions>false</trackRevisions>
    </reviewItem>
    <reviewItem>
      <errorID>90e3e2fc-c1a6-46df-b2f4-677dde71b93e</errorID>
      <errorWord>随路</errorWord>
      <group>L1_Word</group>
      <groupName>字词问题</groupName>
      <ability>L2_Typo</ability>
      <abilityName>字词错误</abilityName>
      <candidateList>
        <item>随意</item>
      </candidateList>
      <explain/>
      <paraID> 33ED3BF</paraID>
      <start>161</start>
      <end>163</end>
      <status>unmodified</status>
      <modifiedWord/>
      <trackRevisions>false</trackRevisions>
    </reviewItem>
    <reviewItem>
      <errorID>17fb4f81-b2ca-496b-9943-14f8c8b5b280</errorID>
      <errorWord>撒落</errorWord>
      <group>L1_Word</group>
      <groupName>字词问题</groupName>
      <ability>L2_Typo</ability>
      <abilityName>字词错误</abilityName>
      <candidateList>
        <item>洒落</item>
      </candidateList>
      <explain/>
      <paraID> 33ED3BF</paraID>
      <start>163</start>
      <end>165</end>
      <status>unmodified</status>
      <modifiedWord/>
      <trackRevisions>false</trackRevisions>
    </reviewItem>
    <reviewItem>
      <errorID>792c3451-2164-49cf-a5fd-be1b89757c7c</errorID>
      <errorWord>进</errorWord>
      <group>L1_Word</group>
      <groupName>字词问题</groupName>
      <ability>L2_Typo</ability>
      <abilityName>字词错误</abilityName>
      <candidateList>
        <item>进入</item>
      </candidateList>
      <explain>〈动〉支进到某个范围或某个时期里：～学校｜～新阶段◇～角色。</explain>
      <paraID>38892049</paraID>
      <start>102</start>
      <end>103</end>
      <status>unmodified</status>
      <modifiedWord/>
      <trackRevisions>false</trackRevisions>
    </reviewItem>
    <reviewItem>
      <errorID>89c7ea11-8359-4581-9819-2a8bfc3db914</errorID>
      <errorWord>40%~50%</errorWord>
      <group>L1_Knowledge</group>
      <groupName>知识性问题</groupName>
      <ability>L2_Knowledge</ability>
      <abilityName>其他知识</abilityName>
      <candidateList>
        <item>40%～50%</item>
      </candidateList>
      <explain>1. “40%~50%”中的单位“%”仅出现在后一个数字上，容易引起歧义；根据《现代汉语标点符号数字用法规范手册》，数字表示范围两边需要使用统一的格式。2. 根据标点国标 4.13 中的规则，数字、时间或地域连接符应使用（视觉上更长的）“—”或“～”。</explain>
      <paraID> 2047356</paraID>
      <start>17</start>
      <end>24</end>
      <status>unmodified</status>
      <modifiedWord/>
      <trackRevisions>false</trackRevisions>
    </reviewItem>
    <reviewItem>
      <errorID>a77fe32d-7590-4a4c-9eb5-c4411b176b1d</errorID>
      <errorWord>程</errorWord>
      <group>L1_Word</group>
      <groupName>字词问题</groupName>
      <ability>L2_Typo</ability>
      <abilityName>字词错误</abilityName>
      <candidateList>
        <item>程中</item>
      </candidateList>
      <explain/>
      <paraID>1683D0C3</paraID>
      <start>31</start>
      <end>32</end>
      <status>unmodified</status>
      <modifiedWord/>
      <trackRevisions>false</trackRevisions>
    </reviewItem>
    <reviewItem>
      <errorID>c1151829-1034-44c1-863c-1fc5d8e10ba8</errorID>
      <errorWord>大小</errorWord>
      <group>L1_Word</group>
      <groupName>字词问题</groupName>
      <ability>L2_Typo</ability>
      <abilityName>字词错误</abilityName>
      <candidateList>
        <item>大量</item>
      </candidateList>
      <explain/>
      <paraID>1683D0C3</paraID>
      <start>34</start>
      <end>36</end>
      <status>unmodified</status>
      <modifiedWord/>
      <trackRevisions>false</trackRevisions>
    </reviewItem>
    <reviewItem>
      <errorID>654671cd-6b65-48a7-9262-5e2ba1b2521f</errorID>
      <errorWord>带入</errorWord>
      <group>L1_Word</group>
      <groupName>字词问题</groupName>
      <ability>L2_Typo</ability>
      <abilityName>字词错误</abilityName>
      <candidateList>
        <item>代入</item>
      </candidateList>
      <explain/>
      <paraID>4BF07B69</paraID>
      <start>5</start>
      <end>7</end>
      <status>unmodified</status>
      <modifiedWord/>
      <trackRevisions>false</trackRevisions>
    </reviewItem>
    <reviewItem>
      <errorID>c7f59f5c-1006-456a-8adf-2b9e6624b810</errorID>
      <errorWord>饱和蒸气</errorWord>
      <group>L1_Word</group>
      <groupName>字词问题</groupName>
      <ability>L2_Typo</ability>
      <abilityName>字词错误</abilityName>
      <candidateList>
        <item>饱和蒸汽</item>
      </candidateList>
      <explain/>
      <paraID>4A7AC578</paraID>
      <start>12</start>
      <end>16</end>
      <status>unmodified</status>
      <modifiedWord/>
      <trackRevisions>false</trackRevisions>
    </reviewItem>
    <reviewItem>
      <errorID>c73bedc5-05e9-451c-a234-505fac464260</errorID>
      <errorWord>（</errorWord>
      <group>L1_Punc</group>
      <groupName>标点问题</groupName>
      <ability>L2_Punc</ability>
      <abilityName>标点符号检查</abilityName>
      <candidateList>
        <item/>
      </candidateList>
      <explain>同一形式括号套用。</explain>
      <paraID>12C8E735</paraID>
      <start>6</start>
      <end>7</end>
      <status>unmodified</status>
      <modifiedWord/>
      <trackRevisions>false</trackRevisions>
    </reviewItem>
    <reviewItem>
      <errorID>15153918-e3e1-476e-916a-4b83939e8153</errorID>
      <errorWord>）</errorWord>
      <group>L1_Punc</group>
      <groupName>标点问题</groupName>
      <ability>L2_Punc</ability>
      <abilityName>标点符号检查</abilityName>
      <candidateList/>
      <explain>同一形式括号套用。</explain>
      <paraID>12C8E735</paraID>
      <start>32</start>
      <end>33</end>
      <status>unmodified</status>
      <modifiedWord/>
      <trackRevisions>false</trackRevisions>
    </reviewItem>
    <reviewItem>
      <errorID>68b69c29-4f77-41ae-8224-aada39090c68</errorID>
      <errorWord>带入</errorWord>
      <group>L1_Word</group>
      <groupName>字词问题</groupName>
      <ability>L2_Typo</ability>
      <abilityName>字词错误</abilityName>
      <candidateList>
        <item>代入</item>
      </candidateList>
      <explain/>
      <paraID>16BD06C1</paraID>
      <start>5</start>
      <end>7</end>
      <status>unmodified</status>
      <modifiedWord/>
      <trackRevisions>false</trackRevisions>
    </reviewItem>
    <reviewItem>
      <errorID>45972138-61a2-4a05-ab18-91c5d29a9ef3</errorID>
      <errorWord>抽吸出</errorWord>
      <group>L1_Word</group>
      <groupName>字词问题</groupName>
      <ability>L2_Typo</ability>
      <abilityName>字词错误</abilityName>
      <candidateList>
        <item>抽吸</item>
      </candidateList>
      <explain/>
      <paraID>4036116A</paraID>
      <start>103</start>
      <end>106</end>
      <status>unmodified</status>
      <modifiedWord/>
      <trackRevisions>false</trackRevisions>
    </reviewItem>
    <reviewItem>
      <errorID>de8d51c5-432c-4ee9-96bd-9b6f9dd16fbe</errorID>
      <errorWord>程</errorWord>
      <group>L1_Word</group>
      <groupName>字词问题</groupName>
      <ability>L2_Typo</ability>
      <abilityName>字词错误</abilityName>
      <candidateList>
        <item>程中</item>
      </candidateList>
      <explain/>
      <paraID>2DCC0C18</paraID>
      <start>131</start>
      <end>132</end>
      <status>unmodified</status>
      <modifiedWord/>
      <trackRevisions>false</trackRevisions>
    </reviewItem>
    <reviewItem>
      <errorID>89764eff-00bc-43d1-b952-7d5efe4e1c9a</errorID>
      <errorWord>（</errorWord>
      <group>L1_Format</group>
      <groupName>格式问题</groupName>
      <ability>L2_HalfPunc</ability>
      <abilityName>全半角检查</abilityName>
      <candidateList>
        <item>(</item>
      </candidateList>
      <explain>文本全半角错误。</explain>
      <paraID> 91790D8</paraID>
      <start>5</start>
      <end>6</end>
      <status>unmodified</status>
      <modifiedWord/>
      <trackRevisions>false</trackRevisions>
    </reviewItem>
    <reviewItem>
      <errorID>76fd5bba-947f-47a5-8fb3-1dfc17a1755e</errorID>
      <errorWord>）</errorWord>
      <group>L1_Format</group>
      <groupName>格式问题</groupName>
      <ability>L2_HalfPunc</ability>
      <abilityName>全半角检查</abilityName>
      <candidateList>
        <item>)</item>
      </candidateList>
      <explain>文本全半角错误。</explain>
      <paraID> 91790D8</paraID>
      <start>8</start>
      <end>9</end>
      <status>unmodified</status>
      <modifiedWord/>
      <trackRevisions>false</trackRevisions>
    </reviewItem>
    <reviewItem>
      <errorID>11788b86-ab61-4e5c-ae34-a9659d9f9475</errorID>
      <errorWord>（</errorWord>
      <group>L1_Format</group>
      <groupName>格式问题</groupName>
      <ability>L2_HalfPunc</ability>
      <abilityName>全半角检查</abilityName>
      <candidateList>
        <item>(</item>
      </candidateList>
      <explain>文本全半角错误。</explain>
      <paraID> 91790D8</paraID>
      <start>15</start>
      <end>16</end>
      <status>unmodified</status>
      <modifiedWord/>
      <trackRevisions>false</trackRevisions>
    </reviewItem>
    <reviewItem>
      <errorID>084a0b2e-2758-48de-8e12-63f50de0832d</errorID>
      <errorWord>）</errorWord>
      <group>L1_Format</group>
      <groupName>格式问题</groupName>
      <ability>L2_HalfPunc</ability>
      <abilityName>全半角检查</abilityName>
      <candidateList>
        <item>)</item>
      </candidateList>
      <explain>文本全半角错误。</explain>
      <paraID> 91790D8</paraID>
      <start>17</start>
      <end>18</end>
      <status>unmodified</status>
      <modifiedWord/>
      <trackRevisions>false</trackRevisions>
    </reviewItem>
    <reviewItem>
      <errorID>da3a7b5c-7f52-4a7b-b3d8-f8d0f1619133</errorID>
      <errorWord>（</errorWord>
      <group>L1_Format</group>
      <groupName>格式问题</groupName>
      <ability>L2_HalfPunc</ability>
      <abilityName>全半角检查</abilityName>
      <candidateList>
        <item>(</item>
      </candidateList>
      <explain>文本全半角错误。</explain>
      <paraID>74E995A4</paraID>
      <start>9</start>
      <end>10</end>
      <status>unmodified</status>
      <modifiedWord/>
      <trackRevisions>false</trackRevisions>
    </reviewItem>
    <reviewItem>
      <errorID>7c3942b9-a268-4267-b26c-86268caf7167</errorID>
      <errorWord>）</errorWord>
      <group>L1_Format</group>
      <groupName>格式问题</groupName>
      <ability>L2_HalfPunc</ability>
      <abilityName>全半角检查</abilityName>
      <candidateList>
        <item>)</item>
      </candidateList>
      <explain>文本全半角错误。</explain>
      <paraID>74E995A4</paraID>
      <start>12</start>
      <end>13</end>
      <status>unmodified</status>
      <modifiedWord/>
      <trackRevisions>false</trackRevisions>
    </reviewItem>
    <reviewItem>
      <errorID>5eaa690f-af07-464c-bc90-a3d2b38a9082</errorID>
      <errorWord>（</errorWord>
      <group>L1_Format</group>
      <groupName>格式问题</groupName>
      <ability>L2_HalfPunc</ability>
      <abilityName>全半角检查</abilityName>
      <candidateList>
        <item>(</item>
      </candidateList>
      <explain>文本全半角错误。</explain>
      <paraID>3E8F096B</paraID>
      <start>3</start>
      <end>4</end>
      <status>unmodified</status>
      <modifiedWord/>
      <trackRevisions>false</trackRevisions>
    </reviewItem>
    <reviewItem>
      <errorID>ce8f5b78-39c2-4ba0-a3e4-2d9b387c0408</errorID>
      <errorWord>）</errorWord>
      <group>L1_Format</group>
      <groupName>格式问题</groupName>
      <ability>L2_HalfPunc</ability>
      <abilityName>全半角检查</abilityName>
      <candidateList>
        <item>)</item>
      </candidateList>
      <explain>文本全半角错误。</explain>
      <paraID>3E8F096B</paraID>
      <start>6</start>
      <end>7</end>
      <status>unmodified</status>
      <modifiedWord/>
      <trackRevisions>false</trackRevisions>
    </reviewItem>
    <reviewItem>
      <errorID>ba8825f6-62fa-4a63-8d9b-69499ab44933</errorID>
      <errorWord>（</errorWord>
      <group>L1_Format</group>
      <groupName>格式问题</groupName>
      <ability>L2_HalfPunc</ability>
      <abilityName>全半角检查</abilityName>
      <candidateList>
        <item>(</item>
      </candidateList>
      <explain>文本全半角错误。</explain>
      <paraID>3E8F096B</paraID>
      <start>11</start>
      <end>12</end>
      <status>unmodified</status>
      <modifiedWord/>
      <trackRevisions>false</trackRevisions>
    </reviewItem>
    <reviewItem>
      <errorID>7eb4f0fc-3e4d-4b7a-8447-7405c2ee28ba</errorID>
      <errorWord>）</errorWord>
      <group>L1_Format</group>
      <groupName>格式问题</groupName>
      <ability>L2_HalfPunc</ability>
      <abilityName>全半角检查</abilityName>
      <candidateList>
        <item>)</item>
      </candidateList>
      <explain>文本全半角错误。</explain>
      <paraID>3E8F096B</paraID>
      <start>15</start>
      <end>16</end>
      <status>unmodified</status>
      <modifiedWord/>
      <trackRevisions>false</trackRevisions>
    </reviewItem>
    <reviewItem>
      <errorID>fa9c2f21-668a-462b-8b10-9e64f9a6f74b</errorID>
      <errorWord>源强</errorWord>
      <group>L1_Word</group>
      <groupName>字词问题</groupName>
      <ability>L2_Typo</ability>
      <abilityName>字词错误</abilityName>
      <candidateList>
        <item>源头</item>
      </candidateList>
      <explain/>
      <paraID>171ABA2F</paraID>
      <start>4</start>
      <end>6</end>
      <status>unmodified</status>
      <modifiedWord/>
      <trackRevisions>false</trackRevisions>
    </reviewItem>
    <reviewItem>
      <errorID>42a5efa5-b4f8-4334-895c-4b0316d98234</errorID>
      <errorWord>源源</errorWord>
      <group>L1_Word</group>
      <groupName>字词问题</groupName>
      <ability>L2_Typo</ability>
      <abilityName>字词错误</abilityName>
      <candidateList>
        <item>源</item>
      </candidateList>
      <explain/>
      <paraID>794FCE99</paraID>
      <start>1</start>
      <end>3</end>
      <status>unmodified</status>
      <modifiedWord/>
      <trackRevisions>false</trackRevisions>
    </reviewItem>
    <reviewItem>
      <errorID>431c078c-c70a-4066-bc95-999b70bbf972</errorID>
      <errorWord>）</errorWord>
      <group>L1_Word</group>
      <groupName>字词问题</groupName>
      <ability>L2_Typo</ability>
      <abilityName>字词错误</abilityName>
      <candidateList>
        <item>）第</item>
      </candidateList>
      <explain/>
      <paraID>64CDCD85</paraID>
      <start>52</start>
      <end>53</end>
      <status>unmodified</status>
      <modifiedWord/>
      <trackRevisions>false</trackRevisions>
    </reviewItem>
    <reviewItem>
      <errorID>96b1be9f-cb04-44b7-9a98-5ba4f42849cc</errorID>
      <errorWord>监测</errorWord>
      <group>L1_Word</group>
      <groupName>字词问题</groupName>
      <ability>L2_Typo</ability>
      <abilityName>字词错误</abilityName>
      <candidateList>
        <item>检测</item>
      </candidateList>
      <explain/>
      <paraID>55BAD6C7</paraID>
      <start>8</start>
      <end>10</end>
      <status>unmodified</status>
      <modifiedWord/>
      <trackRevisions>false</trackRevisions>
    </reviewItem>
    <reviewItem>
      <errorID>1a282d08-f5e6-40d2-af16-479b7b40f5dc</errorID>
      <errorWord>70~80%</errorWord>
      <group>L1_Knowledge</group>
      <groupName>知识性问题</groupName>
      <ability>L2_Knowledge</ability>
      <abilityName>其他知识</abilityName>
      <candidateList>
        <item>70%～80%</item>
      </candidateList>
      <explain>1. “70~80%”中的单位“%”仅出现在后一个数字上，容易引起歧义；根据《现代汉语标点符号数字用法规范手册》，数字表示范围两边需要使用统一的格式。2. 根据标点国标 4.13 中的规则，数字、时间或地域连接符应使用（视觉上更长的）“—”或“～”。</explain>
      <paraID>18ED1033</paraID>
      <start>28</start>
      <end>34</end>
      <status>unmodified</status>
      <modifiedWord/>
      <trackRevisions>false</trackRevisions>
    </reviewItem>
    <reviewItem>
      <errorID>4fb369b1-c8db-413c-aff4-a94b11fea282</errorID>
      <errorWord>纯水系统</errorWord>
      <group>L1_Knowledge</group>
      <groupName>知识性问题</groupName>
      <ability>L2_Term</ability>
      <abilityName>专业术语</abilityName>
      <candidateList>
        <item>泄水系统</item>
      </candidateList>
      <explain/>
      <paraID>71A82685</paraID>
      <start>0</start>
      <end>4</end>
      <status>unmodified</status>
      <modifiedWord/>
      <trackRevisions>false</trackRevisions>
    </reviewItem>
    <reviewItem>
      <errorID>3a235cbc-46c6-453d-af56-56c4f75eebce</errorID>
      <errorWord>纯水系统</errorWord>
      <group>L1_Knowledge</group>
      <groupName>知识性问题</groupName>
      <ability>L2_Term</ability>
      <abilityName>专业术语</abilityName>
      <candidateList>
        <item>泄水系统</item>
      </candidateList>
      <explain/>
      <paraID>79B28F9A</paraID>
      <start>0</start>
      <end>4</end>
      <status>unmodified</status>
      <modifiedWord/>
      <trackRevisions>false</trackRevisions>
    </reviewItem>
    <reviewItem>
      <errorID>1db73596-223a-436e-8714-1fcdd6d8b8d4</errorID>
      <errorWord>、</errorWord>
      <group>L1_Punc</group>
      <groupName>标点问题</groupName>
      <ability>L2_Punc</ability>
      <abilityName>标点符号检查</abilityName>
      <candidateList>
        <item>.</item>
      </candidateList>
      <explain/>
      <paraID>6012D720</paraID>
      <start>1</start>
      <end>2</end>
      <status>unmodified</status>
      <modifiedWord/>
      <trackRevisions>false</trackRevisions>
    </reviewItem>
    <reviewItem>
      <errorID>402c3f8a-e01d-46ed-abe5-fbbd6492c07b</errorID>
      <errorWord>能</errorWord>
      <group>L1_Word</group>
      <groupName>字词问题</groupName>
      <ability>L2_Typo</ability>
      <abilityName>字词错误</abilityName>
      <candidateList>
        <item>满</item>
      </candidateList>
      <explain/>
      <paraID>695588FB</paraID>
      <start>13</start>
      <end>14</end>
      <status>unmodified</status>
      <modifiedWord/>
      <trackRevisions>false</trackRevisions>
    </reviewItem>
    <reviewItem>
      <errorID>511e212d-371a-4519-8ef1-d25bc862b095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4D06F798</paraID>
      <start>74</start>
      <end>75</end>
      <status>unmodified</status>
      <modifiedWord/>
      <trackRevisions>false</trackRevisions>
    </reviewItem>
    <reviewItem>
      <errorID>32502127-9f7b-41dd-8ed3-df7796bc5650</errorID>
      <errorWord>从根木上</errorWord>
      <group>L1_Word</group>
      <groupName>字词问题</groupName>
      <ability>L2_Typo</ability>
      <abilityName>字词错误</abilityName>
      <candidateList>
        <item>从根本上</item>
      </candidateList>
      <explain/>
      <paraID>6D0B77DF</paraID>
      <start>26</start>
      <end>30</end>
      <status>unmodified</status>
      <modifiedWord/>
      <trackRevisions>false</trackRevisions>
    </reviewItem>
    <reviewItem>
      <errorID>2b3866ce-ed64-4cd3-99e5-d4bff711f53a</errorID>
      <errorWord>队</errorWord>
      <group>L1_Word</group>
      <groupName>字词问题</groupName>
      <ability>L2_Typo</ability>
      <abilityName>字词错误</abilityName>
      <candidateList>
        <item>队伍</item>
      </candidateList>
      <explain/>
      <paraID>1CA2D102</paraID>
      <start>9</start>
      <end>10</end>
      <status>unmodified</status>
      <modifiedWord/>
      <trackRevisions>false</trackRevisions>
    </reviewItem>
    <reviewItem>
      <errorID>ac407efe-b098-4e68-9168-18c1607b99f0</errorID>
      <errorWord>指定</errorWord>
      <group>L1_Word</group>
      <groupName>字词问题</groupName>
      <ability>L2_Typo</ability>
      <abilityName>字词错误</abilityName>
      <candidateList>
        <item>制定</item>
      </candidateList>
      <explain>〈动〉定出（法律、规程、政策等）：～宪法｜～学会章程。</explain>
      <paraID>1CA2D102</paraID>
      <start>11</start>
      <end>13</end>
      <status>unmodified</status>
      <modifiedWord/>
      <trackRevisions>false</trackRevisions>
    </reviewItem>
    <reviewItem>
      <errorID>3d6c3638-d0b6-491a-b41c-2caa65844729</errorID>
      <errorWord>知</errorWord>
      <group>L1_Word</group>
      <groupName>字词问题</groupName>
      <ability>L2_Typo</ability>
      <abilityName>字词错误</abilityName>
      <candidateList>
        <item>知本</item>
      </candidateList>
      <explain/>
      <paraID> DA50A70</paraID>
      <start>39</start>
      <end>40</end>
      <status>unmodified</status>
      <modifiedWord/>
      <trackRevisions>false</trackRevisions>
    </reviewItem>
    <reviewItem>
      <errorID>0dd71192-7b34-46f3-8873-84a8232e01dc</errorID>
      <errorWord>爆晒</errorWord>
      <group>L1_Word</group>
      <groupName>字词问题</groupName>
      <ability>L2_Typo</ability>
      <abilityName>字词错误</abilityName>
      <candidateList>
        <item>暴晒</item>
      </candidateList>
      <explain>〈动〉在强烈的阳光下久晒：烈日～｜洗好的丝绸衣服不宜～。</explain>
      <paraID>72157567</paraID>
      <start>35</start>
      <end>37</end>
      <status>unmodified</status>
      <modifiedWord/>
      <trackRevisions>false</trackRevisions>
    </reviewItem>
    <reviewItem>
      <errorID>1e624141-c0fa-47b5-bca9-060006b10208</errorID>
      <errorWord>白救</errorWord>
      <group>L1_Word</group>
      <groupName>字词问题</groupName>
      <ability>L2_Typo</ability>
      <abilityName>字词错误</abilityName>
      <candidateList>
        <item>自救</item>
      </candidateList>
      <explain/>
      <paraID>20F40D2B</paraID>
      <start>25</start>
      <end>27</end>
      <status>unmodified</status>
      <modifiedWord/>
      <trackRevisions>false</trackRevisions>
    </reviewItem>
    <reviewItem>
      <errorID>504ce817-4722-4db1-ad2b-82ca7e936ffa</errorID>
      <errorWord>定醒</errorWord>
      <group>L1_Word</group>
      <groupName>字词问题</groupName>
      <ability>L2_Typo</ability>
      <abilityName>字词错误</abilityName>
      <candidateList>
        <item>定项</item>
      </candidateList>
      <explain/>
      <paraID> 2DEC6DA</paraID>
      <start>2</start>
      <end>4</end>
      <status>unmodified</status>
      <modifiedWord/>
      <trackRevisions>false</trackRevisions>
    </reviewItem>
    <reviewItem>
      <errorID>0731bf0c-d6df-4c97-8899-a28b69b9556a</errorID>
      <errorWord>配备表</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2DEC6DA</paraID>
      <start>50</start>
      <end>53</end>
      <status>unmodified</status>
      <modifiedWord/>
      <trackRevisions>false</trackRevisions>
    </reviewItem>
    <reviewItem>
      <errorID>fea4ef45-1f33-4a51-9981-35470ebe0939</errorID>
      <errorWord>项日</errorWord>
      <group>L1_Word</group>
      <groupName>字词问题</groupName>
      <ability>L2_Typo</ability>
      <abilityName>字词错误</abilityName>
      <candidateList>
        <item>项目</item>
      </candidateList>
      <explain>〈名〉事物分成的门类：服务～｜体育～｜建设～。</explain>
      <paraID>61CAF914</paraID>
      <start>3</start>
      <end>5</end>
      <status>unmodified</status>
      <modifiedWord/>
      <trackRevisions>false</trackRevisions>
    </reviewItem>
    <reviewItem>
      <errorID>e6e4e92f-c21e-4ec6-a753-b8314ee1b54d</errorID>
      <errorWord>作</errorWord>
      <group>L1_Word</group>
      <groupName>字词问题</groupName>
      <ability>L2_Typo</ability>
      <abilityName>字词错误</abilityName>
      <candidateList>
        <item>做</item>
      </candidateList>
      <explain>存在发音相同字词的误用。</explain>
      <paraID>74D8930A</paraID>
      <start>6</start>
      <end>7</end>
      <status>unmodified</status>
      <modifiedWord/>
      <trackRevisions>false</trackRevisions>
    </reviewItem>
    <reviewItem>
      <errorID>d4ce3dde-bd95-4579-8f2c-bdce58fb17cb</errorID>
      <errorWord>，</errorWord>
      <group>L1_Word</group>
      <groupName>字词问题</groupName>
      <ability>L2_Typo</ability>
      <abilityName>字词错误</abilityName>
      <candidateList>
        <item>，确</item>
      </candidateList>
      <explain/>
      <paraID>7699CF7E</paraID>
      <start>30</start>
      <end>31</end>
      <status>unmodified</status>
      <modifiedWord/>
      <trackRevisions>false</trackRevisions>
    </reviewItem>
    <reviewItem>
      <errorID>c4fc0ba6-e534-49bc-b7a5-fe129b831307</errorID>
      <errorWord>保</errorWord>
      <group>L1_Word</group>
      <groupName>字词问题</groupName>
      <ability>L2_Typo</ability>
      <abilityName>字词错误</abilityName>
      <candidateList>
        <item>报</item>
      </candidateList>
      <explain/>
      <paraID>7699CF7E</paraID>
      <start>31</start>
      <end>32</end>
      <status>unmodified</status>
      <modifiedWord/>
      <trackRevisions>false</trackRevisions>
    </reviewItem>
    <reviewItem>
      <errorID>5a867908-6b38-4c79-8a71-36c89e58fd02</errorID>
      <errorWord>并</errorWord>
      <group>L1_Word</group>
      <groupName>字词问题</groupName>
      <ability>L2_Typo</ability>
      <abilityName>字词错误</abilityName>
      <candidateList>
        <item>并与</item>
      </candidateList>
      <explain/>
      <paraID>3E98757A</paraID>
      <start>77</start>
      <end>78</end>
      <status>unmodified</status>
      <modifiedWord/>
      <trackRevisions>false</trackRevisions>
    </reviewItem>
    <reviewItem>
      <errorID>ca3720b1-d41f-4047-a232-dc7a5b404ae6</errorID>
      <errorWord>全而</errorWord>
      <group>L1_Word</group>
      <groupName>字词问题</groupName>
      <ability>L2_Typo</ability>
      <abilityName>字词错误</abilityName>
      <candidateList>
        <item>全面</item>
      </candidateList>
      <explain>❶〈名〉所有方面；各个方面的总和：照顾～｜～情况。❷〈形〉完整周密；兼顾各方面的（跟“片面”相对）：～发展｜他的讲话很～。</explain>
      <paraID>25AF9B90</paraID>
      <start>13</start>
      <end>15</end>
      <status>unmodified</status>
      <modifiedWord/>
      <trackRevisions>false</trackRevisions>
    </reviewItem>
    <reviewItem>
      <errorID>3c86dc05-e26a-4315-9886-e1605cf04845</errorID>
      <errorWord>俠</errorWord>
      <group>L1_Word</group>
      <groupName>字词问题</groupName>
      <ability>L2_Fanti</ability>
      <abilityName>繁转简</abilityName>
      <candidateList>
        <item>侠</item>
      </candidateList>
      <explain/>
      <paraID>5F1820FD</paraID>
      <start>8</start>
      <end>9</end>
      <status>unmodified</status>
      <modifiedWord/>
      <trackRevisions>false</trackRevisions>
    </reviewItem>
    <reviewItem>
      <errorID>52c4d9f2-dc77-4f66-9070-04777141a856</errorID>
      <errorWord>成急</errorWord>
      <group>L1_Word</group>
      <groupName>字词问题</groupName>
      <ability>L2_Typo</ability>
      <abilityName>字词错误</abilityName>
      <candidateList>
        <item>应急</item>
      </candidateList>
      <explain>存在字形相近字词的误用。</explain>
      <paraID>257FF7DB</paraID>
      <start>2</start>
      <end>4</end>
      <status>unmodified</status>
      <modifiedWord/>
      <trackRevisions>false</trackRevisions>
    </reviewItem>
    <reviewItem>
      <errorID>ac946d6d-2219-45dc-9e95-26bd3ac6976d</errorID>
      <errorWord>歩</errorWord>
      <group>L1_Word</group>
      <groupName>字词问题</groupName>
      <ability>L2_Variant</ability>
      <abilityName>异形词</abilityName>
      <candidateList>
        <item>步</item>
      </candidateList>
      <explain>词汇[歩]的规范词形写作[步]。</explain>
      <paraID>7DC9A21E</paraID>
      <start>7</start>
      <end>8</end>
      <status>unmodified</status>
      <modifiedWord/>
      <trackRevisions>false</trackRevisions>
    </reviewItem>
    <reviewItem>
      <errorID>dbd1b8e3-6c9f-4907-b2c0-822bdfa0997d</errorID>
      <errorWord>漫延</errorWord>
      <group>L1_Word</group>
      <groupName>字词问题</groupName>
      <ability>L2_Typo</ability>
      <abilityName>字词错误</abilityName>
      <candidateList>
        <item>蔓延</item>
      </candidateList>
      <explain>〈动〉像蔓草一样不断向周围扩展：～滋长｜火势～。</explain>
      <paraID>58CC30AB</paraID>
      <start>15</start>
      <end>17</end>
      <status>unmodified</status>
      <modifiedWord/>
      <trackRevisions>false</trackRevisions>
    </reviewItem>
    <reviewItem>
      <errorID>1110908b-4ab9-4b13-813b-e7d69d219d8b</errorID>
      <errorWord>区</errorWord>
      <group>L1_Word</group>
      <groupName>字词问题</groupName>
      <ability>L2_Typo</ability>
      <abilityName>字词错误</abilityName>
      <candidateList>
        <item>区域</item>
      </candidateList>
      <explain/>
      <paraID> 27E1760</paraID>
      <start>4</start>
      <end>5</end>
      <status>unmodified</status>
      <modifiedWord/>
      <trackRevisions>false</trackRevisions>
    </reviewItem>
    <reviewItem>
      <errorID>9f8b2cb6-8509-4ce4-87a3-441db4dc19d0</errorID>
      <errorWord>设</errorWord>
      <group>L1_Word</group>
      <groupName>字词问题</groupName>
      <ability>L2_Typo</ability>
      <abilityName>字词错误</abilityName>
      <candidateList>
        <item>设立</item>
      </candidateList>
      <explain/>
      <paraID> 127E7F3</paraID>
      <start>23</start>
      <end>24</end>
      <status>unmodified</status>
      <modifiedWord/>
      <trackRevisions>false</trackRevisions>
    </reviewItem>
    <reviewItem>
      <errorID>14f53f6c-bd97-43b5-bdcf-b3870cf59feb</errorID>
      <errorWord>部门和</errorWord>
      <group>L1_Word</group>
      <groupName>字词问题</groupName>
      <ability>L2_Typo</ability>
      <abilityName>字词错误</abilityName>
      <candidateList>
        <item>部门</item>
      </candidateList>
      <explain>〈名〉组成某一整体的部分或单位：工业～｜文教～｜～经济学（如工业经济学、农业经济学）｜一本书要经过编辑、出版、印刷、发行等～，然后才能跟读者见面。</explain>
      <paraID> 127E7F3</paraID>
      <start>26</start>
      <end>29</end>
      <status>unmodified</status>
      <modifiedWord/>
      <trackRevisions>false</trackRevisions>
    </reviewItem>
    <reviewItem>
      <errorID>bcd2f361-f916-4bd7-b05c-b4489570ca30</errorID>
      <errorWord>进</errorWord>
      <group>L1_Word</group>
      <groupName>字词问题</groupName>
      <ability>L2_Typo</ability>
      <abilityName>字词错误</abilityName>
      <candidateList>
        <item>经</item>
      </candidateList>
      <explain>存在发音相近字词的误用。</explain>
      <paraID>60753FF4</paraID>
      <start>9</start>
      <end>10</end>
      <status>unmodified</status>
      <modifiedWord/>
      <trackRevisions>false</trackRevisions>
    </reviewItem>
    <reviewItem>
      <errorID>59742d1a-896f-47a0-bfa2-8cd7ea72e860</errorID>
      <errorWord>进</errorWord>
      <group>L1_Word</group>
      <groupName>字词问题</groupName>
      <ability>L2_Typo</ability>
      <abilityName>字词错误</abilityName>
      <candidateList>
        <item>经</item>
      </candidateList>
      <explain>存在发音相近字词的误用。</explain>
      <paraID>5301B185</paraID>
      <start>5</start>
      <end>6</end>
      <status>unmodified</status>
      <modifiedWord/>
      <trackRevisions>false</trackRevisions>
    </reviewItem>
    <reviewItem>
      <errorID>7d1e1ed4-ba64-48b4-8200-2d5c4d262b04</errorID>
      <errorWord>进</errorWord>
      <group>L1_Word</group>
      <groupName>字词问题</groupName>
      <ability>L2_Typo</ability>
      <abilityName>字词错误</abilityName>
      <candidateList>
        <item>经</item>
      </candidateList>
      <explain>存在发音相近字词的误用。</explain>
      <paraID>28704A03</paraID>
      <start>5</start>
      <end>6</end>
      <status>unmodified</status>
      <modifiedWord/>
      <trackRevisions>false</trackRevisions>
    </reviewItem>
    <reviewItem>
      <errorID>4c96415c-766a-434e-a73d-ecbfb5d50494</errorID>
      <errorWord>进</errorWord>
      <group>L1_Word</group>
      <groupName>字词问题</groupName>
      <ability>L2_Typo</ability>
      <abilityName>字词错误</abilityName>
      <candidateList>
        <item>经</item>
      </candidateList>
      <explain>存在发音相近字词的误用。</explain>
      <paraID>401E1ACC</paraID>
      <start>5</start>
      <end>6</end>
      <status>unmodified</status>
      <modifiedWord/>
      <trackRevisions>false</trackRevisions>
    </reviewItem>
    <reviewItem>
      <errorID>998e91e3-107d-49f0-878b-2bf26a05e673</errorID>
      <errorWord>进</errorWord>
      <group>L1_Word</group>
      <groupName>字词问题</groupName>
      <ability>L2_Typo</ability>
      <abilityName>字词错误</abilityName>
      <candidateList>
        <item>经</item>
      </candidateList>
      <explain>存在发音相近字词的误用。</explain>
      <paraID>4D725B42</paraID>
      <start>5</start>
      <end>6</end>
      <status>unmodified</status>
      <modifiedWord/>
      <trackRevisions>false</trackRevisions>
    </reviewItem>
    <reviewItem>
      <errorID>938d0ab2-d7b9-4a3b-8896-47bcedf575c9</errorID>
      <errorWord>进</errorWord>
      <group>L1_Word</group>
      <groupName>字词问题</groupName>
      <ability>L2_Typo</ability>
      <abilityName>字词错误</abilityName>
      <candidateList>
        <item>经</item>
      </candidateList>
      <explain>存在发音相近字词的误用。</explain>
      <paraID>1A6AAE25</paraID>
      <start>5</start>
      <end>6</end>
      <status>unmodified</status>
      <modifiedWord/>
      <trackRevisions>false</trackRevisions>
    </reviewItem>
    <reviewItem>
      <errorID>c4444ea0-c4f3-4b69-804d-313ddf73b9f8</errorID>
      <errorWord>收水标准</errorWord>
      <group>L1_Knowledge</group>
      <groupName>知识性问题</groupName>
      <ability>L2_Term</ability>
      <abilityName>专业术语</abilityName>
      <candidateList>
        <item>节水标准</item>
      </candidateList>
      <explain/>
      <paraID>26EFB001</paraID>
      <start>44</start>
      <end>48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022ea9-a537-4686-8370-ed76957e0a84}">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94</Pages>
  <Words>36183</Words>
  <Characters>39176</Characters>
  <Lines>13</Lines>
  <Paragraphs>3</Paragraphs>
  <TotalTime>29</TotalTime>
  <ScaleCrop>false</ScaleCrop>
  <LinksUpToDate>false</LinksUpToDate>
  <CharactersWithSpaces>39445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微信用户</cp:lastModifiedBy>
  <cp:lastPrinted>2022-03-08T07:39:00Z</cp:lastPrinted>
  <dcterms:modified xsi:type="dcterms:W3CDTF">2026-08-12T01:03:33Z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327982024BB64BB3B4CED5D05E1465CB</vt:lpwstr>
  </property>
  <property fmtid="{D5CDD505-2E9C-101B-9397-08002B2CF9AE}" pid="4" name="KSOSaveFontToCloudKey">
    <vt:lpwstr>1199176088_cloud</vt:lpwstr>
  </property>
  <property fmtid="{D5CDD505-2E9C-101B-9397-08002B2CF9AE}" pid="5" name="KSOTemplateDocerSaveRecord">
    <vt:lpwstr>eyJoZGlkIjoiNmE4ZTg5NDRjZDY5ZThiOTY2YmNkMzhiNzMyNzI1MWMiLCJ1c2VySWQiOiIxMjkwNzYyNzMwIn0=</vt:lpwstr>
  </property>
</Properties>
</file>