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74B012">
      <w:pPr>
        <w:rPr>
          <w:rFonts w:hint="default" w:ascii="Times New Roman" w:hAnsi="Times New Roman" w:eastAsia="仿宋_GB2312" w:cs="Times New Roman"/>
          <w:color w:val="000000" w:themeColor="text1"/>
          <w:sz w:val="36"/>
          <w:szCs w:val="36"/>
          <w:highlight w:val="none"/>
          <w:lang w:val="en-US" w:eastAsia="zh-CN"/>
          <w14:textFill>
            <w14:solidFill>
              <w14:schemeClr w14:val="tx1"/>
            </w14:solidFill>
          </w14:textFill>
        </w:rPr>
      </w:pPr>
    </w:p>
    <w:p w14:paraId="2570D34B">
      <w:pPr>
        <w:rPr>
          <w:rFonts w:hint="default" w:ascii="Times New Roman" w:hAnsi="Times New Roman" w:eastAsia="仿宋_GB2312" w:cs="Times New Roman"/>
          <w:color w:val="000000" w:themeColor="text1"/>
          <w:szCs w:val="21"/>
          <w:highlight w:val="none"/>
          <w14:textFill>
            <w14:solidFill>
              <w14:schemeClr w14:val="tx1"/>
            </w14:solidFill>
          </w14:textFill>
        </w:rPr>
      </w:pPr>
    </w:p>
    <w:p w14:paraId="6EE6BEFD">
      <w:pPr>
        <w:rPr>
          <w:rFonts w:hint="default" w:ascii="Times New Roman" w:hAnsi="Times New Roman" w:eastAsia="仿宋_GB2312" w:cs="Times New Roman"/>
          <w:color w:val="000000" w:themeColor="text1"/>
          <w:szCs w:val="21"/>
          <w:highlight w:val="none"/>
          <w14:textFill>
            <w14:solidFill>
              <w14:schemeClr w14:val="tx1"/>
            </w14:solidFill>
          </w14:textFill>
        </w:rPr>
      </w:pPr>
    </w:p>
    <w:p w14:paraId="6444B4D2">
      <w:pPr>
        <w:rPr>
          <w:rFonts w:hint="default" w:ascii="Times New Roman" w:hAnsi="Times New Roman" w:eastAsia="仿宋_GB2312" w:cs="Times New Roman"/>
          <w:color w:val="000000" w:themeColor="text1"/>
          <w:szCs w:val="21"/>
          <w:highlight w:val="none"/>
          <w14:textFill>
            <w14:solidFill>
              <w14:schemeClr w14:val="tx1"/>
            </w14:solidFill>
          </w14:textFill>
        </w:rPr>
      </w:pPr>
    </w:p>
    <w:p w14:paraId="315915D9">
      <w:pPr>
        <w:rPr>
          <w:rFonts w:hint="default" w:ascii="Times New Roman" w:hAnsi="Times New Roman" w:eastAsia="仿宋_GB2312" w:cs="Times New Roman"/>
          <w:color w:val="000000" w:themeColor="text1"/>
          <w:szCs w:val="21"/>
          <w:highlight w:val="none"/>
          <w14:textFill>
            <w14:solidFill>
              <w14:schemeClr w14:val="tx1"/>
            </w14:solidFill>
          </w14:textFill>
        </w:rPr>
      </w:pPr>
    </w:p>
    <w:p w14:paraId="41D34F72">
      <w:pPr>
        <w:rPr>
          <w:rFonts w:hint="default" w:ascii="Times New Roman" w:hAnsi="Times New Roman" w:eastAsia="仿宋_GB2312" w:cs="Times New Roman"/>
          <w:color w:val="000000" w:themeColor="text1"/>
          <w:szCs w:val="21"/>
          <w:highlight w:val="none"/>
          <w14:textFill>
            <w14:solidFill>
              <w14:schemeClr w14:val="tx1"/>
            </w14:solidFill>
          </w14:textFill>
        </w:rPr>
      </w:pPr>
    </w:p>
    <w:p w14:paraId="6CB99E5F">
      <w:pPr>
        <w:rPr>
          <w:rFonts w:hint="default" w:ascii="Times New Roman" w:hAnsi="Times New Roman" w:eastAsia="仿宋_GB2312" w:cs="Times New Roman"/>
          <w:color w:val="000000" w:themeColor="text1"/>
          <w:szCs w:val="21"/>
          <w:highlight w:val="none"/>
          <w14:textFill>
            <w14:solidFill>
              <w14:schemeClr w14:val="tx1"/>
            </w14:solidFill>
          </w14:textFill>
        </w:rPr>
      </w:pPr>
    </w:p>
    <w:p w14:paraId="0ACE83AB">
      <w:pPr>
        <w:rPr>
          <w:rFonts w:hint="default" w:ascii="Times New Roman" w:hAnsi="Times New Roman" w:eastAsia="仿宋_GB2312" w:cs="Times New Roman"/>
          <w:color w:val="000000" w:themeColor="text1"/>
          <w:szCs w:val="21"/>
          <w:highlight w:val="none"/>
          <w14:textFill>
            <w14:solidFill>
              <w14:schemeClr w14:val="tx1"/>
            </w14:solidFill>
          </w14:textFill>
        </w:rPr>
      </w:pPr>
    </w:p>
    <w:p w14:paraId="39F9B2EC">
      <w:pPr>
        <w:adjustRightInd w:val="0"/>
        <w:snapToGrid w:val="0"/>
        <w:jc w:val="center"/>
        <w:outlineLvl w:val="9"/>
        <w:rPr>
          <w:rFonts w:hint="default" w:ascii="Times New Roman" w:hAnsi="Times New Roman" w:cs="Times New Roman"/>
          <w:b/>
          <w:bCs w:val="0"/>
          <w:color w:val="000000" w:themeColor="text1"/>
          <w:sz w:val="48"/>
          <w:szCs w:val="48"/>
          <w:highlight w:val="none"/>
          <w14:textFill>
            <w14:solidFill>
              <w14:schemeClr w14:val="tx1"/>
            </w14:solidFill>
          </w14:textFill>
        </w:rPr>
      </w:pPr>
      <w:r>
        <w:rPr>
          <w:rFonts w:hint="default" w:ascii="Times New Roman" w:hAnsi="Times New Roman" w:cs="Times New Roman"/>
          <w:b/>
          <w:bCs w:val="0"/>
          <w:color w:val="000000" w:themeColor="text1"/>
          <w:sz w:val="48"/>
          <w:szCs w:val="48"/>
          <w:highlight w:val="none"/>
          <w14:textFill>
            <w14:solidFill>
              <w14:schemeClr w14:val="tx1"/>
            </w14:solidFill>
          </w14:textFill>
        </w:rPr>
        <w:t>建设项目</w:t>
      </w:r>
      <w:r>
        <w:rPr>
          <w:rFonts w:hint="eastAsia" w:cs="Times New Roman"/>
          <w:b/>
          <w:bCs w:val="0"/>
          <w:color w:val="000000" w:themeColor="text1"/>
          <w:sz w:val="48"/>
          <w:szCs w:val="48"/>
          <w:highlight w:val="none"/>
          <w:lang w:eastAsia="zh-CN"/>
          <w14:textFill>
            <w14:solidFill>
              <w14:schemeClr w14:val="tx1"/>
            </w14:solidFill>
          </w14:textFill>
        </w:rPr>
        <w:t>生态</w:t>
      </w:r>
      <w:r>
        <w:rPr>
          <w:rFonts w:hint="default" w:ascii="Times New Roman" w:hAnsi="Times New Roman" w:cs="Times New Roman"/>
          <w:b/>
          <w:bCs w:val="0"/>
          <w:color w:val="000000" w:themeColor="text1"/>
          <w:sz w:val="48"/>
          <w:szCs w:val="48"/>
          <w:highlight w:val="none"/>
          <w14:textFill>
            <w14:solidFill>
              <w14:schemeClr w14:val="tx1"/>
            </w14:solidFill>
          </w14:textFill>
        </w:rPr>
        <w:t>环境影响报告表</w:t>
      </w:r>
    </w:p>
    <w:p w14:paraId="1489CAC3">
      <w:pPr>
        <w:adjustRightInd w:val="0"/>
        <w:snapToGrid w:val="0"/>
        <w:spacing w:before="192" w:beforeLines="80"/>
        <w:jc w:val="center"/>
        <w:outlineLvl w:val="9"/>
        <w:rPr>
          <w:rFonts w:hint="default" w:ascii="Times New Roman" w:hAnsi="Times New Roman" w:cs="Times New Roman"/>
          <w:bCs/>
          <w:color w:val="000000" w:themeColor="text1"/>
          <w:sz w:val="48"/>
          <w:szCs w:val="48"/>
          <w:highlight w:val="none"/>
          <w14:textFill>
            <w14:solidFill>
              <w14:schemeClr w14:val="tx1"/>
            </w14:solidFill>
          </w14:textFill>
        </w:rPr>
      </w:pPr>
      <w:r>
        <w:rPr>
          <w:rFonts w:hint="default" w:ascii="Times New Roman" w:hAnsi="Times New Roman" w:cs="Times New Roman"/>
          <w:bCs/>
          <w:color w:val="000000" w:themeColor="text1"/>
          <w:sz w:val="48"/>
          <w:szCs w:val="48"/>
          <w:highlight w:val="none"/>
          <w14:textFill>
            <w14:solidFill>
              <w14:schemeClr w14:val="tx1"/>
            </w14:solidFill>
          </w14:textFill>
        </w:rPr>
        <w:t>（污染影响类）</w:t>
      </w:r>
    </w:p>
    <w:p w14:paraId="00BC7876">
      <w:pPr>
        <w:adjustRightInd w:val="0"/>
        <w:snapToGrid w:val="0"/>
        <w:spacing w:line="288" w:lineRule="auto"/>
        <w:jc w:val="center"/>
        <w:outlineLvl w:val="9"/>
        <w:rPr>
          <w:rFonts w:hint="default" w:ascii="Times New Roman" w:hAnsi="Times New Roman" w:eastAsia="华文仿宋" w:cs="Times New Roman"/>
          <w:color w:val="000000" w:themeColor="text1"/>
          <w:kern w:val="44"/>
          <w:sz w:val="44"/>
          <w:szCs w:val="44"/>
          <w:highlight w:val="none"/>
          <w14:textFill>
            <w14:solidFill>
              <w14:schemeClr w14:val="tx1"/>
            </w14:solidFill>
          </w14:textFill>
        </w:rPr>
      </w:pPr>
    </w:p>
    <w:p w14:paraId="3A642575">
      <w:pPr>
        <w:jc w:val="center"/>
        <w:outlineLvl w:val="9"/>
        <w:rPr>
          <w:rFonts w:hint="default" w:ascii="Times New Roman" w:hAnsi="Times New Roman" w:eastAsia="仿宋" w:cs="Times New Roman"/>
          <w:color w:val="000000" w:themeColor="text1"/>
          <w:sz w:val="52"/>
          <w:szCs w:val="52"/>
          <w:highlight w:val="none"/>
          <w14:textFill>
            <w14:solidFill>
              <w14:schemeClr w14:val="tx1"/>
            </w14:solidFill>
          </w14:textFill>
        </w:rPr>
      </w:pPr>
    </w:p>
    <w:p w14:paraId="2A7285D7">
      <w:pPr>
        <w:jc w:val="center"/>
        <w:outlineLvl w:val="9"/>
        <w:rPr>
          <w:rFonts w:hint="default" w:ascii="Times New Roman" w:hAnsi="Times New Roman" w:eastAsia="仿宋" w:cs="Times New Roman"/>
          <w:color w:val="000000" w:themeColor="text1"/>
          <w:sz w:val="52"/>
          <w:szCs w:val="52"/>
          <w:highlight w:val="none"/>
          <w14:textFill>
            <w14:solidFill>
              <w14:schemeClr w14:val="tx1"/>
            </w14:solidFill>
          </w14:textFill>
        </w:rPr>
      </w:pPr>
    </w:p>
    <w:p w14:paraId="265ABCEA">
      <w:pPr>
        <w:jc w:val="center"/>
        <w:outlineLvl w:val="9"/>
        <w:rPr>
          <w:rFonts w:hint="default" w:ascii="Times New Roman" w:hAnsi="Times New Roman" w:eastAsia="仿宋" w:cs="Times New Roman"/>
          <w:color w:val="000000" w:themeColor="text1"/>
          <w:sz w:val="52"/>
          <w:szCs w:val="52"/>
          <w:highlight w:val="none"/>
          <w14:textFill>
            <w14:solidFill>
              <w14:schemeClr w14:val="tx1"/>
            </w14:solidFill>
          </w14:textFill>
        </w:rPr>
      </w:pPr>
    </w:p>
    <w:p w14:paraId="0300C19E">
      <w:pPr>
        <w:ind w:firstLine="1040"/>
        <w:outlineLvl w:val="9"/>
        <w:rPr>
          <w:rFonts w:hint="default" w:ascii="Times New Roman" w:hAnsi="Times New Roman" w:eastAsia="仿宋" w:cs="Times New Roman"/>
          <w:color w:val="000000" w:themeColor="text1"/>
          <w:sz w:val="44"/>
          <w:szCs w:val="44"/>
          <w:highlight w:val="none"/>
          <w14:textFill>
            <w14:solidFill>
              <w14:schemeClr w14:val="tx1"/>
            </w14:solidFill>
          </w14:textFill>
        </w:rPr>
      </w:pPr>
    </w:p>
    <w:p w14:paraId="6E8574FD">
      <w:pPr>
        <w:ind w:firstLine="1040"/>
        <w:outlineLvl w:val="9"/>
        <w:rPr>
          <w:rFonts w:hint="default" w:ascii="Times New Roman" w:hAnsi="Times New Roman" w:eastAsia="仿宋" w:cs="Times New Roman"/>
          <w:color w:val="000000" w:themeColor="text1"/>
          <w:sz w:val="44"/>
          <w:szCs w:val="44"/>
          <w:highlight w:val="none"/>
          <w14:textFill>
            <w14:solidFill>
              <w14:schemeClr w14:val="tx1"/>
            </w14:solidFill>
          </w14:textFill>
        </w:rPr>
      </w:pPr>
    </w:p>
    <w:p w14:paraId="1BD61946">
      <w:pPr>
        <w:ind w:firstLine="1040"/>
        <w:outlineLvl w:val="9"/>
        <w:rPr>
          <w:rFonts w:hint="default" w:ascii="Times New Roman" w:hAnsi="Times New Roman" w:eastAsia="仿宋" w:cs="Times New Roman"/>
          <w:color w:val="000000" w:themeColor="text1"/>
          <w:sz w:val="44"/>
          <w:szCs w:val="44"/>
          <w:highlight w:val="none"/>
          <w14:textFill>
            <w14:solidFill>
              <w14:schemeClr w14:val="tx1"/>
            </w14:solidFill>
          </w14:textFill>
        </w:rPr>
      </w:pPr>
    </w:p>
    <w:p w14:paraId="60363592">
      <w:pPr>
        <w:ind w:firstLine="1040"/>
        <w:outlineLvl w:val="9"/>
        <w:rPr>
          <w:rFonts w:hint="default" w:ascii="Times New Roman" w:hAnsi="Times New Roman" w:eastAsia="仿宋" w:cs="Times New Roman"/>
          <w:color w:val="000000" w:themeColor="text1"/>
          <w:sz w:val="44"/>
          <w:szCs w:val="44"/>
          <w:highlight w:val="none"/>
          <w14:textFill>
            <w14:solidFill>
              <w14:schemeClr w14:val="tx1"/>
            </w14:solidFill>
          </w14:textFill>
        </w:rPr>
      </w:pPr>
    </w:p>
    <w:p w14:paraId="5F543023">
      <w:pPr>
        <w:ind w:firstLine="1040"/>
        <w:outlineLvl w:val="9"/>
        <w:rPr>
          <w:rFonts w:hint="default" w:ascii="Times New Roman" w:hAnsi="Times New Roman" w:eastAsia="仿宋" w:cs="Times New Roman"/>
          <w:color w:val="000000" w:themeColor="text1"/>
          <w:sz w:val="44"/>
          <w:szCs w:val="44"/>
          <w:highlight w:val="none"/>
          <w14:textFill>
            <w14:solidFill>
              <w14:schemeClr w14:val="tx1"/>
            </w14:solidFill>
          </w14:textFill>
        </w:rPr>
      </w:pPr>
    </w:p>
    <w:p w14:paraId="4B8568C2">
      <w:pPr>
        <w:ind w:firstLine="1040"/>
        <w:rPr>
          <w:rFonts w:hint="default" w:ascii="Times New Roman" w:hAnsi="Times New Roman" w:eastAsia="仿宋" w:cs="Times New Roman"/>
          <w:color w:val="000000" w:themeColor="text1"/>
          <w:sz w:val="44"/>
          <w:szCs w:val="44"/>
          <w:highlight w:val="none"/>
          <w14:textFill>
            <w14:solidFill>
              <w14:schemeClr w14:val="tx1"/>
            </w14:solidFill>
          </w14:textFill>
        </w:rPr>
      </w:pPr>
    </w:p>
    <w:p w14:paraId="748ACDE6">
      <w:pPr>
        <w:adjustRightInd w:val="0"/>
        <w:snapToGrid w:val="0"/>
        <w:ind w:left="2121" w:leftChars="172" w:hanging="1760" w:hangingChars="550"/>
        <w:rPr>
          <w:rFonts w:hint="default" w:ascii="Times New Roman" w:hAnsi="Times New Roman" w:cs="Times New Roman"/>
          <w:color w:val="000000" w:themeColor="text1"/>
          <w:sz w:val="32"/>
          <w:szCs w:val="32"/>
          <w:highlight w:val="none"/>
          <w:u w:val="single"/>
          <w:lang w:val="en-US"/>
          <w14:textFill>
            <w14:solidFill>
              <w14:schemeClr w14:val="tx1"/>
            </w14:solidFill>
          </w14:textFill>
        </w:rPr>
      </w:pPr>
      <w:r>
        <w:rPr>
          <w:rFonts w:hint="default" w:ascii="Times New Roman" w:hAnsi="Times New Roman" w:cs="Times New Roman"/>
          <w:color w:val="000000" w:themeColor="text1"/>
          <w:sz w:val="32"/>
          <w:szCs w:val="32"/>
          <w:highlight w:val="none"/>
          <w14:textFill>
            <w14:solidFill>
              <w14:schemeClr w14:val="tx1"/>
            </w14:solidFill>
          </w14:textFill>
        </w:rPr>
        <w:t>项</w:t>
      </w:r>
      <w:r>
        <w:rPr>
          <w:rFonts w:hint="eastAsia" w:cs="Times New Roman"/>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32"/>
          <w:szCs w:val="32"/>
          <w:highlight w:val="none"/>
          <w14:textFill>
            <w14:solidFill>
              <w14:schemeClr w14:val="tx1"/>
            </w14:solidFill>
          </w14:textFill>
        </w:rPr>
        <w:t>目</w:t>
      </w:r>
      <w:r>
        <w:rPr>
          <w:rFonts w:hint="eastAsia" w:cs="Times New Roman"/>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32"/>
          <w:szCs w:val="32"/>
          <w:highlight w:val="none"/>
          <w14:textFill>
            <w14:solidFill>
              <w14:schemeClr w14:val="tx1"/>
            </w14:solidFill>
          </w14:textFill>
        </w:rPr>
        <w:t>名</w:t>
      </w:r>
      <w:r>
        <w:rPr>
          <w:rFonts w:hint="eastAsia" w:cs="Times New Roman"/>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32"/>
          <w:szCs w:val="32"/>
          <w:highlight w:val="none"/>
          <w14:textFill>
            <w14:solidFill>
              <w14:schemeClr w14:val="tx1"/>
            </w14:solidFill>
          </w14:textFill>
        </w:rPr>
        <w:t>称：</w:t>
      </w:r>
      <w:r>
        <w:rPr>
          <w:rFonts w:hint="eastAsia" w:cs="Times New Roman"/>
          <w:color w:val="000000" w:themeColor="text1"/>
          <w:sz w:val="32"/>
          <w:szCs w:val="32"/>
          <w:highlight w:val="none"/>
          <w:u w:val="single"/>
          <w:lang w:val="en-US" w:eastAsia="zh-CN"/>
          <w14:textFill>
            <w14:solidFill>
              <w14:schemeClr w14:val="tx1"/>
            </w14:solidFill>
          </w14:textFill>
        </w:rPr>
        <w:t xml:space="preserve">       年产4000万米编织水带项目        </w:t>
      </w:r>
    </w:p>
    <w:p w14:paraId="7F25DF47">
      <w:pPr>
        <w:adjustRightInd w:val="0"/>
        <w:snapToGrid w:val="0"/>
        <w:spacing w:before="240" w:beforeLines="100" w:line="360" w:lineRule="auto"/>
        <w:ind w:firstLine="320" w:firstLineChars="100"/>
        <w:rPr>
          <w:rFonts w:hint="default" w:ascii="Times New Roman" w:hAnsi="Times New Roman" w:cs="Times New Roman"/>
          <w:color w:val="000000" w:themeColor="text1"/>
          <w:sz w:val="32"/>
          <w:szCs w:val="32"/>
          <w:highlight w:val="none"/>
          <w:u w:val="single"/>
          <w:lang w:val="en-US"/>
          <w14:textFill>
            <w14:solidFill>
              <w14:schemeClr w14:val="tx1"/>
            </w14:solidFill>
          </w14:textFill>
        </w:rPr>
      </w:pPr>
      <w:r>
        <w:rPr>
          <w:rFonts w:hint="default" w:ascii="Times New Roman" w:hAnsi="Times New Roman" w:cs="Times New Roman"/>
          <w:color w:val="000000" w:themeColor="text1"/>
          <w:sz w:val="32"/>
          <w:szCs w:val="32"/>
          <w:highlight w:val="none"/>
          <w14:textFill>
            <w14:solidFill>
              <w14:schemeClr w14:val="tx1"/>
            </w14:solidFill>
          </w14:textFill>
        </w:rPr>
        <w:t>建</w:t>
      </w:r>
      <w:r>
        <w:rPr>
          <w:rFonts w:hint="eastAsia" w:cs="Times New Roman"/>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32"/>
          <w:szCs w:val="32"/>
          <w:highlight w:val="none"/>
          <w14:textFill>
            <w14:solidFill>
              <w14:schemeClr w14:val="tx1"/>
            </w14:solidFill>
          </w14:textFill>
        </w:rPr>
        <w:t>设</w:t>
      </w:r>
      <w:r>
        <w:rPr>
          <w:rFonts w:hint="eastAsia" w:cs="Times New Roman"/>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32"/>
          <w:szCs w:val="32"/>
          <w:highlight w:val="none"/>
          <w14:textFill>
            <w14:solidFill>
              <w14:schemeClr w14:val="tx1"/>
            </w14:solidFill>
          </w14:textFill>
        </w:rPr>
        <w:t>单</w:t>
      </w:r>
      <w:r>
        <w:rPr>
          <w:rFonts w:hint="eastAsia" w:cs="Times New Roman"/>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32"/>
          <w:szCs w:val="32"/>
          <w:highlight w:val="none"/>
          <w14:textFill>
            <w14:solidFill>
              <w14:schemeClr w14:val="tx1"/>
            </w14:solidFill>
          </w14:textFill>
        </w:rPr>
        <w:t>位（盖章）</w:t>
      </w:r>
      <w:r>
        <w:rPr>
          <w:rFonts w:hint="eastAsia" w:cs="Times New Roman"/>
          <w:color w:val="000000" w:themeColor="text1"/>
          <w:sz w:val="32"/>
          <w:szCs w:val="32"/>
          <w:highlight w:val="none"/>
          <w:lang w:eastAsia="zh-CN"/>
          <w14:textFill>
            <w14:solidFill>
              <w14:schemeClr w14:val="tx1"/>
            </w14:solidFill>
          </w14:textFill>
        </w:rPr>
        <w:t>：</w:t>
      </w:r>
      <w:r>
        <w:rPr>
          <w:rFonts w:hint="eastAsia" w:cs="Times New Roman"/>
          <w:color w:val="000000" w:themeColor="text1"/>
          <w:sz w:val="32"/>
          <w:szCs w:val="32"/>
          <w:highlight w:val="none"/>
          <w:u w:val="single"/>
          <w:lang w:val="en-US" w:eastAsia="zh-CN"/>
          <w14:textFill>
            <w14:solidFill>
              <w14:schemeClr w14:val="tx1"/>
            </w14:solidFill>
          </w14:textFill>
        </w:rPr>
        <w:t xml:space="preserve">    </w:t>
      </w:r>
      <w:r>
        <w:rPr>
          <w:rFonts w:hint="eastAsia" w:cs="Times New Roman"/>
          <w:color w:val="000000" w:themeColor="text1"/>
          <w:sz w:val="32"/>
          <w:szCs w:val="32"/>
          <w:highlight w:val="none"/>
          <w:u w:val="single"/>
          <w:lang w:eastAsia="zh-CN"/>
          <w14:textFill>
            <w14:solidFill>
              <w14:schemeClr w14:val="tx1"/>
            </w14:solidFill>
          </w14:textFill>
        </w:rPr>
        <w:t>安阳三琪农业科技有限公司</w:t>
      </w:r>
      <w:r>
        <w:rPr>
          <w:rFonts w:hint="eastAsia" w:cs="Times New Roman"/>
          <w:color w:val="000000" w:themeColor="text1"/>
          <w:sz w:val="32"/>
          <w:szCs w:val="32"/>
          <w:highlight w:val="none"/>
          <w:u w:val="single"/>
          <w:lang w:val="en-US" w:eastAsia="zh-CN"/>
          <w14:textFill>
            <w14:solidFill>
              <w14:schemeClr w14:val="tx1"/>
            </w14:solidFill>
          </w14:textFill>
        </w:rPr>
        <w:t xml:space="preserve">    </w:t>
      </w:r>
    </w:p>
    <w:p w14:paraId="37E5CCB9">
      <w:pPr>
        <w:adjustRightInd w:val="0"/>
        <w:snapToGrid w:val="0"/>
        <w:spacing w:line="360" w:lineRule="auto"/>
        <w:ind w:firstLine="320" w:firstLineChars="100"/>
        <w:rPr>
          <w:rFonts w:hint="default" w:ascii="Times New Roman" w:hAnsi="Times New Roman" w:eastAsia="宋体" w:cs="Times New Roman"/>
          <w:color w:val="000000" w:themeColor="text1"/>
          <w:sz w:val="32"/>
          <w:szCs w:val="32"/>
          <w:highlight w:val="none"/>
          <w:u w:val="single"/>
          <w:lang w:val="en-US" w:eastAsia="zh-CN"/>
          <w14:textFill>
            <w14:solidFill>
              <w14:schemeClr w14:val="tx1"/>
            </w14:solidFill>
          </w14:textFill>
        </w:rPr>
      </w:pPr>
      <w:r>
        <w:rPr>
          <w:rFonts w:hint="default" w:ascii="Times New Roman" w:hAnsi="Times New Roman" w:cs="Times New Roman"/>
          <w:color w:val="000000" w:themeColor="text1"/>
          <w:sz w:val="32"/>
          <w:szCs w:val="32"/>
          <w:highlight w:val="none"/>
          <w14:textFill>
            <w14:solidFill>
              <w14:schemeClr w14:val="tx1"/>
            </w14:solidFill>
          </w14:textFill>
        </w:rPr>
        <w:t>编</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32"/>
          <w:szCs w:val="32"/>
          <w:highlight w:val="none"/>
          <w14:textFill>
            <w14:solidFill>
              <w14:schemeClr w14:val="tx1"/>
            </w14:solidFill>
          </w14:textFill>
        </w:rPr>
        <w:t>制</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32"/>
          <w:szCs w:val="32"/>
          <w:highlight w:val="none"/>
          <w14:textFill>
            <w14:solidFill>
              <w14:schemeClr w14:val="tx1"/>
            </w14:solidFill>
          </w14:textFill>
        </w:rPr>
        <w:t>日</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32"/>
          <w:szCs w:val="32"/>
          <w:highlight w:val="none"/>
          <w14:textFill>
            <w14:solidFill>
              <w14:schemeClr w14:val="tx1"/>
            </w14:solidFill>
          </w14:textFill>
        </w:rPr>
        <w:t>期：</w:t>
      </w:r>
      <w:r>
        <w:rPr>
          <w:rFonts w:hint="default" w:ascii="Times New Roman" w:hAnsi="Times New Roman" w:cs="Times New Roman"/>
          <w:color w:val="000000" w:themeColor="text1"/>
          <w:sz w:val="32"/>
          <w:szCs w:val="32"/>
          <w:highlight w:val="none"/>
          <w:u w:val="single"/>
          <w14:textFill>
            <w14:solidFill>
              <w14:schemeClr w14:val="tx1"/>
            </w14:solidFill>
          </w14:textFill>
        </w:rPr>
        <w:t xml:space="preserve">          </w:t>
      </w:r>
      <w:r>
        <w:rPr>
          <w:rFonts w:hint="eastAsia" w:cs="Times New Roman"/>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cs="Times New Roman"/>
          <w:color w:val="000000" w:themeColor="text1"/>
          <w:sz w:val="32"/>
          <w:szCs w:val="32"/>
          <w:highlight w:val="none"/>
          <w:u w:val="single"/>
          <w14:textFill>
            <w14:solidFill>
              <w14:schemeClr w14:val="tx1"/>
            </w14:solidFill>
          </w14:textFill>
        </w:rPr>
        <w:t xml:space="preserve"> 202</w:t>
      </w:r>
      <w:r>
        <w:rPr>
          <w:rFonts w:hint="eastAsia" w:cs="Times New Roman"/>
          <w:color w:val="000000" w:themeColor="text1"/>
          <w:sz w:val="32"/>
          <w:szCs w:val="32"/>
          <w:highlight w:val="none"/>
          <w:u w:val="single"/>
          <w:lang w:val="en-US" w:eastAsia="zh-CN"/>
          <w14:textFill>
            <w14:solidFill>
              <w14:schemeClr w14:val="tx1"/>
            </w14:solidFill>
          </w14:textFill>
        </w:rPr>
        <w:t>6</w:t>
      </w:r>
      <w:r>
        <w:rPr>
          <w:rFonts w:hint="default" w:ascii="Times New Roman" w:hAnsi="Times New Roman" w:cs="Times New Roman"/>
          <w:color w:val="000000" w:themeColor="text1"/>
          <w:sz w:val="32"/>
          <w:szCs w:val="32"/>
          <w:highlight w:val="none"/>
          <w:u w:val="single"/>
          <w14:textFill>
            <w14:solidFill>
              <w14:schemeClr w14:val="tx1"/>
            </w14:solidFill>
          </w14:textFill>
        </w:rPr>
        <w:t>年</w:t>
      </w:r>
      <w:r>
        <w:rPr>
          <w:rFonts w:hint="eastAsia" w:cs="Times New Roman"/>
          <w:color w:val="000000" w:themeColor="text1"/>
          <w:sz w:val="32"/>
          <w:szCs w:val="32"/>
          <w:highlight w:val="none"/>
          <w:u w:val="single"/>
          <w:lang w:val="en-US" w:eastAsia="zh-CN"/>
          <w14:textFill>
            <w14:solidFill>
              <w14:schemeClr w14:val="tx1"/>
            </w14:solidFill>
          </w14:textFill>
        </w:rPr>
        <w:t>9</w:t>
      </w:r>
      <w:r>
        <w:rPr>
          <w:rFonts w:hint="default" w:ascii="Times New Roman" w:hAnsi="Times New Roman" w:cs="Times New Roman"/>
          <w:color w:val="000000" w:themeColor="text1"/>
          <w:sz w:val="32"/>
          <w:szCs w:val="32"/>
          <w:highlight w:val="none"/>
          <w:u w:val="single"/>
          <w14:textFill>
            <w14:solidFill>
              <w14:schemeClr w14:val="tx1"/>
            </w14:solidFill>
          </w14:textFill>
        </w:rPr>
        <w:t xml:space="preserve">月          </w:t>
      </w:r>
      <w:r>
        <w:rPr>
          <w:rFonts w:hint="eastAsia" w:cs="Times New Roman"/>
          <w:color w:val="000000" w:themeColor="text1"/>
          <w:sz w:val="32"/>
          <w:szCs w:val="32"/>
          <w:highlight w:val="none"/>
          <w:u w:val="single"/>
          <w:lang w:val="en-US" w:eastAsia="zh-CN"/>
          <w14:textFill>
            <w14:solidFill>
              <w14:schemeClr w14:val="tx1"/>
            </w14:solidFill>
          </w14:textFill>
        </w:rPr>
        <w:t xml:space="preserve">     </w:t>
      </w:r>
    </w:p>
    <w:p w14:paraId="18460B6B">
      <w:pPr>
        <w:adjustRightInd w:val="0"/>
        <w:snapToGrid w:val="0"/>
        <w:spacing w:line="288" w:lineRule="auto"/>
        <w:ind w:firstLine="1040"/>
        <w:rPr>
          <w:rFonts w:hint="default" w:ascii="Times New Roman" w:hAnsi="Times New Roman" w:eastAsia="仿宋_GB2312" w:cs="Times New Roman"/>
          <w:color w:val="000000" w:themeColor="text1"/>
          <w:szCs w:val="21"/>
          <w:highlight w:val="none"/>
          <w:u w:val="single"/>
          <w14:textFill>
            <w14:solidFill>
              <w14:schemeClr w14:val="tx1"/>
            </w14:solidFill>
          </w14:textFill>
        </w:rPr>
      </w:pPr>
      <w:bookmarkStart w:id="0" w:name="_Hlk57884087"/>
    </w:p>
    <w:p w14:paraId="39C37009">
      <w:pPr>
        <w:adjustRightInd w:val="0"/>
        <w:snapToGrid w:val="0"/>
        <w:spacing w:line="288" w:lineRule="auto"/>
        <w:ind w:firstLine="1040"/>
        <w:rPr>
          <w:rFonts w:hint="default" w:ascii="Times New Roman" w:hAnsi="Times New Roman" w:eastAsia="仿宋_GB2312" w:cs="Times New Roman"/>
          <w:color w:val="000000" w:themeColor="text1"/>
          <w:sz w:val="36"/>
          <w:szCs w:val="36"/>
          <w:highlight w:val="none"/>
          <w14:textFill>
            <w14:solidFill>
              <w14:schemeClr w14:val="tx1"/>
            </w14:solidFill>
          </w14:textFill>
        </w:rPr>
      </w:pPr>
    </w:p>
    <w:bookmarkEnd w:id="0"/>
    <w:p w14:paraId="1536291B">
      <w:pPr>
        <w:adjustRightInd w:val="0"/>
        <w:snapToGrid w:val="0"/>
        <w:spacing w:line="288" w:lineRule="auto"/>
        <w:jc w:val="center"/>
        <w:rPr>
          <w:rFonts w:hint="default" w:ascii="Times New Roman" w:hAnsi="Times New Roman" w:eastAsia="楷体_GB2312" w:cs="Times New Roman"/>
          <w:color w:val="000000" w:themeColor="text1"/>
          <w:sz w:val="36"/>
          <w:szCs w:val="36"/>
          <w:highlight w:val="none"/>
          <w14:textFill>
            <w14:solidFill>
              <w14:schemeClr w14:val="tx1"/>
            </w14:solidFill>
          </w14:textFill>
        </w:rPr>
      </w:pPr>
      <w:r>
        <w:rPr>
          <w:rFonts w:hint="default" w:ascii="Times New Roman" w:hAnsi="Times New Roman" w:eastAsia="楷体_GB2312" w:cs="Times New Roman"/>
          <w:color w:val="000000" w:themeColor="text1"/>
          <w:sz w:val="36"/>
          <w:szCs w:val="36"/>
          <w:highlight w:val="none"/>
          <w14:textFill>
            <w14:solidFill>
              <w14:schemeClr w14:val="tx1"/>
            </w14:solidFill>
          </w14:textFill>
        </w:rPr>
        <w:t>中华人民共和国生态环境部制</w:t>
      </w:r>
    </w:p>
    <w:p w14:paraId="489B064E">
      <w:pPr>
        <w:adjustRightInd w:val="0"/>
        <w:snapToGrid w:val="0"/>
        <w:spacing w:line="288" w:lineRule="auto"/>
        <w:ind w:firstLine="1040"/>
        <w:rPr>
          <w:rFonts w:hint="default" w:ascii="Times New Roman" w:hAnsi="Times New Roman" w:eastAsia="仿宋_GB2312" w:cs="Times New Roman"/>
          <w:color w:val="000000" w:themeColor="text1"/>
          <w:sz w:val="36"/>
          <w:szCs w:val="36"/>
          <w:highlight w:val="none"/>
          <w14:textFill>
            <w14:solidFill>
              <w14:schemeClr w14:val="tx1"/>
            </w14:solidFill>
          </w14:textFill>
        </w:rPr>
      </w:pPr>
    </w:p>
    <w:p w14:paraId="32A3ADBD">
      <w:pPr>
        <w:adjustRightInd w:val="0"/>
        <w:snapToGrid w:val="0"/>
        <w:spacing w:line="288" w:lineRule="auto"/>
        <w:ind w:firstLine="1040"/>
        <w:rPr>
          <w:rFonts w:hint="default" w:ascii="Times New Roman" w:hAnsi="Times New Roman" w:eastAsia="仿宋_GB2312" w:cs="Times New Roman"/>
          <w:color w:val="000000" w:themeColor="text1"/>
          <w:sz w:val="36"/>
          <w:szCs w:val="36"/>
          <w:highlight w:val="none"/>
          <w14:textFill>
            <w14:solidFill>
              <w14:schemeClr w14:val="tx1"/>
            </w14:solidFill>
          </w14:textFill>
        </w:rPr>
        <w:sectPr>
          <w:footerReference r:id="rId3" w:type="default"/>
          <w:pgSz w:w="11905" w:h="16838"/>
          <w:pgMar w:top="1417" w:right="1417" w:bottom="1417" w:left="1701" w:header="851" w:footer="1077" w:gutter="0"/>
          <w:pgBorders w:offsetFrom="page">
            <w:top w:val="none" w:sz="0" w:space="0"/>
            <w:left w:val="none" w:sz="0" w:space="0"/>
            <w:bottom w:val="none" w:sz="0" w:space="0"/>
            <w:right w:val="none" w:sz="0" w:space="0"/>
          </w:pgBorders>
          <w:pgNumType w:start="0"/>
          <w:cols w:space="720" w:num="1"/>
          <w:titlePg/>
          <w:rtlGutter w:val="0"/>
          <w:docGrid w:linePitch="312" w:charSpace="0"/>
        </w:sectPr>
      </w:pPr>
    </w:p>
    <w:p w14:paraId="25495183">
      <w:pPr>
        <w:adjustRightInd w:val="0"/>
        <w:snapToGrid w:val="0"/>
        <w:spacing w:line="288" w:lineRule="auto"/>
        <w:ind w:firstLine="1040"/>
        <w:rPr>
          <w:rFonts w:hint="default" w:ascii="Times New Roman" w:hAnsi="Times New Roman" w:eastAsia="仿宋_GB2312" w:cs="Times New Roman"/>
          <w:color w:val="000000" w:themeColor="text1"/>
          <w:sz w:val="36"/>
          <w:szCs w:val="36"/>
          <w:highlight w:val="none"/>
          <w14:textFill>
            <w14:solidFill>
              <w14:schemeClr w14:val="tx1"/>
            </w14:solidFill>
          </w14:textFill>
        </w:rPr>
      </w:pPr>
    </w:p>
    <w:p w14:paraId="245D1D66">
      <w:pPr>
        <w:adjustRightInd w:val="0"/>
        <w:snapToGrid w:val="0"/>
        <w:spacing w:line="288" w:lineRule="auto"/>
        <w:jc w:val="center"/>
        <w:rPr>
          <w:rFonts w:hint="default" w:ascii="Times New Roman" w:hAnsi="Times New Roman" w:cs="Times New Roman"/>
          <w:b/>
          <w:bCs/>
          <w:color w:val="000000" w:themeColor="text1"/>
          <w:sz w:val="48"/>
          <w:szCs w:val="48"/>
          <w:highlight w:val="none"/>
          <w14:textFill>
            <w14:solidFill>
              <w14:schemeClr w14:val="tx1"/>
            </w14:solidFill>
          </w14:textFill>
        </w:rPr>
      </w:pPr>
      <w:r>
        <w:rPr>
          <w:rFonts w:hint="default" w:ascii="Times New Roman" w:hAnsi="Times New Roman" w:cs="Times New Roman"/>
          <w:b/>
          <w:bCs/>
          <w:color w:val="000000" w:themeColor="text1"/>
          <w:sz w:val="48"/>
          <w:szCs w:val="48"/>
          <w:highlight w:val="none"/>
          <w14:textFill>
            <w14:solidFill>
              <w14:schemeClr w14:val="tx1"/>
            </w14:solidFill>
          </w14:textFill>
        </w:rPr>
        <w:t>目 录</w:t>
      </w:r>
    </w:p>
    <w:p w14:paraId="739E5865">
      <w:pPr>
        <w:adjustRightInd w:val="0"/>
        <w:snapToGrid w:val="0"/>
        <w:spacing w:line="288" w:lineRule="auto"/>
        <w:jc w:val="center"/>
        <w:rPr>
          <w:rFonts w:hint="default" w:ascii="Times New Roman" w:hAnsi="Times New Roman" w:cs="Times New Roman"/>
          <w:bCs/>
          <w:color w:val="000000" w:themeColor="text1"/>
          <w:sz w:val="48"/>
          <w:szCs w:val="48"/>
          <w:highlight w:val="none"/>
          <w14:textFill>
            <w14:solidFill>
              <w14:schemeClr w14:val="tx1"/>
            </w14:solidFill>
          </w14:textFill>
        </w:rPr>
      </w:pPr>
    </w:p>
    <w:p w14:paraId="267FB3DA">
      <w:pPr>
        <w:pStyle w:val="24"/>
        <w:tabs>
          <w:tab w:val="right" w:leader="dot" w:pos="8844"/>
        </w:tabs>
        <w:spacing w:line="360" w:lineRule="auto"/>
        <w:rPr>
          <w:rFonts w:hint="default" w:ascii="Times New Roman" w:hAnsi="Times New Roman" w:eastAsia="宋体" w:cs="Times New Roman"/>
          <w:b/>
          <w:bCs/>
          <w:color w:val="000000" w:themeColor="text1"/>
          <w:sz w:val="28"/>
          <w:szCs w:val="28"/>
          <w:highlight w:val="none"/>
          <w14:textFill>
            <w14:solidFill>
              <w14:schemeClr w14:val="tx1"/>
            </w14:solidFill>
          </w14:textFill>
        </w:rPr>
      </w:pP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begin"/>
      </w:r>
      <w:r>
        <w:rPr>
          <w:rFonts w:hint="default" w:ascii="Times New Roman" w:hAnsi="Times New Roman" w:eastAsia="宋体" w:cs="Times New Roman"/>
          <w:b/>
          <w:bCs/>
          <w:color w:val="000000" w:themeColor="text1"/>
          <w:sz w:val="28"/>
          <w:szCs w:val="28"/>
          <w:highlight w:val="none"/>
          <w14:textFill>
            <w14:solidFill>
              <w14:schemeClr w14:val="tx1"/>
            </w14:solidFill>
          </w14:textFill>
        </w:rPr>
        <w:instrText xml:space="preserve"> TOC \o "1-1" \h \z \u </w:instrText>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separate"/>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begin"/>
      </w:r>
      <w:r>
        <w:rPr>
          <w:rFonts w:hint="default" w:ascii="Times New Roman" w:hAnsi="Times New Roman" w:eastAsia="宋体" w:cs="Times New Roman"/>
          <w:b/>
          <w:bCs/>
          <w:color w:val="000000" w:themeColor="text1"/>
          <w:sz w:val="28"/>
          <w:szCs w:val="28"/>
          <w:highlight w:val="none"/>
          <w14:textFill>
            <w14:solidFill>
              <w14:schemeClr w14:val="tx1"/>
            </w14:solidFill>
          </w14:textFill>
        </w:rPr>
        <w:instrText xml:space="preserve"> HYPERLINK \l _Toc16212 </w:instrText>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separate"/>
      </w:r>
      <w:r>
        <w:rPr>
          <w:rFonts w:hint="default" w:ascii="Times New Roman" w:hAnsi="Times New Roman" w:eastAsia="宋体" w:cs="Times New Roman"/>
          <w:b/>
          <w:bCs/>
          <w:snapToGrid w:val="0"/>
          <w:color w:val="000000" w:themeColor="text1"/>
          <w:sz w:val="28"/>
          <w:szCs w:val="28"/>
          <w:highlight w:val="none"/>
          <w14:textFill>
            <w14:solidFill>
              <w14:schemeClr w14:val="tx1"/>
            </w14:solidFill>
          </w14:textFill>
        </w:rPr>
        <w:t>一、建设项目基本情况</w:t>
      </w:r>
      <w:r>
        <w:rPr>
          <w:rFonts w:hint="default" w:ascii="Times New Roman" w:hAnsi="Times New Roman" w:eastAsia="宋体" w:cs="Times New Roman"/>
          <w:b/>
          <w:bCs/>
          <w:color w:val="000000" w:themeColor="text1"/>
          <w:sz w:val="28"/>
          <w:szCs w:val="28"/>
          <w:highlight w:val="none"/>
          <w14:textFill>
            <w14:solidFill>
              <w14:schemeClr w14:val="tx1"/>
            </w14:solidFill>
          </w14:textFill>
        </w:rPr>
        <w:tab/>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begin"/>
      </w:r>
      <w:r>
        <w:rPr>
          <w:rFonts w:hint="default" w:ascii="Times New Roman" w:hAnsi="Times New Roman" w:eastAsia="宋体" w:cs="Times New Roman"/>
          <w:b/>
          <w:bCs/>
          <w:color w:val="000000" w:themeColor="text1"/>
          <w:sz w:val="28"/>
          <w:szCs w:val="28"/>
          <w:highlight w:val="none"/>
          <w14:textFill>
            <w14:solidFill>
              <w14:schemeClr w14:val="tx1"/>
            </w14:solidFill>
          </w14:textFill>
        </w:rPr>
        <w:instrText xml:space="preserve"> PAGEREF _Toc16212 \h </w:instrText>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separate"/>
      </w:r>
      <w:r>
        <w:rPr>
          <w:rFonts w:hint="default" w:ascii="Times New Roman" w:hAnsi="Times New Roman" w:eastAsia="宋体" w:cs="Times New Roman"/>
          <w:b/>
          <w:bCs/>
          <w:color w:val="000000" w:themeColor="text1"/>
          <w:sz w:val="28"/>
          <w:szCs w:val="28"/>
          <w:highlight w:val="none"/>
          <w14:textFill>
            <w14:solidFill>
              <w14:schemeClr w14:val="tx1"/>
            </w14:solidFill>
          </w14:textFill>
        </w:rPr>
        <w:t>1</w:t>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end"/>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end"/>
      </w:r>
    </w:p>
    <w:p w14:paraId="0E8E8DC6">
      <w:pPr>
        <w:pStyle w:val="24"/>
        <w:tabs>
          <w:tab w:val="right" w:leader="dot" w:pos="8844"/>
        </w:tabs>
        <w:spacing w:line="360" w:lineRule="auto"/>
        <w:rPr>
          <w:rFonts w:hint="eastAsia" w:ascii="Times New Roman" w:hAnsi="Times New Roman" w:eastAsia="宋体" w:cs="Times New Roman"/>
          <w:b/>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begin"/>
      </w:r>
      <w:r>
        <w:rPr>
          <w:rFonts w:hint="default" w:ascii="Times New Roman" w:hAnsi="Times New Roman" w:eastAsia="宋体" w:cs="Times New Roman"/>
          <w:b/>
          <w:bCs/>
          <w:color w:val="000000" w:themeColor="text1"/>
          <w:sz w:val="28"/>
          <w:szCs w:val="28"/>
          <w:highlight w:val="none"/>
          <w14:textFill>
            <w14:solidFill>
              <w14:schemeClr w14:val="tx1"/>
            </w14:solidFill>
          </w14:textFill>
        </w:rPr>
        <w:instrText xml:space="preserve"> HYPERLINK \l _Toc11615 </w:instrText>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separate"/>
      </w:r>
      <w:r>
        <w:rPr>
          <w:rFonts w:hint="default" w:ascii="Times New Roman" w:hAnsi="Times New Roman" w:eastAsia="宋体" w:cs="Times New Roman"/>
          <w:b/>
          <w:bCs/>
          <w:snapToGrid w:val="0"/>
          <w:color w:val="000000" w:themeColor="text1"/>
          <w:sz w:val="28"/>
          <w:szCs w:val="28"/>
          <w:highlight w:val="none"/>
          <w14:textFill>
            <w14:solidFill>
              <w14:schemeClr w14:val="tx1"/>
            </w14:solidFill>
          </w14:textFill>
        </w:rPr>
        <w:t>二、建设项目工程分析</w:t>
      </w:r>
      <w:r>
        <w:rPr>
          <w:rFonts w:hint="default" w:ascii="Times New Roman" w:hAnsi="Times New Roman" w:eastAsia="宋体" w:cs="Times New Roman"/>
          <w:b/>
          <w:bCs/>
          <w:color w:val="000000" w:themeColor="text1"/>
          <w:sz w:val="28"/>
          <w:szCs w:val="28"/>
          <w:highlight w:val="none"/>
          <w14:textFill>
            <w14:solidFill>
              <w14:schemeClr w14:val="tx1"/>
            </w14:solidFill>
          </w14:textFill>
        </w:rPr>
        <w:tab/>
      </w:r>
      <w:r>
        <w:rPr>
          <w:rFonts w:hint="eastAsia" w:cs="Times New Roman"/>
          <w:b/>
          <w:bCs/>
          <w:color w:val="000000" w:themeColor="text1"/>
          <w:sz w:val="28"/>
          <w:szCs w:val="28"/>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end"/>
      </w:r>
      <w:r>
        <w:rPr>
          <w:rFonts w:hint="eastAsia" w:cs="Times New Roman"/>
          <w:b/>
          <w:bCs/>
          <w:color w:val="000000" w:themeColor="text1"/>
          <w:sz w:val="28"/>
          <w:szCs w:val="28"/>
          <w:highlight w:val="none"/>
          <w:lang w:val="en-US" w:eastAsia="zh-CN"/>
          <w14:textFill>
            <w14:solidFill>
              <w14:schemeClr w14:val="tx1"/>
            </w14:solidFill>
          </w14:textFill>
        </w:rPr>
        <w:t>1</w:t>
      </w:r>
    </w:p>
    <w:p w14:paraId="7F4929B8">
      <w:pPr>
        <w:pStyle w:val="24"/>
        <w:tabs>
          <w:tab w:val="right" w:leader="dot" w:pos="8844"/>
        </w:tabs>
        <w:spacing w:line="360" w:lineRule="auto"/>
        <w:rPr>
          <w:rFonts w:hint="eastAsia" w:ascii="Times New Roman" w:hAnsi="Times New Roman" w:eastAsia="宋体" w:cs="Times New Roman"/>
          <w:b/>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begin"/>
      </w:r>
      <w:r>
        <w:rPr>
          <w:rFonts w:hint="default" w:ascii="Times New Roman" w:hAnsi="Times New Roman" w:eastAsia="宋体" w:cs="Times New Roman"/>
          <w:b/>
          <w:bCs/>
          <w:color w:val="000000" w:themeColor="text1"/>
          <w:sz w:val="28"/>
          <w:szCs w:val="28"/>
          <w:highlight w:val="none"/>
          <w14:textFill>
            <w14:solidFill>
              <w14:schemeClr w14:val="tx1"/>
            </w14:solidFill>
          </w14:textFill>
        </w:rPr>
        <w:instrText xml:space="preserve"> HYPERLINK \l _Toc2821 </w:instrText>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separate"/>
      </w:r>
      <w:r>
        <w:rPr>
          <w:rFonts w:hint="default" w:ascii="Times New Roman" w:hAnsi="Times New Roman" w:eastAsia="宋体" w:cs="Times New Roman"/>
          <w:b/>
          <w:bCs/>
          <w:snapToGrid w:val="0"/>
          <w:color w:val="000000" w:themeColor="text1"/>
          <w:sz w:val="28"/>
          <w:szCs w:val="28"/>
          <w:highlight w:val="none"/>
          <w14:textFill>
            <w14:solidFill>
              <w14:schemeClr w14:val="tx1"/>
            </w14:solidFill>
          </w14:textFill>
        </w:rPr>
        <w:t>三、区域环境质量现状、环境保护目标及评价标准</w:t>
      </w:r>
      <w:r>
        <w:rPr>
          <w:rFonts w:hint="default" w:ascii="Times New Roman" w:hAnsi="Times New Roman" w:eastAsia="宋体" w:cs="Times New Roman"/>
          <w:b/>
          <w:bCs/>
          <w:color w:val="000000" w:themeColor="text1"/>
          <w:sz w:val="28"/>
          <w:szCs w:val="28"/>
          <w:highlight w:val="none"/>
          <w14:textFill>
            <w14:solidFill>
              <w14:schemeClr w14:val="tx1"/>
            </w14:solidFill>
          </w14:textFill>
        </w:rPr>
        <w:tab/>
      </w:r>
      <w:r>
        <w:rPr>
          <w:rFonts w:hint="eastAsia" w:cs="Times New Roman"/>
          <w:b/>
          <w:bCs/>
          <w:color w:val="000000" w:themeColor="text1"/>
          <w:sz w:val="28"/>
          <w:szCs w:val="28"/>
          <w:highlight w:val="none"/>
          <w:lang w:val="en-US" w:eastAsia="zh-CN"/>
          <w14:textFill>
            <w14:solidFill>
              <w14:schemeClr w14:val="tx1"/>
            </w14:solidFill>
          </w14:textFill>
        </w:rPr>
        <w:t>5</w:t>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end"/>
      </w:r>
      <w:r>
        <w:rPr>
          <w:rFonts w:hint="eastAsia" w:cs="Times New Roman"/>
          <w:b/>
          <w:bCs/>
          <w:color w:val="000000" w:themeColor="text1"/>
          <w:sz w:val="28"/>
          <w:szCs w:val="28"/>
          <w:highlight w:val="none"/>
          <w:lang w:val="en-US" w:eastAsia="zh-CN"/>
          <w14:textFill>
            <w14:solidFill>
              <w14:schemeClr w14:val="tx1"/>
            </w14:solidFill>
          </w14:textFill>
        </w:rPr>
        <w:t>0</w:t>
      </w:r>
    </w:p>
    <w:p w14:paraId="5535DCEB">
      <w:pPr>
        <w:pStyle w:val="24"/>
        <w:tabs>
          <w:tab w:val="right" w:leader="dot" w:pos="8844"/>
        </w:tabs>
        <w:spacing w:line="360" w:lineRule="auto"/>
        <w:rPr>
          <w:rFonts w:hint="eastAsia" w:ascii="Times New Roman" w:hAnsi="Times New Roman" w:eastAsia="宋体" w:cs="Times New Roman"/>
          <w:b/>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begin"/>
      </w:r>
      <w:r>
        <w:rPr>
          <w:rFonts w:hint="default" w:ascii="Times New Roman" w:hAnsi="Times New Roman" w:eastAsia="宋体" w:cs="Times New Roman"/>
          <w:b/>
          <w:bCs/>
          <w:color w:val="000000" w:themeColor="text1"/>
          <w:sz w:val="28"/>
          <w:szCs w:val="28"/>
          <w:highlight w:val="none"/>
          <w14:textFill>
            <w14:solidFill>
              <w14:schemeClr w14:val="tx1"/>
            </w14:solidFill>
          </w14:textFill>
        </w:rPr>
        <w:instrText xml:space="preserve"> HYPERLINK \l _Toc19507 </w:instrText>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separate"/>
      </w:r>
      <w:r>
        <w:rPr>
          <w:rFonts w:hint="default" w:ascii="Times New Roman" w:hAnsi="Times New Roman" w:eastAsia="宋体" w:cs="Times New Roman"/>
          <w:b/>
          <w:bCs/>
          <w:snapToGrid w:val="0"/>
          <w:color w:val="000000" w:themeColor="text1"/>
          <w:sz w:val="28"/>
          <w:szCs w:val="28"/>
          <w:highlight w:val="none"/>
          <w14:textFill>
            <w14:solidFill>
              <w14:schemeClr w14:val="tx1"/>
            </w14:solidFill>
          </w14:textFill>
        </w:rPr>
        <w:t>四、主要环境影响和保护措施</w:t>
      </w:r>
      <w:r>
        <w:rPr>
          <w:rFonts w:hint="default" w:ascii="Times New Roman" w:hAnsi="Times New Roman" w:eastAsia="宋体" w:cs="Times New Roman"/>
          <w:b/>
          <w:bCs/>
          <w:color w:val="000000" w:themeColor="text1"/>
          <w:sz w:val="28"/>
          <w:szCs w:val="28"/>
          <w:highlight w:val="none"/>
          <w14:textFill>
            <w14:solidFill>
              <w14:schemeClr w14:val="tx1"/>
            </w14:solidFill>
          </w14:textFill>
        </w:rPr>
        <w:tab/>
      </w:r>
      <w:r>
        <w:rPr>
          <w:rFonts w:hint="eastAsia" w:cs="Times New Roman"/>
          <w:b/>
          <w:bCs/>
          <w:color w:val="000000" w:themeColor="text1"/>
          <w:sz w:val="28"/>
          <w:szCs w:val="28"/>
          <w:highlight w:val="none"/>
          <w:lang w:val="en-US" w:eastAsia="zh-CN"/>
          <w14:textFill>
            <w14:solidFill>
              <w14:schemeClr w14:val="tx1"/>
            </w14:solidFill>
          </w14:textFill>
        </w:rPr>
        <w:t>5</w:t>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end"/>
      </w:r>
      <w:r>
        <w:rPr>
          <w:rFonts w:hint="eastAsia" w:cs="Times New Roman"/>
          <w:b/>
          <w:bCs/>
          <w:color w:val="000000" w:themeColor="text1"/>
          <w:sz w:val="28"/>
          <w:szCs w:val="28"/>
          <w:highlight w:val="none"/>
          <w:lang w:val="en-US" w:eastAsia="zh-CN"/>
          <w14:textFill>
            <w14:solidFill>
              <w14:schemeClr w14:val="tx1"/>
            </w14:solidFill>
          </w14:textFill>
        </w:rPr>
        <w:t>8</w:t>
      </w:r>
    </w:p>
    <w:p w14:paraId="3B5D2991">
      <w:pPr>
        <w:pStyle w:val="24"/>
        <w:tabs>
          <w:tab w:val="right" w:leader="dot" w:pos="8844"/>
        </w:tabs>
        <w:spacing w:line="360" w:lineRule="auto"/>
        <w:rPr>
          <w:rFonts w:hint="default" w:ascii="Times New Roman" w:hAnsi="Times New Roman" w:eastAsia="宋体" w:cs="Times New Roman"/>
          <w:b/>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begin"/>
      </w:r>
      <w:r>
        <w:rPr>
          <w:rFonts w:hint="default" w:ascii="Times New Roman" w:hAnsi="Times New Roman" w:eastAsia="宋体" w:cs="Times New Roman"/>
          <w:b/>
          <w:bCs/>
          <w:color w:val="000000" w:themeColor="text1"/>
          <w:sz w:val="28"/>
          <w:szCs w:val="28"/>
          <w:highlight w:val="none"/>
          <w14:textFill>
            <w14:solidFill>
              <w14:schemeClr w14:val="tx1"/>
            </w14:solidFill>
          </w14:textFill>
        </w:rPr>
        <w:instrText xml:space="preserve"> HYPERLINK \l _Toc17916 </w:instrText>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separate"/>
      </w:r>
      <w:r>
        <w:rPr>
          <w:rFonts w:hint="default" w:ascii="Times New Roman" w:hAnsi="Times New Roman" w:eastAsia="宋体" w:cs="Times New Roman"/>
          <w:b/>
          <w:bCs/>
          <w:snapToGrid w:val="0"/>
          <w:color w:val="000000" w:themeColor="text1"/>
          <w:sz w:val="28"/>
          <w:szCs w:val="28"/>
          <w:highlight w:val="none"/>
          <w14:textFill>
            <w14:solidFill>
              <w14:schemeClr w14:val="tx1"/>
            </w14:solidFill>
          </w14:textFill>
        </w:rPr>
        <w:t>五、环境保护措施监督检查清单</w:t>
      </w:r>
      <w:r>
        <w:rPr>
          <w:rFonts w:hint="default" w:ascii="Times New Roman" w:hAnsi="Times New Roman" w:eastAsia="宋体" w:cs="Times New Roman"/>
          <w:b/>
          <w:bCs/>
          <w:color w:val="000000" w:themeColor="text1"/>
          <w:sz w:val="28"/>
          <w:szCs w:val="28"/>
          <w:highlight w:val="none"/>
          <w14:textFill>
            <w14:solidFill>
              <w14:schemeClr w14:val="tx1"/>
            </w14:solidFill>
          </w14:textFill>
        </w:rPr>
        <w:tab/>
      </w:r>
      <w:r>
        <w:rPr>
          <w:rFonts w:hint="eastAsia" w:cs="Times New Roman"/>
          <w:b/>
          <w:bCs/>
          <w:color w:val="000000" w:themeColor="text1"/>
          <w:sz w:val="28"/>
          <w:szCs w:val="28"/>
          <w:highlight w:val="none"/>
          <w:lang w:val="en-US" w:eastAsia="zh-CN"/>
          <w14:textFill>
            <w14:solidFill>
              <w14:schemeClr w14:val="tx1"/>
            </w14:solidFill>
          </w14:textFill>
        </w:rPr>
        <w:t>8</w:t>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end"/>
      </w:r>
      <w:r>
        <w:rPr>
          <w:rFonts w:hint="eastAsia" w:cs="Times New Roman"/>
          <w:b/>
          <w:bCs/>
          <w:color w:val="000000" w:themeColor="text1"/>
          <w:sz w:val="28"/>
          <w:szCs w:val="28"/>
          <w:highlight w:val="none"/>
          <w:lang w:val="en-US" w:eastAsia="zh-CN"/>
          <w14:textFill>
            <w14:solidFill>
              <w14:schemeClr w14:val="tx1"/>
            </w14:solidFill>
          </w14:textFill>
        </w:rPr>
        <w:t>2</w:t>
      </w:r>
    </w:p>
    <w:p w14:paraId="789C962D">
      <w:pPr>
        <w:pStyle w:val="24"/>
        <w:tabs>
          <w:tab w:val="right" w:leader="dot" w:pos="8844"/>
        </w:tabs>
        <w:spacing w:line="360" w:lineRule="auto"/>
        <w:rPr>
          <w:rFonts w:hint="eastAsia" w:ascii="Times New Roman" w:hAnsi="Times New Roman" w:eastAsia="宋体" w:cs="Times New Roman"/>
          <w:b/>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begin"/>
      </w:r>
      <w:r>
        <w:rPr>
          <w:rFonts w:hint="default" w:ascii="Times New Roman" w:hAnsi="Times New Roman" w:eastAsia="宋体" w:cs="Times New Roman"/>
          <w:b/>
          <w:bCs/>
          <w:color w:val="000000" w:themeColor="text1"/>
          <w:sz w:val="28"/>
          <w:szCs w:val="28"/>
          <w:highlight w:val="none"/>
          <w14:textFill>
            <w14:solidFill>
              <w14:schemeClr w14:val="tx1"/>
            </w14:solidFill>
          </w14:textFill>
        </w:rPr>
        <w:instrText xml:space="preserve"> HYPERLINK \l _Toc32153 </w:instrText>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separate"/>
      </w:r>
      <w:r>
        <w:rPr>
          <w:rFonts w:hint="default" w:ascii="Times New Roman" w:hAnsi="Times New Roman" w:eastAsia="宋体" w:cs="Times New Roman"/>
          <w:b/>
          <w:bCs/>
          <w:snapToGrid w:val="0"/>
          <w:color w:val="000000" w:themeColor="text1"/>
          <w:sz w:val="28"/>
          <w:szCs w:val="28"/>
          <w:highlight w:val="none"/>
          <w14:textFill>
            <w14:solidFill>
              <w14:schemeClr w14:val="tx1"/>
            </w14:solidFill>
          </w14:textFill>
        </w:rPr>
        <w:t>六、结论</w:t>
      </w:r>
      <w:r>
        <w:rPr>
          <w:rFonts w:hint="default" w:ascii="Times New Roman" w:hAnsi="Times New Roman" w:eastAsia="宋体" w:cs="Times New Roman"/>
          <w:b/>
          <w:bCs/>
          <w:color w:val="000000" w:themeColor="text1"/>
          <w:sz w:val="28"/>
          <w:szCs w:val="28"/>
          <w:highlight w:val="none"/>
          <w14:textFill>
            <w14:solidFill>
              <w14:schemeClr w14:val="tx1"/>
            </w14:solidFill>
          </w14:textFill>
        </w:rPr>
        <w:tab/>
      </w:r>
      <w:r>
        <w:rPr>
          <w:rFonts w:hint="eastAsia" w:cs="Times New Roman"/>
          <w:b/>
          <w:bCs/>
          <w:color w:val="000000" w:themeColor="text1"/>
          <w:sz w:val="28"/>
          <w:szCs w:val="28"/>
          <w:highlight w:val="none"/>
          <w:lang w:val="en-US" w:eastAsia="zh-CN"/>
          <w14:textFill>
            <w14:solidFill>
              <w14:schemeClr w14:val="tx1"/>
            </w14:solidFill>
          </w14:textFill>
        </w:rPr>
        <w:t>8</w:t>
      </w: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end"/>
      </w:r>
      <w:r>
        <w:rPr>
          <w:rFonts w:hint="eastAsia" w:cs="Times New Roman"/>
          <w:b/>
          <w:bCs/>
          <w:color w:val="000000" w:themeColor="text1"/>
          <w:sz w:val="28"/>
          <w:szCs w:val="28"/>
          <w:highlight w:val="none"/>
          <w:lang w:val="en-US" w:eastAsia="zh-CN"/>
          <w14:textFill>
            <w14:solidFill>
              <w14:schemeClr w14:val="tx1"/>
            </w14:solidFill>
          </w14:textFill>
        </w:rPr>
        <w:t>4</w:t>
      </w:r>
    </w:p>
    <w:p w14:paraId="477F1877">
      <w:pPr>
        <w:keepNext w:val="0"/>
        <w:keepLines w:val="0"/>
        <w:pageBreakBefore w:val="0"/>
        <w:widowControl w:val="0"/>
        <w:kinsoku/>
        <w:wordWrap/>
        <w:overflowPunct/>
        <w:topLinePunct w:val="0"/>
        <w:autoSpaceDE/>
        <w:autoSpaceDN/>
        <w:bidi w:val="0"/>
        <w:adjustRightInd w:val="0"/>
        <w:snapToGrid w:val="0"/>
        <w:spacing w:line="380" w:lineRule="exact"/>
        <w:ind w:firstLine="562" w:firstLineChars="200"/>
        <w:textAlignment w:val="auto"/>
        <w:rPr>
          <w:rFonts w:hint="default"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8"/>
          <w:szCs w:val="28"/>
          <w:highlight w:val="none"/>
          <w14:textFill>
            <w14:solidFill>
              <w14:schemeClr w14:val="tx1"/>
            </w14:solidFill>
          </w14:textFill>
        </w:rPr>
        <w:fldChar w:fldCharType="end"/>
      </w:r>
    </w:p>
    <w:p w14:paraId="0ECD1C3C">
      <w:pPr>
        <w:pStyle w:val="2"/>
        <w:ind w:left="0" w:leftChars="0" w:firstLine="0" w:firstLineChars="0"/>
        <w:rPr>
          <w:rFonts w:hint="default"/>
          <w:lang w:val="en-US" w:eastAsia="zh-CN"/>
        </w:rPr>
        <w:sectPr>
          <w:footerReference r:id="rId5" w:type="first"/>
          <w:footerReference r:id="rId4" w:type="default"/>
          <w:pgSz w:w="11905" w:h="16838"/>
          <w:pgMar w:top="1417" w:right="1417" w:bottom="1417" w:left="1701" w:header="851" w:footer="1077" w:gutter="0"/>
          <w:pgBorders w:offsetFrom="page">
            <w:top w:val="none" w:sz="0" w:space="0"/>
            <w:left w:val="none" w:sz="0" w:space="0"/>
            <w:bottom w:val="none" w:sz="0" w:space="0"/>
            <w:right w:val="none" w:sz="0" w:space="0"/>
          </w:pgBorders>
          <w:pgNumType w:start="0"/>
          <w:cols w:space="720" w:num="1"/>
          <w:titlePg/>
          <w:rtlGutter w:val="0"/>
          <w:docGrid w:linePitch="312" w:charSpace="0"/>
        </w:sectPr>
      </w:pPr>
    </w:p>
    <w:p w14:paraId="10FD23B2">
      <w:pPr>
        <w:pStyle w:val="26"/>
        <w:spacing w:before="0" w:beforeAutospacing="0" w:after="0" w:afterAutospacing="0"/>
        <w:jc w:val="center"/>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bookmarkStart w:id="1" w:name="_Toc16212"/>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一、建设项目基本情况</w:t>
      </w:r>
      <w:bookmarkEnd w:id="1"/>
    </w:p>
    <w:tbl>
      <w:tblPr>
        <w:tblStyle w:val="29"/>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12"/>
        <w:gridCol w:w="1336"/>
        <w:gridCol w:w="529"/>
        <w:gridCol w:w="2242"/>
        <w:gridCol w:w="3952"/>
      </w:tblGrid>
      <w:tr w14:paraId="7F20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12" w:type="dxa"/>
            <w:noWrap w:val="0"/>
            <w:tcMar>
              <w:top w:w="16" w:type="dxa"/>
              <w:left w:w="16" w:type="dxa"/>
              <w:right w:w="16" w:type="dxa"/>
            </w:tcMar>
            <w:vAlign w:val="center"/>
          </w:tcPr>
          <w:p w14:paraId="5ECD475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建设项目名称</w:t>
            </w:r>
          </w:p>
        </w:tc>
        <w:tc>
          <w:tcPr>
            <w:tcW w:w="8059" w:type="dxa"/>
            <w:gridSpan w:val="4"/>
            <w:noWrap w:val="0"/>
            <w:vAlign w:val="center"/>
          </w:tcPr>
          <w:p w14:paraId="22E437B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年产4000万米编织水带项目</w:t>
            </w:r>
          </w:p>
        </w:tc>
      </w:tr>
      <w:tr w14:paraId="0B313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012" w:type="dxa"/>
            <w:noWrap w:val="0"/>
            <w:tcMar>
              <w:top w:w="16" w:type="dxa"/>
              <w:left w:w="16" w:type="dxa"/>
              <w:right w:w="16" w:type="dxa"/>
            </w:tcMar>
            <w:vAlign w:val="center"/>
          </w:tcPr>
          <w:p w14:paraId="6303286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项目代码</w:t>
            </w:r>
          </w:p>
        </w:tc>
        <w:tc>
          <w:tcPr>
            <w:tcW w:w="8059" w:type="dxa"/>
            <w:gridSpan w:val="4"/>
            <w:noWrap w:val="0"/>
            <w:vAlign w:val="center"/>
          </w:tcPr>
          <w:p w14:paraId="23EE14E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2601-410523-04-01-383511</w:t>
            </w:r>
          </w:p>
        </w:tc>
      </w:tr>
      <w:tr w14:paraId="5AD2E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012" w:type="dxa"/>
            <w:noWrap w:val="0"/>
            <w:tcMar>
              <w:top w:w="16" w:type="dxa"/>
              <w:left w:w="16" w:type="dxa"/>
              <w:right w:w="16" w:type="dxa"/>
            </w:tcMar>
            <w:vAlign w:val="center"/>
          </w:tcPr>
          <w:p w14:paraId="1F79603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建设单位联系人</w:t>
            </w:r>
          </w:p>
        </w:tc>
        <w:tc>
          <w:tcPr>
            <w:tcW w:w="1336" w:type="dxa"/>
            <w:noWrap w:val="0"/>
            <w:vAlign w:val="center"/>
          </w:tcPr>
          <w:p w14:paraId="571FD8B1">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p>
        </w:tc>
        <w:tc>
          <w:tcPr>
            <w:tcW w:w="2771" w:type="dxa"/>
            <w:gridSpan w:val="2"/>
            <w:noWrap w:val="0"/>
            <w:vAlign w:val="center"/>
          </w:tcPr>
          <w:p w14:paraId="7C2FF91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联系方式</w:t>
            </w:r>
          </w:p>
        </w:tc>
        <w:tc>
          <w:tcPr>
            <w:tcW w:w="3952" w:type="dxa"/>
            <w:noWrap w:val="0"/>
            <w:vAlign w:val="center"/>
          </w:tcPr>
          <w:p w14:paraId="16AD9FF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r>
      <w:tr w14:paraId="63888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5" w:hRule="atLeast"/>
          <w:jc w:val="center"/>
        </w:trPr>
        <w:tc>
          <w:tcPr>
            <w:tcW w:w="1012" w:type="dxa"/>
            <w:noWrap w:val="0"/>
            <w:tcMar>
              <w:top w:w="16" w:type="dxa"/>
              <w:left w:w="16" w:type="dxa"/>
              <w:right w:w="16" w:type="dxa"/>
            </w:tcMar>
            <w:vAlign w:val="center"/>
          </w:tcPr>
          <w:p w14:paraId="5D4F69E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建设地点</w:t>
            </w:r>
          </w:p>
        </w:tc>
        <w:tc>
          <w:tcPr>
            <w:tcW w:w="8059" w:type="dxa"/>
            <w:gridSpan w:val="4"/>
            <w:noWrap w:val="0"/>
            <w:vAlign w:val="center"/>
          </w:tcPr>
          <w:p w14:paraId="2ABA63D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pPr>
            <w:r>
              <w:rPr>
                <w:rFonts w:hint="eastAsia" w:cs="Times New Roman"/>
                <w:color w:val="000000" w:themeColor="text1"/>
                <w:sz w:val="24"/>
                <w:szCs w:val="24"/>
                <w:highlight w:val="none"/>
                <w:u w:val="none"/>
                <w:lang w:val="en-US" w:eastAsia="zh-CN"/>
                <w14:textFill>
                  <w14:solidFill>
                    <w14:schemeClr w14:val="tx1"/>
                  </w14:solidFill>
                </w14:textFill>
              </w:rPr>
              <w:t>安阳市汤阴县汤阴县众品大道原色非家具厂院内</w:t>
            </w:r>
          </w:p>
        </w:tc>
      </w:tr>
      <w:tr w14:paraId="1A95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jc w:val="center"/>
        </w:trPr>
        <w:tc>
          <w:tcPr>
            <w:tcW w:w="1012" w:type="dxa"/>
            <w:noWrap w:val="0"/>
            <w:tcMar>
              <w:top w:w="16" w:type="dxa"/>
              <w:left w:w="16" w:type="dxa"/>
              <w:right w:w="16" w:type="dxa"/>
            </w:tcMar>
            <w:vAlign w:val="center"/>
          </w:tcPr>
          <w:p w14:paraId="03C3CB5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地理坐标</w:t>
            </w:r>
          </w:p>
        </w:tc>
        <w:tc>
          <w:tcPr>
            <w:tcW w:w="8059" w:type="dxa"/>
            <w:gridSpan w:val="4"/>
            <w:noWrap w:val="0"/>
            <w:vAlign w:val="center"/>
          </w:tcPr>
          <w:p w14:paraId="31851196">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（114°25′5.659″</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E，</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35°53′58.029″</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N</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w:t>
            </w:r>
          </w:p>
        </w:tc>
      </w:tr>
      <w:tr w14:paraId="6B035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012" w:type="dxa"/>
            <w:noWrap w:val="0"/>
            <w:tcMar>
              <w:top w:w="16" w:type="dxa"/>
              <w:left w:w="16" w:type="dxa"/>
              <w:right w:w="16" w:type="dxa"/>
            </w:tcMar>
            <w:vAlign w:val="center"/>
          </w:tcPr>
          <w:p w14:paraId="461FA53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国民经济</w:t>
            </w:r>
          </w:p>
          <w:p w14:paraId="2B0FCDC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行业类别</w:t>
            </w:r>
          </w:p>
        </w:tc>
        <w:tc>
          <w:tcPr>
            <w:tcW w:w="1865" w:type="dxa"/>
            <w:gridSpan w:val="2"/>
            <w:noWrap w:val="0"/>
            <w:vAlign w:val="center"/>
          </w:tcPr>
          <w:p w14:paraId="14101E7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eastAsia" w:ascii="Times New Roman" w:hAnsi="Times New Roman"/>
                <w:color w:val="auto"/>
                <w:sz w:val="24"/>
                <w:szCs w:val="24"/>
                <w:lang w:val="en-US" w:eastAsia="zh-CN"/>
              </w:rPr>
              <w:t>C2922塑料板、管、型材制造</w:t>
            </w:r>
          </w:p>
        </w:tc>
        <w:tc>
          <w:tcPr>
            <w:tcW w:w="2242" w:type="dxa"/>
            <w:noWrap w:val="0"/>
            <w:vAlign w:val="center"/>
          </w:tcPr>
          <w:p w14:paraId="1ECC71F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bookmarkStart w:id="2" w:name="_Hlk49843745"/>
            <w:r>
              <w:rPr>
                <w:rFonts w:hint="default" w:ascii="Times New Roman" w:hAnsi="Times New Roman" w:eastAsia="Times New Roman" w:cs="Times New Roman"/>
                <w:color w:val="000000" w:themeColor="text1"/>
                <w:sz w:val="24"/>
                <w:szCs w:val="24"/>
                <w:highlight w:val="none"/>
                <w14:textFill>
                  <w14:solidFill>
                    <w14:schemeClr w14:val="tx1"/>
                  </w14:solidFill>
                </w14:textFill>
              </w:rPr>
              <w:t>建设项目</w:t>
            </w:r>
          </w:p>
          <w:p w14:paraId="6CEB2B5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行业类别</w:t>
            </w:r>
            <w:bookmarkEnd w:id="2"/>
          </w:p>
        </w:tc>
        <w:tc>
          <w:tcPr>
            <w:tcW w:w="3952" w:type="dxa"/>
            <w:noWrap w:val="0"/>
            <w:vAlign w:val="center"/>
          </w:tcPr>
          <w:p w14:paraId="5AD13C1F">
            <w:pPr>
              <w:keepNext w:val="0"/>
              <w:keepLines w:val="0"/>
              <w:suppressLineNumbers w:val="0"/>
              <w:adjustRightInd w:val="0"/>
              <w:snapToGrid w:val="0"/>
              <w:spacing w:before="0" w:beforeAutospacing="0" w:after="0" w:afterAutospacing="0"/>
              <w:ind w:left="0" w:right="0"/>
              <w:jc w:val="both"/>
              <w:rPr>
                <w:rFonts w:hint="default" w:ascii="Times New Roman" w:hAnsi="Times New Roman" w:eastAsia="Times New Roman" w:cs="Times New Roman"/>
                <w:bCs/>
                <w:color w:val="000000" w:themeColor="text1"/>
                <w:sz w:val="24"/>
                <w:szCs w:val="24"/>
                <w:highlight w:val="none"/>
                <w14:textFill>
                  <w14:solidFill>
                    <w14:schemeClr w14:val="tx1"/>
                  </w14:solidFill>
                </w14:textFill>
              </w:rPr>
            </w:pPr>
            <w:r>
              <w:rPr>
                <w:rFonts w:hint="eastAsia" w:ascii="Times New Roman" w:hAnsi="Times New Roman"/>
                <w:color w:val="auto"/>
                <w:sz w:val="24"/>
                <w:szCs w:val="24"/>
              </w:rPr>
              <w:t>二十</w:t>
            </w:r>
            <w:r>
              <w:rPr>
                <w:rFonts w:hint="eastAsia" w:ascii="Times New Roman" w:hAnsi="Times New Roman"/>
                <w:color w:val="auto"/>
                <w:sz w:val="24"/>
                <w:szCs w:val="24"/>
                <w:lang w:eastAsia="zh-CN"/>
              </w:rPr>
              <w:t>六</w:t>
            </w:r>
            <w:r>
              <w:rPr>
                <w:rFonts w:hint="eastAsia" w:ascii="Times New Roman" w:hAnsi="Times New Roman"/>
                <w:color w:val="auto"/>
                <w:sz w:val="24"/>
                <w:szCs w:val="24"/>
              </w:rPr>
              <w:t>、</w:t>
            </w:r>
            <w:r>
              <w:rPr>
                <w:rFonts w:hint="eastAsia" w:ascii="Times New Roman" w:hAnsi="Times New Roman"/>
                <w:color w:val="auto"/>
                <w:sz w:val="24"/>
                <w:szCs w:val="24"/>
                <w:lang w:eastAsia="zh-CN"/>
              </w:rPr>
              <w:t>橡胶和塑料</w:t>
            </w:r>
            <w:r>
              <w:rPr>
                <w:rFonts w:hint="eastAsia" w:ascii="Times New Roman" w:hAnsi="Times New Roman"/>
                <w:color w:val="auto"/>
                <w:sz w:val="24"/>
                <w:szCs w:val="24"/>
              </w:rPr>
              <w:t>制品业，</w:t>
            </w:r>
            <w:r>
              <w:rPr>
                <w:rFonts w:hint="eastAsia" w:ascii="Times New Roman" w:hAnsi="Times New Roman"/>
                <w:color w:val="auto"/>
                <w:sz w:val="24"/>
                <w:szCs w:val="24"/>
                <w:lang w:val="en-US" w:eastAsia="zh-CN"/>
              </w:rPr>
              <w:t>53</w:t>
            </w:r>
            <w:r>
              <w:rPr>
                <w:rFonts w:hint="eastAsia" w:ascii="Times New Roman" w:hAnsi="Times New Roman"/>
                <w:color w:val="auto"/>
                <w:sz w:val="24"/>
                <w:szCs w:val="24"/>
                <w:lang w:eastAsia="zh-CN"/>
              </w:rPr>
              <w:t>塑料</w:t>
            </w:r>
            <w:r>
              <w:rPr>
                <w:rFonts w:hint="eastAsia" w:ascii="Times New Roman" w:hAnsi="Times New Roman"/>
                <w:color w:val="auto"/>
                <w:sz w:val="24"/>
                <w:szCs w:val="24"/>
              </w:rPr>
              <w:t>制品</w:t>
            </w:r>
            <w:r>
              <w:rPr>
                <w:rFonts w:hint="eastAsia" w:ascii="Times New Roman" w:hAnsi="Times New Roman"/>
                <w:color w:val="auto"/>
                <w:sz w:val="24"/>
                <w:szCs w:val="24"/>
                <w:lang w:eastAsia="zh-CN"/>
              </w:rPr>
              <w:t>业</w:t>
            </w:r>
            <w:r>
              <w:rPr>
                <w:rFonts w:hint="eastAsia" w:ascii="Times New Roman" w:hAnsi="Times New Roman"/>
                <w:color w:val="auto"/>
                <w:sz w:val="24"/>
                <w:szCs w:val="24"/>
                <w:lang w:val="en-US" w:eastAsia="zh-CN"/>
              </w:rPr>
              <w:t>292中其他</w:t>
            </w:r>
            <w:r>
              <w:rPr>
                <w:rFonts w:hint="eastAsia"/>
                <w:color w:val="auto"/>
                <w:sz w:val="24"/>
                <w:szCs w:val="24"/>
                <w:lang w:val="en-US" w:eastAsia="zh-CN"/>
              </w:rPr>
              <w:t>-报告表</w:t>
            </w:r>
          </w:p>
        </w:tc>
      </w:tr>
      <w:tr w14:paraId="25697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012" w:type="dxa"/>
            <w:noWrap w:val="0"/>
            <w:tcMar>
              <w:top w:w="16" w:type="dxa"/>
              <w:left w:w="16" w:type="dxa"/>
              <w:right w:w="16" w:type="dxa"/>
            </w:tcMar>
            <w:vAlign w:val="center"/>
          </w:tcPr>
          <w:p w14:paraId="47895A2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建设性质</w:t>
            </w:r>
          </w:p>
        </w:tc>
        <w:tc>
          <w:tcPr>
            <w:tcW w:w="1865" w:type="dxa"/>
            <w:gridSpan w:val="2"/>
            <w:noWrap w:val="0"/>
            <w:vAlign w:val="center"/>
          </w:tcPr>
          <w:p w14:paraId="14A76FA1">
            <w:pPr>
              <w:keepNext w:val="0"/>
              <w:keepLines w:val="0"/>
              <w:suppressLineNumbers w:val="0"/>
              <w:spacing w:before="0" w:beforeAutospacing="0" w:after="0" w:afterAutospacing="0"/>
              <w:ind w:left="0" w:right="0"/>
              <w:jc w:val="left"/>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b w:val="0"/>
                <w:bCs/>
                <w:color w:val="000000" w:themeColor="text1"/>
                <w:sz w:val="24"/>
                <w:szCs w:val="24"/>
                <w:highlight w:val="none"/>
                <w14:textFill>
                  <w14:solidFill>
                    <w14:schemeClr w14:val="tx1"/>
                  </w14:solidFill>
                </w14:textFill>
              </w:rPr>
              <w:sym w:font="Wingdings 2" w:char="0052"/>
            </w:r>
            <w:r>
              <w:rPr>
                <w:rFonts w:hint="default" w:ascii="Times New Roman" w:hAnsi="Times New Roman" w:eastAsia="Times New Roman" w:cs="Times New Roman"/>
                <w:b/>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新建（迁建）</w:t>
            </w:r>
          </w:p>
          <w:p w14:paraId="6188091F">
            <w:pPr>
              <w:keepNext w:val="0"/>
              <w:keepLines w:val="0"/>
              <w:suppressLineNumbers w:val="0"/>
              <w:spacing w:before="0" w:beforeAutospacing="0" w:after="0" w:afterAutospacing="0"/>
              <w:ind w:left="0" w:right="0"/>
              <w:jc w:val="left"/>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sym w:font="Wingdings 2" w:char="00A3"/>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改建</w:t>
            </w:r>
          </w:p>
          <w:p w14:paraId="4C309C99">
            <w:pPr>
              <w:keepNext w:val="0"/>
              <w:keepLines w:val="0"/>
              <w:suppressLineNumbers w:val="0"/>
              <w:spacing w:before="0" w:beforeAutospacing="0" w:after="0" w:afterAutospacing="0"/>
              <w:ind w:left="0" w:right="0"/>
              <w:jc w:val="left"/>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sym w:font="Wingdings 2" w:char="00A3"/>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扩建</w:t>
            </w:r>
          </w:p>
          <w:p w14:paraId="393B483F">
            <w:pPr>
              <w:keepNext w:val="0"/>
              <w:keepLines w:val="0"/>
              <w:suppressLineNumbers w:val="0"/>
              <w:spacing w:before="0" w:beforeAutospacing="0" w:after="0" w:afterAutospacing="0"/>
              <w:ind w:left="0" w:right="0"/>
              <w:jc w:val="left"/>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sym w:font="Wingdings 2" w:char="00A3"/>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技术改造</w:t>
            </w:r>
          </w:p>
        </w:tc>
        <w:tc>
          <w:tcPr>
            <w:tcW w:w="2242" w:type="dxa"/>
            <w:noWrap w:val="0"/>
            <w:vAlign w:val="center"/>
          </w:tcPr>
          <w:p w14:paraId="6EFFD0F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建设项目</w:t>
            </w:r>
          </w:p>
          <w:p w14:paraId="78AE921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申报情形</w:t>
            </w:r>
          </w:p>
        </w:tc>
        <w:tc>
          <w:tcPr>
            <w:tcW w:w="3952" w:type="dxa"/>
            <w:noWrap w:val="0"/>
            <w:vAlign w:val="center"/>
          </w:tcPr>
          <w:p w14:paraId="36DFE008">
            <w:pPr>
              <w:keepNext w:val="0"/>
              <w:keepLines w:val="0"/>
              <w:suppressLineNumbers w:val="0"/>
              <w:spacing w:before="0" w:beforeAutospacing="0" w:after="0" w:afterAutospacing="0"/>
              <w:ind w:left="0" w:right="0"/>
              <w:jc w:val="left"/>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b w:val="0"/>
                <w:bCs/>
                <w:color w:val="000000" w:themeColor="text1"/>
                <w:sz w:val="24"/>
                <w:szCs w:val="24"/>
                <w:highlight w:val="none"/>
                <w14:textFill>
                  <w14:solidFill>
                    <w14:schemeClr w14:val="tx1"/>
                  </w14:solidFill>
                </w14:textFill>
              </w:rPr>
              <w:sym w:font="Wingdings 2" w:char="0052"/>
            </w:r>
            <w:r>
              <w:rPr>
                <w:rFonts w:hint="default" w:ascii="Times New Roman" w:hAnsi="Times New Roman" w:eastAsia="Times New Roman" w:cs="Times New Roman"/>
                <w:b w:val="0"/>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首次申报项目</w:t>
            </w:r>
          </w:p>
          <w:p w14:paraId="35226615">
            <w:pPr>
              <w:keepNext w:val="0"/>
              <w:keepLines w:val="0"/>
              <w:suppressLineNumbers w:val="0"/>
              <w:spacing w:before="0" w:beforeAutospacing="0" w:after="0" w:afterAutospacing="0"/>
              <w:ind w:left="0" w:right="0"/>
              <w:jc w:val="left"/>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sym w:font="Wingdings 2" w:char="00A3"/>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不予批准后再次申报项</w:t>
            </w:r>
          </w:p>
          <w:p w14:paraId="0A62093E">
            <w:pPr>
              <w:keepNext w:val="0"/>
              <w:keepLines w:val="0"/>
              <w:suppressLineNumbers w:val="0"/>
              <w:spacing w:before="0" w:beforeAutospacing="0" w:after="0" w:afterAutospacing="0"/>
              <w:ind w:left="0" w:right="0"/>
              <w:jc w:val="left"/>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sym w:font="Wingdings 2" w:char="00A3"/>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超五年重新审核项目</w:t>
            </w:r>
          </w:p>
          <w:p w14:paraId="1E5521DE">
            <w:pPr>
              <w:keepNext w:val="0"/>
              <w:keepLines w:val="0"/>
              <w:suppressLineNumbers w:val="0"/>
              <w:spacing w:before="0" w:beforeAutospacing="0" w:after="0" w:afterAutospacing="0"/>
              <w:ind w:left="0" w:right="0"/>
              <w:jc w:val="left"/>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sym w:font="Wingdings 2" w:char="00A3"/>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 xml:space="preserve"> 重大变动重新报批项目</w:t>
            </w:r>
          </w:p>
        </w:tc>
      </w:tr>
      <w:tr w14:paraId="0C22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012" w:type="dxa"/>
            <w:noWrap w:val="0"/>
            <w:tcMar>
              <w:top w:w="16" w:type="dxa"/>
              <w:left w:w="16" w:type="dxa"/>
              <w:right w:w="16" w:type="dxa"/>
            </w:tcMar>
            <w:vAlign w:val="center"/>
          </w:tcPr>
          <w:p w14:paraId="4B91CD3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项目审批（核准/备案）部门（选填）</w:t>
            </w:r>
          </w:p>
        </w:tc>
        <w:tc>
          <w:tcPr>
            <w:tcW w:w="1865" w:type="dxa"/>
            <w:gridSpan w:val="2"/>
            <w:noWrap w:val="0"/>
            <w:vAlign w:val="center"/>
          </w:tcPr>
          <w:p w14:paraId="109FE97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汤阴县</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发展和改革委员会</w:t>
            </w:r>
          </w:p>
        </w:tc>
        <w:tc>
          <w:tcPr>
            <w:tcW w:w="2242" w:type="dxa"/>
            <w:noWrap w:val="0"/>
            <w:vAlign w:val="center"/>
          </w:tcPr>
          <w:p w14:paraId="78E04FB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项目审批（核准/</w:t>
            </w:r>
          </w:p>
          <w:p w14:paraId="3288E57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备案）文号（选填）</w:t>
            </w:r>
          </w:p>
        </w:tc>
        <w:tc>
          <w:tcPr>
            <w:tcW w:w="3952" w:type="dxa"/>
            <w:noWrap w:val="0"/>
            <w:vAlign w:val="center"/>
          </w:tcPr>
          <w:p w14:paraId="07AAB5A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2601-410523-04-01-383511</w:t>
            </w:r>
          </w:p>
        </w:tc>
      </w:tr>
      <w:tr w14:paraId="0248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 w:hRule="atLeast"/>
          <w:jc w:val="center"/>
        </w:trPr>
        <w:tc>
          <w:tcPr>
            <w:tcW w:w="1012" w:type="dxa"/>
            <w:noWrap w:val="0"/>
            <w:tcMar>
              <w:top w:w="16" w:type="dxa"/>
              <w:left w:w="16" w:type="dxa"/>
              <w:right w:w="16" w:type="dxa"/>
            </w:tcMar>
            <w:vAlign w:val="center"/>
          </w:tcPr>
          <w:p w14:paraId="6FA1934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总投资（万元）</w:t>
            </w:r>
          </w:p>
        </w:tc>
        <w:tc>
          <w:tcPr>
            <w:tcW w:w="1865" w:type="dxa"/>
            <w:gridSpan w:val="2"/>
            <w:noWrap w:val="0"/>
            <w:vAlign w:val="center"/>
          </w:tcPr>
          <w:p w14:paraId="06CFF0C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500</w:t>
            </w:r>
          </w:p>
        </w:tc>
        <w:tc>
          <w:tcPr>
            <w:tcW w:w="2242" w:type="dxa"/>
            <w:noWrap w:val="0"/>
            <w:tcMar>
              <w:top w:w="16" w:type="dxa"/>
              <w:left w:w="16" w:type="dxa"/>
              <w:right w:w="16" w:type="dxa"/>
            </w:tcMar>
            <w:vAlign w:val="center"/>
          </w:tcPr>
          <w:p w14:paraId="032FF0B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环保投资（万元）</w:t>
            </w:r>
          </w:p>
        </w:tc>
        <w:tc>
          <w:tcPr>
            <w:tcW w:w="3952" w:type="dxa"/>
            <w:noWrap w:val="0"/>
            <w:vAlign w:val="center"/>
          </w:tcPr>
          <w:p w14:paraId="1D1A3E8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50</w:t>
            </w:r>
          </w:p>
        </w:tc>
      </w:tr>
      <w:tr w14:paraId="2535C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012" w:type="dxa"/>
            <w:noWrap w:val="0"/>
            <w:tcMar>
              <w:top w:w="16" w:type="dxa"/>
              <w:left w:w="16" w:type="dxa"/>
              <w:right w:w="16" w:type="dxa"/>
            </w:tcMar>
            <w:vAlign w:val="center"/>
          </w:tcPr>
          <w:p w14:paraId="6530D47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环保投资占比（%）</w:t>
            </w:r>
          </w:p>
        </w:tc>
        <w:tc>
          <w:tcPr>
            <w:tcW w:w="1865" w:type="dxa"/>
            <w:gridSpan w:val="2"/>
            <w:noWrap w:val="0"/>
            <w:vAlign w:val="center"/>
          </w:tcPr>
          <w:p w14:paraId="0FFD9A2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10</w:t>
            </w:r>
          </w:p>
        </w:tc>
        <w:tc>
          <w:tcPr>
            <w:tcW w:w="2242" w:type="dxa"/>
            <w:noWrap w:val="0"/>
            <w:tcMar>
              <w:top w:w="16" w:type="dxa"/>
              <w:left w:w="16" w:type="dxa"/>
              <w:right w:w="16" w:type="dxa"/>
            </w:tcMar>
            <w:vAlign w:val="center"/>
          </w:tcPr>
          <w:p w14:paraId="431AEB7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施工工期</w:t>
            </w:r>
          </w:p>
        </w:tc>
        <w:tc>
          <w:tcPr>
            <w:tcW w:w="3952" w:type="dxa"/>
            <w:noWrap w:val="0"/>
            <w:vAlign w:val="center"/>
          </w:tcPr>
          <w:p w14:paraId="69CF496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2个月</w:t>
            </w:r>
          </w:p>
        </w:tc>
      </w:tr>
      <w:tr w14:paraId="7C38E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012" w:type="dxa"/>
            <w:noWrap w:val="0"/>
            <w:tcMar>
              <w:top w:w="16" w:type="dxa"/>
              <w:left w:w="16" w:type="dxa"/>
              <w:right w:w="16" w:type="dxa"/>
            </w:tcMar>
            <w:vAlign w:val="center"/>
          </w:tcPr>
          <w:p w14:paraId="07C9D78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是否开工建设</w:t>
            </w:r>
          </w:p>
        </w:tc>
        <w:tc>
          <w:tcPr>
            <w:tcW w:w="1865" w:type="dxa"/>
            <w:gridSpan w:val="2"/>
            <w:noWrap w:val="0"/>
            <w:vAlign w:val="center"/>
          </w:tcPr>
          <w:p w14:paraId="61AF74DA">
            <w:pPr>
              <w:keepNext w:val="0"/>
              <w:keepLines w:val="0"/>
              <w:suppressLineNumbers w:val="0"/>
              <w:adjustRightInd w:val="0"/>
              <w:snapToGrid w:val="0"/>
              <w:spacing w:before="0" w:beforeAutospacing="0" w:after="0" w:afterAutospacing="0"/>
              <w:ind w:left="0" w:right="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b/>
                <w:color w:val="000000" w:themeColor="text1"/>
                <w:sz w:val="24"/>
                <w:szCs w:val="24"/>
                <w:highlight w:val="none"/>
                <w14:textFill>
                  <w14:solidFill>
                    <w14:schemeClr w14:val="tx1"/>
                  </w14:solidFill>
                </w14:textFill>
              </w:rPr>
              <w:sym w:font="Wingdings 2" w:char="0052"/>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否</w:t>
            </w:r>
          </w:p>
          <w:p w14:paraId="191757FD">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sym w:font="Wingdings 2" w:char="00A3"/>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是</w:t>
            </w:r>
            <w:r>
              <w:rPr>
                <w:rFonts w:hint="eastAsia" w:eastAsia="宋体" w:cs="Times New Roman"/>
                <w:color w:val="000000" w:themeColor="text1"/>
                <w:sz w:val="24"/>
                <w:szCs w:val="24"/>
                <w:highlight w:val="none"/>
                <w:u w:val="single"/>
                <w:lang w:val="en-US" w:eastAsia="zh-CN"/>
                <w14:textFill>
                  <w14:solidFill>
                    <w14:schemeClr w14:val="tx1"/>
                  </w14:solidFill>
                </w14:textFill>
              </w:rPr>
              <w:t xml:space="preserve">        </w:t>
            </w:r>
          </w:p>
        </w:tc>
        <w:tc>
          <w:tcPr>
            <w:tcW w:w="2242" w:type="dxa"/>
            <w:noWrap w:val="0"/>
            <w:tcMar>
              <w:top w:w="16" w:type="dxa"/>
              <w:left w:w="16" w:type="dxa"/>
              <w:right w:w="16" w:type="dxa"/>
            </w:tcMar>
            <w:vAlign w:val="center"/>
          </w:tcPr>
          <w:p w14:paraId="5CEB775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pacing w:val="-6"/>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pacing w:val="-6"/>
                <w:sz w:val="24"/>
                <w:szCs w:val="24"/>
                <w:highlight w:val="none"/>
                <w14:textFill>
                  <w14:solidFill>
                    <w14:schemeClr w14:val="tx1"/>
                  </w14:solidFill>
                </w14:textFill>
              </w:rPr>
              <w:t>用地（用海）</w:t>
            </w:r>
          </w:p>
          <w:p w14:paraId="2E2E12C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pacing w:val="-6"/>
                <w:sz w:val="24"/>
                <w:szCs w:val="24"/>
                <w:highlight w:val="none"/>
                <w14:textFill>
                  <w14:solidFill>
                    <w14:schemeClr w14:val="tx1"/>
                  </w14:solidFill>
                </w14:textFill>
              </w:rPr>
              <w:t>面积（m</w:t>
            </w:r>
            <w:r>
              <w:rPr>
                <w:rFonts w:hint="default" w:ascii="Times New Roman" w:hAnsi="Times New Roman" w:eastAsia="Times New Roman" w:cs="Times New Roman"/>
                <w:color w:val="000000" w:themeColor="text1"/>
                <w:spacing w:val="-6"/>
                <w:sz w:val="24"/>
                <w:szCs w:val="24"/>
                <w:highlight w:val="none"/>
                <w:vertAlign w:val="superscript"/>
                <w14:textFill>
                  <w14:solidFill>
                    <w14:schemeClr w14:val="tx1"/>
                  </w14:solidFill>
                </w14:textFill>
              </w:rPr>
              <w:t>2</w:t>
            </w:r>
            <w:r>
              <w:rPr>
                <w:rFonts w:hint="default" w:ascii="Times New Roman" w:hAnsi="Times New Roman" w:eastAsia="Times New Roman" w:cs="Times New Roman"/>
                <w:color w:val="000000" w:themeColor="text1"/>
                <w:spacing w:val="-6"/>
                <w:sz w:val="24"/>
                <w:szCs w:val="24"/>
                <w:highlight w:val="none"/>
                <w14:textFill>
                  <w14:solidFill>
                    <w14:schemeClr w14:val="tx1"/>
                  </w14:solidFill>
                </w14:textFill>
              </w:rPr>
              <w:t>）</w:t>
            </w:r>
          </w:p>
        </w:tc>
        <w:tc>
          <w:tcPr>
            <w:tcW w:w="3952" w:type="dxa"/>
            <w:noWrap w:val="0"/>
            <w:vAlign w:val="center"/>
          </w:tcPr>
          <w:p w14:paraId="45DB3C5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5000（租赁面积</w:t>
            </w:r>
            <w:r>
              <w:rPr>
                <w:rFonts w:hint="default" w:ascii="Times New Roman" w:hAnsi="Times New Roman" w:eastAsia="Times New Roman" w:cs="Times New Roman"/>
                <w:color w:val="000000" w:themeColor="text1"/>
                <w:spacing w:val="-6"/>
                <w:sz w:val="24"/>
                <w:szCs w:val="24"/>
                <w:highlight w:val="none"/>
                <w14:textFill>
                  <w14:solidFill>
                    <w14:schemeClr w14:val="tx1"/>
                  </w14:solidFill>
                </w14:textFill>
              </w:rPr>
              <w:t>）</w:t>
            </w:r>
          </w:p>
        </w:tc>
      </w:tr>
      <w:tr w14:paraId="576FB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2" w:type="dxa"/>
            <w:noWrap w:val="0"/>
            <w:vAlign w:val="center"/>
          </w:tcPr>
          <w:p w14:paraId="134E9A90">
            <w:pPr>
              <w:keepNext w:val="0"/>
              <w:keepLines w:val="0"/>
              <w:suppressLineNumbers w:val="0"/>
              <w:autoSpaceDE w:val="0"/>
              <w:autoSpaceDN w:val="0"/>
              <w:adjustRightInd w:val="0"/>
              <w:snapToGrid w:val="0"/>
              <w:spacing w:before="0" w:beforeAutospacing="0" w:after="0" w:afterAutospacing="0"/>
              <w:ind w:left="0" w:right="0"/>
              <w:jc w:val="cente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t>专项评价设置情况</w:t>
            </w:r>
          </w:p>
        </w:tc>
        <w:tc>
          <w:tcPr>
            <w:tcW w:w="8059" w:type="dxa"/>
            <w:gridSpan w:val="4"/>
            <w:noWrap w:val="0"/>
            <w:vAlign w:val="center"/>
          </w:tcPr>
          <w:p w14:paraId="1DBEC3D3">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kern w:val="0"/>
                <w:sz w:val="21"/>
                <w:szCs w:val="21"/>
                <w:highlight w:val="none"/>
                <w14:textFill>
                  <w14:solidFill>
                    <w14:schemeClr w14:val="tx1"/>
                  </w14:solidFill>
                </w14:textFill>
              </w:rPr>
              <w:t>无</w:t>
            </w:r>
          </w:p>
        </w:tc>
      </w:tr>
      <w:tr w14:paraId="5E795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012" w:type="dxa"/>
            <w:noWrap w:val="0"/>
            <w:vAlign w:val="center"/>
          </w:tcPr>
          <w:p w14:paraId="42742C43">
            <w:pPr>
              <w:keepNext w:val="0"/>
              <w:keepLines w:val="0"/>
              <w:suppressLineNumbers w:val="0"/>
              <w:autoSpaceDE w:val="0"/>
              <w:autoSpaceDN w:val="0"/>
              <w:adjustRightInd w:val="0"/>
              <w:snapToGrid w:val="0"/>
              <w:spacing w:before="0" w:beforeAutospacing="0" w:after="0" w:afterAutospacing="0"/>
              <w:ind w:left="0" w:right="0"/>
              <w:jc w:val="cente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规划情况</w:t>
            </w:r>
          </w:p>
        </w:tc>
        <w:tc>
          <w:tcPr>
            <w:tcW w:w="8059" w:type="dxa"/>
            <w:gridSpan w:val="4"/>
            <w:noWrap w:val="0"/>
            <w:vAlign w:val="center"/>
          </w:tcPr>
          <w:p w14:paraId="341AA84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规划文件名称：《</w:t>
            </w:r>
            <w:bookmarkStart w:id="3" w:name="OLE_LINK145"/>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汤阴县产业集聚区</w:t>
            </w:r>
            <w:bookmarkEnd w:id="3"/>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发展规划调整方案（2017-2020）》</w:t>
            </w:r>
          </w:p>
          <w:p w14:paraId="56B54CF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规划园区名称：汤阴县产业集聚区</w:t>
            </w:r>
          </w:p>
          <w:p w14:paraId="4C616CE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规划审批部门：河南省发展和改革委员会</w:t>
            </w:r>
          </w:p>
          <w:p w14:paraId="53FD640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规划文号：豫发改工业〔2012〕1076号</w:t>
            </w:r>
          </w:p>
        </w:tc>
      </w:tr>
      <w:tr w14:paraId="09EE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2" w:type="dxa"/>
            <w:noWrap w:val="0"/>
            <w:vAlign w:val="center"/>
          </w:tcPr>
          <w:p w14:paraId="7C00BC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规划环境影响评价情况</w:t>
            </w:r>
          </w:p>
        </w:tc>
        <w:tc>
          <w:tcPr>
            <w:tcW w:w="8059" w:type="dxa"/>
            <w:gridSpan w:val="4"/>
            <w:noWrap w:val="0"/>
            <w:vAlign w:val="center"/>
          </w:tcPr>
          <w:p w14:paraId="510317F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规划环境影响评价文件名称：《汤阴县产业集聚区发展规划调整方案（2017-2020）环境影响报告书》</w:t>
            </w:r>
          </w:p>
          <w:p w14:paraId="3B76A4B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审查机关：河南省环境保护厅</w:t>
            </w:r>
          </w:p>
          <w:p w14:paraId="5C02632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审查文号：豫环函〔2017〕251号</w:t>
            </w:r>
          </w:p>
        </w:tc>
      </w:tr>
      <w:tr w14:paraId="455DA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12" w:type="dxa"/>
            <w:noWrap w:val="0"/>
            <w:vAlign w:val="center"/>
          </w:tcPr>
          <w:p w14:paraId="666F0E47">
            <w:pPr>
              <w:keepNext w:val="0"/>
              <w:keepLines w:val="0"/>
              <w:suppressLineNumbers w:val="0"/>
              <w:autoSpaceDE w:val="0"/>
              <w:autoSpaceDN w:val="0"/>
              <w:adjustRightInd w:val="0"/>
              <w:snapToGrid w:val="0"/>
              <w:spacing w:before="0" w:beforeAutospacing="0" w:after="0" w:afterAutospacing="0"/>
              <w:ind w:left="0" w:right="0"/>
              <w:jc w:val="cente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t>规划及规划环境影响评价符合性分析</w:t>
            </w:r>
          </w:p>
          <w:p w14:paraId="2E4EF519">
            <w:pPr>
              <w:keepNext w:val="0"/>
              <w:keepLines w:val="0"/>
              <w:suppressLineNumbers w:val="0"/>
              <w:autoSpaceDE w:val="0"/>
              <w:autoSpaceDN w:val="0"/>
              <w:adjustRightInd w:val="0"/>
              <w:snapToGrid w:val="0"/>
              <w:spacing w:before="0" w:beforeAutospacing="0" w:after="0" w:afterAutospacing="0" w:line="360" w:lineRule="auto"/>
              <w:ind w:left="0" w:leftChars="0" w:right="0" w:rightChars="0"/>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p>
        </w:tc>
        <w:tc>
          <w:tcPr>
            <w:tcW w:w="8059" w:type="dxa"/>
            <w:gridSpan w:val="4"/>
            <w:noWrap w:val="0"/>
            <w:vAlign w:val="center"/>
          </w:tcPr>
          <w:p w14:paraId="41EE40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default" w:ascii="Times New Roman" w:hAnsi="Times New Roman" w:cs="Times New Roman"/>
                <w:snapToGrid w:val="0"/>
                <w:color w:val="auto"/>
                <w:sz w:val="24"/>
                <w:highlight w:val="none"/>
                <w:lang w:val="en-US" w:eastAsia="zh-CN"/>
              </w:rPr>
            </w:pPr>
            <w:r>
              <w:rPr>
                <w:rFonts w:hint="default" w:ascii="Times New Roman" w:hAnsi="Times New Roman" w:cs="Times New Roman"/>
                <w:b/>
                <w:bCs/>
                <w:color w:val="auto"/>
                <w:sz w:val="24"/>
                <w:highlight w:val="none"/>
                <w:lang w:val="en-US" w:eastAsia="zh-CN"/>
              </w:rPr>
              <w:t>1</w:t>
            </w:r>
            <w:r>
              <w:rPr>
                <w:rFonts w:hint="default" w:ascii="Times New Roman" w:hAnsi="Times New Roman" w:cs="Times New Roman"/>
                <w:b/>
                <w:bCs/>
                <w:snapToGrid w:val="0"/>
                <w:color w:val="auto"/>
                <w:sz w:val="24"/>
                <w:highlight w:val="none"/>
                <w:lang w:val="en-US" w:eastAsia="zh-CN"/>
              </w:rPr>
              <w:t>.规划相符性分析</w:t>
            </w:r>
          </w:p>
          <w:p w14:paraId="3EF4546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snapToGrid w:val="0"/>
                <w:color w:val="auto"/>
                <w:kern w:val="2"/>
                <w:sz w:val="24"/>
                <w:szCs w:val="24"/>
                <w:lang w:val="en-US" w:eastAsia="zh-CN" w:bidi="ar"/>
              </w:rPr>
            </w:pPr>
            <w:r>
              <w:rPr>
                <w:rFonts w:hint="default" w:ascii="Times New Roman" w:hAnsi="Times New Roman" w:eastAsia="宋体" w:cs="Times New Roman"/>
                <w:b w:val="0"/>
                <w:bCs w:val="0"/>
                <w:snapToGrid w:val="0"/>
                <w:color w:val="auto"/>
                <w:kern w:val="2"/>
                <w:sz w:val="24"/>
                <w:szCs w:val="24"/>
                <w:lang w:val="en-US" w:eastAsia="zh-CN" w:bidi="ar"/>
              </w:rPr>
              <w:t>《汤阴县产业集聚区发展规划调整方案（2017-2020）》规划环评于2017年9月5日获得河南省环境保护厅审查通过，文号为：豫环函〔2017〕251号。</w:t>
            </w:r>
          </w:p>
          <w:p w14:paraId="2F034DA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241" w:firstLineChars="100"/>
              <w:jc w:val="both"/>
              <w:textAlignment w:val="auto"/>
              <w:rPr>
                <w:rFonts w:hint="default" w:ascii="Times New Roman" w:hAnsi="Times New Roman" w:eastAsia="宋体" w:cs="Times New Roman"/>
                <w:b w:val="0"/>
                <w:bCs w:val="0"/>
                <w:snapToGrid w:val="0"/>
                <w:color w:val="auto"/>
                <w:kern w:val="2"/>
                <w:sz w:val="24"/>
                <w:szCs w:val="24"/>
                <w:lang w:val="en-US" w:eastAsia="zh-CN" w:bidi="ar"/>
              </w:rPr>
            </w:pPr>
            <w:r>
              <w:rPr>
                <w:rFonts w:hint="default" w:ascii="Times New Roman" w:hAnsi="Times New Roman" w:eastAsia="宋体" w:cs="Times New Roman"/>
                <w:b/>
                <w:bCs/>
                <w:snapToGrid w:val="0"/>
                <w:color w:val="auto"/>
                <w:kern w:val="2"/>
                <w:sz w:val="24"/>
                <w:szCs w:val="24"/>
                <w:lang w:val="en-US" w:eastAsia="zh-CN" w:bidi="ar"/>
              </w:rPr>
              <w:t>1.1规划范围</w:t>
            </w:r>
          </w:p>
          <w:p w14:paraId="57C278E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snapToGrid w:val="0"/>
                <w:color w:val="auto"/>
                <w:kern w:val="2"/>
                <w:sz w:val="24"/>
                <w:szCs w:val="24"/>
                <w:lang w:val="en-US" w:eastAsia="zh-CN" w:bidi="ar"/>
              </w:rPr>
              <w:t>汤阴县产业集聚区成立于2007年，2009年被批准为首批180家省级产业集聚区之一。《汤阴县产业集聚区</w:t>
            </w:r>
            <w:r>
              <w:rPr>
                <w:rFonts w:hint="default" w:ascii="Times New Roman" w:hAnsi="Times New Roman" w:eastAsia="宋体" w:cs="Times New Roman"/>
                <w:b w:val="0"/>
                <w:bCs w:val="0"/>
                <w:color w:val="auto"/>
                <w:kern w:val="2"/>
                <w:sz w:val="24"/>
                <w:szCs w:val="24"/>
                <w:lang w:val="en-US" w:eastAsia="zh-CN" w:bidi="ar"/>
              </w:rPr>
              <w:t>总体发展规划（2009～2020）》编制于2009年，河南省环保厅以豫环审〔2010〕44号文通过了其规划环评审查。集聚区原规划面积17.2km</w:t>
            </w:r>
            <w:r>
              <w:rPr>
                <w:rFonts w:hint="default" w:ascii="Times New Roman" w:hAnsi="Times New Roman" w:eastAsia="宋体" w:cs="Times New Roman"/>
                <w:b w:val="0"/>
                <w:bCs w:val="0"/>
                <w:color w:val="auto"/>
                <w:kern w:val="2"/>
                <w:sz w:val="24"/>
                <w:szCs w:val="24"/>
                <w:vertAlign w:val="superscript"/>
                <w:lang w:val="en-US" w:eastAsia="zh-CN" w:bidi="ar"/>
              </w:rPr>
              <w:t>2</w:t>
            </w:r>
            <w:r>
              <w:rPr>
                <w:rFonts w:hint="default" w:ascii="Times New Roman" w:hAnsi="Times New Roman" w:eastAsia="宋体" w:cs="Times New Roman"/>
                <w:b w:val="0"/>
                <w:bCs w:val="0"/>
                <w:color w:val="auto"/>
                <w:kern w:val="2"/>
                <w:sz w:val="24"/>
                <w:szCs w:val="24"/>
                <w:lang w:val="en-US" w:eastAsia="zh-CN" w:bidi="ar"/>
              </w:rPr>
              <w:t>。产业集聚区原规划以食品产业为主导产业、以医药产业为战略产业。原规划发展定位为河南省级现代食品制造基地，豫北区域商贸物流服务基地，安阳市级医药制造基地，汤阴县级城市生活服务中心。</w:t>
            </w:r>
          </w:p>
          <w:p w14:paraId="0B9A2A0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2012年7月31日，河南省发展和改革委员会在《河南省发展和改革委员会关于汤阴县产业集聚区发展规划调整方案的批复》（豫发改工业〔2012〕1076号）中，同意对汤阴县产业集聚区发展规划进行调整，将原位于中心城区的北区调出规划范围，沿东边界适度扩展，新增规划面积6.2平方公里，并对集聚区发展目标和功能布局进行了相应调整。经调整后汤阴县产业集聚区总规划面积为23.4平方公里。</w:t>
            </w:r>
          </w:p>
          <w:p w14:paraId="6CBA2B0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241" w:firstLineChars="1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bCs/>
                <w:color w:val="auto"/>
                <w:kern w:val="2"/>
                <w:sz w:val="24"/>
                <w:szCs w:val="24"/>
                <w:lang w:val="en-US" w:eastAsia="zh-CN" w:bidi="ar"/>
              </w:rPr>
              <w:t>1.2空间布局规划</w:t>
            </w:r>
          </w:p>
          <w:p w14:paraId="42B3991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调整前规划分为3个组团，分别为东部产业发展组团、北部产业发展组团、北部城市发展组团，其中东部产业发展组团重点发展粮食加工业、肉制品加工业、蔬菜深加工等传统食品产业，积极培育与食品产业融合的医药产业；北部产业发展组团重点发展环境友好型的</w:t>
            </w:r>
            <w:r>
              <w:rPr>
                <w:rFonts w:hint="eastAsia" w:cs="Times New Roman"/>
                <w:b w:val="0"/>
                <w:bCs w:val="0"/>
                <w:color w:val="auto"/>
                <w:kern w:val="2"/>
                <w:sz w:val="24"/>
                <w:szCs w:val="24"/>
                <w:lang w:val="en-US" w:eastAsia="zh-CN" w:bidi="ar"/>
              </w:rPr>
              <w:t>塑料制品业</w:t>
            </w:r>
            <w:r>
              <w:rPr>
                <w:rFonts w:hint="default" w:ascii="Times New Roman" w:hAnsi="Times New Roman" w:eastAsia="宋体" w:cs="Times New Roman"/>
                <w:b w:val="0"/>
                <w:bCs w:val="0"/>
                <w:color w:val="auto"/>
                <w:kern w:val="2"/>
                <w:sz w:val="24"/>
                <w:szCs w:val="24"/>
                <w:lang w:val="en-US" w:eastAsia="zh-CN" w:bidi="ar"/>
              </w:rPr>
              <w:t>，北部城市发展组团发展现代城市服务业和文化旅游服务业。调整后规划形成五个产业园，分别为医药产业园、两个食品产业园、仓储物流园、制造产业园，新增了制造产业园。</w:t>
            </w:r>
          </w:p>
          <w:p w14:paraId="0685DD1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241" w:firstLineChars="100"/>
              <w:jc w:val="both"/>
              <w:textAlignment w:val="auto"/>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1.3排水规划</w:t>
            </w:r>
          </w:p>
          <w:p w14:paraId="78DF3CD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规划调整后，保留城东污水处理厂，处理规模为4万立方米/日；新建工业污水处理厂，处理规模为2万立方米/日。污水厂出水达到《城镇污水处理厂污染物排放标准》（GB18918-2002）中要求的一级A标准。</w:t>
            </w:r>
          </w:p>
          <w:p w14:paraId="42853AA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结合汤阴县产业集聚区内地形地势和污水处理厂规划，以京港澳高速公路为界分为2个污水排放系统。东片区污水系统（污水收集范围为人民路—汤伏路—惠民街—徐伏路—复兴大道—汤伏路—灌水河—金华路—精忠路—扁鹊路—人民路所围合的区域）：沿东西向道路敷设污水干管，收集沿线污水，沿汤伏路、徐伏路敷设污水主干管，将污水汇集至位于众品大道的工业污水处理厂。</w:t>
            </w:r>
          </w:p>
          <w:p w14:paraId="5D8B61F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西片区污水系统（污水收集范围为复兴大道—铁东路—振兴大道—灌水河—汤伏路—晋鲁豫铁路围合的区域）：沿南北向道路敷设污水干管收集沿线污水，转输进入振兴大道污水泵站经压力管道进去精忠路污水干管，向东排入城东污水处理厂。</w:t>
            </w:r>
          </w:p>
          <w:p w14:paraId="4ED801A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产业集聚区内排水体制采取雨污分流制。本次规划雨水分散就近排入涝洼渠，污水分区域排入污水处理厂。经调查，汤阴县污水主要依托城东污水处理厂、城南污水处理厂处理，两座污水处理厂均已建成。其中，汤阴县城东污水处理厂位于汤阴县产业集聚区北侧，设计处理规模为4万m</w:t>
            </w:r>
            <w:r>
              <w:rPr>
                <w:rFonts w:hint="default" w:ascii="Times New Roman" w:hAnsi="Times New Roman" w:eastAsia="宋体" w:cs="Times New Roman"/>
                <w:b w:val="0"/>
                <w:bCs w:val="0"/>
                <w:color w:val="auto"/>
                <w:kern w:val="2"/>
                <w:sz w:val="24"/>
                <w:szCs w:val="24"/>
                <w:vertAlign w:val="superscript"/>
                <w:lang w:val="en-US" w:eastAsia="zh-CN" w:bidi="ar"/>
              </w:rPr>
              <w:t>3</w:t>
            </w:r>
            <w:r>
              <w:rPr>
                <w:rFonts w:hint="default" w:ascii="Times New Roman" w:hAnsi="Times New Roman" w:eastAsia="宋体" w:cs="Times New Roman"/>
                <w:b w:val="0"/>
                <w:bCs w:val="0"/>
                <w:color w:val="auto"/>
                <w:kern w:val="2"/>
                <w:sz w:val="24"/>
                <w:szCs w:val="24"/>
                <w:lang w:val="en-US" w:eastAsia="zh-CN" w:bidi="ar"/>
              </w:rPr>
              <w:t>/d。主体处理工艺为一期“奥贝尔氧化沟”，二期“A</w:t>
            </w:r>
            <w:r>
              <w:rPr>
                <w:rFonts w:hint="default" w:ascii="Times New Roman" w:hAnsi="Times New Roman" w:eastAsia="宋体" w:cs="Times New Roman"/>
                <w:b w:val="0"/>
                <w:bCs w:val="0"/>
                <w:color w:val="auto"/>
                <w:kern w:val="2"/>
                <w:sz w:val="24"/>
                <w:szCs w:val="24"/>
                <w:vertAlign w:val="superscript"/>
                <w:lang w:val="en-US" w:eastAsia="zh-CN" w:bidi="ar"/>
              </w:rPr>
              <w:t>2</w:t>
            </w:r>
            <w:r>
              <w:rPr>
                <w:rFonts w:hint="default" w:ascii="Times New Roman" w:hAnsi="Times New Roman" w:eastAsia="宋体" w:cs="Times New Roman"/>
                <w:b w:val="0"/>
                <w:bCs w:val="0"/>
                <w:color w:val="auto"/>
                <w:kern w:val="2"/>
                <w:sz w:val="24"/>
                <w:szCs w:val="24"/>
                <w:lang w:val="en-US" w:eastAsia="zh-CN" w:bidi="ar"/>
              </w:rPr>
              <w:t>/O”。收水范围包括汤阴县中心城区南绕城公路以南、汤阴县产业集聚区东部、北部的部分区域，目前实际进水规模约3万m</w:t>
            </w:r>
            <w:r>
              <w:rPr>
                <w:rFonts w:hint="default" w:ascii="Times New Roman" w:hAnsi="Times New Roman" w:eastAsia="宋体" w:cs="Times New Roman"/>
                <w:b w:val="0"/>
                <w:bCs w:val="0"/>
                <w:color w:val="auto"/>
                <w:kern w:val="2"/>
                <w:sz w:val="24"/>
                <w:szCs w:val="24"/>
                <w:vertAlign w:val="superscript"/>
                <w:lang w:val="en-US" w:eastAsia="zh-CN" w:bidi="ar"/>
              </w:rPr>
              <w:t>3</w:t>
            </w:r>
            <w:r>
              <w:rPr>
                <w:rFonts w:hint="default" w:ascii="Times New Roman" w:hAnsi="Times New Roman" w:eastAsia="宋体" w:cs="Times New Roman"/>
                <w:b w:val="0"/>
                <w:bCs w:val="0"/>
                <w:color w:val="auto"/>
                <w:kern w:val="2"/>
                <w:sz w:val="24"/>
                <w:szCs w:val="24"/>
                <w:lang w:val="en-US" w:eastAsia="zh-CN" w:bidi="ar"/>
              </w:rPr>
              <w:t>/d。出水执行《城镇污水处理厂污染物排放标准》（GB18918-2002）中一级A标准，排入陈王沟，再经永通河排入汤河。</w:t>
            </w:r>
          </w:p>
          <w:p w14:paraId="021E133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城南污水处理厂位于汤阴县产业集聚区规划制造园区东边界外，设计处理规模为3万m</w:t>
            </w:r>
            <w:r>
              <w:rPr>
                <w:rFonts w:hint="default" w:ascii="Times New Roman" w:hAnsi="Times New Roman" w:eastAsia="宋体" w:cs="Times New Roman"/>
                <w:b w:val="0"/>
                <w:bCs w:val="0"/>
                <w:color w:val="auto"/>
                <w:kern w:val="2"/>
                <w:sz w:val="24"/>
                <w:szCs w:val="24"/>
                <w:vertAlign w:val="superscript"/>
                <w:lang w:val="en-US" w:eastAsia="zh-CN" w:bidi="ar"/>
              </w:rPr>
              <w:t>3</w:t>
            </w:r>
            <w:r>
              <w:rPr>
                <w:rFonts w:hint="default" w:ascii="Times New Roman" w:hAnsi="Times New Roman" w:eastAsia="宋体" w:cs="Times New Roman"/>
                <w:b w:val="0"/>
                <w:bCs w:val="0"/>
                <w:color w:val="auto"/>
                <w:kern w:val="2"/>
                <w:sz w:val="24"/>
                <w:szCs w:val="24"/>
                <w:lang w:val="en-US" w:eastAsia="zh-CN" w:bidi="ar"/>
              </w:rPr>
              <w:t>/d。主体处理工艺为CNR。收水范围为汤阴县中心城区以南、宜沟镇区、汤阴县产业集聚区西部、南部的部分区域。目前实际进水规模约2万m</w:t>
            </w:r>
            <w:r>
              <w:rPr>
                <w:rFonts w:hint="default" w:ascii="Times New Roman" w:hAnsi="Times New Roman" w:eastAsia="宋体" w:cs="Times New Roman"/>
                <w:b w:val="0"/>
                <w:bCs w:val="0"/>
                <w:color w:val="auto"/>
                <w:kern w:val="2"/>
                <w:sz w:val="24"/>
                <w:szCs w:val="24"/>
                <w:vertAlign w:val="superscript"/>
                <w:lang w:val="en-US" w:eastAsia="zh-CN" w:bidi="ar"/>
              </w:rPr>
              <w:t>3</w:t>
            </w:r>
            <w:r>
              <w:rPr>
                <w:rFonts w:hint="default" w:ascii="Times New Roman" w:hAnsi="Times New Roman" w:eastAsia="宋体" w:cs="Times New Roman"/>
                <w:b w:val="0"/>
                <w:bCs w:val="0"/>
                <w:color w:val="auto"/>
                <w:kern w:val="2"/>
                <w:sz w:val="24"/>
                <w:szCs w:val="24"/>
                <w:lang w:val="en-US" w:eastAsia="zh-CN" w:bidi="ar"/>
              </w:rPr>
              <w:t>/d。出水执行《城镇污水处理厂污染物排放标准》（GB18918-2002）中一级A标准，排入淤泥河，再经永通河排入汤河。</w:t>
            </w:r>
          </w:p>
          <w:p w14:paraId="4B88AC2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241" w:firstLineChars="1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bCs/>
                <w:color w:val="auto"/>
                <w:kern w:val="2"/>
                <w:sz w:val="24"/>
                <w:szCs w:val="24"/>
                <w:lang w:val="en-US" w:eastAsia="zh-CN" w:bidi="ar"/>
              </w:rPr>
              <w:t>1.4空间管制</w:t>
            </w:r>
          </w:p>
          <w:p w14:paraId="255B034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①禁止建设区</w:t>
            </w:r>
          </w:p>
          <w:p w14:paraId="09A0778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将规划范围内的规划道路两侧的防护绿地；京广铁路客运专线两侧的生态绿地；伏道镇地下水井一级保护区范围即伏道镇地下水井及水厂外围东6米、西24米、南15米的区域；淤泥河和永通河及其两侧的生态绿地；公园绿地、广场用地、消防用地以及规划的城市发展备用地划分为禁止建设区。</w:t>
            </w:r>
          </w:p>
          <w:p w14:paraId="4309D94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在禁止建设区内，禁止建设除了生态景观、广场公园、生态保护与修复、森林防火、应急救援等管护设施；军事与安全保密等特殊用途设施；高压走廊等架空通道、地下管廊等具有系统性影响、确需建设的道路交通设施和市政公用设施；自然公园之外的各类建设项目。</w:t>
            </w:r>
          </w:p>
          <w:p w14:paraId="73AA523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禁止建设区内不符合规定的已建合法建筑物、构筑物，将依法实施建设用地清退及补偿安置，并由汤阴县产业集聚区加强生态修复与日常管理。</w:t>
            </w:r>
          </w:p>
          <w:p w14:paraId="6148E25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②限制建设区</w:t>
            </w:r>
          </w:p>
          <w:p w14:paraId="6B34989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规划范围内管委会西侧金秋路两侧规划的廉租房和职工宿舍、规划的西官庄安置小区和后小滩安置小区等规划居住区、规划的商业用地、商务用地、教育用地、体育用地等划分为一般限制建设区。</w:t>
            </w:r>
          </w:p>
          <w:p w14:paraId="0AF6208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107国道以东、晋豫鲁铁路以南的三类工业用地和107国道以东、向阳路以西的二类工业用地中，涉及南水北调HZ186+660.2～HZ190+141.8标段二级保护范围的区域，即南水北调干渠右岸1200m涉及到产业集聚区规划范围内的区域，划定为南水北调二级保护范围限制建设区。</w:t>
            </w:r>
          </w:p>
          <w:p w14:paraId="0DD7A99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③适宜建设区</w:t>
            </w:r>
          </w:p>
          <w:p w14:paraId="7EB003D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适宜建设区是建设条件较好，予以鼓励建设和优先建设的区域。主要为汤阴县产业集聚区内的规划二、三类工业用地和物流仓储用地。</w:t>
            </w:r>
          </w:p>
          <w:p w14:paraId="7E896F7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在适宜建设区内，鼓励符合集聚区产业定位和准入要求、符合国家产业政策的工业项目开发建设，完善各类基础设施。在该区域内建设应适当提高建设强度，提高空间资源利用率。不得随意突破规划范围。</w:t>
            </w:r>
          </w:p>
          <w:p w14:paraId="360C2E8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本项目不在禁止建设区和限制建设区，属于产业集聚区内适宜建设区的工业用地内，因此项目建设符合相关要求。</w:t>
            </w:r>
          </w:p>
          <w:p w14:paraId="5BF960F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241" w:firstLineChars="1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bCs/>
                <w:color w:val="auto"/>
                <w:kern w:val="2"/>
                <w:sz w:val="24"/>
                <w:szCs w:val="24"/>
                <w:lang w:val="en-US" w:eastAsia="zh-CN" w:bidi="ar"/>
              </w:rPr>
              <w:t>1.5主导产业</w:t>
            </w:r>
          </w:p>
          <w:p w14:paraId="0D59796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产业集聚区主导产业：以食品产业为主导产业、以医药产业为战略产业。</w:t>
            </w:r>
          </w:p>
          <w:p w14:paraId="6F8A097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szCs w:val="24"/>
              </w:rPr>
            </w:pPr>
            <w:r>
              <w:rPr>
                <w:rFonts w:hint="default" w:ascii="Times New Roman" w:hAnsi="Times New Roman" w:eastAsia="宋体" w:cs="Times New Roman"/>
                <w:b w:val="0"/>
                <w:bCs w:val="0"/>
                <w:color w:val="auto"/>
                <w:kern w:val="2"/>
                <w:sz w:val="24"/>
                <w:szCs w:val="24"/>
                <w:lang w:val="en-US" w:eastAsia="zh-CN" w:bidi="ar"/>
              </w:rPr>
              <w:t>产业集聚区发展定位：中原经济区食品加工基地；河南省级生物医药基地；豫北区域商贸物流基地。</w:t>
            </w:r>
          </w:p>
          <w:p w14:paraId="4B792C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lang w:eastAsia="zh-CN"/>
              </w:rPr>
              <w:t>本项目为</w:t>
            </w:r>
            <w:r>
              <w:rPr>
                <w:rFonts w:hint="eastAsia" w:ascii="Times New Roman" w:hAnsi="Times New Roman" w:cs="Times New Roman"/>
                <w:color w:val="auto"/>
                <w:sz w:val="24"/>
                <w:highlight w:val="none"/>
                <w:lang w:eastAsia="zh-CN"/>
              </w:rPr>
              <w:t>塑料制品业，</w:t>
            </w:r>
            <w:r>
              <w:rPr>
                <w:rFonts w:hint="eastAsia" w:cs="Times New Roman"/>
                <w:color w:val="auto"/>
                <w:sz w:val="24"/>
                <w:highlight w:val="none"/>
                <w:lang w:eastAsia="zh-CN"/>
              </w:rPr>
              <w:t>不属于集聚区主导产业，</w:t>
            </w:r>
            <w:r>
              <w:rPr>
                <w:rFonts w:hint="eastAsia" w:ascii="Times New Roman" w:hAnsi="Times New Roman" w:eastAsia="宋体" w:cs="Times New Roman"/>
                <w:color w:val="auto"/>
                <w:sz w:val="24"/>
                <w:szCs w:val="24"/>
                <w:highlight w:val="none"/>
                <w:u w:val="none"/>
                <w:lang w:val="en-US" w:eastAsia="zh-CN"/>
              </w:rPr>
              <w:t>不属于</w:t>
            </w:r>
            <w:r>
              <w:rPr>
                <w:rFonts w:hint="eastAsia" w:cs="Times New Roman"/>
                <w:color w:val="auto"/>
                <w:sz w:val="24"/>
                <w:szCs w:val="24"/>
                <w:highlight w:val="none"/>
                <w:u w:val="none"/>
                <w:lang w:val="en-US" w:eastAsia="zh-CN"/>
              </w:rPr>
              <w:t>开发区禁止入驻产业，根据汤阴高新技术产业开发区出具的允许入驻证明（附件3），本项目能够入驻汤阴高新技术产业开发区，</w:t>
            </w:r>
            <w:r>
              <w:rPr>
                <w:rFonts w:hint="eastAsia" w:ascii="Times New Roman" w:hAnsi="Times New Roman" w:eastAsia="宋体" w:cs="Times New Roman"/>
                <w:color w:val="auto"/>
                <w:sz w:val="24"/>
                <w:szCs w:val="24"/>
                <w:highlight w:val="none"/>
                <w:u w:val="none"/>
                <w:lang w:val="en-US" w:eastAsia="zh-CN"/>
              </w:rPr>
              <w:t>为区域产业多元化发展注入新动能</w:t>
            </w:r>
            <w:r>
              <w:rPr>
                <w:rFonts w:hint="eastAsia" w:cs="Times New Roman"/>
                <w:color w:val="0000FF"/>
                <w:sz w:val="24"/>
                <w:szCs w:val="24"/>
                <w:highlight w:val="none"/>
                <w:u w:val="none"/>
                <w:lang w:val="en-US" w:eastAsia="zh-CN"/>
              </w:rPr>
              <w:t>。</w:t>
            </w:r>
          </w:p>
          <w:p w14:paraId="3FB506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2.</w:t>
            </w:r>
            <w:r>
              <w:rPr>
                <w:rFonts w:hint="default" w:ascii="Times New Roman" w:hAnsi="Times New Roman" w:cs="Times New Roman"/>
                <w:b/>
                <w:bCs/>
                <w:color w:val="auto"/>
                <w:sz w:val="24"/>
                <w:highlight w:val="none"/>
              </w:rPr>
              <w:t>与汤阴县产业集聚区负面清单及准入条件相符性分析</w:t>
            </w:r>
          </w:p>
          <w:p w14:paraId="09135029">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依据</w:t>
            </w:r>
            <w:r>
              <w:rPr>
                <w:rFonts w:hint="default" w:ascii="Times New Roman" w:hAnsi="Times New Roman" w:cs="Times New Roman"/>
                <w:color w:val="auto"/>
                <w:sz w:val="24"/>
                <w:highlight w:val="none"/>
              </w:rPr>
              <w:t>《汤阴县产业集聚区发展规划调整方案（2017-2020）环境影响报告书》</w:t>
            </w:r>
            <w:r>
              <w:rPr>
                <w:rFonts w:hint="default" w:ascii="Times New Roman" w:hAnsi="Times New Roman" w:cs="Times New Roman"/>
                <w:color w:val="auto"/>
                <w:kern w:val="0"/>
                <w:sz w:val="24"/>
                <w:highlight w:val="none"/>
              </w:rPr>
              <w:t>，汤阴县产业集聚区负面清单见下表。</w:t>
            </w:r>
          </w:p>
          <w:p w14:paraId="70540773">
            <w:pPr>
              <w:keepNext w:val="0"/>
              <w:keepLines w:val="0"/>
              <w:suppressLineNumbers w:val="0"/>
              <w:adjustRightInd w:val="0"/>
              <w:snapToGrid w:val="0"/>
              <w:spacing w:before="0" w:beforeAutospacing="0" w:after="0" w:afterAutospacing="0" w:line="240" w:lineRule="auto"/>
              <w:ind w:left="0" w:right="0"/>
              <w:contextualSpacing/>
              <w:jc w:val="center"/>
              <w:rPr>
                <w:rFonts w:hint="default" w:ascii="Times New Roman" w:hAnsi="Times New Roman" w:cs="Times New Roman"/>
                <w:b/>
                <w:color w:val="auto"/>
                <w:sz w:val="24"/>
                <w:highlight w:val="none"/>
                <w:u w:val="none"/>
              </w:rPr>
            </w:pPr>
            <w:r>
              <w:rPr>
                <w:rFonts w:hint="default" w:ascii="Times New Roman" w:hAnsi="Times New Roman" w:cs="Times New Roman"/>
                <w:b/>
                <w:color w:val="auto"/>
                <w:sz w:val="24"/>
                <w:highlight w:val="none"/>
                <w:u w:val="none"/>
              </w:rPr>
              <w:t>汤阴县产业集聚区负面清单</w:t>
            </w:r>
          </w:p>
          <w:tbl>
            <w:tblPr>
              <w:tblStyle w:val="30"/>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7"/>
              <w:gridCol w:w="3768"/>
              <w:gridCol w:w="2431"/>
              <w:gridCol w:w="932"/>
            </w:tblGrid>
            <w:tr w14:paraId="165D81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tcBorders>
                    <w:tl2br w:val="nil"/>
                    <w:tr2bl w:val="nil"/>
                  </w:tcBorders>
                  <w:noWrap w:val="0"/>
                  <w:tcMar>
                    <w:top w:w="0" w:type="dxa"/>
                    <w:left w:w="51" w:type="dxa"/>
                    <w:bottom w:w="0" w:type="dxa"/>
                    <w:right w:w="51" w:type="dxa"/>
                  </w:tcMar>
                  <w:vAlign w:val="center"/>
                </w:tcPr>
                <w:p w14:paraId="441305C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b/>
                      <w:bCs w:val="0"/>
                      <w:color w:val="auto"/>
                      <w:kern w:val="0"/>
                      <w:szCs w:val="21"/>
                      <w:highlight w:val="none"/>
                      <w:u w:val="none"/>
                    </w:rPr>
                  </w:pPr>
                  <w:r>
                    <w:rPr>
                      <w:rFonts w:hint="default" w:ascii="Times New Roman" w:hAnsi="Times New Roman" w:cs="Times New Roman"/>
                      <w:b/>
                      <w:bCs w:val="0"/>
                      <w:color w:val="auto"/>
                      <w:kern w:val="0"/>
                      <w:szCs w:val="21"/>
                      <w:highlight w:val="none"/>
                      <w:u w:val="none"/>
                    </w:rPr>
                    <w:t>类别</w:t>
                  </w:r>
                </w:p>
              </w:tc>
              <w:tc>
                <w:tcPr>
                  <w:tcW w:w="2403" w:type="pct"/>
                  <w:tcBorders>
                    <w:tl2br w:val="nil"/>
                    <w:tr2bl w:val="nil"/>
                  </w:tcBorders>
                  <w:noWrap w:val="0"/>
                  <w:tcMar>
                    <w:top w:w="0" w:type="dxa"/>
                    <w:left w:w="51" w:type="dxa"/>
                    <w:bottom w:w="0" w:type="dxa"/>
                    <w:right w:w="51" w:type="dxa"/>
                  </w:tcMar>
                  <w:vAlign w:val="center"/>
                </w:tcPr>
                <w:p w14:paraId="3A9A31D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b/>
                      <w:bCs w:val="0"/>
                      <w:color w:val="auto"/>
                      <w:kern w:val="0"/>
                      <w:szCs w:val="21"/>
                      <w:highlight w:val="none"/>
                      <w:u w:val="none"/>
                    </w:rPr>
                  </w:pPr>
                  <w:r>
                    <w:rPr>
                      <w:rFonts w:hint="default" w:ascii="Times New Roman" w:hAnsi="Times New Roman" w:cs="Times New Roman"/>
                      <w:b/>
                      <w:bCs w:val="0"/>
                      <w:color w:val="auto"/>
                      <w:kern w:val="0"/>
                      <w:szCs w:val="21"/>
                      <w:highlight w:val="none"/>
                      <w:u w:val="none"/>
                    </w:rPr>
                    <w:t>负面清单</w:t>
                  </w:r>
                </w:p>
              </w:tc>
              <w:tc>
                <w:tcPr>
                  <w:tcW w:w="1550" w:type="pct"/>
                  <w:tcBorders>
                    <w:tl2br w:val="nil"/>
                    <w:tr2bl w:val="nil"/>
                  </w:tcBorders>
                  <w:noWrap w:val="0"/>
                  <w:tcMar>
                    <w:top w:w="0" w:type="dxa"/>
                    <w:left w:w="51" w:type="dxa"/>
                    <w:bottom w:w="0" w:type="dxa"/>
                    <w:right w:w="51" w:type="dxa"/>
                  </w:tcMar>
                  <w:vAlign w:val="center"/>
                </w:tcPr>
                <w:p w14:paraId="4A71512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b/>
                      <w:bCs w:val="0"/>
                      <w:color w:val="auto"/>
                      <w:kern w:val="0"/>
                      <w:szCs w:val="21"/>
                      <w:highlight w:val="none"/>
                      <w:u w:val="none"/>
                    </w:rPr>
                  </w:pPr>
                  <w:r>
                    <w:rPr>
                      <w:rFonts w:hint="default" w:ascii="Times New Roman" w:hAnsi="Times New Roman" w:cs="Times New Roman"/>
                      <w:b/>
                      <w:bCs w:val="0"/>
                      <w:color w:val="auto"/>
                      <w:kern w:val="0"/>
                      <w:szCs w:val="21"/>
                      <w:highlight w:val="none"/>
                      <w:u w:val="none"/>
                    </w:rPr>
                    <w:t>本项目情况</w:t>
                  </w:r>
                </w:p>
              </w:tc>
              <w:tc>
                <w:tcPr>
                  <w:tcW w:w="594" w:type="pct"/>
                  <w:tcBorders>
                    <w:tl2br w:val="nil"/>
                    <w:tr2bl w:val="nil"/>
                  </w:tcBorders>
                  <w:noWrap w:val="0"/>
                  <w:tcMar>
                    <w:top w:w="0" w:type="dxa"/>
                    <w:left w:w="51" w:type="dxa"/>
                    <w:bottom w:w="0" w:type="dxa"/>
                    <w:right w:w="51" w:type="dxa"/>
                  </w:tcMar>
                  <w:vAlign w:val="center"/>
                </w:tcPr>
                <w:p w14:paraId="315756F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b/>
                      <w:bCs w:val="0"/>
                      <w:color w:val="auto"/>
                      <w:kern w:val="0"/>
                      <w:szCs w:val="21"/>
                      <w:highlight w:val="none"/>
                      <w:u w:val="none"/>
                      <w:lang w:val="en-US" w:eastAsia="zh-CN"/>
                    </w:rPr>
                  </w:pPr>
                  <w:r>
                    <w:rPr>
                      <w:rFonts w:hint="default" w:ascii="Times New Roman" w:hAnsi="Times New Roman" w:cs="Times New Roman"/>
                      <w:b/>
                      <w:bCs w:val="0"/>
                      <w:color w:val="auto"/>
                      <w:kern w:val="0"/>
                      <w:szCs w:val="21"/>
                      <w:highlight w:val="none"/>
                      <w:u w:val="none"/>
                    </w:rPr>
                    <w:t>相符性</w:t>
                  </w:r>
                  <w:r>
                    <w:rPr>
                      <w:rFonts w:hint="default" w:ascii="Times New Roman" w:hAnsi="Times New Roman" w:cs="Times New Roman"/>
                      <w:b/>
                      <w:bCs w:val="0"/>
                      <w:color w:val="auto"/>
                      <w:kern w:val="0"/>
                      <w:szCs w:val="21"/>
                      <w:highlight w:val="none"/>
                      <w:u w:val="none"/>
                      <w:lang w:val="en-US" w:eastAsia="zh-CN"/>
                    </w:rPr>
                    <w:t>分析</w:t>
                  </w:r>
                </w:p>
              </w:tc>
            </w:tr>
            <w:tr w14:paraId="1F6C89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vMerge w:val="restart"/>
                  <w:tcBorders>
                    <w:tl2br w:val="nil"/>
                    <w:tr2bl w:val="nil"/>
                  </w:tcBorders>
                  <w:noWrap w:val="0"/>
                  <w:tcMar>
                    <w:top w:w="0" w:type="dxa"/>
                    <w:left w:w="51" w:type="dxa"/>
                    <w:bottom w:w="0" w:type="dxa"/>
                    <w:right w:w="51" w:type="dxa"/>
                  </w:tcMar>
                  <w:vAlign w:val="center"/>
                </w:tcPr>
                <w:p w14:paraId="1710B39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color w:val="auto"/>
                      <w:kern w:val="0"/>
                      <w:szCs w:val="21"/>
                      <w:highlight w:val="none"/>
                      <w:u w:val="none"/>
                    </w:rPr>
                    <w:t>管理要求</w:t>
                  </w:r>
                </w:p>
              </w:tc>
              <w:tc>
                <w:tcPr>
                  <w:tcW w:w="2403" w:type="pct"/>
                  <w:tcBorders>
                    <w:tl2br w:val="nil"/>
                    <w:tr2bl w:val="nil"/>
                  </w:tcBorders>
                  <w:noWrap w:val="0"/>
                  <w:tcMar>
                    <w:top w:w="0" w:type="dxa"/>
                    <w:left w:w="51" w:type="dxa"/>
                    <w:bottom w:w="0" w:type="dxa"/>
                    <w:right w:w="51" w:type="dxa"/>
                  </w:tcMar>
                  <w:vAlign w:val="center"/>
                </w:tcPr>
                <w:p w14:paraId="657405EC">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cs="Times New Roman"/>
                      <w:color w:val="auto"/>
                      <w:szCs w:val="21"/>
                      <w:highlight w:val="none"/>
                      <w:u w:val="none"/>
                    </w:rPr>
                  </w:pPr>
                  <w:r>
                    <w:rPr>
                      <w:rFonts w:hint="default" w:ascii="Times New Roman" w:hAnsi="Times New Roman" w:cs="Times New Roman"/>
                      <w:color w:val="auto"/>
                      <w:szCs w:val="21"/>
                      <w:highlight w:val="none"/>
                      <w:u w:val="none"/>
                    </w:rPr>
                    <w:t>禁止入驻国家产业结构调整指导目录淘汰、限制类项目。</w:t>
                  </w:r>
                </w:p>
              </w:tc>
              <w:tc>
                <w:tcPr>
                  <w:tcW w:w="1550" w:type="pct"/>
                  <w:tcBorders>
                    <w:tl2br w:val="nil"/>
                    <w:tr2bl w:val="nil"/>
                  </w:tcBorders>
                  <w:noWrap w:val="0"/>
                  <w:tcMar>
                    <w:top w:w="0" w:type="dxa"/>
                    <w:left w:w="51" w:type="dxa"/>
                    <w:bottom w:w="0" w:type="dxa"/>
                    <w:right w:w="51" w:type="dxa"/>
                  </w:tcMar>
                  <w:vAlign w:val="center"/>
                </w:tcPr>
                <w:p w14:paraId="04F76C2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color w:val="auto"/>
                      <w:szCs w:val="21"/>
                      <w:highlight w:val="none"/>
                      <w:u w:val="none"/>
                    </w:rPr>
                    <w:t>项目产品、工艺、设备均不属于</w:t>
                  </w:r>
                  <w:r>
                    <w:rPr>
                      <w:rFonts w:hint="default" w:ascii="Times New Roman" w:hAnsi="Times New Roman" w:cs="Times New Roman"/>
                      <w:color w:val="auto"/>
                      <w:szCs w:val="21"/>
                      <w:highlight w:val="none"/>
                      <w:u w:val="none"/>
                      <w:lang w:eastAsia="zh-CN"/>
                    </w:rPr>
                    <w:t>《产业结构调整指导目录（20</w:t>
                  </w:r>
                  <w:r>
                    <w:rPr>
                      <w:rFonts w:hint="default" w:ascii="Times New Roman" w:hAnsi="Times New Roman" w:cs="Times New Roman"/>
                      <w:color w:val="auto"/>
                      <w:szCs w:val="21"/>
                      <w:highlight w:val="none"/>
                      <w:u w:val="none"/>
                      <w:lang w:val="en-US" w:eastAsia="zh-CN"/>
                    </w:rPr>
                    <w:t>24</w:t>
                  </w:r>
                  <w:r>
                    <w:rPr>
                      <w:rFonts w:hint="default" w:ascii="Times New Roman" w:hAnsi="Times New Roman" w:cs="Times New Roman"/>
                      <w:color w:val="auto"/>
                      <w:szCs w:val="21"/>
                      <w:highlight w:val="none"/>
                      <w:u w:val="none"/>
                      <w:lang w:eastAsia="zh-CN"/>
                    </w:rPr>
                    <w:t>年本）》</w:t>
                  </w:r>
                  <w:r>
                    <w:rPr>
                      <w:rFonts w:hint="default" w:ascii="Times New Roman" w:hAnsi="Times New Roman" w:cs="Times New Roman"/>
                      <w:color w:val="auto"/>
                      <w:szCs w:val="21"/>
                      <w:highlight w:val="none"/>
                      <w:u w:val="none"/>
                    </w:rPr>
                    <w:t>淘汰类、限制类。</w:t>
                  </w:r>
                </w:p>
              </w:tc>
              <w:tc>
                <w:tcPr>
                  <w:tcW w:w="594" w:type="pct"/>
                  <w:tcBorders>
                    <w:tl2br w:val="nil"/>
                    <w:tr2bl w:val="nil"/>
                  </w:tcBorders>
                  <w:noWrap w:val="0"/>
                  <w:tcMar>
                    <w:top w:w="0" w:type="dxa"/>
                    <w:left w:w="51" w:type="dxa"/>
                    <w:bottom w:w="0" w:type="dxa"/>
                    <w:right w:w="51" w:type="dxa"/>
                  </w:tcMar>
                  <w:vAlign w:val="center"/>
                </w:tcPr>
                <w:p w14:paraId="1A00523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Cs w:val="21"/>
                      <w:highlight w:val="none"/>
                      <w:u w:val="none"/>
                      <w:lang w:val="en-US" w:eastAsia="zh-CN"/>
                    </w:rPr>
                  </w:pPr>
                  <w:r>
                    <w:rPr>
                      <w:rFonts w:hint="default" w:ascii="Times New Roman" w:hAnsi="Times New Roman" w:cs="Times New Roman"/>
                      <w:color w:val="auto"/>
                      <w:kern w:val="0"/>
                      <w:szCs w:val="21"/>
                      <w:highlight w:val="none"/>
                      <w:u w:val="none"/>
                      <w:lang w:val="en-US" w:eastAsia="zh-CN"/>
                    </w:rPr>
                    <w:t>符合</w:t>
                  </w:r>
                </w:p>
              </w:tc>
            </w:tr>
            <w:tr w14:paraId="0FB46A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vMerge w:val="continue"/>
                  <w:tcBorders>
                    <w:tl2br w:val="nil"/>
                    <w:tr2bl w:val="nil"/>
                  </w:tcBorders>
                  <w:noWrap w:val="0"/>
                  <w:tcMar>
                    <w:top w:w="0" w:type="dxa"/>
                    <w:left w:w="51" w:type="dxa"/>
                    <w:bottom w:w="0" w:type="dxa"/>
                    <w:right w:w="51" w:type="dxa"/>
                  </w:tcMar>
                  <w:vAlign w:val="center"/>
                </w:tcPr>
                <w:p w14:paraId="7089DB6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p>
              </w:tc>
              <w:tc>
                <w:tcPr>
                  <w:tcW w:w="2403" w:type="pct"/>
                  <w:tcBorders>
                    <w:tl2br w:val="nil"/>
                    <w:tr2bl w:val="nil"/>
                  </w:tcBorders>
                  <w:noWrap w:val="0"/>
                  <w:tcMar>
                    <w:top w:w="0" w:type="dxa"/>
                    <w:left w:w="51" w:type="dxa"/>
                    <w:bottom w:w="0" w:type="dxa"/>
                    <w:right w:w="51" w:type="dxa"/>
                  </w:tcMar>
                  <w:vAlign w:val="center"/>
                </w:tcPr>
                <w:p w14:paraId="14D3EFBC">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cs="Times New Roman"/>
                      <w:color w:val="auto"/>
                      <w:szCs w:val="21"/>
                      <w:highlight w:val="none"/>
                      <w:u w:val="none"/>
                    </w:rPr>
                  </w:pPr>
                  <w:r>
                    <w:rPr>
                      <w:rFonts w:hint="default" w:ascii="Times New Roman" w:hAnsi="Times New Roman" w:cs="Times New Roman"/>
                      <w:color w:val="auto"/>
                      <w:szCs w:val="21"/>
                      <w:highlight w:val="none"/>
                      <w:u w:val="none"/>
                    </w:rPr>
                    <w:t>禁止投资建设列入禁止用地目录、限制用地目录的项目。</w:t>
                  </w:r>
                </w:p>
              </w:tc>
              <w:tc>
                <w:tcPr>
                  <w:tcW w:w="1550" w:type="pct"/>
                  <w:tcBorders>
                    <w:tl2br w:val="nil"/>
                    <w:tr2bl w:val="nil"/>
                  </w:tcBorders>
                  <w:noWrap w:val="0"/>
                  <w:tcMar>
                    <w:top w:w="0" w:type="dxa"/>
                    <w:left w:w="51" w:type="dxa"/>
                    <w:bottom w:w="0" w:type="dxa"/>
                    <w:right w:w="51" w:type="dxa"/>
                  </w:tcMar>
                  <w:vAlign w:val="center"/>
                </w:tcPr>
                <w:p w14:paraId="79E489A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szCs w:val="21"/>
                      <w:highlight w:val="none"/>
                      <w:u w:val="none"/>
                    </w:rPr>
                  </w:pPr>
                  <w:r>
                    <w:rPr>
                      <w:rFonts w:hint="default" w:ascii="Times New Roman" w:hAnsi="Times New Roman" w:cs="Times New Roman"/>
                      <w:color w:val="auto"/>
                      <w:szCs w:val="21"/>
                      <w:highlight w:val="none"/>
                      <w:u w:val="none"/>
                    </w:rPr>
                    <w:t>不属于禁止用地目录、限制用地目录的项目。</w:t>
                  </w:r>
                </w:p>
              </w:tc>
              <w:tc>
                <w:tcPr>
                  <w:tcW w:w="594" w:type="pct"/>
                  <w:tcBorders>
                    <w:tl2br w:val="nil"/>
                    <w:tr2bl w:val="nil"/>
                  </w:tcBorders>
                  <w:noWrap w:val="0"/>
                  <w:tcMar>
                    <w:top w:w="0" w:type="dxa"/>
                    <w:left w:w="51" w:type="dxa"/>
                    <w:bottom w:w="0" w:type="dxa"/>
                    <w:right w:w="51" w:type="dxa"/>
                  </w:tcMar>
                  <w:vAlign w:val="center"/>
                </w:tcPr>
                <w:p w14:paraId="3C74051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color w:val="auto"/>
                      <w:kern w:val="0"/>
                      <w:szCs w:val="21"/>
                      <w:highlight w:val="none"/>
                      <w:u w:val="none"/>
                      <w:lang w:val="en-US" w:eastAsia="zh-CN"/>
                    </w:rPr>
                    <w:t>符合</w:t>
                  </w:r>
                </w:p>
              </w:tc>
            </w:tr>
            <w:tr w14:paraId="60BC1D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vMerge w:val="continue"/>
                  <w:tcBorders>
                    <w:tl2br w:val="nil"/>
                    <w:tr2bl w:val="nil"/>
                  </w:tcBorders>
                  <w:noWrap w:val="0"/>
                  <w:tcMar>
                    <w:top w:w="0" w:type="dxa"/>
                    <w:left w:w="51" w:type="dxa"/>
                    <w:bottom w:w="0" w:type="dxa"/>
                    <w:right w:w="51" w:type="dxa"/>
                  </w:tcMar>
                  <w:vAlign w:val="center"/>
                </w:tcPr>
                <w:p w14:paraId="3B7465F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p>
              </w:tc>
              <w:tc>
                <w:tcPr>
                  <w:tcW w:w="2403" w:type="pct"/>
                  <w:tcBorders>
                    <w:tl2br w:val="nil"/>
                    <w:tr2bl w:val="nil"/>
                  </w:tcBorders>
                  <w:noWrap w:val="0"/>
                  <w:tcMar>
                    <w:top w:w="0" w:type="dxa"/>
                    <w:left w:w="51" w:type="dxa"/>
                    <w:bottom w:w="0" w:type="dxa"/>
                    <w:right w:w="51" w:type="dxa"/>
                  </w:tcMar>
                  <w:vAlign w:val="center"/>
                </w:tcPr>
                <w:p w14:paraId="1DE2C40A">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cs="Times New Roman"/>
                      <w:color w:val="auto"/>
                      <w:szCs w:val="21"/>
                      <w:highlight w:val="none"/>
                      <w:u w:val="none"/>
                    </w:rPr>
                  </w:pPr>
                  <w:r>
                    <w:rPr>
                      <w:rFonts w:hint="default" w:ascii="Times New Roman" w:hAnsi="Times New Roman" w:cs="Times New Roman"/>
                      <w:color w:val="auto"/>
                      <w:szCs w:val="21"/>
                      <w:highlight w:val="none"/>
                      <w:u w:val="none"/>
                    </w:rPr>
                    <w:t>禁止建设《国务院关于化解产能严重过剩矛盾的指导意见》（国发〔2013〕41号）明确产能严重过剩行业的新增产能项目。</w:t>
                  </w:r>
                </w:p>
              </w:tc>
              <w:tc>
                <w:tcPr>
                  <w:tcW w:w="1550" w:type="pct"/>
                  <w:tcBorders>
                    <w:tl2br w:val="nil"/>
                    <w:tr2bl w:val="nil"/>
                  </w:tcBorders>
                  <w:noWrap w:val="0"/>
                  <w:tcMar>
                    <w:top w:w="0" w:type="dxa"/>
                    <w:left w:w="51" w:type="dxa"/>
                    <w:bottom w:w="0" w:type="dxa"/>
                    <w:right w:w="51" w:type="dxa"/>
                  </w:tcMar>
                  <w:vAlign w:val="center"/>
                </w:tcPr>
                <w:p w14:paraId="7FCC867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szCs w:val="21"/>
                      <w:highlight w:val="none"/>
                      <w:u w:val="none"/>
                    </w:rPr>
                  </w:pPr>
                  <w:r>
                    <w:rPr>
                      <w:rFonts w:hint="default" w:ascii="Times New Roman" w:hAnsi="Times New Roman" w:cs="Times New Roman"/>
                      <w:color w:val="auto"/>
                      <w:szCs w:val="21"/>
                      <w:highlight w:val="none"/>
                      <w:u w:val="none"/>
                    </w:rPr>
                    <w:t>不属于产能严重过剩行业。</w:t>
                  </w:r>
                </w:p>
              </w:tc>
              <w:tc>
                <w:tcPr>
                  <w:tcW w:w="594" w:type="pct"/>
                  <w:tcBorders>
                    <w:tl2br w:val="nil"/>
                    <w:tr2bl w:val="nil"/>
                  </w:tcBorders>
                  <w:noWrap w:val="0"/>
                  <w:tcMar>
                    <w:top w:w="0" w:type="dxa"/>
                    <w:left w:w="51" w:type="dxa"/>
                    <w:bottom w:w="0" w:type="dxa"/>
                    <w:right w:w="51" w:type="dxa"/>
                  </w:tcMar>
                  <w:vAlign w:val="center"/>
                </w:tcPr>
                <w:p w14:paraId="2099F2C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color w:val="auto"/>
                      <w:kern w:val="0"/>
                      <w:szCs w:val="21"/>
                      <w:highlight w:val="none"/>
                      <w:u w:val="none"/>
                      <w:lang w:val="en-US" w:eastAsia="zh-CN"/>
                    </w:rPr>
                    <w:t>符合</w:t>
                  </w:r>
                </w:p>
              </w:tc>
            </w:tr>
            <w:tr w14:paraId="428508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vMerge w:val="continue"/>
                  <w:tcBorders>
                    <w:tl2br w:val="nil"/>
                    <w:tr2bl w:val="nil"/>
                  </w:tcBorders>
                  <w:noWrap w:val="0"/>
                  <w:tcMar>
                    <w:top w:w="0" w:type="dxa"/>
                    <w:left w:w="51" w:type="dxa"/>
                    <w:bottom w:w="0" w:type="dxa"/>
                    <w:right w:w="51" w:type="dxa"/>
                  </w:tcMar>
                  <w:vAlign w:val="center"/>
                </w:tcPr>
                <w:p w14:paraId="1584096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p>
              </w:tc>
              <w:tc>
                <w:tcPr>
                  <w:tcW w:w="2403" w:type="pct"/>
                  <w:tcBorders>
                    <w:tl2br w:val="nil"/>
                    <w:tr2bl w:val="nil"/>
                  </w:tcBorders>
                  <w:noWrap w:val="0"/>
                  <w:tcMar>
                    <w:top w:w="0" w:type="dxa"/>
                    <w:left w:w="51" w:type="dxa"/>
                    <w:bottom w:w="0" w:type="dxa"/>
                    <w:right w:w="51" w:type="dxa"/>
                  </w:tcMar>
                  <w:vAlign w:val="center"/>
                </w:tcPr>
                <w:p w14:paraId="114D2322">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cs="Times New Roman"/>
                      <w:color w:val="auto"/>
                      <w:szCs w:val="21"/>
                      <w:highlight w:val="none"/>
                      <w:u w:val="none"/>
                    </w:rPr>
                  </w:pPr>
                  <w:r>
                    <w:rPr>
                      <w:rFonts w:hint="default" w:ascii="Times New Roman" w:hAnsi="Times New Roman" w:cs="Times New Roman"/>
                      <w:color w:val="auto"/>
                      <w:szCs w:val="21"/>
                      <w:highlight w:val="none"/>
                      <w:u w:val="none"/>
                    </w:rPr>
                    <w:t>禁止入驻投资强度较小，不能满足《河南省人民政府关于进一步加强节约集约用地的意见》（豫政〔201</w:t>
                  </w:r>
                  <w:r>
                    <w:rPr>
                      <w:rFonts w:hint="eastAsia" w:ascii="Times New Roman" w:hAnsi="Times New Roman" w:cs="Times New Roman"/>
                      <w:color w:val="auto"/>
                      <w:szCs w:val="21"/>
                      <w:highlight w:val="none"/>
                      <w:u w:val="none"/>
                      <w:lang w:val="en-US" w:eastAsia="zh-CN"/>
                    </w:rPr>
                    <w:t>5</w:t>
                  </w:r>
                  <w:r>
                    <w:rPr>
                      <w:rFonts w:hint="default" w:ascii="Times New Roman" w:hAnsi="Times New Roman" w:cs="Times New Roman"/>
                      <w:color w:val="auto"/>
                      <w:szCs w:val="21"/>
                      <w:highlight w:val="none"/>
                      <w:u w:val="none"/>
                    </w:rPr>
                    <w:t>〕66号）文件要求的建设项目。</w:t>
                  </w:r>
                </w:p>
              </w:tc>
              <w:tc>
                <w:tcPr>
                  <w:tcW w:w="1550" w:type="pct"/>
                  <w:tcBorders>
                    <w:tl2br w:val="nil"/>
                    <w:tr2bl w:val="nil"/>
                  </w:tcBorders>
                  <w:noWrap w:val="0"/>
                  <w:tcMar>
                    <w:top w:w="0" w:type="dxa"/>
                    <w:left w:w="51" w:type="dxa"/>
                    <w:bottom w:w="0" w:type="dxa"/>
                    <w:right w:w="51" w:type="dxa"/>
                  </w:tcMar>
                  <w:vAlign w:val="center"/>
                </w:tcPr>
                <w:p w14:paraId="4E3421C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eastAsia" w:ascii="Times New Roman" w:hAnsi="Times New Roman" w:eastAsia="宋体" w:cs="Times New Roman"/>
                      <w:color w:val="auto"/>
                      <w:kern w:val="0"/>
                      <w:szCs w:val="21"/>
                      <w:highlight w:val="none"/>
                      <w:u w:val="none"/>
                      <w:lang w:eastAsia="zh-CN"/>
                    </w:rPr>
                  </w:pPr>
                  <w:r>
                    <w:rPr>
                      <w:rFonts w:hint="eastAsia" w:ascii="Times New Roman" w:hAnsi="Times New Roman" w:eastAsia="宋体" w:cs="Times New Roman"/>
                      <w:color w:val="auto"/>
                      <w:kern w:val="0"/>
                      <w:szCs w:val="21"/>
                      <w:highlight w:val="none"/>
                      <w:u w:val="none"/>
                      <w:lang w:val="en-US" w:eastAsia="zh-CN"/>
                    </w:rPr>
                    <w:t>根据《河南省人民政府关于公布省政府行政规范性文件清理结果的决定》（豫政〔2025〕2号），</w:t>
                  </w:r>
                  <w:r>
                    <w:rPr>
                      <w:rFonts w:hint="eastAsia" w:ascii="Times New Roman" w:hAnsi="Times New Roman" w:eastAsia="宋体" w:cs="Times New Roman"/>
                      <w:color w:val="auto"/>
                      <w:kern w:val="0"/>
                      <w:szCs w:val="21"/>
                      <w:highlight w:val="none"/>
                      <w:u w:val="none"/>
                      <w:lang w:eastAsia="zh-CN"/>
                    </w:rPr>
                    <w:t>豫政</w:t>
                  </w:r>
                  <w:r>
                    <w:rPr>
                      <w:rFonts w:hint="eastAsia" w:ascii="Times New Roman" w:hAnsi="Times New Roman" w:eastAsia="宋体" w:cs="Times New Roman"/>
                      <w:color w:val="auto"/>
                      <w:kern w:val="0"/>
                      <w:szCs w:val="21"/>
                      <w:highlight w:val="none"/>
                      <w:u w:val="none"/>
                      <w:lang w:val="en-US" w:eastAsia="zh-CN"/>
                    </w:rPr>
                    <w:t>〔2015〕</w:t>
                  </w:r>
                  <w:r>
                    <w:rPr>
                      <w:rFonts w:hint="eastAsia" w:ascii="Times New Roman" w:hAnsi="Times New Roman" w:eastAsia="宋体" w:cs="Times New Roman"/>
                      <w:color w:val="auto"/>
                      <w:kern w:val="0"/>
                      <w:szCs w:val="21"/>
                      <w:highlight w:val="none"/>
                      <w:u w:val="none"/>
                      <w:lang w:eastAsia="zh-CN"/>
                    </w:rPr>
                    <w:t>66号</w:t>
                  </w:r>
                  <w:r>
                    <w:rPr>
                      <w:rFonts w:hint="eastAsia" w:ascii="Times New Roman" w:hAnsi="Times New Roman" w:eastAsia="宋体" w:cs="Times New Roman"/>
                      <w:color w:val="auto"/>
                      <w:kern w:val="0"/>
                      <w:szCs w:val="21"/>
                      <w:highlight w:val="none"/>
                      <w:u w:val="none"/>
                      <w:lang w:val="en-US" w:eastAsia="zh-CN"/>
                    </w:rPr>
                    <w:t>文件失效。</w:t>
                  </w:r>
                </w:p>
              </w:tc>
              <w:tc>
                <w:tcPr>
                  <w:tcW w:w="594" w:type="pct"/>
                  <w:tcBorders>
                    <w:tl2br w:val="nil"/>
                    <w:tr2bl w:val="nil"/>
                  </w:tcBorders>
                  <w:noWrap w:val="0"/>
                  <w:tcMar>
                    <w:top w:w="0" w:type="dxa"/>
                    <w:left w:w="51" w:type="dxa"/>
                    <w:bottom w:w="0" w:type="dxa"/>
                    <w:right w:w="51" w:type="dxa"/>
                  </w:tcMar>
                  <w:vAlign w:val="center"/>
                </w:tcPr>
                <w:p w14:paraId="19E4A38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Cs w:val="21"/>
                      <w:highlight w:val="none"/>
                      <w:u w:val="none"/>
                      <w:lang w:val="en-US" w:eastAsia="zh-CN"/>
                    </w:rPr>
                  </w:pPr>
                  <w:r>
                    <w:rPr>
                      <w:rFonts w:hint="eastAsia" w:cs="Times New Roman"/>
                      <w:color w:val="auto"/>
                      <w:kern w:val="0"/>
                      <w:szCs w:val="21"/>
                      <w:highlight w:val="none"/>
                      <w:u w:val="none"/>
                      <w:lang w:val="en-US" w:eastAsia="zh-CN"/>
                    </w:rPr>
                    <w:t>/</w:t>
                  </w:r>
                </w:p>
              </w:tc>
            </w:tr>
            <w:tr w14:paraId="5B2C11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vMerge w:val="continue"/>
                  <w:tcBorders>
                    <w:tl2br w:val="nil"/>
                    <w:tr2bl w:val="nil"/>
                  </w:tcBorders>
                  <w:noWrap w:val="0"/>
                  <w:tcMar>
                    <w:top w:w="0" w:type="dxa"/>
                    <w:left w:w="51" w:type="dxa"/>
                    <w:bottom w:w="0" w:type="dxa"/>
                    <w:right w:w="51" w:type="dxa"/>
                  </w:tcMar>
                  <w:vAlign w:val="center"/>
                </w:tcPr>
                <w:p w14:paraId="4E37F19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p>
              </w:tc>
              <w:tc>
                <w:tcPr>
                  <w:tcW w:w="2403" w:type="pct"/>
                  <w:tcBorders>
                    <w:tl2br w:val="nil"/>
                    <w:tr2bl w:val="nil"/>
                  </w:tcBorders>
                  <w:noWrap w:val="0"/>
                  <w:tcMar>
                    <w:top w:w="0" w:type="dxa"/>
                    <w:left w:w="51" w:type="dxa"/>
                    <w:bottom w:w="0" w:type="dxa"/>
                    <w:right w:w="51" w:type="dxa"/>
                  </w:tcMar>
                  <w:vAlign w:val="center"/>
                </w:tcPr>
                <w:p w14:paraId="19CCD228">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cs="Times New Roman"/>
                      <w:color w:val="auto"/>
                      <w:szCs w:val="21"/>
                      <w:highlight w:val="none"/>
                      <w:u w:val="none"/>
                    </w:rPr>
                  </w:pPr>
                  <w:r>
                    <w:rPr>
                      <w:rFonts w:hint="default" w:ascii="Times New Roman" w:hAnsi="Times New Roman" w:cs="Times New Roman"/>
                      <w:color w:val="auto"/>
                      <w:szCs w:val="21"/>
                      <w:highlight w:val="none"/>
                      <w:u w:val="none"/>
                    </w:rPr>
                    <w:t>禁止入驻煤化工、石油化工、制浆造纸、水泥、陶瓷、</w:t>
                  </w:r>
                  <w:r>
                    <w:rPr>
                      <w:rFonts w:hint="eastAsia" w:ascii="Times New Roman" w:hAnsi="Times New Roman" w:cs="Times New Roman"/>
                      <w:color w:val="auto"/>
                      <w:szCs w:val="21"/>
                      <w:highlight w:val="none"/>
                      <w:u w:val="none"/>
                      <w:lang w:eastAsia="zh-CN"/>
                    </w:rPr>
                    <w:t>农药、</w:t>
                  </w:r>
                  <w:r>
                    <w:rPr>
                      <w:rFonts w:hint="default" w:ascii="Times New Roman" w:hAnsi="Times New Roman" w:cs="Times New Roman"/>
                      <w:color w:val="auto"/>
                      <w:szCs w:val="21"/>
                      <w:highlight w:val="none"/>
                      <w:u w:val="none"/>
                    </w:rPr>
                    <w:t>制革及毛皮鞣制等高水耗、高能耗、污染排放量较大的行业。</w:t>
                  </w:r>
                </w:p>
              </w:tc>
              <w:tc>
                <w:tcPr>
                  <w:tcW w:w="1550" w:type="pct"/>
                  <w:tcBorders>
                    <w:tl2br w:val="nil"/>
                    <w:tr2bl w:val="nil"/>
                  </w:tcBorders>
                  <w:noWrap w:val="0"/>
                  <w:tcMar>
                    <w:top w:w="0" w:type="dxa"/>
                    <w:left w:w="51" w:type="dxa"/>
                    <w:bottom w:w="0" w:type="dxa"/>
                    <w:right w:w="51" w:type="dxa"/>
                  </w:tcMar>
                  <w:vAlign w:val="center"/>
                </w:tcPr>
                <w:p w14:paraId="1889DE6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color w:val="auto"/>
                      <w:kern w:val="0"/>
                      <w:szCs w:val="21"/>
                      <w:highlight w:val="none"/>
                      <w:u w:val="none"/>
                    </w:rPr>
                    <w:t>不属于以上行业项目。</w:t>
                  </w:r>
                </w:p>
              </w:tc>
              <w:tc>
                <w:tcPr>
                  <w:tcW w:w="594" w:type="pct"/>
                  <w:tcBorders>
                    <w:tl2br w:val="nil"/>
                    <w:tr2bl w:val="nil"/>
                  </w:tcBorders>
                  <w:noWrap w:val="0"/>
                  <w:tcMar>
                    <w:top w:w="0" w:type="dxa"/>
                    <w:left w:w="51" w:type="dxa"/>
                    <w:bottom w:w="0" w:type="dxa"/>
                    <w:right w:w="51" w:type="dxa"/>
                  </w:tcMar>
                  <w:vAlign w:val="center"/>
                </w:tcPr>
                <w:p w14:paraId="73C7B0C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color w:val="auto"/>
                      <w:kern w:val="0"/>
                      <w:szCs w:val="21"/>
                      <w:highlight w:val="none"/>
                      <w:u w:val="none"/>
                      <w:lang w:val="en-US" w:eastAsia="zh-CN"/>
                    </w:rPr>
                    <w:t>符合</w:t>
                  </w:r>
                </w:p>
              </w:tc>
            </w:tr>
            <w:tr w14:paraId="7957DF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vMerge w:val="continue"/>
                  <w:tcBorders>
                    <w:tl2br w:val="nil"/>
                    <w:tr2bl w:val="nil"/>
                  </w:tcBorders>
                  <w:noWrap w:val="0"/>
                  <w:tcMar>
                    <w:top w:w="0" w:type="dxa"/>
                    <w:left w:w="51" w:type="dxa"/>
                    <w:bottom w:w="0" w:type="dxa"/>
                    <w:right w:w="51" w:type="dxa"/>
                  </w:tcMar>
                  <w:vAlign w:val="center"/>
                </w:tcPr>
                <w:p w14:paraId="15DFF52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p>
              </w:tc>
              <w:tc>
                <w:tcPr>
                  <w:tcW w:w="2403" w:type="pct"/>
                  <w:tcBorders>
                    <w:tl2br w:val="nil"/>
                    <w:tr2bl w:val="nil"/>
                  </w:tcBorders>
                  <w:noWrap w:val="0"/>
                  <w:tcMar>
                    <w:top w:w="0" w:type="dxa"/>
                    <w:left w:w="51" w:type="dxa"/>
                    <w:bottom w:w="0" w:type="dxa"/>
                    <w:right w:w="51" w:type="dxa"/>
                  </w:tcMar>
                  <w:vAlign w:val="center"/>
                </w:tcPr>
                <w:p w14:paraId="57AFEDAC">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cs="Times New Roman"/>
                      <w:color w:val="auto"/>
                      <w:szCs w:val="21"/>
                      <w:highlight w:val="none"/>
                      <w:u w:val="none"/>
                    </w:rPr>
                  </w:pPr>
                  <w:r>
                    <w:rPr>
                      <w:rFonts w:hint="default" w:ascii="Times New Roman" w:hAnsi="Times New Roman" w:cs="Times New Roman"/>
                      <w:color w:val="auto"/>
                      <w:szCs w:val="21"/>
                      <w:highlight w:val="none"/>
                      <w:u w:val="none"/>
                    </w:rPr>
                    <w:t>禁止引进三废处理技术不成熟、经济不可行的项目。</w:t>
                  </w:r>
                </w:p>
              </w:tc>
              <w:tc>
                <w:tcPr>
                  <w:tcW w:w="1550" w:type="pct"/>
                  <w:tcBorders>
                    <w:tl2br w:val="nil"/>
                    <w:tr2bl w:val="nil"/>
                  </w:tcBorders>
                  <w:noWrap w:val="0"/>
                  <w:tcMar>
                    <w:top w:w="0" w:type="dxa"/>
                    <w:left w:w="51" w:type="dxa"/>
                    <w:bottom w:w="0" w:type="dxa"/>
                    <w:right w:w="51" w:type="dxa"/>
                  </w:tcMar>
                  <w:vAlign w:val="center"/>
                </w:tcPr>
                <w:p w14:paraId="46D937E5">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cs="Times New Roman"/>
                      <w:color w:val="auto"/>
                      <w:szCs w:val="21"/>
                      <w:highlight w:val="none"/>
                      <w:u w:val="none"/>
                    </w:rPr>
                  </w:pPr>
                  <w:r>
                    <w:rPr>
                      <w:rFonts w:hint="default" w:ascii="Times New Roman" w:hAnsi="Times New Roman" w:cs="Times New Roman"/>
                      <w:color w:val="auto"/>
                      <w:szCs w:val="21"/>
                      <w:highlight w:val="none"/>
                      <w:u w:val="none"/>
                    </w:rPr>
                    <w:t>本项目采用的三废处理技术均技术成熟、经济可行。</w:t>
                  </w:r>
                </w:p>
              </w:tc>
              <w:tc>
                <w:tcPr>
                  <w:tcW w:w="594" w:type="pct"/>
                  <w:tcBorders>
                    <w:tl2br w:val="nil"/>
                    <w:tr2bl w:val="nil"/>
                  </w:tcBorders>
                  <w:noWrap w:val="0"/>
                  <w:tcMar>
                    <w:top w:w="0" w:type="dxa"/>
                    <w:left w:w="51" w:type="dxa"/>
                    <w:bottom w:w="0" w:type="dxa"/>
                    <w:right w:w="51" w:type="dxa"/>
                  </w:tcMar>
                  <w:vAlign w:val="center"/>
                </w:tcPr>
                <w:p w14:paraId="2CA5DA9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Cs w:val="21"/>
                      <w:highlight w:val="none"/>
                      <w:u w:val="none"/>
                      <w:lang w:eastAsia="zh-CN"/>
                    </w:rPr>
                  </w:pPr>
                  <w:r>
                    <w:rPr>
                      <w:rFonts w:hint="default" w:ascii="Times New Roman" w:hAnsi="Times New Roman" w:cs="Times New Roman"/>
                      <w:color w:val="auto"/>
                      <w:kern w:val="0"/>
                      <w:szCs w:val="21"/>
                      <w:highlight w:val="none"/>
                      <w:u w:val="none"/>
                      <w:lang w:eastAsia="zh-CN"/>
                    </w:rPr>
                    <w:t>符合</w:t>
                  </w:r>
                </w:p>
              </w:tc>
            </w:tr>
            <w:tr w14:paraId="4F3137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1" w:type="pct"/>
                  <w:vMerge w:val="continue"/>
                  <w:tcBorders>
                    <w:tl2br w:val="nil"/>
                    <w:tr2bl w:val="nil"/>
                  </w:tcBorders>
                  <w:noWrap w:val="0"/>
                  <w:tcMar>
                    <w:top w:w="0" w:type="dxa"/>
                    <w:left w:w="51" w:type="dxa"/>
                    <w:bottom w:w="0" w:type="dxa"/>
                    <w:right w:w="51" w:type="dxa"/>
                  </w:tcMar>
                  <w:vAlign w:val="center"/>
                </w:tcPr>
                <w:p w14:paraId="10EA379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p>
              </w:tc>
              <w:tc>
                <w:tcPr>
                  <w:tcW w:w="2403" w:type="pct"/>
                  <w:tcBorders>
                    <w:tl2br w:val="nil"/>
                    <w:tr2bl w:val="nil"/>
                  </w:tcBorders>
                  <w:noWrap w:val="0"/>
                  <w:tcMar>
                    <w:top w:w="0" w:type="dxa"/>
                    <w:left w:w="51" w:type="dxa"/>
                    <w:bottom w:w="0" w:type="dxa"/>
                    <w:right w:w="51" w:type="dxa"/>
                  </w:tcMar>
                  <w:vAlign w:val="center"/>
                </w:tcPr>
                <w:p w14:paraId="23FB1E78">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cs="Times New Roman"/>
                      <w:color w:val="auto"/>
                      <w:szCs w:val="21"/>
                      <w:highlight w:val="none"/>
                      <w:u w:val="none"/>
                    </w:rPr>
                  </w:pPr>
                  <w:r>
                    <w:rPr>
                      <w:rFonts w:hint="default" w:ascii="Times New Roman" w:hAnsi="Times New Roman" w:cs="Times New Roman"/>
                      <w:color w:val="auto"/>
                      <w:szCs w:val="21"/>
                      <w:highlight w:val="none"/>
                      <w:u w:val="none"/>
                    </w:rPr>
                    <w:t>禁止新增非集中供热性质的燃煤锅炉。</w:t>
                  </w:r>
                </w:p>
              </w:tc>
              <w:tc>
                <w:tcPr>
                  <w:tcW w:w="1550" w:type="pct"/>
                  <w:tcBorders>
                    <w:tl2br w:val="nil"/>
                    <w:tr2bl w:val="nil"/>
                  </w:tcBorders>
                  <w:noWrap w:val="0"/>
                  <w:tcMar>
                    <w:top w:w="0" w:type="dxa"/>
                    <w:left w:w="51" w:type="dxa"/>
                    <w:bottom w:w="0" w:type="dxa"/>
                    <w:right w:w="51" w:type="dxa"/>
                  </w:tcMar>
                  <w:vAlign w:val="center"/>
                </w:tcPr>
                <w:p w14:paraId="3117E37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color w:val="auto"/>
                      <w:kern w:val="0"/>
                      <w:szCs w:val="21"/>
                      <w:highlight w:val="none"/>
                      <w:u w:val="none"/>
                    </w:rPr>
                    <w:t>不涉及锅炉。</w:t>
                  </w:r>
                </w:p>
              </w:tc>
              <w:tc>
                <w:tcPr>
                  <w:tcW w:w="594" w:type="pct"/>
                  <w:tcBorders>
                    <w:tl2br w:val="nil"/>
                    <w:tr2bl w:val="nil"/>
                  </w:tcBorders>
                  <w:noWrap w:val="0"/>
                  <w:tcMar>
                    <w:top w:w="0" w:type="dxa"/>
                    <w:left w:w="51" w:type="dxa"/>
                    <w:bottom w:w="0" w:type="dxa"/>
                    <w:right w:w="51" w:type="dxa"/>
                  </w:tcMar>
                  <w:vAlign w:val="center"/>
                </w:tcPr>
                <w:p w14:paraId="551A627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Cs w:val="21"/>
                      <w:highlight w:val="none"/>
                      <w:u w:val="none"/>
                      <w:lang w:eastAsia="zh-CN"/>
                    </w:rPr>
                  </w:pPr>
                  <w:r>
                    <w:rPr>
                      <w:rFonts w:hint="default" w:ascii="Times New Roman" w:hAnsi="Times New Roman" w:cs="Times New Roman"/>
                      <w:color w:val="auto"/>
                      <w:kern w:val="0"/>
                      <w:szCs w:val="21"/>
                      <w:highlight w:val="none"/>
                      <w:u w:val="none"/>
                      <w:lang w:eastAsia="zh-CN"/>
                    </w:rPr>
                    <w:t>符合</w:t>
                  </w:r>
                </w:p>
              </w:tc>
            </w:tr>
            <w:tr w14:paraId="0979E3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vMerge w:val="continue"/>
                  <w:tcBorders>
                    <w:tl2br w:val="nil"/>
                    <w:tr2bl w:val="nil"/>
                  </w:tcBorders>
                  <w:noWrap w:val="0"/>
                  <w:tcMar>
                    <w:top w:w="0" w:type="dxa"/>
                    <w:left w:w="51" w:type="dxa"/>
                    <w:bottom w:w="0" w:type="dxa"/>
                    <w:right w:w="51" w:type="dxa"/>
                  </w:tcMar>
                  <w:vAlign w:val="center"/>
                </w:tcPr>
                <w:p w14:paraId="3FA7E07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p>
              </w:tc>
              <w:tc>
                <w:tcPr>
                  <w:tcW w:w="2403" w:type="pct"/>
                  <w:tcBorders>
                    <w:tl2br w:val="nil"/>
                    <w:tr2bl w:val="nil"/>
                  </w:tcBorders>
                  <w:noWrap w:val="0"/>
                  <w:tcMar>
                    <w:top w:w="0" w:type="dxa"/>
                    <w:left w:w="51" w:type="dxa"/>
                    <w:bottom w:w="0" w:type="dxa"/>
                    <w:right w:w="51" w:type="dxa"/>
                  </w:tcMar>
                  <w:vAlign w:val="center"/>
                </w:tcPr>
                <w:p w14:paraId="35182369">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cs="Times New Roman"/>
                      <w:color w:val="auto"/>
                      <w:szCs w:val="21"/>
                      <w:highlight w:val="none"/>
                      <w:u w:val="none"/>
                    </w:rPr>
                  </w:pPr>
                  <w:r>
                    <w:rPr>
                      <w:rFonts w:hint="default" w:ascii="Times New Roman" w:hAnsi="Times New Roman" w:cs="Times New Roman"/>
                      <w:color w:val="auto"/>
                      <w:szCs w:val="21"/>
                      <w:highlight w:val="none"/>
                      <w:u w:val="none"/>
                    </w:rPr>
                    <w:t>禁止入驻低于国家二级清洁生产标准要求的建设项目。</w:t>
                  </w:r>
                </w:p>
              </w:tc>
              <w:tc>
                <w:tcPr>
                  <w:tcW w:w="1550" w:type="pct"/>
                  <w:tcBorders>
                    <w:tl2br w:val="nil"/>
                    <w:tr2bl w:val="nil"/>
                  </w:tcBorders>
                  <w:noWrap w:val="0"/>
                  <w:tcMar>
                    <w:top w:w="0" w:type="dxa"/>
                    <w:left w:w="51" w:type="dxa"/>
                    <w:bottom w:w="0" w:type="dxa"/>
                    <w:right w:w="51" w:type="dxa"/>
                  </w:tcMar>
                  <w:vAlign w:val="center"/>
                </w:tcPr>
                <w:p w14:paraId="7CDEAD3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eastAsia" w:ascii="Times New Roman" w:hAnsi="Times New Roman" w:eastAsia="宋体" w:cs="Times New Roman"/>
                      <w:color w:val="auto"/>
                      <w:kern w:val="0"/>
                      <w:szCs w:val="21"/>
                      <w:highlight w:val="none"/>
                      <w:u w:val="none"/>
                      <w:lang w:eastAsia="zh-CN"/>
                    </w:rPr>
                  </w:pPr>
                  <w:r>
                    <w:rPr>
                      <w:rFonts w:hint="eastAsia" w:ascii="Times New Roman" w:hAnsi="Times New Roman" w:cs="Times New Roman"/>
                      <w:color w:val="auto"/>
                      <w:kern w:val="0"/>
                      <w:szCs w:val="21"/>
                      <w:highlight w:val="none"/>
                      <w:u w:val="none"/>
                      <w:lang w:eastAsia="zh-CN"/>
                    </w:rPr>
                    <w:t>本项目严格按照国际清洁生产标准要求建设。</w:t>
                  </w:r>
                </w:p>
              </w:tc>
              <w:tc>
                <w:tcPr>
                  <w:tcW w:w="594" w:type="pct"/>
                  <w:tcBorders>
                    <w:tl2br w:val="nil"/>
                    <w:tr2bl w:val="nil"/>
                  </w:tcBorders>
                  <w:noWrap w:val="0"/>
                  <w:tcMar>
                    <w:top w:w="0" w:type="dxa"/>
                    <w:left w:w="51" w:type="dxa"/>
                    <w:bottom w:w="0" w:type="dxa"/>
                    <w:right w:w="51" w:type="dxa"/>
                  </w:tcMar>
                  <w:vAlign w:val="center"/>
                </w:tcPr>
                <w:p w14:paraId="07070FF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color w:val="auto"/>
                      <w:kern w:val="0"/>
                      <w:szCs w:val="21"/>
                      <w:highlight w:val="none"/>
                      <w:u w:val="none"/>
                      <w:lang w:val="en-US" w:eastAsia="zh-CN"/>
                    </w:rPr>
                    <w:t>符合</w:t>
                  </w:r>
                </w:p>
              </w:tc>
            </w:tr>
            <w:tr w14:paraId="46C336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vMerge w:val="continue"/>
                  <w:tcBorders>
                    <w:tl2br w:val="nil"/>
                    <w:tr2bl w:val="nil"/>
                  </w:tcBorders>
                  <w:noWrap w:val="0"/>
                  <w:tcMar>
                    <w:top w:w="0" w:type="dxa"/>
                    <w:left w:w="51" w:type="dxa"/>
                    <w:bottom w:w="0" w:type="dxa"/>
                    <w:right w:w="51" w:type="dxa"/>
                  </w:tcMar>
                  <w:vAlign w:val="center"/>
                </w:tcPr>
                <w:p w14:paraId="0ACF529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p>
              </w:tc>
              <w:tc>
                <w:tcPr>
                  <w:tcW w:w="2403" w:type="pct"/>
                  <w:tcBorders>
                    <w:tl2br w:val="nil"/>
                    <w:tr2bl w:val="nil"/>
                  </w:tcBorders>
                  <w:noWrap w:val="0"/>
                  <w:tcMar>
                    <w:top w:w="0" w:type="dxa"/>
                    <w:left w:w="51" w:type="dxa"/>
                    <w:bottom w:w="0" w:type="dxa"/>
                    <w:right w:w="51" w:type="dxa"/>
                  </w:tcMar>
                  <w:vAlign w:val="center"/>
                </w:tcPr>
                <w:p w14:paraId="31C7960E">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cs="Times New Roman"/>
                      <w:color w:val="auto"/>
                      <w:szCs w:val="21"/>
                      <w:highlight w:val="none"/>
                      <w:u w:val="none"/>
                    </w:rPr>
                  </w:pPr>
                  <w:r>
                    <w:rPr>
                      <w:rFonts w:hint="default" w:ascii="Times New Roman" w:hAnsi="Times New Roman" w:cs="Times New Roman"/>
                      <w:color w:val="auto"/>
                      <w:szCs w:val="21"/>
                      <w:highlight w:val="none"/>
                      <w:u w:val="none"/>
                    </w:rPr>
                    <w:t>禁止污染严重，破坏自然生态和损害人体健康，公众反对意愿强烈的项目。</w:t>
                  </w:r>
                </w:p>
              </w:tc>
              <w:tc>
                <w:tcPr>
                  <w:tcW w:w="1550" w:type="pct"/>
                  <w:tcBorders>
                    <w:tl2br w:val="nil"/>
                    <w:tr2bl w:val="nil"/>
                  </w:tcBorders>
                  <w:noWrap w:val="0"/>
                  <w:tcMar>
                    <w:top w:w="0" w:type="dxa"/>
                    <w:left w:w="51" w:type="dxa"/>
                    <w:bottom w:w="0" w:type="dxa"/>
                    <w:right w:w="51" w:type="dxa"/>
                  </w:tcMar>
                  <w:vAlign w:val="center"/>
                </w:tcPr>
                <w:p w14:paraId="539B49F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color w:val="auto"/>
                      <w:szCs w:val="21"/>
                      <w:highlight w:val="none"/>
                      <w:u w:val="none"/>
                    </w:rPr>
                    <w:t>本项目污染较小，对自然生态和人体健康影响较小。</w:t>
                  </w:r>
                </w:p>
              </w:tc>
              <w:tc>
                <w:tcPr>
                  <w:tcW w:w="594" w:type="pct"/>
                  <w:tcBorders>
                    <w:tl2br w:val="nil"/>
                    <w:tr2bl w:val="nil"/>
                  </w:tcBorders>
                  <w:noWrap w:val="0"/>
                  <w:tcMar>
                    <w:top w:w="0" w:type="dxa"/>
                    <w:left w:w="51" w:type="dxa"/>
                    <w:bottom w:w="0" w:type="dxa"/>
                    <w:right w:w="51" w:type="dxa"/>
                  </w:tcMar>
                  <w:vAlign w:val="center"/>
                </w:tcPr>
                <w:p w14:paraId="032944D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color w:val="auto"/>
                      <w:kern w:val="0"/>
                      <w:szCs w:val="21"/>
                      <w:highlight w:val="none"/>
                      <w:u w:val="none"/>
                    </w:rPr>
                    <w:t>符合</w:t>
                  </w:r>
                </w:p>
              </w:tc>
            </w:tr>
            <w:tr w14:paraId="131F89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vMerge w:val="restart"/>
                  <w:tcBorders>
                    <w:tl2br w:val="nil"/>
                    <w:tr2bl w:val="nil"/>
                  </w:tcBorders>
                  <w:noWrap w:val="0"/>
                  <w:tcMar>
                    <w:top w:w="0" w:type="dxa"/>
                    <w:left w:w="51" w:type="dxa"/>
                    <w:bottom w:w="0" w:type="dxa"/>
                    <w:right w:w="51" w:type="dxa"/>
                  </w:tcMar>
                  <w:vAlign w:val="center"/>
                </w:tcPr>
                <w:p w14:paraId="5115973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color w:val="auto"/>
                      <w:kern w:val="0"/>
                      <w:szCs w:val="21"/>
                      <w:highlight w:val="none"/>
                      <w:u w:val="none"/>
                    </w:rPr>
                    <w:t>医药行业</w:t>
                  </w:r>
                </w:p>
              </w:tc>
              <w:tc>
                <w:tcPr>
                  <w:tcW w:w="2403" w:type="pct"/>
                  <w:tcBorders>
                    <w:tl2br w:val="nil"/>
                    <w:tr2bl w:val="nil"/>
                  </w:tcBorders>
                  <w:noWrap w:val="0"/>
                  <w:tcMar>
                    <w:top w:w="0" w:type="dxa"/>
                    <w:left w:w="51" w:type="dxa"/>
                    <w:bottom w:w="0" w:type="dxa"/>
                    <w:right w:w="51" w:type="dxa"/>
                  </w:tcMar>
                  <w:vAlign w:val="center"/>
                </w:tcPr>
                <w:p w14:paraId="7D730CE3">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eastAsia" w:ascii="Times New Roman" w:hAnsi="Times New Roman" w:eastAsia="宋体" w:cs="Times New Roman"/>
                      <w:color w:val="auto"/>
                      <w:szCs w:val="21"/>
                      <w:highlight w:val="none"/>
                      <w:u w:val="none"/>
                      <w:lang w:eastAsia="zh-CN"/>
                    </w:rPr>
                  </w:pPr>
                  <w:r>
                    <w:rPr>
                      <w:rFonts w:hint="default" w:ascii="Times New Roman" w:hAnsi="Times New Roman" w:cs="Times New Roman"/>
                      <w:color w:val="auto"/>
                      <w:szCs w:val="21"/>
                      <w:highlight w:val="none"/>
                      <w:u w:val="none"/>
                    </w:rPr>
                    <w:t>禁止入驻呋喃唑酮、氢化可的松、盐酸赛庚啶等排水量较大的化学合成类制药项目</w:t>
                  </w:r>
                  <w:r>
                    <w:rPr>
                      <w:rFonts w:hint="eastAsia" w:ascii="Times New Roman" w:hAnsi="Times New Roman" w:cs="Times New Roman"/>
                      <w:color w:val="auto"/>
                      <w:szCs w:val="21"/>
                      <w:highlight w:val="none"/>
                      <w:u w:val="none"/>
                      <w:lang w:eastAsia="zh-CN"/>
                    </w:rPr>
                    <w:t>。</w:t>
                  </w:r>
                </w:p>
              </w:tc>
              <w:tc>
                <w:tcPr>
                  <w:tcW w:w="1550" w:type="pct"/>
                  <w:vMerge w:val="restart"/>
                  <w:tcBorders>
                    <w:tl2br w:val="nil"/>
                    <w:tr2bl w:val="nil"/>
                  </w:tcBorders>
                  <w:noWrap w:val="0"/>
                  <w:tcMar>
                    <w:top w:w="0" w:type="dxa"/>
                    <w:left w:w="51" w:type="dxa"/>
                    <w:bottom w:w="0" w:type="dxa"/>
                    <w:right w:w="51" w:type="dxa"/>
                  </w:tcMar>
                  <w:vAlign w:val="center"/>
                </w:tcPr>
                <w:p w14:paraId="164A719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bCs/>
                      <w:color w:val="auto"/>
                      <w:kern w:val="0"/>
                      <w:szCs w:val="21"/>
                      <w:highlight w:val="none"/>
                      <w:u w:val="none"/>
                    </w:rPr>
                    <w:t>不属于医药行业。</w:t>
                  </w:r>
                </w:p>
              </w:tc>
              <w:tc>
                <w:tcPr>
                  <w:tcW w:w="594" w:type="pct"/>
                  <w:vMerge w:val="restart"/>
                  <w:tcBorders>
                    <w:tl2br w:val="nil"/>
                    <w:tr2bl w:val="nil"/>
                  </w:tcBorders>
                  <w:noWrap w:val="0"/>
                  <w:tcMar>
                    <w:top w:w="0" w:type="dxa"/>
                    <w:left w:w="51" w:type="dxa"/>
                    <w:bottom w:w="0" w:type="dxa"/>
                    <w:right w:w="51" w:type="dxa"/>
                  </w:tcMar>
                  <w:vAlign w:val="center"/>
                </w:tcPr>
                <w:p w14:paraId="7A0AD76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Cs w:val="21"/>
                      <w:highlight w:val="none"/>
                      <w:u w:val="none"/>
                      <w:lang w:eastAsia="zh-CN"/>
                    </w:rPr>
                  </w:pPr>
                  <w:r>
                    <w:rPr>
                      <w:rFonts w:hint="default" w:ascii="Times New Roman" w:hAnsi="Times New Roman" w:cs="Times New Roman"/>
                      <w:color w:val="auto"/>
                      <w:kern w:val="0"/>
                      <w:szCs w:val="21"/>
                      <w:highlight w:val="none"/>
                      <w:u w:val="none"/>
                      <w:lang w:val="en-US" w:eastAsia="zh-CN"/>
                    </w:rPr>
                    <w:t>不涉及</w:t>
                  </w:r>
                </w:p>
              </w:tc>
            </w:tr>
            <w:tr w14:paraId="0AA6B3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vMerge w:val="continue"/>
                  <w:tcBorders>
                    <w:tl2br w:val="nil"/>
                    <w:tr2bl w:val="nil"/>
                  </w:tcBorders>
                  <w:noWrap w:val="0"/>
                  <w:tcMar>
                    <w:top w:w="0" w:type="dxa"/>
                    <w:left w:w="51" w:type="dxa"/>
                    <w:bottom w:w="0" w:type="dxa"/>
                    <w:right w:w="51" w:type="dxa"/>
                  </w:tcMar>
                  <w:vAlign w:val="center"/>
                </w:tcPr>
                <w:p w14:paraId="24C099D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p>
              </w:tc>
              <w:tc>
                <w:tcPr>
                  <w:tcW w:w="2403" w:type="pct"/>
                  <w:tcBorders>
                    <w:tl2br w:val="nil"/>
                    <w:tr2bl w:val="nil"/>
                  </w:tcBorders>
                  <w:noWrap w:val="0"/>
                  <w:tcMar>
                    <w:top w:w="0" w:type="dxa"/>
                    <w:left w:w="51" w:type="dxa"/>
                    <w:bottom w:w="0" w:type="dxa"/>
                    <w:right w:w="51" w:type="dxa"/>
                  </w:tcMar>
                  <w:vAlign w:val="center"/>
                </w:tcPr>
                <w:p w14:paraId="061CAFBF">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eastAsia" w:ascii="Times New Roman" w:hAnsi="Times New Roman" w:eastAsia="宋体" w:cs="Times New Roman"/>
                      <w:color w:val="auto"/>
                      <w:szCs w:val="21"/>
                      <w:highlight w:val="none"/>
                      <w:u w:val="none"/>
                      <w:lang w:eastAsia="zh-CN"/>
                    </w:rPr>
                  </w:pPr>
                  <w:r>
                    <w:rPr>
                      <w:rFonts w:hint="default" w:ascii="Times New Roman" w:hAnsi="Times New Roman" w:cs="Times New Roman"/>
                      <w:color w:val="auto"/>
                      <w:szCs w:val="21"/>
                      <w:highlight w:val="none"/>
                      <w:u w:val="none"/>
                    </w:rPr>
                    <w:t>禁止入驻氨基糖苷类抗生素、多肽类抗生素、β-内酰胺类抗生素、洁霉素、阿霉素、利福霉素等排水量较大的发酵类制药项目</w:t>
                  </w:r>
                  <w:r>
                    <w:rPr>
                      <w:rFonts w:hint="eastAsia" w:ascii="Times New Roman" w:hAnsi="Times New Roman" w:cs="Times New Roman"/>
                      <w:color w:val="auto"/>
                      <w:szCs w:val="21"/>
                      <w:highlight w:val="none"/>
                      <w:u w:val="none"/>
                      <w:lang w:eastAsia="zh-CN"/>
                    </w:rPr>
                    <w:t>。</w:t>
                  </w:r>
                </w:p>
              </w:tc>
              <w:tc>
                <w:tcPr>
                  <w:tcW w:w="1550" w:type="pct"/>
                  <w:vMerge w:val="continue"/>
                  <w:tcBorders>
                    <w:tl2br w:val="nil"/>
                    <w:tr2bl w:val="nil"/>
                  </w:tcBorders>
                  <w:noWrap w:val="0"/>
                  <w:tcMar>
                    <w:top w:w="0" w:type="dxa"/>
                    <w:left w:w="51" w:type="dxa"/>
                    <w:bottom w:w="0" w:type="dxa"/>
                    <w:right w:w="51" w:type="dxa"/>
                  </w:tcMar>
                  <w:vAlign w:val="center"/>
                </w:tcPr>
                <w:p w14:paraId="10220DF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kern w:val="0"/>
                      <w:szCs w:val="21"/>
                      <w:highlight w:val="none"/>
                      <w:u w:val="none"/>
                    </w:rPr>
                  </w:pPr>
                </w:p>
              </w:tc>
              <w:tc>
                <w:tcPr>
                  <w:tcW w:w="594" w:type="pct"/>
                  <w:vMerge w:val="continue"/>
                  <w:tcBorders>
                    <w:tl2br w:val="nil"/>
                    <w:tr2bl w:val="nil"/>
                  </w:tcBorders>
                  <w:noWrap w:val="0"/>
                  <w:tcMar>
                    <w:top w:w="0" w:type="dxa"/>
                    <w:left w:w="51" w:type="dxa"/>
                    <w:bottom w:w="0" w:type="dxa"/>
                    <w:right w:w="51" w:type="dxa"/>
                  </w:tcMar>
                  <w:vAlign w:val="center"/>
                </w:tcPr>
                <w:p w14:paraId="1BED6B5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kern w:val="0"/>
                      <w:szCs w:val="21"/>
                      <w:highlight w:val="none"/>
                      <w:u w:val="none"/>
                    </w:rPr>
                  </w:pPr>
                </w:p>
              </w:tc>
            </w:tr>
            <w:tr w14:paraId="014C9C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vMerge w:val="continue"/>
                  <w:tcBorders>
                    <w:tl2br w:val="nil"/>
                    <w:tr2bl w:val="nil"/>
                  </w:tcBorders>
                  <w:noWrap w:val="0"/>
                  <w:tcMar>
                    <w:top w:w="0" w:type="dxa"/>
                    <w:left w:w="51" w:type="dxa"/>
                    <w:bottom w:w="0" w:type="dxa"/>
                    <w:right w:w="51" w:type="dxa"/>
                  </w:tcMar>
                  <w:vAlign w:val="center"/>
                </w:tcPr>
                <w:p w14:paraId="3BD2007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p>
              </w:tc>
              <w:tc>
                <w:tcPr>
                  <w:tcW w:w="2403" w:type="pct"/>
                  <w:tcBorders>
                    <w:tl2br w:val="nil"/>
                    <w:tr2bl w:val="nil"/>
                  </w:tcBorders>
                  <w:noWrap w:val="0"/>
                  <w:tcMar>
                    <w:top w:w="0" w:type="dxa"/>
                    <w:left w:w="51" w:type="dxa"/>
                    <w:bottom w:w="0" w:type="dxa"/>
                    <w:right w:w="51" w:type="dxa"/>
                  </w:tcMar>
                  <w:vAlign w:val="center"/>
                </w:tcPr>
                <w:p w14:paraId="6F446CA5">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cs="Times New Roman"/>
                      <w:color w:val="auto"/>
                      <w:szCs w:val="21"/>
                      <w:highlight w:val="none"/>
                      <w:u w:val="none"/>
                    </w:rPr>
                  </w:pPr>
                  <w:r>
                    <w:rPr>
                      <w:rFonts w:hint="default" w:ascii="Times New Roman" w:hAnsi="Times New Roman" w:cs="Times New Roman"/>
                      <w:color w:val="auto"/>
                      <w:szCs w:val="21"/>
                      <w:highlight w:val="none"/>
                      <w:u w:val="none"/>
                    </w:rPr>
                    <w:t>禁止入驻采用重污染工艺的制药类项目，包括：</w:t>
                  </w:r>
                </w:p>
                <w:p w14:paraId="3A520C76">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eastAsia" w:ascii="Times New Roman" w:hAnsi="Times New Roman" w:eastAsia="宋体" w:cs="Times New Roman"/>
                      <w:color w:val="auto"/>
                      <w:szCs w:val="21"/>
                      <w:highlight w:val="none"/>
                      <w:u w:val="none"/>
                      <w:lang w:eastAsia="zh-CN"/>
                    </w:rPr>
                  </w:pPr>
                  <w:r>
                    <w:rPr>
                      <w:rFonts w:hint="default" w:ascii="Times New Roman" w:hAnsi="Times New Roman" w:cs="Times New Roman"/>
                      <w:color w:val="auto"/>
                      <w:szCs w:val="21"/>
                      <w:highlight w:val="none"/>
                      <w:u w:val="none"/>
                    </w:rPr>
                    <w:t>①禁止入驻采用化学法工艺生产阿莫西林的项目</w:t>
                  </w:r>
                  <w:r>
                    <w:rPr>
                      <w:rFonts w:hint="eastAsia" w:ascii="Times New Roman" w:hAnsi="Times New Roman" w:cs="Times New Roman"/>
                      <w:color w:val="auto"/>
                      <w:szCs w:val="21"/>
                      <w:highlight w:val="none"/>
                      <w:u w:val="none"/>
                      <w:lang w:eastAsia="zh-CN"/>
                    </w:rPr>
                    <w:t>；</w:t>
                  </w:r>
                </w:p>
                <w:p w14:paraId="51C6460F">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eastAsia" w:ascii="Times New Roman" w:hAnsi="Times New Roman" w:eastAsia="宋体" w:cs="Times New Roman"/>
                      <w:color w:val="auto"/>
                      <w:szCs w:val="21"/>
                      <w:highlight w:val="none"/>
                      <w:u w:val="none"/>
                      <w:lang w:eastAsia="zh-CN"/>
                    </w:rPr>
                  </w:pPr>
                  <w:r>
                    <w:rPr>
                      <w:rFonts w:hint="default" w:ascii="Times New Roman" w:hAnsi="Times New Roman" w:cs="Times New Roman"/>
                      <w:color w:val="auto"/>
                      <w:szCs w:val="21"/>
                      <w:highlight w:val="none"/>
                      <w:u w:val="none"/>
                    </w:rPr>
                    <w:t>②禁止入驻采用植物提取工艺生产盐酸小檗碱（盐磺酸黄连素）的项目</w:t>
                  </w:r>
                  <w:r>
                    <w:rPr>
                      <w:rFonts w:hint="eastAsia" w:ascii="Times New Roman" w:hAnsi="Times New Roman" w:cs="Times New Roman"/>
                      <w:color w:val="auto"/>
                      <w:szCs w:val="21"/>
                      <w:highlight w:val="none"/>
                      <w:u w:val="none"/>
                      <w:lang w:eastAsia="zh-CN"/>
                    </w:rPr>
                    <w:t>；</w:t>
                  </w:r>
                </w:p>
                <w:p w14:paraId="108058AB">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eastAsia" w:ascii="Times New Roman" w:hAnsi="Times New Roman" w:eastAsia="宋体" w:cs="Times New Roman"/>
                      <w:color w:val="auto"/>
                      <w:szCs w:val="21"/>
                      <w:highlight w:val="none"/>
                      <w:u w:val="none"/>
                      <w:lang w:eastAsia="zh-CN"/>
                    </w:rPr>
                  </w:pPr>
                  <w:r>
                    <w:rPr>
                      <w:rFonts w:hint="default" w:ascii="Times New Roman" w:hAnsi="Times New Roman" w:cs="Times New Roman"/>
                      <w:color w:val="auto"/>
                      <w:szCs w:val="21"/>
                      <w:highlight w:val="none"/>
                      <w:u w:val="none"/>
                    </w:rPr>
                    <w:t>③禁止入驻采用钠硼氢工艺生产泛昔洛韦中间体酰化物的项目</w:t>
                  </w:r>
                  <w:r>
                    <w:rPr>
                      <w:rFonts w:hint="eastAsia" w:ascii="Times New Roman" w:hAnsi="Times New Roman" w:cs="Times New Roman"/>
                      <w:color w:val="auto"/>
                      <w:szCs w:val="21"/>
                      <w:highlight w:val="none"/>
                      <w:u w:val="none"/>
                      <w:lang w:eastAsia="zh-CN"/>
                    </w:rPr>
                    <w:t>；</w:t>
                  </w:r>
                </w:p>
                <w:p w14:paraId="36EB0177">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eastAsia" w:ascii="Times New Roman" w:hAnsi="Times New Roman" w:eastAsia="宋体" w:cs="Times New Roman"/>
                      <w:color w:val="auto"/>
                      <w:szCs w:val="21"/>
                      <w:highlight w:val="none"/>
                      <w:u w:val="none"/>
                      <w:lang w:eastAsia="zh-CN"/>
                    </w:rPr>
                  </w:pPr>
                  <w:r>
                    <w:rPr>
                      <w:rFonts w:hint="default" w:ascii="Times New Roman" w:hAnsi="Times New Roman" w:cs="Times New Roman"/>
                      <w:color w:val="auto"/>
                      <w:szCs w:val="21"/>
                      <w:highlight w:val="none"/>
                      <w:u w:val="none"/>
                    </w:rPr>
                    <w:t>④禁止入驻采用甲醛氧化工艺生产氨基比林的项目</w:t>
                  </w:r>
                  <w:r>
                    <w:rPr>
                      <w:rFonts w:hint="eastAsia" w:ascii="Times New Roman" w:hAnsi="Times New Roman" w:cs="Times New Roman"/>
                      <w:color w:val="auto"/>
                      <w:szCs w:val="21"/>
                      <w:highlight w:val="none"/>
                      <w:u w:val="none"/>
                      <w:lang w:eastAsia="zh-CN"/>
                    </w:rPr>
                    <w:t>；</w:t>
                  </w:r>
                </w:p>
                <w:p w14:paraId="26F028A9">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eastAsia" w:ascii="Times New Roman" w:hAnsi="Times New Roman" w:eastAsia="宋体" w:cs="Times New Roman"/>
                      <w:color w:val="auto"/>
                      <w:szCs w:val="21"/>
                      <w:highlight w:val="none"/>
                      <w:u w:val="none"/>
                      <w:lang w:eastAsia="zh-CN"/>
                    </w:rPr>
                  </w:pPr>
                  <w:r>
                    <w:rPr>
                      <w:rFonts w:hint="default" w:ascii="Times New Roman" w:hAnsi="Times New Roman" w:cs="Times New Roman"/>
                      <w:color w:val="auto"/>
                      <w:szCs w:val="21"/>
                      <w:highlight w:val="none"/>
                      <w:u w:val="none"/>
                    </w:rPr>
                    <w:t>⑤禁止入驻采用丙炔醇法工艺生产磺胺嘧啶的项目</w:t>
                  </w:r>
                  <w:r>
                    <w:rPr>
                      <w:rFonts w:hint="eastAsia" w:ascii="Times New Roman" w:hAnsi="Times New Roman" w:cs="Times New Roman"/>
                      <w:color w:val="auto"/>
                      <w:szCs w:val="21"/>
                      <w:highlight w:val="none"/>
                      <w:u w:val="none"/>
                      <w:lang w:eastAsia="zh-CN"/>
                    </w:rPr>
                    <w:t>；</w:t>
                  </w:r>
                </w:p>
                <w:p w14:paraId="0757BB8F">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eastAsia" w:ascii="Times New Roman" w:hAnsi="Times New Roman" w:eastAsia="宋体" w:cs="Times New Roman"/>
                      <w:color w:val="auto"/>
                      <w:szCs w:val="21"/>
                      <w:highlight w:val="none"/>
                      <w:u w:val="none"/>
                      <w:lang w:eastAsia="zh-CN"/>
                    </w:rPr>
                  </w:pPr>
                  <w:r>
                    <w:rPr>
                      <w:rFonts w:hint="default" w:ascii="Times New Roman" w:hAnsi="Times New Roman" w:cs="Times New Roman"/>
                      <w:color w:val="auto"/>
                      <w:szCs w:val="21"/>
                      <w:highlight w:val="none"/>
                      <w:u w:val="none"/>
                    </w:rPr>
                    <w:t>⑥禁止入驻采用传统工艺生产叶酸的项目</w:t>
                  </w:r>
                  <w:r>
                    <w:rPr>
                      <w:rFonts w:hint="eastAsia" w:ascii="Times New Roman" w:hAnsi="Times New Roman" w:cs="Times New Roman"/>
                      <w:color w:val="auto"/>
                      <w:szCs w:val="21"/>
                      <w:highlight w:val="none"/>
                      <w:u w:val="none"/>
                      <w:lang w:eastAsia="zh-CN"/>
                    </w:rPr>
                    <w:t>；</w:t>
                  </w:r>
                </w:p>
                <w:p w14:paraId="6975A769">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eastAsia" w:ascii="Times New Roman" w:hAnsi="Times New Roman" w:eastAsia="宋体" w:cs="Times New Roman"/>
                      <w:color w:val="auto"/>
                      <w:szCs w:val="21"/>
                      <w:highlight w:val="none"/>
                      <w:u w:val="none"/>
                      <w:lang w:eastAsia="zh-CN"/>
                    </w:rPr>
                  </w:pPr>
                  <w:r>
                    <w:rPr>
                      <w:rFonts w:hint="default" w:ascii="Times New Roman" w:hAnsi="Times New Roman" w:cs="Times New Roman"/>
                      <w:color w:val="auto"/>
                      <w:szCs w:val="21"/>
                      <w:highlight w:val="none"/>
                      <w:u w:val="none"/>
                    </w:rPr>
                    <w:t>⑦禁止入驻采用溶剂法工艺生产中药橡胶膏剂的项目</w:t>
                  </w:r>
                  <w:r>
                    <w:rPr>
                      <w:rFonts w:hint="eastAsia" w:ascii="Times New Roman" w:hAnsi="Times New Roman" w:cs="Times New Roman"/>
                      <w:color w:val="auto"/>
                      <w:szCs w:val="21"/>
                      <w:highlight w:val="none"/>
                      <w:u w:val="none"/>
                      <w:lang w:eastAsia="zh-CN"/>
                    </w:rPr>
                    <w:t>。</w:t>
                  </w:r>
                </w:p>
              </w:tc>
              <w:tc>
                <w:tcPr>
                  <w:tcW w:w="1550" w:type="pct"/>
                  <w:vMerge w:val="continue"/>
                  <w:tcBorders>
                    <w:tl2br w:val="nil"/>
                    <w:tr2bl w:val="nil"/>
                  </w:tcBorders>
                  <w:noWrap w:val="0"/>
                  <w:tcMar>
                    <w:top w:w="0" w:type="dxa"/>
                    <w:left w:w="51" w:type="dxa"/>
                    <w:bottom w:w="0" w:type="dxa"/>
                    <w:right w:w="51" w:type="dxa"/>
                  </w:tcMar>
                  <w:vAlign w:val="center"/>
                </w:tcPr>
                <w:p w14:paraId="7F8CE63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kern w:val="0"/>
                      <w:szCs w:val="21"/>
                      <w:highlight w:val="none"/>
                      <w:u w:val="none"/>
                    </w:rPr>
                  </w:pPr>
                </w:p>
              </w:tc>
              <w:tc>
                <w:tcPr>
                  <w:tcW w:w="594" w:type="pct"/>
                  <w:vMerge w:val="continue"/>
                  <w:tcBorders>
                    <w:tl2br w:val="nil"/>
                    <w:tr2bl w:val="nil"/>
                  </w:tcBorders>
                  <w:noWrap w:val="0"/>
                  <w:tcMar>
                    <w:top w:w="0" w:type="dxa"/>
                    <w:left w:w="51" w:type="dxa"/>
                    <w:bottom w:w="0" w:type="dxa"/>
                    <w:right w:w="51" w:type="dxa"/>
                  </w:tcMar>
                  <w:vAlign w:val="center"/>
                </w:tcPr>
                <w:p w14:paraId="336DCC2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kern w:val="0"/>
                      <w:szCs w:val="21"/>
                      <w:highlight w:val="none"/>
                      <w:u w:val="none"/>
                    </w:rPr>
                  </w:pPr>
                </w:p>
              </w:tc>
            </w:tr>
            <w:tr w14:paraId="320FA6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tcBorders>
                    <w:tl2br w:val="nil"/>
                    <w:tr2bl w:val="nil"/>
                  </w:tcBorders>
                  <w:noWrap w:val="0"/>
                  <w:tcMar>
                    <w:top w:w="0" w:type="dxa"/>
                    <w:left w:w="51" w:type="dxa"/>
                    <w:bottom w:w="0" w:type="dxa"/>
                    <w:right w:w="51" w:type="dxa"/>
                  </w:tcMar>
                  <w:vAlign w:val="center"/>
                </w:tcPr>
                <w:p w14:paraId="5322203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color w:val="auto"/>
                      <w:kern w:val="0"/>
                      <w:szCs w:val="21"/>
                      <w:highlight w:val="none"/>
                      <w:u w:val="none"/>
                    </w:rPr>
                    <w:t>食品行业</w:t>
                  </w:r>
                </w:p>
              </w:tc>
              <w:tc>
                <w:tcPr>
                  <w:tcW w:w="2403" w:type="pct"/>
                  <w:tcBorders>
                    <w:tl2br w:val="nil"/>
                    <w:tr2bl w:val="nil"/>
                  </w:tcBorders>
                  <w:noWrap w:val="0"/>
                  <w:tcMar>
                    <w:top w:w="0" w:type="dxa"/>
                    <w:left w:w="51" w:type="dxa"/>
                    <w:bottom w:w="0" w:type="dxa"/>
                    <w:right w:w="51" w:type="dxa"/>
                  </w:tcMar>
                  <w:vAlign w:val="center"/>
                </w:tcPr>
                <w:p w14:paraId="28C7CF53">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cs="Times New Roman"/>
                      <w:color w:val="auto"/>
                      <w:szCs w:val="21"/>
                      <w:highlight w:val="none"/>
                      <w:u w:val="none"/>
                    </w:rPr>
                  </w:pPr>
                  <w:r>
                    <w:rPr>
                      <w:rFonts w:hint="default" w:ascii="Times New Roman" w:hAnsi="Times New Roman" w:cs="Times New Roman"/>
                      <w:color w:val="auto"/>
                      <w:szCs w:val="21"/>
                      <w:highlight w:val="none"/>
                      <w:u w:val="none"/>
                    </w:rPr>
                    <w:t>禁止入驻采用重污染工艺的食品类项目：</w:t>
                  </w:r>
                </w:p>
                <w:p w14:paraId="26E5BF18">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eastAsia" w:ascii="Times New Roman" w:hAnsi="Times New Roman" w:eastAsia="宋体" w:cs="Times New Roman"/>
                      <w:color w:val="auto"/>
                      <w:szCs w:val="21"/>
                      <w:highlight w:val="none"/>
                      <w:u w:val="none"/>
                      <w:lang w:eastAsia="zh-CN"/>
                    </w:rPr>
                  </w:pPr>
                  <w:r>
                    <w:rPr>
                      <w:rFonts w:hint="default" w:ascii="Times New Roman" w:hAnsi="Times New Roman" w:cs="Times New Roman"/>
                      <w:color w:val="auto"/>
                      <w:szCs w:val="21"/>
                      <w:highlight w:val="none"/>
                      <w:u w:val="none"/>
                    </w:rPr>
                    <w:t>①禁止入驻采用毛发水解法工艺生产小品种氨基酸的项目</w:t>
                  </w:r>
                  <w:r>
                    <w:rPr>
                      <w:rFonts w:hint="eastAsia" w:ascii="Times New Roman" w:hAnsi="Times New Roman" w:cs="Times New Roman"/>
                      <w:color w:val="auto"/>
                      <w:szCs w:val="21"/>
                      <w:highlight w:val="none"/>
                      <w:u w:val="none"/>
                      <w:lang w:eastAsia="zh-CN"/>
                    </w:rPr>
                    <w:t>；</w:t>
                  </w:r>
                </w:p>
                <w:p w14:paraId="6BE207C7">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eastAsia" w:ascii="Times New Roman" w:hAnsi="Times New Roman" w:eastAsia="宋体" w:cs="Times New Roman"/>
                      <w:color w:val="auto"/>
                      <w:szCs w:val="21"/>
                      <w:highlight w:val="none"/>
                      <w:u w:val="none"/>
                      <w:lang w:eastAsia="zh-CN"/>
                    </w:rPr>
                  </w:pPr>
                  <w:r>
                    <w:rPr>
                      <w:rFonts w:hint="default" w:ascii="Times New Roman" w:hAnsi="Times New Roman" w:cs="Times New Roman"/>
                      <w:color w:val="auto"/>
                      <w:szCs w:val="21"/>
                      <w:highlight w:val="none"/>
                      <w:u w:val="none"/>
                    </w:rPr>
                    <w:t>②禁止入驻采用一次浓缩结晶工艺生产衣康酸的项目</w:t>
                  </w:r>
                  <w:r>
                    <w:rPr>
                      <w:rFonts w:hint="eastAsia" w:ascii="Times New Roman" w:hAnsi="Times New Roman" w:cs="Times New Roman"/>
                      <w:color w:val="auto"/>
                      <w:szCs w:val="21"/>
                      <w:highlight w:val="none"/>
                      <w:u w:val="none"/>
                      <w:lang w:eastAsia="zh-CN"/>
                    </w:rPr>
                    <w:t>。</w:t>
                  </w:r>
                </w:p>
              </w:tc>
              <w:tc>
                <w:tcPr>
                  <w:tcW w:w="1550" w:type="pct"/>
                  <w:tcBorders>
                    <w:tl2br w:val="nil"/>
                    <w:tr2bl w:val="nil"/>
                  </w:tcBorders>
                  <w:noWrap w:val="0"/>
                  <w:tcMar>
                    <w:top w:w="0" w:type="dxa"/>
                    <w:left w:w="51" w:type="dxa"/>
                    <w:bottom w:w="0" w:type="dxa"/>
                    <w:right w:w="51" w:type="dxa"/>
                  </w:tcMar>
                  <w:vAlign w:val="center"/>
                </w:tcPr>
                <w:p w14:paraId="6FD4268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Cs w:val="21"/>
                      <w:highlight w:val="none"/>
                      <w:u w:val="none"/>
                      <w:lang w:val="en-US" w:eastAsia="zh-CN"/>
                    </w:rPr>
                  </w:pPr>
                  <w:r>
                    <w:rPr>
                      <w:rFonts w:hint="default" w:ascii="Times New Roman" w:hAnsi="Times New Roman" w:eastAsia="宋体" w:cs="Times New Roman"/>
                      <w:color w:val="auto"/>
                      <w:kern w:val="0"/>
                      <w:szCs w:val="21"/>
                      <w:highlight w:val="none"/>
                      <w:u w:val="none"/>
                      <w:lang w:eastAsia="zh-CN"/>
                    </w:rPr>
                    <w:t>本项目不涉及。</w:t>
                  </w:r>
                </w:p>
              </w:tc>
              <w:tc>
                <w:tcPr>
                  <w:tcW w:w="594" w:type="pct"/>
                  <w:tcBorders>
                    <w:tl2br w:val="nil"/>
                    <w:tr2bl w:val="nil"/>
                  </w:tcBorders>
                  <w:noWrap w:val="0"/>
                  <w:tcMar>
                    <w:top w:w="0" w:type="dxa"/>
                    <w:left w:w="51" w:type="dxa"/>
                    <w:bottom w:w="0" w:type="dxa"/>
                    <w:right w:w="51" w:type="dxa"/>
                  </w:tcMar>
                  <w:vAlign w:val="center"/>
                </w:tcPr>
                <w:p w14:paraId="62E5E6B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color w:val="auto"/>
                      <w:kern w:val="0"/>
                      <w:szCs w:val="21"/>
                      <w:highlight w:val="none"/>
                      <w:u w:val="none"/>
                      <w:lang w:val="en-US" w:eastAsia="zh-CN"/>
                    </w:rPr>
                    <w:t>不涉及</w:t>
                  </w:r>
                </w:p>
              </w:tc>
            </w:tr>
            <w:tr w14:paraId="56324C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vMerge w:val="restart"/>
                  <w:tcBorders>
                    <w:tl2br w:val="nil"/>
                    <w:tr2bl w:val="nil"/>
                  </w:tcBorders>
                  <w:noWrap w:val="0"/>
                  <w:tcMar>
                    <w:top w:w="0" w:type="dxa"/>
                    <w:left w:w="51" w:type="dxa"/>
                    <w:bottom w:w="0" w:type="dxa"/>
                    <w:right w:w="51" w:type="dxa"/>
                  </w:tcMar>
                  <w:vAlign w:val="center"/>
                </w:tcPr>
                <w:p w14:paraId="113156F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color w:val="auto"/>
                      <w:kern w:val="0"/>
                      <w:szCs w:val="21"/>
                      <w:highlight w:val="none"/>
                      <w:u w:val="none"/>
                    </w:rPr>
                    <w:t>加工制造</w:t>
                  </w:r>
                </w:p>
              </w:tc>
              <w:tc>
                <w:tcPr>
                  <w:tcW w:w="2403" w:type="pct"/>
                  <w:tcBorders>
                    <w:tl2br w:val="nil"/>
                    <w:tr2bl w:val="nil"/>
                  </w:tcBorders>
                  <w:noWrap w:val="0"/>
                  <w:tcMar>
                    <w:top w:w="0" w:type="dxa"/>
                    <w:left w:w="51" w:type="dxa"/>
                    <w:bottom w:w="0" w:type="dxa"/>
                    <w:right w:w="51" w:type="dxa"/>
                  </w:tcMar>
                  <w:vAlign w:val="center"/>
                </w:tcPr>
                <w:p w14:paraId="5345CFA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szCs w:val="21"/>
                      <w:highlight w:val="none"/>
                      <w:u w:val="none"/>
                      <w:lang w:val="en"/>
                    </w:rPr>
                  </w:pPr>
                  <w:r>
                    <w:rPr>
                      <w:rFonts w:hint="default" w:ascii="Times New Roman" w:hAnsi="Times New Roman" w:cs="Times New Roman"/>
                      <w:color w:val="auto"/>
                      <w:szCs w:val="21"/>
                      <w:highlight w:val="none"/>
                      <w:u w:val="none"/>
                      <w:lang w:val="en"/>
                    </w:rPr>
                    <w:t>禁止入驻冶金、钢铁、铁合金等行业。已经入驻的应禁止其生产规模继续扩大。</w:t>
                  </w:r>
                </w:p>
              </w:tc>
              <w:tc>
                <w:tcPr>
                  <w:tcW w:w="1550" w:type="pct"/>
                  <w:vMerge w:val="restart"/>
                  <w:tcBorders>
                    <w:tl2br w:val="nil"/>
                    <w:tr2bl w:val="nil"/>
                  </w:tcBorders>
                  <w:noWrap w:val="0"/>
                  <w:tcMar>
                    <w:top w:w="0" w:type="dxa"/>
                    <w:left w:w="51" w:type="dxa"/>
                    <w:bottom w:w="0" w:type="dxa"/>
                    <w:right w:w="51" w:type="dxa"/>
                  </w:tcMar>
                  <w:vAlign w:val="center"/>
                </w:tcPr>
                <w:p w14:paraId="777852B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color w:val="auto"/>
                      <w:kern w:val="0"/>
                      <w:szCs w:val="21"/>
                      <w:highlight w:val="none"/>
                      <w:u w:val="none"/>
                      <w:lang w:eastAsia="zh-CN"/>
                    </w:rPr>
                    <w:t>本项目不涉及</w:t>
                  </w:r>
                  <w:r>
                    <w:rPr>
                      <w:rFonts w:hint="default" w:ascii="Times New Roman" w:hAnsi="Times New Roman" w:cs="Times New Roman"/>
                      <w:color w:val="auto"/>
                      <w:kern w:val="0"/>
                      <w:szCs w:val="21"/>
                      <w:highlight w:val="none"/>
                      <w:u w:val="none"/>
                    </w:rPr>
                    <w:t>。</w:t>
                  </w:r>
                </w:p>
              </w:tc>
              <w:tc>
                <w:tcPr>
                  <w:tcW w:w="594" w:type="pct"/>
                  <w:vMerge w:val="restart"/>
                  <w:tcBorders>
                    <w:tl2br w:val="nil"/>
                    <w:tr2bl w:val="nil"/>
                  </w:tcBorders>
                  <w:noWrap w:val="0"/>
                  <w:tcMar>
                    <w:top w:w="0" w:type="dxa"/>
                    <w:left w:w="51" w:type="dxa"/>
                    <w:bottom w:w="0" w:type="dxa"/>
                    <w:right w:w="51" w:type="dxa"/>
                  </w:tcMar>
                  <w:vAlign w:val="center"/>
                </w:tcPr>
                <w:p w14:paraId="284BD64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Cs w:val="21"/>
                      <w:highlight w:val="none"/>
                      <w:u w:val="none"/>
                      <w:lang w:eastAsia="zh-CN"/>
                    </w:rPr>
                  </w:pPr>
                  <w:r>
                    <w:rPr>
                      <w:rFonts w:hint="default" w:ascii="Times New Roman" w:hAnsi="Times New Roman" w:cs="Times New Roman"/>
                      <w:color w:val="auto"/>
                      <w:kern w:val="0"/>
                      <w:szCs w:val="21"/>
                      <w:highlight w:val="none"/>
                      <w:u w:val="none"/>
                      <w:lang w:eastAsia="zh-CN"/>
                    </w:rPr>
                    <w:t>不涉及</w:t>
                  </w:r>
                </w:p>
              </w:tc>
            </w:tr>
            <w:tr w14:paraId="067AC1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vMerge w:val="continue"/>
                  <w:tcBorders>
                    <w:tl2br w:val="nil"/>
                    <w:tr2bl w:val="nil"/>
                  </w:tcBorders>
                  <w:noWrap w:val="0"/>
                  <w:tcMar>
                    <w:top w:w="0" w:type="dxa"/>
                    <w:left w:w="51" w:type="dxa"/>
                    <w:bottom w:w="0" w:type="dxa"/>
                    <w:right w:w="51" w:type="dxa"/>
                  </w:tcMar>
                  <w:vAlign w:val="center"/>
                </w:tcPr>
                <w:p w14:paraId="4A17FA4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p>
              </w:tc>
              <w:tc>
                <w:tcPr>
                  <w:tcW w:w="2403" w:type="pct"/>
                  <w:tcBorders>
                    <w:tl2br w:val="nil"/>
                    <w:tr2bl w:val="nil"/>
                  </w:tcBorders>
                  <w:noWrap w:val="0"/>
                  <w:tcMar>
                    <w:top w:w="0" w:type="dxa"/>
                    <w:left w:w="51" w:type="dxa"/>
                    <w:bottom w:w="0" w:type="dxa"/>
                    <w:right w:w="51" w:type="dxa"/>
                  </w:tcMar>
                  <w:vAlign w:val="center"/>
                </w:tcPr>
                <w:p w14:paraId="0F84F00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szCs w:val="21"/>
                      <w:highlight w:val="none"/>
                      <w:u w:val="none"/>
                      <w:lang w:val="en"/>
                    </w:rPr>
                  </w:pPr>
                  <w:r>
                    <w:rPr>
                      <w:rFonts w:hint="default" w:ascii="Times New Roman" w:hAnsi="Times New Roman" w:cs="Times New Roman"/>
                      <w:color w:val="auto"/>
                      <w:szCs w:val="21"/>
                      <w:highlight w:val="none"/>
                      <w:u w:val="none"/>
                      <w:lang w:val="en"/>
                    </w:rPr>
                    <w:t>禁止入驻未达到《电镀行业清洁生产评价指标体系》（国家发改委、环保部、工信部公告2015年第25号）综合评价指数Ⅰ级要求的新建、扩建的电镀项目。</w:t>
                  </w:r>
                </w:p>
              </w:tc>
              <w:tc>
                <w:tcPr>
                  <w:tcW w:w="1550" w:type="pct"/>
                  <w:vMerge w:val="continue"/>
                  <w:tcBorders>
                    <w:tl2br w:val="nil"/>
                    <w:tr2bl w:val="nil"/>
                  </w:tcBorders>
                  <w:noWrap w:val="0"/>
                  <w:tcMar>
                    <w:top w:w="0" w:type="dxa"/>
                    <w:left w:w="51" w:type="dxa"/>
                    <w:bottom w:w="0" w:type="dxa"/>
                    <w:right w:w="51" w:type="dxa"/>
                  </w:tcMar>
                  <w:vAlign w:val="center"/>
                </w:tcPr>
                <w:p w14:paraId="7325240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kern w:val="0"/>
                      <w:szCs w:val="21"/>
                      <w:highlight w:val="none"/>
                      <w:u w:val="none"/>
                    </w:rPr>
                  </w:pPr>
                </w:p>
              </w:tc>
              <w:tc>
                <w:tcPr>
                  <w:tcW w:w="594" w:type="pct"/>
                  <w:vMerge w:val="continue"/>
                  <w:tcBorders>
                    <w:tl2br w:val="nil"/>
                    <w:tr2bl w:val="nil"/>
                  </w:tcBorders>
                  <w:noWrap w:val="0"/>
                  <w:tcMar>
                    <w:top w:w="0" w:type="dxa"/>
                    <w:left w:w="51" w:type="dxa"/>
                    <w:bottom w:w="0" w:type="dxa"/>
                    <w:right w:w="51" w:type="dxa"/>
                  </w:tcMar>
                  <w:vAlign w:val="center"/>
                </w:tcPr>
                <w:p w14:paraId="2D6044B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kern w:val="0"/>
                      <w:szCs w:val="21"/>
                      <w:highlight w:val="none"/>
                      <w:u w:val="none"/>
                    </w:rPr>
                  </w:pPr>
                </w:p>
              </w:tc>
            </w:tr>
            <w:tr w14:paraId="54F908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vMerge w:val="continue"/>
                  <w:tcBorders>
                    <w:tl2br w:val="nil"/>
                    <w:tr2bl w:val="nil"/>
                  </w:tcBorders>
                  <w:noWrap w:val="0"/>
                  <w:tcMar>
                    <w:top w:w="0" w:type="dxa"/>
                    <w:left w:w="51" w:type="dxa"/>
                    <w:bottom w:w="0" w:type="dxa"/>
                    <w:right w:w="51" w:type="dxa"/>
                  </w:tcMar>
                  <w:vAlign w:val="center"/>
                </w:tcPr>
                <w:p w14:paraId="2C96A56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p>
              </w:tc>
              <w:tc>
                <w:tcPr>
                  <w:tcW w:w="2403" w:type="pct"/>
                  <w:tcBorders>
                    <w:tl2br w:val="nil"/>
                    <w:tr2bl w:val="nil"/>
                  </w:tcBorders>
                  <w:noWrap w:val="0"/>
                  <w:tcMar>
                    <w:top w:w="0" w:type="dxa"/>
                    <w:left w:w="51" w:type="dxa"/>
                    <w:bottom w:w="0" w:type="dxa"/>
                    <w:right w:w="51" w:type="dxa"/>
                  </w:tcMar>
                  <w:vAlign w:val="center"/>
                </w:tcPr>
                <w:p w14:paraId="459E592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szCs w:val="21"/>
                      <w:highlight w:val="none"/>
                      <w:u w:val="none"/>
                      <w:lang w:val="en"/>
                    </w:rPr>
                  </w:pPr>
                  <w:r>
                    <w:rPr>
                      <w:rFonts w:hint="default" w:ascii="Times New Roman" w:hAnsi="Times New Roman" w:cs="Times New Roman"/>
                      <w:color w:val="auto"/>
                      <w:szCs w:val="21"/>
                      <w:highlight w:val="none"/>
                      <w:u w:val="none"/>
                      <w:lang w:val="en"/>
                    </w:rPr>
                    <w:t>禁止入驻含重点控制重金属铬、镍、铅、镉的电镀废水没有全部回用的含电镀工段的项目。</w:t>
                  </w:r>
                </w:p>
              </w:tc>
              <w:tc>
                <w:tcPr>
                  <w:tcW w:w="1550" w:type="pct"/>
                  <w:vMerge w:val="continue"/>
                  <w:tcBorders>
                    <w:tl2br w:val="nil"/>
                    <w:tr2bl w:val="nil"/>
                  </w:tcBorders>
                  <w:noWrap w:val="0"/>
                  <w:tcMar>
                    <w:top w:w="0" w:type="dxa"/>
                    <w:left w:w="51" w:type="dxa"/>
                    <w:bottom w:w="0" w:type="dxa"/>
                    <w:right w:w="51" w:type="dxa"/>
                  </w:tcMar>
                  <w:vAlign w:val="center"/>
                </w:tcPr>
                <w:p w14:paraId="394DF0A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kern w:val="0"/>
                      <w:szCs w:val="21"/>
                      <w:highlight w:val="none"/>
                      <w:u w:val="none"/>
                    </w:rPr>
                  </w:pPr>
                </w:p>
              </w:tc>
              <w:tc>
                <w:tcPr>
                  <w:tcW w:w="594" w:type="pct"/>
                  <w:vMerge w:val="continue"/>
                  <w:tcBorders>
                    <w:tl2br w:val="nil"/>
                    <w:tr2bl w:val="nil"/>
                  </w:tcBorders>
                  <w:noWrap w:val="0"/>
                  <w:tcMar>
                    <w:top w:w="0" w:type="dxa"/>
                    <w:left w:w="51" w:type="dxa"/>
                    <w:bottom w:w="0" w:type="dxa"/>
                    <w:right w:w="51" w:type="dxa"/>
                  </w:tcMar>
                  <w:vAlign w:val="center"/>
                </w:tcPr>
                <w:p w14:paraId="2CD6493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kern w:val="0"/>
                      <w:szCs w:val="21"/>
                      <w:highlight w:val="none"/>
                      <w:u w:val="none"/>
                    </w:rPr>
                  </w:pPr>
                </w:p>
              </w:tc>
            </w:tr>
            <w:tr w14:paraId="1EB334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1" w:type="pct"/>
                  <w:tcBorders>
                    <w:tl2br w:val="nil"/>
                    <w:tr2bl w:val="nil"/>
                  </w:tcBorders>
                  <w:noWrap w:val="0"/>
                  <w:tcMar>
                    <w:top w:w="0" w:type="dxa"/>
                    <w:left w:w="51" w:type="dxa"/>
                    <w:bottom w:w="0" w:type="dxa"/>
                    <w:right w:w="51" w:type="dxa"/>
                  </w:tcMar>
                  <w:vAlign w:val="center"/>
                </w:tcPr>
                <w:p w14:paraId="05E7414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cs="Times New Roman"/>
                      <w:color w:val="auto"/>
                      <w:kern w:val="0"/>
                      <w:szCs w:val="21"/>
                      <w:highlight w:val="none"/>
                      <w:u w:val="none"/>
                    </w:rPr>
                  </w:pPr>
                  <w:r>
                    <w:rPr>
                      <w:rFonts w:hint="default" w:ascii="Times New Roman" w:hAnsi="Times New Roman" w:cs="Times New Roman"/>
                      <w:color w:val="auto"/>
                      <w:kern w:val="0"/>
                      <w:szCs w:val="21"/>
                      <w:highlight w:val="none"/>
                      <w:u w:val="none"/>
                    </w:rPr>
                    <w:t>其他</w:t>
                  </w:r>
                </w:p>
              </w:tc>
              <w:tc>
                <w:tcPr>
                  <w:tcW w:w="2403" w:type="pct"/>
                  <w:tcBorders>
                    <w:tl2br w:val="nil"/>
                    <w:tr2bl w:val="nil"/>
                  </w:tcBorders>
                  <w:noWrap w:val="0"/>
                  <w:tcMar>
                    <w:top w:w="0" w:type="dxa"/>
                    <w:left w:w="51" w:type="dxa"/>
                    <w:bottom w:w="0" w:type="dxa"/>
                    <w:right w:w="51" w:type="dxa"/>
                  </w:tcMar>
                  <w:vAlign w:val="center"/>
                </w:tcPr>
                <w:p w14:paraId="23E600C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szCs w:val="21"/>
                      <w:highlight w:val="none"/>
                      <w:u w:val="none"/>
                      <w:lang w:val="en"/>
                    </w:rPr>
                  </w:pPr>
                  <w:r>
                    <w:rPr>
                      <w:rFonts w:hint="default" w:ascii="Times New Roman" w:hAnsi="Times New Roman" w:cs="Times New Roman"/>
                      <w:color w:val="auto"/>
                      <w:szCs w:val="21"/>
                      <w:highlight w:val="none"/>
                      <w:u w:val="none"/>
                      <w:lang w:val="en"/>
                    </w:rPr>
                    <w:t>在产业集聚区内涉及南水北调二级保护范围的区域，划定为南水北调二级保护范围限制建设区，要求在该区域内：</w:t>
                  </w:r>
                </w:p>
                <w:p w14:paraId="371339D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szCs w:val="21"/>
                      <w:highlight w:val="none"/>
                      <w:u w:val="none"/>
                      <w:lang w:val="en"/>
                    </w:rPr>
                  </w:pPr>
                  <w:r>
                    <w:rPr>
                      <w:rFonts w:hint="default" w:ascii="Times New Roman" w:hAnsi="Times New Roman" w:cs="Times New Roman"/>
                      <w:color w:val="auto"/>
                      <w:szCs w:val="21"/>
                      <w:highlight w:val="none"/>
                      <w:u w:val="none"/>
                      <w:lang w:val="en"/>
                    </w:rPr>
                    <w:t>①禁止向环境排放废水、废渣类污染物；</w:t>
                  </w:r>
                </w:p>
                <w:p w14:paraId="15B3966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szCs w:val="21"/>
                      <w:highlight w:val="none"/>
                      <w:u w:val="none"/>
                      <w:lang w:val="en"/>
                    </w:rPr>
                  </w:pPr>
                  <w:r>
                    <w:rPr>
                      <w:rFonts w:hint="default" w:ascii="Times New Roman" w:hAnsi="Times New Roman" w:cs="Times New Roman"/>
                      <w:color w:val="auto"/>
                      <w:szCs w:val="21"/>
                      <w:highlight w:val="none"/>
                      <w:u w:val="none"/>
                      <w:lang w:val="en"/>
                    </w:rPr>
                    <w:t>②禁止新建、扩建污染较重的废水排污口，设置医疗废水排污口；</w:t>
                  </w:r>
                </w:p>
                <w:p w14:paraId="609F206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szCs w:val="21"/>
                      <w:highlight w:val="none"/>
                      <w:u w:val="none"/>
                      <w:lang w:val="en"/>
                    </w:rPr>
                  </w:pPr>
                  <w:r>
                    <w:rPr>
                      <w:rFonts w:hint="default" w:ascii="Times New Roman" w:hAnsi="Times New Roman" w:cs="Times New Roman"/>
                      <w:color w:val="auto"/>
                      <w:szCs w:val="21"/>
                      <w:highlight w:val="none"/>
                      <w:u w:val="none"/>
                      <w:lang w:val="en"/>
                    </w:rPr>
                    <w:t>③禁止新建、扩建污染重的化工、电镀、皮革加工、造纸、印染、生物发酵、选矿、冶炼、炼焦、炼油和规模化禽畜养殖以及其他污染重的建设项目；</w:t>
                  </w:r>
                </w:p>
                <w:p w14:paraId="529DFF9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eastAsia" w:ascii="Times New Roman" w:hAnsi="Times New Roman" w:eastAsia="宋体" w:cs="Times New Roman"/>
                      <w:color w:val="auto"/>
                      <w:szCs w:val="21"/>
                      <w:highlight w:val="none"/>
                      <w:u w:val="none"/>
                      <w:lang w:val="en" w:eastAsia="zh-CN"/>
                    </w:rPr>
                  </w:pPr>
                  <w:r>
                    <w:rPr>
                      <w:rFonts w:hint="default" w:ascii="Times New Roman" w:hAnsi="Times New Roman" w:cs="Times New Roman"/>
                      <w:color w:val="auto"/>
                      <w:szCs w:val="21"/>
                      <w:highlight w:val="none"/>
                      <w:u w:val="none"/>
                      <w:lang w:val="en"/>
                    </w:rPr>
                    <w:t>④禁止设置生活垃圾、医疗垃圾、工业危险废物等集中转运、堆放、填埋和焚烧设施</w:t>
                  </w:r>
                  <w:r>
                    <w:rPr>
                      <w:rFonts w:hint="eastAsia" w:ascii="Times New Roman" w:hAnsi="Times New Roman" w:cs="Times New Roman"/>
                      <w:color w:val="auto"/>
                      <w:szCs w:val="21"/>
                      <w:highlight w:val="none"/>
                      <w:u w:val="none"/>
                      <w:lang w:val="en" w:eastAsia="zh-CN"/>
                    </w:rPr>
                    <w:t>；</w:t>
                  </w:r>
                </w:p>
                <w:p w14:paraId="2FFB417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szCs w:val="21"/>
                      <w:highlight w:val="none"/>
                      <w:u w:val="none"/>
                      <w:lang w:val="en"/>
                    </w:rPr>
                  </w:pPr>
                  <w:r>
                    <w:rPr>
                      <w:rFonts w:hint="default" w:ascii="Times New Roman" w:hAnsi="Times New Roman" w:cs="Times New Roman"/>
                      <w:color w:val="auto"/>
                      <w:szCs w:val="21"/>
                      <w:highlight w:val="none"/>
                      <w:u w:val="none"/>
                      <w:lang w:val="en"/>
                    </w:rPr>
                    <w:t>⑤禁止设置危险品转运和贮存设施、新建加油站及油库；</w:t>
                  </w:r>
                </w:p>
                <w:p w14:paraId="3CEA74A8">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szCs w:val="21"/>
                      <w:highlight w:val="none"/>
                      <w:u w:val="none"/>
                      <w:lang w:val="en"/>
                    </w:rPr>
                  </w:pPr>
                  <w:r>
                    <w:rPr>
                      <w:rFonts w:hint="default" w:ascii="Times New Roman" w:hAnsi="Times New Roman" w:cs="Times New Roman"/>
                      <w:color w:val="auto"/>
                      <w:szCs w:val="21"/>
                      <w:highlight w:val="none"/>
                      <w:u w:val="none"/>
                      <w:lang w:val="en"/>
                    </w:rPr>
                    <w:t>⑥禁止使用不符合国家有关农药安全使用和环保规定、标准的高毒和高残留农药；</w:t>
                  </w:r>
                </w:p>
                <w:p w14:paraId="08B44F5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szCs w:val="21"/>
                      <w:highlight w:val="none"/>
                      <w:u w:val="none"/>
                      <w:lang w:val="en"/>
                    </w:rPr>
                  </w:pPr>
                  <w:r>
                    <w:rPr>
                      <w:rFonts w:hint="default" w:ascii="Times New Roman" w:hAnsi="Times New Roman" w:cs="Times New Roman"/>
                      <w:color w:val="auto"/>
                      <w:szCs w:val="21"/>
                      <w:highlight w:val="none"/>
                      <w:u w:val="none"/>
                      <w:lang w:val="en"/>
                    </w:rPr>
                    <w:t>⑦禁止将不符合《生活饮用水卫生标准（GB5749-2006）》和有关规定的水人工直接回灌补给地下水；</w:t>
                  </w:r>
                </w:p>
                <w:p w14:paraId="3D42FCE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szCs w:val="21"/>
                      <w:highlight w:val="none"/>
                      <w:u w:val="none"/>
                      <w:lang w:val="en"/>
                    </w:rPr>
                  </w:pPr>
                  <w:r>
                    <w:rPr>
                      <w:rFonts w:hint="default" w:ascii="Times New Roman" w:hAnsi="Times New Roman" w:cs="Times New Roman"/>
                      <w:color w:val="auto"/>
                      <w:szCs w:val="21"/>
                      <w:highlight w:val="none"/>
                      <w:u w:val="none"/>
                      <w:lang w:val="en"/>
                    </w:rPr>
                    <w:t>⑧禁止采取地下灌注方式处理废水；</w:t>
                  </w:r>
                </w:p>
                <w:p w14:paraId="72391EE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szCs w:val="21"/>
                      <w:highlight w:val="none"/>
                      <w:u w:val="none"/>
                      <w:lang w:val="en"/>
                    </w:rPr>
                  </w:pPr>
                  <w:r>
                    <w:rPr>
                      <w:rFonts w:hint="default" w:ascii="Times New Roman" w:hAnsi="Times New Roman" w:cs="Times New Roman"/>
                      <w:color w:val="auto"/>
                      <w:szCs w:val="21"/>
                      <w:highlight w:val="none"/>
                      <w:u w:val="none"/>
                      <w:lang w:val="en"/>
                    </w:rPr>
                    <w:t>⑨禁止建立公共墓地和掩埋动物尸体；</w:t>
                  </w:r>
                </w:p>
                <w:p w14:paraId="2E1F5BE8">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szCs w:val="21"/>
                      <w:highlight w:val="none"/>
                      <w:u w:val="none"/>
                      <w:lang w:val="en"/>
                    </w:rPr>
                  </w:pPr>
                  <w:r>
                    <w:rPr>
                      <w:rFonts w:hint="default" w:ascii="Times New Roman" w:hAnsi="Times New Roman" w:cs="Times New Roman"/>
                      <w:color w:val="auto"/>
                      <w:szCs w:val="21"/>
                      <w:highlight w:val="none"/>
                      <w:u w:val="none"/>
                      <w:lang w:val="en"/>
                    </w:rPr>
                    <w:t>⑩禁止利用沟渠、渗坑、渗井、裂隙、溶洞以及漫流等方式排放工业废水、医疗废水和其他有毒有害废水；</w:t>
                  </w:r>
                </w:p>
                <w:p w14:paraId="20986B3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MS Mincho" w:cs="Times New Roman"/>
                      <w:color w:val="auto"/>
                      <w:szCs w:val="21"/>
                      <w:highlight w:val="none"/>
                      <w:u w:val="none"/>
                      <w:lang w:val="en"/>
                    </w:rPr>
                  </w:pPr>
                  <w:r>
                    <w:rPr>
                      <w:rFonts w:hint="default" w:ascii="Times New Roman" w:hAnsi="Times New Roman" w:eastAsia="MS Mincho" w:cs="Times New Roman"/>
                      <w:color w:val="auto"/>
                      <w:szCs w:val="21"/>
                      <w:highlight w:val="none"/>
                      <w:u w:val="none"/>
                      <w:lang w:val="en"/>
                    </w:rPr>
                    <w:t>⑪</w:t>
                  </w:r>
                  <w:r>
                    <w:rPr>
                      <w:rFonts w:hint="default" w:ascii="Times New Roman" w:hAnsi="Times New Roman" w:cs="Times New Roman"/>
                      <w:color w:val="auto"/>
                      <w:szCs w:val="21"/>
                      <w:highlight w:val="none"/>
                      <w:u w:val="none"/>
                      <w:lang w:val="en"/>
                    </w:rPr>
                    <w:t>禁止将剧毒、持久性和放射性废物以及含有重金属废物等危险废物直接倾倒或埋入地下。已排放、倾倒和填埋的，按国家环保有关法律、法规的规定，在限期内进行治理。</w:t>
                  </w:r>
                </w:p>
              </w:tc>
              <w:tc>
                <w:tcPr>
                  <w:tcW w:w="1550" w:type="pct"/>
                  <w:tcBorders>
                    <w:tl2br w:val="nil"/>
                    <w:tr2bl w:val="nil"/>
                  </w:tcBorders>
                  <w:noWrap w:val="0"/>
                  <w:tcMar>
                    <w:top w:w="0" w:type="dxa"/>
                    <w:left w:w="51" w:type="dxa"/>
                    <w:bottom w:w="0" w:type="dxa"/>
                    <w:right w:w="51" w:type="dxa"/>
                  </w:tcMar>
                  <w:vAlign w:val="center"/>
                </w:tcPr>
                <w:p w14:paraId="1A04839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cs="Times New Roman"/>
                      <w:color w:val="auto"/>
                      <w:szCs w:val="21"/>
                      <w:highlight w:val="none"/>
                      <w:u w:val="none"/>
                    </w:rPr>
                  </w:pPr>
                  <w:r>
                    <w:rPr>
                      <w:rFonts w:hint="default" w:ascii="Times New Roman" w:hAnsi="Times New Roman" w:cs="Times New Roman"/>
                      <w:color w:val="auto"/>
                      <w:szCs w:val="21"/>
                      <w:highlight w:val="none"/>
                      <w:u w:val="none"/>
                      <w:lang w:eastAsia="zh-CN"/>
                    </w:rPr>
                    <w:t>本项目不涉及</w:t>
                  </w:r>
                  <w:r>
                    <w:rPr>
                      <w:rFonts w:hint="default" w:ascii="Times New Roman" w:hAnsi="Times New Roman" w:cs="Times New Roman"/>
                      <w:color w:val="auto"/>
                      <w:szCs w:val="21"/>
                      <w:highlight w:val="none"/>
                      <w:u w:val="none"/>
                    </w:rPr>
                    <w:t>。</w:t>
                  </w:r>
                </w:p>
              </w:tc>
              <w:tc>
                <w:tcPr>
                  <w:tcW w:w="594" w:type="pct"/>
                  <w:tcBorders>
                    <w:tl2br w:val="nil"/>
                    <w:tr2bl w:val="nil"/>
                  </w:tcBorders>
                  <w:noWrap w:val="0"/>
                  <w:tcMar>
                    <w:top w:w="0" w:type="dxa"/>
                    <w:left w:w="51" w:type="dxa"/>
                    <w:bottom w:w="0" w:type="dxa"/>
                    <w:right w:w="51" w:type="dxa"/>
                  </w:tcMar>
                  <w:vAlign w:val="center"/>
                </w:tcPr>
                <w:p w14:paraId="71B78E8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Cs w:val="21"/>
                      <w:highlight w:val="none"/>
                      <w:u w:val="none"/>
                      <w:lang w:eastAsia="zh-CN"/>
                    </w:rPr>
                  </w:pPr>
                  <w:r>
                    <w:rPr>
                      <w:rFonts w:hint="default" w:ascii="Times New Roman" w:hAnsi="Times New Roman" w:eastAsia="宋体" w:cs="Times New Roman"/>
                      <w:color w:val="auto"/>
                      <w:kern w:val="0"/>
                      <w:szCs w:val="21"/>
                      <w:highlight w:val="none"/>
                      <w:u w:val="none"/>
                      <w:lang w:eastAsia="zh-CN"/>
                    </w:rPr>
                    <w:t>不涉及</w:t>
                  </w:r>
                </w:p>
              </w:tc>
            </w:tr>
          </w:tbl>
          <w:p w14:paraId="5F3CBFDC">
            <w:pPr>
              <w:keepNext w:val="0"/>
              <w:keepLines w:val="0"/>
              <w:suppressLineNumbers w:val="0"/>
              <w:autoSpaceDE w:val="0"/>
              <w:autoSpaceDN w:val="0"/>
              <w:adjustRightInd w:val="0"/>
              <w:snapToGrid w:val="0"/>
              <w:spacing w:before="120" w:beforeLines="50" w:beforeAutospacing="0" w:after="0" w:afterAutospacing="0" w:line="360" w:lineRule="auto"/>
              <w:ind w:left="0" w:right="0" w:firstLine="480" w:firstLineChars="200"/>
              <w:rPr>
                <w:rFonts w:hint="default" w:ascii="Times New Roman" w:hAnsi="Times New Roman" w:cs="Times New Roman"/>
                <w:b/>
                <w:color w:val="auto"/>
                <w:sz w:val="24"/>
                <w:highlight w:val="none"/>
                <w:u w:val="none"/>
              </w:rPr>
            </w:pPr>
            <w:r>
              <w:rPr>
                <w:rFonts w:hint="default" w:ascii="Times New Roman" w:hAnsi="Times New Roman" w:cs="Times New Roman"/>
                <w:color w:val="auto"/>
                <w:kern w:val="0"/>
                <w:sz w:val="24"/>
                <w:highlight w:val="none"/>
                <w:u w:val="none"/>
              </w:rPr>
              <w:t>依据</w:t>
            </w:r>
            <w:r>
              <w:rPr>
                <w:rFonts w:hint="default" w:ascii="Times New Roman" w:hAnsi="Times New Roman" w:cs="Times New Roman"/>
                <w:color w:val="auto"/>
                <w:sz w:val="24"/>
                <w:highlight w:val="none"/>
                <w:u w:val="none"/>
              </w:rPr>
              <w:t>《汤阴县产业集聚区发展规划调整方案（2017-2020）环境影响报告书》</w:t>
            </w:r>
            <w:r>
              <w:rPr>
                <w:rFonts w:hint="default" w:ascii="Times New Roman" w:hAnsi="Times New Roman" w:cs="Times New Roman"/>
                <w:color w:val="auto"/>
                <w:kern w:val="0"/>
                <w:sz w:val="24"/>
                <w:highlight w:val="none"/>
                <w:u w:val="none"/>
              </w:rPr>
              <w:t>，汤阴县产业集聚区环境准入条件见下表。</w:t>
            </w:r>
          </w:p>
          <w:p w14:paraId="34163DEA">
            <w:pPr>
              <w:keepNext w:val="0"/>
              <w:keepLines w:val="0"/>
              <w:suppressLineNumbers w:val="0"/>
              <w:adjustRightInd w:val="0"/>
              <w:snapToGrid w:val="0"/>
              <w:spacing w:before="0" w:beforeAutospacing="0" w:after="0" w:afterAutospacing="0" w:line="240" w:lineRule="auto"/>
              <w:ind w:left="0" w:right="0"/>
              <w:contextualSpacing/>
              <w:jc w:val="center"/>
              <w:rPr>
                <w:rFonts w:hint="default" w:ascii="Times New Roman" w:hAnsi="Times New Roman" w:cs="Times New Roman"/>
                <w:b/>
                <w:color w:val="auto"/>
                <w:sz w:val="24"/>
                <w:highlight w:val="none"/>
                <w:u w:val="none"/>
              </w:rPr>
            </w:pPr>
            <w:r>
              <w:rPr>
                <w:rFonts w:hint="default" w:ascii="Times New Roman" w:hAnsi="Times New Roman" w:cs="Times New Roman"/>
                <w:b/>
                <w:color w:val="auto"/>
                <w:sz w:val="24"/>
                <w:highlight w:val="none"/>
                <w:u w:val="none"/>
              </w:rPr>
              <w:t>汤阴县产业集聚区环境准入条件</w:t>
            </w:r>
          </w:p>
          <w:tbl>
            <w:tblPr>
              <w:tblStyle w:val="30"/>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3"/>
              <w:gridCol w:w="494"/>
              <w:gridCol w:w="3789"/>
              <w:gridCol w:w="2081"/>
              <w:gridCol w:w="681"/>
            </w:tblGrid>
            <w:tr w14:paraId="68A9D0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6" w:type="pct"/>
                  <w:tcBorders>
                    <w:tl2br w:val="nil"/>
                    <w:tr2bl w:val="nil"/>
                  </w:tcBorders>
                  <w:noWrap w:val="0"/>
                  <w:tcMar>
                    <w:top w:w="0" w:type="dxa"/>
                    <w:left w:w="51" w:type="dxa"/>
                    <w:bottom w:w="0" w:type="dxa"/>
                    <w:right w:w="51" w:type="dxa"/>
                  </w:tcMar>
                  <w:vAlign w:val="center"/>
                </w:tcPr>
                <w:p w14:paraId="10885D5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kern w:val="0"/>
                      <w:sz w:val="21"/>
                      <w:szCs w:val="21"/>
                      <w:highlight w:val="none"/>
                      <w:u w:val="none"/>
                    </w:rPr>
                  </w:pPr>
                  <w:r>
                    <w:rPr>
                      <w:rFonts w:hint="default" w:ascii="Times New Roman" w:hAnsi="Times New Roman" w:eastAsia="宋体" w:cs="Times New Roman"/>
                      <w:b/>
                      <w:color w:val="auto"/>
                      <w:kern w:val="0"/>
                      <w:sz w:val="21"/>
                      <w:szCs w:val="21"/>
                      <w:highlight w:val="none"/>
                      <w:u w:val="none"/>
                    </w:rPr>
                    <w:t>类别</w:t>
                  </w:r>
                </w:p>
              </w:tc>
              <w:tc>
                <w:tcPr>
                  <w:tcW w:w="2731" w:type="pct"/>
                  <w:gridSpan w:val="2"/>
                  <w:tcBorders>
                    <w:tl2br w:val="nil"/>
                    <w:tr2bl w:val="nil"/>
                  </w:tcBorders>
                  <w:noWrap w:val="0"/>
                  <w:tcMar>
                    <w:top w:w="0" w:type="dxa"/>
                    <w:left w:w="51" w:type="dxa"/>
                    <w:bottom w:w="0" w:type="dxa"/>
                    <w:right w:w="51" w:type="dxa"/>
                  </w:tcMar>
                  <w:vAlign w:val="center"/>
                </w:tcPr>
                <w:p w14:paraId="29B8AE6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kern w:val="0"/>
                      <w:sz w:val="21"/>
                      <w:szCs w:val="21"/>
                      <w:highlight w:val="none"/>
                      <w:u w:val="none"/>
                    </w:rPr>
                  </w:pPr>
                  <w:r>
                    <w:rPr>
                      <w:rFonts w:hint="default" w:ascii="Times New Roman" w:hAnsi="Times New Roman" w:eastAsia="宋体" w:cs="Times New Roman"/>
                      <w:b/>
                      <w:color w:val="auto"/>
                      <w:kern w:val="0"/>
                      <w:sz w:val="21"/>
                      <w:szCs w:val="21"/>
                      <w:highlight w:val="none"/>
                      <w:u w:val="none"/>
                    </w:rPr>
                    <w:t>环境准入条件</w:t>
                  </w:r>
                </w:p>
              </w:tc>
              <w:tc>
                <w:tcPr>
                  <w:tcW w:w="1327" w:type="pct"/>
                  <w:tcBorders>
                    <w:tl2br w:val="nil"/>
                    <w:tr2bl w:val="nil"/>
                  </w:tcBorders>
                  <w:noWrap w:val="0"/>
                  <w:tcMar>
                    <w:top w:w="0" w:type="dxa"/>
                    <w:left w:w="51" w:type="dxa"/>
                    <w:bottom w:w="0" w:type="dxa"/>
                    <w:right w:w="51" w:type="dxa"/>
                  </w:tcMar>
                  <w:vAlign w:val="center"/>
                </w:tcPr>
                <w:p w14:paraId="33F779C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kern w:val="0"/>
                      <w:sz w:val="21"/>
                      <w:szCs w:val="21"/>
                      <w:highlight w:val="none"/>
                      <w:u w:val="none"/>
                    </w:rPr>
                  </w:pPr>
                  <w:r>
                    <w:rPr>
                      <w:rFonts w:hint="default" w:ascii="Times New Roman" w:hAnsi="Times New Roman" w:eastAsia="宋体" w:cs="Times New Roman"/>
                      <w:b/>
                      <w:color w:val="auto"/>
                      <w:kern w:val="0"/>
                      <w:sz w:val="21"/>
                      <w:szCs w:val="21"/>
                      <w:highlight w:val="none"/>
                      <w:u w:val="none"/>
                    </w:rPr>
                    <w:t>本项目情况</w:t>
                  </w:r>
                </w:p>
              </w:tc>
              <w:tc>
                <w:tcPr>
                  <w:tcW w:w="434" w:type="pct"/>
                  <w:tcBorders>
                    <w:tl2br w:val="nil"/>
                    <w:tr2bl w:val="nil"/>
                  </w:tcBorders>
                  <w:noWrap w:val="0"/>
                  <w:tcMar>
                    <w:top w:w="0" w:type="dxa"/>
                    <w:left w:w="51" w:type="dxa"/>
                    <w:bottom w:w="0" w:type="dxa"/>
                    <w:right w:w="51" w:type="dxa"/>
                  </w:tcMar>
                  <w:vAlign w:val="center"/>
                </w:tcPr>
                <w:p w14:paraId="501B30F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kern w:val="0"/>
                      <w:sz w:val="21"/>
                      <w:szCs w:val="21"/>
                      <w:highlight w:val="none"/>
                      <w:u w:val="none"/>
                    </w:rPr>
                  </w:pPr>
                  <w:r>
                    <w:rPr>
                      <w:rFonts w:hint="default" w:ascii="Times New Roman" w:hAnsi="Times New Roman" w:eastAsia="宋体" w:cs="Times New Roman"/>
                      <w:b/>
                      <w:color w:val="auto"/>
                      <w:kern w:val="0"/>
                      <w:sz w:val="21"/>
                      <w:szCs w:val="21"/>
                      <w:highlight w:val="none"/>
                      <w:u w:val="none"/>
                    </w:rPr>
                    <w:t>相符性</w:t>
                  </w:r>
                </w:p>
              </w:tc>
            </w:tr>
            <w:tr w14:paraId="64BB38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6" w:type="pct"/>
                  <w:vMerge w:val="restart"/>
                  <w:tcBorders>
                    <w:tl2br w:val="nil"/>
                    <w:tr2bl w:val="nil"/>
                  </w:tcBorders>
                  <w:noWrap w:val="0"/>
                  <w:tcMar>
                    <w:top w:w="0" w:type="dxa"/>
                    <w:left w:w="51" w:type="dxa"/>
                    <w:bottom w:w="0" w:type="dxa"/>
                    <w:right w:w="51" w:type="dxa"/>
                  </w:tcMar>
                  <w:vAlign w:val="center"/>
                </w:tcPr>
                <w:p w14:paraId="63240B7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鼓励类</w:t>
                  </w:r>
                </w:p>
              </w:tc>
              <w:tc>
                <w:tcPr>
                  <w:tcW w:w="2731" w:type="pct"/>
                  <w:gridSpan w:val="2"/>
                  <w:tcBorders>
                    <w:tl2br w:val="nil"/>
                    <w:tr2bl w:val="nil"/>
                  </w:tcBorders>
                  <w:noWrap w:val="0"/>
                  <w:tcMar>
                    <w:top w:w="0" w:type="dxa"/>
                    <w:left w:w="51" w:type="dxa"/>
                    <w:bottom w:w="0" w:type="dxa"/>
                    <w:right w:w="51" w:type="dxa"/>
                  </w:tcMar>
                  <w:vAlign w:val="center"/>
                </w:tcPr>
                <w:p w14:paraId="37A40E33">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lang w:val="en"/>
                    </w:rPr>
                    <w:t>鼓励符合集聚区产业定位且列入国家产业结构调整指导目录鼓励类的项目入驻；</w:t>
                  </w:r>
                </w:p>
              </w:tc>
              <w:tc>
                <w:tcPr>
                  <w:tcW w:w="1327" w:type="pct"/>
                  <w:vMerge w:val="restart"/>
                  <w:tcBorders>
                    <w:tl2br w:val="nil"/>
                    <w:tr2bl w:val="nil"/>
                  </w:tcBorders>
                  <w:noWrap w:val="0"/>
                  <w:tcMar>
                    <w:top w:w="0" w:type="dxa"/>
                    <w:left w:w="51" w:type="dxa"/>
                    <w:bottom w:w="0" w:type="dxa"/>
                    <w:right w:w="51" w:type="dxa"/>
                  </w:tcMar>
                  <w:vAlign w:val="center"/>
                </w:tcPr>
                <w:p w14:paraId="220860C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eastAsia" w:ascii="Times New Roman" w:hAnsi="Times New Roman" w:eastAsia="宋体" w:cs="Times New Roman"/>
                      <w:color w:val="auto"/>
                      <w:kern w:val="0"/>
                      <w:sz w:val="21"/>
                      <w:szCs w:val="21"/>
                      <w:highlight w:val="yellow"/>
                      <w:u w:val="none"/>
                      <w:lang w:eastAsia="zh-CN"/>
                    </w:rPr>
                  </w:pPr>
                  <w:r>
                    <w:rPr>
                      <w:rFonts w:hint="eastAsia"/>
                      <w:color w:val="auto"/>
                      <w:kern w:val="0"/>
                      <w:szCs w:val="21"/>
                      <w:highlight w:val="none"/>
                      <w:lang w:bidi="ar"/>
                    </w:rPr>
                    <w:t>根据《产业结构调整</w:t>
                  </w:r>
                  <w:r>
                    <w:rPr>
                      <w:rFonts w:hint="eastAsia"/>
                      <w:color w:val="auto"/>
                      <w:kern w:val="0"/>
                      <w:szCs w:val="21"/>
                      <w:highlight w:val="none"/>
                      <w:lang w:eastAsia="zh-CN" w:bidi="ar"/>
                    </w:rPr>
                    <w:t>指导</w:t>
                  </w:r>
                  <w:r>
                    <w:rPr>
                      <w:rFonts w:hint="eastAsia"/>
                      <w:color w:val="auto"/>
                      <w:kern w:val="0"/>
                      <w:szCs w:val="21"/>
                      <w:highlight w:val="none"/>
                      <w:lang w:bidi="ar"/>
                    </w:rPr>
                    <w:t>目录</w:t>
                  </w:r>
                  <w:r>
                    <w:rPr>
                      <w:rFonts w:hint="eastAsia"/>
                      <w:color w:val="auto"/>
                      <w:kern w:val="0"/>
                      <w:szCs w:val="21"/>
                      <w:highlight w:val="none"/>
                      <w:lang w:eastAsia="zh-CN" w:bidi="ar"/>
                    </w:rPr>
                    <w:t>（</w:t>
                  </w:r>
                  <w:r>
                    <w:rPr>
                      <w:rFonts w:hint="eastAsia"/>
                      <w:color w:val="auto"/>
                      <w:kern w:val="0"/>
                      <w:szCs w:val="21"/>
                      <w:highlight w:val="none"/>
                      <w:lang w:bidi="ar"/>
                    </w:rPr>
                    <w:t>20</w:t>
                  </w:r>
                  <w:r>
                    <w:rPr>
                      <w:rFonts w:hint="eastAsia"/>
                      <w:color w:val="auto"/>
                      <w:kern w:val="0"/>
                      <w:szCs w:val="21"/>
                      <w:highlight w:val="none"/>
                      <w:lang w:val="en-US" w:eastAsia="zh-CN" w:bidi="ar"/>
                    </w:rPr>
                    <w:t>24</w:t>
                  </w:r>
                  <w:r>
                    <w:rPr>
                      <w:rFonts w:hint="eastAsia"/>
                      <w:color w:val="auto"/>
                      <w:kern w:val="0"/>
                      <w:szCs w:val="21"/>
                      <w:highlight w:val="none"/>
                      <w:lang w:bidi="ar"/>
                    </w:rPr>
                    <w:t>年本</w:t>
                  </w:r>
                  <w:r>
                    <w:rPr>
                      <w:rFonts w:hint="eastAsia"/>
                      <w:color w:val="auto"/>
                      <w:kern w:val="0"/>
                      <w:szCs w:val="21"/>
                      <w:highlight w:val="none"/>
                      <w:lang w:eastAsia="zh-CN" w:bidi="ar"/>
                    </w:rPr>
                    <w:t>）</w:t>
                  </w:r>
                  <w:r>
                    <w:rPr>
                      <w:rFonts w:hint="eastAsia"/>
                      <w:color w:val="auto"/>
                      <w:kern w:val="0"/>
                      <w:szCs w:val="21"/>
                      <w:highlight w:val="none"/>
                      <w:lang w:bidi="ar"/>
                    </w:rPr>
                    <w:t>》</w:t>
                  </w:r>
                  <w:r>
                    <w:rPr>
                      <w:rFonts w:hint="eastAsia" w:ascii="Times New Roman" w:hAnsi="Times New Roman" w:eastAsia="宋体" w:cs="Times New Roman"/>
                      <w:color w:val="auto"/>
                      <w:kern w:val="0"/>
                      <w:sz w:val="21"/>
                      <w:szCs w:val="21"/>
                      <w:highlight w:val="none"/>
                      <w:u w:val="none"/>
                      <w:lang w:eastAsia="zh-CN"/>
                    </w:rPr>
                    <w:t>本项目不属于鼓励类，为允许类。</w:t>
                  </w:r>
                </w:p>
              </w:tc>
              <w:tc>
                <w:tcPr>
                  <w:tcW w:w="434" w:type="pct"/>
                  <w:vMerge w:val="restart"/>
                  <w:tcBorders>
                    <w:tl2br w:val="nil"/>
                    <w:tr2bl w:val="nil"/>
                  </w:tcBorders>
                  <w:noWrap w:val="0"/>
                  <w:tcMar>
                    <w:top w:w="0" w:type="dxa"/>
                    <w:left w:w="51" w:type="dxa"/>
                    <w:bottom w:w="0" w:type="dxa"/>
                    <w:right w:w="51" w:type="dxa"/>
                  </w:tcMar>
                  <w:vAlign w:val="center"/>
                </w:tcPr>
                <w:p w14:paraId="58684DF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w:t>
                  </w:r>
                </w:p>
              </w:tc>
            </w:tr>
            <w:tr w14:paraId="63D4D7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06" w:type="pct"/>
                  <w:vMerge w:val="continue"/>
                  <w:tcBorders>
                    <w:tl2br w:val="nil"/>
                    <w:tr2bl w:val="nil"/>
                  </w:tcBorders>
                  <w:noWrap w:val="0"/>
                  <w:tcMar>
                    <w:top w:w="0" w:type="dxa"/>
                    <w:left w:w="51" w:type="dxa"/>
                    <w:bottom w:w="0" w:type="dxa"/>
                    <w:right w:w="51" w:type="dxa"/>
                  </w:tcMar>
                  <w:vAlign w:val="center"/>
                </w:tcPr>
                <w:p w14:paraId="6E3151A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c>
                <w:tcPr>
                  <w:tcW w:w="2731" w:type="pct"/>
                  <w:gridSpan w:val="2"/>
                  <w:tcBorders>
                    <w:tl2br w:val="nil"/>
                    <w:tr2bl w:val="nil"/>
                  </w:tcBorders>
                  <w:noWrap w:val="0"/>
                  <w:tcMar>
                    <w:top w:w="0" w:type="dxa"/>
                    <w:left w:w="51" w:type="dxa"/>
                    <w:bottom w:w="0" w:type="dxa"/>
                    <w:right w:w="51" w:type="dxa"/>
                  </w:tcMar>
                  <w:vAlign w:val="center"/>
                </w:tcPr>
                <w:p w14:paraId="40B9A90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highlight w:val="none"/>
                      <w:u w:val="none"/>
                      <w:lang w:val="en"/>
                    </w:rPr>
                    <w:t>鼓励有利于集聚区产业链条延伸的项目、市政基础设施入驻；</w:t>
                  </w:r>
                </w:p>
              </w:tc>
              <w:tc>
                <w:tcPr>
                  <w:tcW w:w="1327" w:type="pct"/>
                  <w:vMerge w:val="continue"/>
                  <w:tcBorders>
                    <w:tl2br w:val="nil"/>
                    <w:tr2bl w:val="nil"/>
                  </w:tcBorders>
                  <w:noWrap w:val="0"/>
                  <w:tcMar>
                    <w:top w:w="0" w:type="dxa"/>
                    <w:left w:w="51" w:type="dxa"/>
                    <w:bottom w:w="0" w:type="dxa"/>
                    <w:right w:w="51" w:type="dxa"/>
                  </w:tcMar>
                  <w:vAlign w:val="center"/>
                </w:tcPr>
                <w:p w14:paraId="23B1ABB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sz w:val="21"/>
                      <w:szCs w:val="21"/>
                      <w:highlight w:val="yellow"/>
                      <w:u w:val="none"/>
                    </w:rPr>
                  </w:pPr>
                </w:p>
              </w:tc>
              <w:tc>
                <w:tcPr>
                  <w:tcW w:w="434" w:type="pct"/>
                  <w:vMerge w:val="continue"/>
                  <w:tcBorders>
                    <w:tl2br w:val="nil"/>
                    <w:tr2bl w:val="nil"/>
                  </w:tcBorders>
                  <w:noWrap w:val="0"/>
                  <w:tcMar>
                    <w:top w:w="0" w:type="dxa"/>
                    <w:left w:w="51" w:type="dxa"/>
                    <w:bottom w:w="0" w:type="dxa"/>
                    <w:right w:w="51" w:type="dxa"/>
                  </w:tcMar>
                  <w:vAlign w:val="center"/>
                </w:tcPr>
                <w:p w14:paraId="13B6F84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r>
            <w:tr w14:paraId="70E0F6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6" w:type="pct"/>
                  <w:vMerge w:val="continue"/>
                  <w:tcBorders>
                    <w:tl2br w:val="nil"/>
                    <w:tr2bl w:val="nil"/>
                  </w:tcBorders>
                  <w:noWrap w:val="0"/>
                  <w:tcMar>
                    <w:top w:w="0" w:type="dxa"/>
                    <w:left w:w="51" w:type="dxa"/>
                    <w:bottom w:w="0" w:type="dxa"/>
                    <w:right w:w="51" w:type="dxa"/>
                  </w:tcMar>
                  <w:vAlign w:val="center"/>
                </w:tcPr>
                <w:p w14:paraId="3E48C65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c>
                <w:tcPr>
                  <w:tcW w:w="2731" w:type="pct"/>
                  <w:gridSpan w:val="2"/>
                  <w:tcBorders>
                    <w:tl2br w:val="nil"/>
                    <w:tr2bl w:val="nil"/>
                  </w:tcBorders>
                  <w:noWrap w:val="0"/>
                  <w:tcMar>
                    <w:top w:w="0" w:type="dxa"/>
                    <w:left w:w="51" w:type="dxa"/>
                    <w:bottom w:w="0" w:type="dxa"/>
                    <w:right w:w="51" w:type="dxa"/>
                  </w:tcMar>
                  <w:vAlign w:val="center"/>
                </w:tcPr>
                <w:p w14:paraId="1BDDDCE3">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lang w:val="en"/>
                    </w:rPr>
                    <w:t>鼓励利用集聚区产生的固废综合利用项目入驻；</w:t>
                  </w:r>
                </w:p>
              </w:tc>
              <w:tc>
                <w:tcPr>
                  <w:tcW w:w="1327" w:type="pct"/>
                  <w:vMerge w:val="continue"/>
                  <w:tcBorders>
                    <w:tl2br w:val="nil"/>
                    <w:tr2bl w:val="nil"/>
                  </w:tcBorders>
                  <w:noWrap w:val="0"/>
                  <w:tcMar>
                    <w:top w:w="0" w:type="dxa"/>
                    <w:left w:w="51" w:type="dxa"/>
                    <w:bottom w:w="0" w:type="dxa"/>
                    <w:right w:w="51" w:type="dxa"/>
                  </w:tcMar>
                  <w:vAlign w:val="center"/>
                </w:tcPr>
                <w:p w14:paraId="3D3445C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sz w:val="21"/>
                      <w:szCs w:val="21"/>
                      <w:highlight w:val="yellow"/>
                      <w:u w:val="none"/>
                    </w:rPr>
                  </w:pPr>
                </w:p>
              </w:tc>
              <w:tc>
                <w:tcPr>
                  <w:tcW w:w="434" w:type="pct"/>
                  <w:vMerge w:val="continue"/>
                  <w:tcBorders>
                    <w:tl2br w:val="nil"/>
                    <w:tr2bl w:val="nil"/>
                  </w:tcBorders>
                  <w:noWrap w:val="0"/>
                  <w:tcMar>
                    <w:top w:w="0" w:type="dxa"/>
                    <w:left w:w="51" w:type="dxa"/>
                    <w:bottom w:w="0" w:type="dxa"/>
                    <w:right w:w="51" w:type="dxa"/>
                  </w:tcMar>
                  <w:vAlign w:val="center"/>
                </w:tcPr>
                <w:p w14:paraId="15CB685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r>
            <w:tr w14:paraId="6E64A6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6" w:type="pct"/>
                  <w:vMerge w:val="continue"/>
                  <w:tcBorders>
                    <w:tl2br w:val="nil"/>
                    <w:tr2bl w:val="nil"/>
                  </w:tcBorders>
                  <w:noWrap w:val="0"/>
                  <w:tcMar>
                    <w:top w:w="0" w:type="dxa"/>
                    <w:left w:w="51" w:type="dxa"/>
                    <w:bottom w:w="0" w:type="dxa"/>
                    <w:right w:w="51" w:type="dxa"/>
                  </w:tcMar>
                  <w:vAlign w:val="center"/>
                </w:tcPr>
                <w:p w14:paraId="5F8DA32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c>
                <w:tcPr>
                  <w:tcW w:w="2731" w:type="pct"/>
                  <w:gridSpan w:val="2"/>
                  <w:tcBorders>
                    <w:tl2br w:val="nil"/>
                    <w:tr2bl w:val="nil"/>
                  </w:tcBorders>
                  <w:noWrap w:val="0"/>
                  <w:tcMar>
                    <w:top w:w="0" w:type="dxa"/>
                    <w:left w:w="51" w:type="dxa"/>
                    <w:bottom w:w="0" w:type="dxa"/>
                    <w:right w:w="51" w:type="dxa"/>
                  </w:tcMar>
                  <w:vAlign w:val="center"/>
                </w:tcPr>
                <w:p w14:paraId="4231F1F7">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szCs w:val="21"/>
                      <w:highlight w:val="none"/>
                      <w:u w:val="none"/>
                      <w:lang w:val="en"/>
                    </w:rPr>
                    <w:t>鼓励有利于节能减排的技术改造项目入驻；</w:t>
                  </w:r>
                </w:p>
              </w:tc>
              <w:tc>
                <w:tcPr>
                  <w:tcW w:w="1327" w:type="pct"/>
                  <w:vMerge w:val="continue"/>
                  <w:tcBorders>
                    <w:tl2br w:val="nil"/>
                    <w:tr2bl w:val="nil"/>
                  </w:tcBorders>
                  <w:noWrap w:val="0"/>
                  <w:tcMar>
                    <w:top w:w="0" w:type="dxa"/>
                    <w:left w:w="51" w:type="dxa"/>
                    <w:bottom w:w="0" w:type="dxa"/>
                    <w:right w:w="51" w:type="dxa"/>
                  </w:tcMar>
                  <w:vAlign w:val="center"/>
                </w:tcPr>
                <w:p w14:paraId="189908B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yellow"/>
                      <w:u w:val="none"/>
                    </w:rPr>
                  </w:pPr>
                </w:p>
              </w:tc>
              <w:tc>
                <w:tcPr>
                  <w:tcW w:w="434" w:type="pct"/>
                  <w:vMerge w:val="continue"/>
                  <w:tcBorders>
                    <w:tl2br w:val="nil"/>
                    <w:tr2bl w:val="nil"/>
                  </w:tcBorders>
                  <w:noWrap w:val="0"/>
                  <w:tcMar>
                    <w:top w:w="0" w:type="dxa"/>
                    <w:left w:w="51" w:type="dxa"/>
                    <w:bottom w:w="0" w:type="dxa"/>
                    <w:right w:w="51" w:type="dxa"/>
                  </w:tcMar>
                  <w:vAlign w:val="center"/>
                </w:tcPr>
                <w:p w14:paraId="34EAB53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r>
            <w:tr w14:paraId="357341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506" w:type="pct"/>
                  <w:vMerge w:val="continue"/>
                  <w:tcBorders>
                    <w:tl2br w:val="nil"/>
                    <w:tr2bl w:val="nil"/>
                  </w:tcBorders>
                  <w:noWrap w:val="0"/>
                  <w:tcMar>
                    <w:top w:w="0" w:type="dxa"/>
                    <w:left w:w="51" w:type="dxa"/>
                    <w:bottom w:w="0" w:type="dxa"/>
                    <w:right w:w="51" w:type="dxa"/>
                  </w:tcMar>
                  <w:vAlign w:val="center"/>
                </w:tcPr>
                <w:p w14:paraId="2278410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c>
                <w:tcPr>
                  <w:tcW w:w="2731" w:type="pct"/>
                  <w:gridSpan w:val="2"/>
                  <w:tcBorders>
                    <w:tl2br w:val="nil"/>
                    <w:tr2bl w:val="nil"/>
                  </w:tcBorders>
                  <w:noWrap w:val="0"/>
                  <w:tcMar>
                    <w:top w:w="0" w:type="dxa"/>
                    <w:left w:w="51" w:type="dxa"/>
                    <w:bottom w:w="0" w:type="dxa"/>
                    <w:right w:w="51" w:type="dxa"/>
                  </w:tcMar>
                  <w:vAlign w:val="center"/>
                </w:tcPr>
                <w:p w14:paraId="788AADA4">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lang w:val="en"/>
                    </w:rPr>
                    <w:t>鼓励利于消耗中水的项目入驻；</w:t>
                  </w:r>
                </w:p>
              </w:tc>
              <w:tc>
                <w:tcPr>
                  <w:tcW w:w="1327" w:type="pct"/>
                  <w:vMerge w:val="continue"/>
                  <w:tcBorders>
                    <w:tl2br w:val="nil"/>
                    <w:tr2bl w:val="nil"/>
                  </w:tcBorders>
                  <w:noWrap w:val="0"/>
                  <w:tcMar>
                    <w:top w:w="0" w:type="dxa"/>
                    <w:left w:w="51" w:type="dxa"/>
                    <w:bottom w:w="0" w:type="dxa"/>
                    <w:right w:w="51" w:type="dxa"/>
                  </w:tcMar>
                  <w:vAlign w:val="center"/>
                </w:tcPr>
                <w:p w14:paraId="0BD83E4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yellow"/>
                      <w:u w:val="none"/>
                    </w:rPr>
                  </w:pPr>
                </w:p>
              </w:tc>
              <w:tc>
                <w:tcPr>
                  <w:tcW w:w="434" w:type="pct"/>
                  <w:vMerge w:val="continue"/>
                  <w:tcBorders>
                    <w:tl2br w:val="nil"/>
                    <w:tr2bl w:val="nil"/>
                  </w:tcBorders>
                  <w:noWrap w:val="0"/>
                  <w:tcMar>
                    <w:top w:w="0" w:type="dxa"/>
                    <w:left w:w="51" w:type="dxa"/>
                    <w:bottom w:w="0" w:type="dxa"/>
                    <w:right w:w="51" w:type="dxa"/>
                  </w:tcMar>
                  <w:vAlign w:val="center"/>
                </w:tcPr>
                <w:p w14:paraId="1056510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r>
            <w:tr w14:paraId="58D31C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6" w:type="pct"/>
                  <w:vMerge w:val="continue"/>
                  <w:tcBorders>
                    <w:tl2br w:val="nil"/>
                    <w:tr2bl w:val="nil"/>
                  </w:tcBorders>
                  <w:noWrap w:val="0"/>
                  <w:tcMar>
                    <w:top w:w="0" w:type="dxa"/>
                    <w:left w:w="51" w:type="dxa"/>
                    <w:bottom w:w="0" w:type="dxa"/>
                    <w:right w:w="51" w:type="dxa"/>
                  </w:tcMar>
                  <w:vAlign w:val="center"/>
                </w:tcPr>
                <w:p w14:paraId="6A05107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c>
                <w:tcPr>
                  <w:tcW w:w="2731" w:type="pct"/>
                  <w:gridSpan w:val="2"/>
                  <w:tcBorders>
                    <w:tl2br w:val="nil"/>
                    <w:tr2bl w:val="nil"/>
                  </w:tcBorders>
                  <w:noWrap w:val="0"/>
                  <w:tcMar>
                    <w:top w:w="0" w:type="dxa"/>
                    <w:left w:w="51" w:type="dxa"/>
                    <w:bottom w:w="0" w:type="dxa"/>
                    <w:right w:w="51" w:type="dxa"/>
                  </w:tcMar>
                  <w:vAlign w:val="center"/>
                </w:tcPr>
                <w:p w14:paraId="78CCB76F">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lang w:val="en"/>
                    </w:rPr>
                    <w:t>鼓励现有符合产业定位的高能耗、高水耗企业的清洁生产、技术升级改造；</w:t>
                  </w:r>
                </w:p>
              </w:tc>
              <w:tc>
                <w:tcPr>
                  <w:tcW w:w="1327" w:type="pct"/>
                  <w:vMerge w:val="continue"/>
                  <w:tcBorders>
                    <w:tl2br w:val="nil"/>
                    <w:tr2bl w:val="nil"/>
                  </w:tcBorders>
                  <w:noWrap w:val="0"/>
                  <w:tcMar>
                    <w:top w:w="0" w:type="dxa"/>
                    <w:left w:w="51" w:type="dxa"/>
                    <w:bottom w:w="0" w:type="dxa"/>
                    <w:right w:w="51" w:type="dxa"/>
                  </w:tcMar>
                  <w:vAlign w:val="center"/>
                </w:tcPr>
                <w:p w14:paraId="3D37BFB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yellow"/>
                      <w:u w:val="none"/>
                    </w:rPr>
                  </w:pPr>
                </w:p>
              </w:tc>
              <w:tc>
                <w:tcPr>
                  <w:tcW w:w="434" w:type="pct"/>
                  <w:vMerge w:val="continue"/>
                  <w:tcBorders>
                    <w:tl2br w:val="nil"/>
                    <w:tr2bl w:val="nil"/>
                  </w:tcBorders>
                  <w:noWrap w:val="0"/>
                  <w:tcMar>
                    <w:top w:w="0" w:type="dxa"/>
                    <w:left w:w="51" w:type="dxa"/>
                    <w:bottom w:w="0" w:type="dxa"/>
                    <w:right w:w="51" w:type="dxa"/>
                  </w:tcMar>
                  <w:vAlign w:val="center"/>
                </w:tcPr>
                <w:p w14:paraId="718D27F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r>
            <w:tr w14:paraId="57779D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506" w:type="pct"/>
                  <w:vMerge w:val="continue"/>
                  <w:tcBorders>
                    <w:tl2br w:val="nil"/>
                    <w:tr2bl w:val="nil"/>
                  </w:tcBorders>
                  <w:noWrap w:val="0"/>
                  <w:tcMar>
                    <w:top w:w="0" w:type="dxa"/>
                    <w:left w:w="51" w:type="dxa"/>
                    <w:bottom w:w="0" w:type="dxa"/>
                    <w:right w:w="51" w:type="dxa"/>
                  </w:tcMar>
                  <w:vAlign w:val="center"/>
                </w:tcPr>
                <w:p w14:paraId="37640B4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c>
                <w:tcPr>
                  <w:tcW w:w="2731" w:type="pct"/>
                  <w:gridSpan w:val="2"/>
                  <w:tcBorders>
                    <w:tl2br w:val="nil"/>
                    <w:tr2bl w:val="nil"/>
                  </w:tcBorders>
                  <w:noWrap w:val="0"/>
                  <w:tcMar>
                    <w:top w:w="0" w:type="dxa"/>
                    <w:left w:w="51" w:type="dxa"/>
                    <w:bottom w:w="0" w:type="dxa"/>
                    <w:right w:w="51" w:type="dxa"/>
                  </w:tcMar>
                  <w:vAlign w:val="center"/>
                </w:tcPr>
                <w:p w14:paraId="19EFB62B">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lang w:val="en"/>
                    </w:rPr>
                    <w:t>鼓励符合国家产业政策和集聚区产业定位的退城入园项目。</w:t>
                  </w:r>
                </w:p>
              </w:tc>
              <w:tc>
                <w:tcPr>
                  <w:tcW w:w="1327" w:type="pct"/>
                  <w:vMerge w:val="continue"/>
                  <w:tcBorders>
                    <w:tl2br w:val="nil"/>
                    <w:tr2bl w:val="nil"/>
                  </w:tcBorders>
                  <w:noWrap w:val="0"/>
                  <w:tcMar>
                    <w:top w:w="0" w:type="dxa"/>
                    <w:left w:w="51" w:type="dxa"/>
                    <w:bottom w:w="0" w:type="dxa"/>
                    <w:right w:w="51" w:type="dxa"/>
                  </w:tcMar>
                  <w:vAlign w:val="center"/>
                </w:tcPr>
                <w:p w14:paraId="18F271C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yellow"/>
                      <w:u w:val="none"/>
                    </w:rPr>
                  </w:pPr>
                </w:p>
              </w:tc>
              <w:tc>
                <w:tcPr>
                  <w:tcW w:w="434" w:type="pct"/>
                  <w:vMerge w:val="continue"/>
                  <w:tcBorders>
                    <w:tl2br w:val="nil"/>
                    <w:tr2bl w:val="nil"/>
                  </w:tcBorders>
                  <w:noWrap w:val="0"/>
                  <w:tcMar>
                    <w:top w:w="0" w:type="dxa"/>
                    <w:left w:w="51" w:type="dxa"/>
                    <w:bottom w:w="0" w:type="dxa"/>
                    <w:right w:w="51" w:type="dxa"/>
                  </w:tcMar>
                  <w:vAlign w:val="center"/>
                </w:tcPr>
                <w:p w14:paraId="1555194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r>
            <w:tr w14:paraId="28432A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506" w:type="pct"/>
                  <w:vMerge w:val="restart"/>
                  <w:tcBorders>
                    <w:tl2br w:val="nil"/>
                    <w:tr2bl w:val="nil"/>
                  </w:tcBorders>
                  <w:noWrap w:val="0"/>
                  <w:tcMar>
                    <w:top w:w="0" w:type="dxa"/>
                    <w:left w:w="51" w:type="dxa"/>
                    <w:bottom w:w="0" w:type="dxa"/>
                    <w:right w:w="51" w:type="dxa"/>
                  </w:tcMar>
                  <w:vAlign w:val="center"/>
                </w:tcPr>
                <w:p w14:paraId="35CEF7D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允许类</w:t>
                  </w:r>
                </w:p>
              </w:tc>
              <w:tc>
                <w:tcPr>
                  <w:tcW w:w="2731" w:type="pct"/>
                  <w:gridSpan w:val="2"/>
                  <w:tcBorders>
                    <w:tl2br w:val="nil"/>
                    <w:tr2bl w:val="nil"/>
                  </w:tcBorders>
                  <w:noWrap w:val="0"/>
                  <w:tcMar>
                    <w:top w:w="0" w:type="dxa"/>
                    <w:left w:w="51" w:type="dxa"/>
                    <w:bottom w:w="0" w:type="dxa"/>
                    <w:right w:w="51" w:type="dxa"/>
                  </w:tcMar>
                  <w:vAlign w:val="center"/>
                </w:tcPr>
                <w:p w14:paraId="413583E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highlight w:val="none"/>
                      <w:u w:val="none"/>
                      <w:lang w:val="en"/>
                    </w:rPr>
                    <w:t>不属于禁止、限制、鼓励行业的其余行业均为允许行业；</w:t>
                  </w:r>
                </w:p>
              </w:tc>
              <w:tc>
                <w:tcPr>
                  <w:tcW w:w="1327" w:type="pct"/>
                  <w:vMerge w:val="restart"/>
                  <w:tcBorders>
                    <w:tl2br w:val="nil"/>
                    <w:tr2bl w:val="nil"/>
                  </w:tcBorders>
                  <w:noWrap w:val="0"/>
                  <w:tcMar>
                    <w:top w:w="0" w:type="dxa"/>
                    <w:left w:w="51" w:type="dxa"/>
                    <w:bottom w:w="0" w:type="dxa"/>
                    <w:right w:w="51" w:type="dxa"/>
                  </w:tcMar>
                  <w:vAlign w:val="center"/>
                </w:tcPr>
                <w:p w14:paraId="6F1EDE7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eastAsia" w:ascii="Times New Roman" w:hAnsi="Times New Roman" w:eastAsia="宋体" w:cs="Times New Roman"/>
                      <w:color w:val="auto"/>
                      <w:kern w:val="0"/>
                      <w:sz w:val="21"/>
                      <w:szCs w:val="21"/>
                      <w:highlight w:val="yellow"/>
                      <w:u w:val="none"/>
                      <w:lang w:eastAsia="zh-CN"/>
                    </w:rPr>
                  </w:pPr>
                  <w:r>
                    <w:rPr>
                      <w:rFonts w:hint="default" w:ascii="Times New Roman" w:hAnsi="Times New Roman" w:eastAsia="宋体" w:cs="Times New Roman"/>
                      <w:color w:val="auto"/>
                      <w:kern w:val="0"/>
                      <w:sz w:val="21"/>
                      <w:szCs w:val="21"/>
                      <w:highlight w:val="none"/>
                      <w:u w:val="none"/>
                    </w:rPr>
                    <w:t>本项目</w:t>
                  </w:r>
                  <w:r>
                    <w:rPr>
                      <w:rFonts w:hint="eastAsia" w:ascii="Times New Roman" w:hAnsi="Times New Roman" w:eastAsia="宋体" w:cs="Times New Roman"/>
                      <w:color w:val="auto"/>
                      <w:kern w:val="0"/>
                      <w:sz w:val="21"/>
                      <w:szCs w:val="21"/>
                      <w:highlight w:val="none"/>
                      <w:u w:val="none"/>
                      <w:lang w:eastAsia="zh-CN"/>
                    </w:rPr>
                    <w:t>属于塑料制品业，</w:t>
                  </w:r>
                  <w:r>
                    <w:rPr>
                      <w:rFonts w:hint="eastAsia"/>
                      <w:color w:val="auto"/>
                      <w:kern w:val="0"/>
                      <w:szCs w:val="21"/>
                      <w:highlight w:val="none"/>
                      <w:lang w:bidi="ar"/>
                    </w:rPr>
                    <w:t>根据《产业结构调整</w:t>
                  </w:r>
                  <w:r>
                    <w:rPr>
                      <w:rFonts w:hint="eastAsia"/>
                      <w:color w:val="auto"/>
                      <w:kern w:val="0"/>
                      <w:szCs w:val="21"/>
                      <w:highlight w:val="none"/>
                      <w:lang w:eastAsia="zh-CN" w:bidi="ar"/>
                    </w:rPr>
                    <w:t>指导</w:t>
                  </w:r>
                  <w:r>
                    <w:rPr>
                      <w:rFonts w:hint="eastAsia"/>
                      <w:color w:val="auto"/>
                      <w:kern w:val="0"/>
                      <w:szCs w:val="21"/>
                      <w:highlight w:val="none"/>
                      <w:lang w:bidi="ar"/>
                    </w:rPr>
                    <w:t>目录</w:t>
                  </w:r>
                  <w:r>
                    <w:rPr>
                      <w:rFonts w:hint="eastAsia"/>
                      <w:color w:val="auto"/>
                      <w:kern w:val="0"/>
                      <w:szCs w:val="21"/>
                      <w:highlight w:val="none"/>
                      <w:lang w:eastAsia="zh-CN" w:bidi="ar"/>
                    </w:rPr>
                    <w:t>（</w:t>
                  </w:r>
                  <w:r>
                    <w:rPr>
                      <w:rFonts w:hint="eastAsia"/>
                      <w:color w:val="auto"/>
                      <w:kern w:val="0"/>
                      <w:szCs w:val="21"/>
                      <w:highlight w:val="none"/>
                      <w:lang w:bidi="ar"/>
                    </w:rPr>
                    <w:t>20</w:t>
                  </w:r>
                  <w:r>
                    <w:rPr>
                      <w:rFonts w:hint="eastAsia"/>
                      <w:color w:val="auto"/>
                      <w:kern w:val="0"/>
                      <w:szCs w:val="21"/>
                      <w:highlight w:val="none"/>
                      <w:lang w:val="en-US" w:eastAsia="zh-CN" w:bidi="ar"/>
                    </w:rPr>
                    <w:t>24</w:t>
                  </w:r>
                  <w:r>
                    <w:rPr>
                      <w:rFonts w:hint="eastAsia"/>
                      <w:color w:val="auto"/>
                      <w:kern w:val="0"/>
                      <w:szCs w:val="21"/>
                      <w:highlight w:val="none"/>
                      <w:lang w:bidi="ar"/>
                    </w:rPr>
                    <w:t>年本</w:t>
                  </w:r>
                  <w:r>
                    <w:rPr>
                      <w:rFonts w:hint="eastAsia"/>
                      <w:color w:val="auto"/>
                      <w:kern w:val="0"/>
                      <w:szCs w:val="21"/>
                      <w:highlight w:val="none"/>
                      <w:lang w:eastAsia="zh-CN" w:bidi="ar"/>
                    </w:rPr>
                    <w:t>）</w:t>
                  </w:r>
                  <w:r>
                    <w:rPr>
                      <w:rFonts w:hint="eastAsia"/>
                      <w:color w:val="auto"/>
                      <w:kern w:val="0"/>
                      <w:szCs w:val="21"/>
                      <w:highlight w:val="none"/>
                      <w:lang w:bidi="ar"/>
                    </w:rPr>
                    <w:t>》，本项目</w:t>
                  </w:r>
                  <w:r>
                    <w:rPr>
                      <w:rFonts w:hint="eastAsia"/>
                      <w:color w:val="auto"/>
                      <w:kern w:val="0"/>
                      <w:szCs w:val="21"/>
                      <w:highlight w:val="none"/>
                      <w:lang w:eastAsia="zh-CN" w:bidi="ar"/>
                    </w:rPr>
                    <w:t>不属于淘汰类、限制类、鼓励类，为允许类，不属于开发区禁止入驻产业。</w:t>
                  </w:r>
                </w:p>
              </w:tc>
              <w:tc>
                <w:tcPr>
                  <w:tcW w:w="434" w:type="pct"/>
                  <w:vMerge w:val="restart"/>
                  <w:tcBorders>
                    <w:tl2br w:val="nil"/>
                    <w:tr2bl w:val="nil"/>
                  </w:tcBorders>
                  <w:noWrap w:val="0"/>
                  <w:tcMar>
                    <w:top w:w="0" w:type="dxa"/>
                    <w:left w:w="51" w:type="dxa"/>
                    <w:bottom w:w="0" w:type="dxa"/>
                    <w:right w:w="51" w:type="dxa"/>
                  </w:tcMar>
                  <w:vAlign w:val="center"/>
                </w:tcPr>
                <w:p w14:paraId="4A82002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符合</w:t>
                  </w:r>
                </w:p>
              </w:tc>
            </w:tr>
            <w:tr w14:paraId="5C57C1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6" w:type="pct"/>
                  <w:vMerge w:val="continue"/>
                  <w:tcBorders>
                    <w:tl2br w:val="nil"/>
                    <w:tr2bl w:val="nil"/>
                  </w:tcBorders>
                  <w:noWrap w:val="0"/>
                  <w:tcMar>
                    <w:top w:w="0" w:type="dxa"/>
                    <w:left w:w="51" w:type="dxa"/>
                    <w:bottom w:w="0" w:type="dxa"/>
                    <w:right w:w="51" w:type="dxa"/>
                  </w:tcMar>
                  <w:vAlign w:val="center"/>
                </w:tcPr>
                <w:p w14:paraId="12810A4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c>
                <w:tcPr>
                  <w:tcW w:w="2731" w:type="pct"/>
                  <w:gridSpan w:val="2"/>
                  <w:tcBorders>
                    <w:tl2br w:val="nil"/>
                    <w:tr2bl w:val="nil"/>
                  </w:tcBorders>
                  <w:noWrap w:val="0"/>
                  <w:tcMar>
                    <w:top w:w="0" w:type="dxa"/>
                    <w:left w:w="51" w:type="dxa"/>
                    <w:bottom w:w="0" w:type="dxa"/>
                    <w:right w:w="51" w:type="dxa"/>
                  </w:tcMar>
                  <w:vAlign w:val="center"/>
                </w:tcPr>
                <w:p w14:paraId="47C51D8B">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lang w:val="en"/>
                    </w:rPr>
                    <w:t>允许与集聚区及周边企业相配套的产业链条延伸项目入驻。</w:t>
                  </w:r>
                </w:p>
              </w:tc>
              <w:tc>
                <w:tcPr>
                  <w:tcW w:w="1327" w:type="pct"/>
                  <w:vMerge w:val="continue"/>
                  <w:tcBorders>
                    <w:tl2br w:val="nil"/>
                    <w:tr2bl w:val="nil"/>
                  </w:tcBorders>
                  <w:noWrap w:val="0"/>
                  <w:tcMar>
                    <w:top w:w="0" w:type="dxa"/>
                    <w:left w:w="51" w:type="dxa"/>
                    <w:bottom w:w="0" w:type="dxa"/>
                    <w:right w:w="51" w:type="dxa"/>
                  </w:tcMar>
                  <w:vAlign w:val="center"/>
                </w:tcPr>
                <w:p w14:paraId="63186C4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c>
                <w:tcPr>
                  <w:tcW w:w="434" w:type="pct"/>
                  <w:vMerge w:val="continue"/>
                  <w:tcBorders>
                    <w:tl2br w:val="nil"/>
                    <w:tr2bl w:val="nil"/>
                  </w:tcBorders>
                  <w:noWrap w:val="0"/>
                  <w:tcMar>
                    <w:top w:w="0" w:type="dxa"/>
                    <w:left w:w="51" w:type="dxa"/>
                    <w:bottom w:w="0" w:type="dxa"/>
                    <w:right w:w="51" w:type="dxa"/>
                  </w:tcMar>
                  <w:vAlign w:val="center"/>
                </w:tcPr>
                <w:p w14:paraId="1BBC55A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p>
              </w:tc>
            </w:tr>
            <w:tr w14:paraId="765C1A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506" w:type="pct"/>
                  <w:tcBorders>
                    <w:tl2br w:val="nil"/>
                    <w:tr2bl w:val="nil"/>
                  </w:tcBorders>
                  <w:noWrap w:val="0"/>
                  <w:tcMar>
                    <w:top w:w="0" w:type="dxa"/>
                    <w:left w:w="51" w:type="dxa"/>
                    <w:bottom w:w="0" w:type="dxa"/>
                    <w:right w:w="51" w:type="dxa"/>
                  </w:tcMar>
                  <w:vAlign w:val="center"/>
                </w:tcPr>
                <w:p w14:paraId="2CDAE0F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禁止类</w:t>
                  </w:r>
                </w:p>
              </w:tc>
              <w:tc>
                <w:tcPr>
                  <w:tcW w:w="2731" w:type="pct"/>
                  <w:gridSpan w:val="2"/>
                  <w:tcBorders>
                    <w:tl2br w:val="nil"/>
                    <w:tr2bl w:val="nil"/>
                  </w:tcBorders>
                  <w:noWrap w:val="0"/>
                  <w:tcMar>
                    <w:top w:w="0" w:type="dxa"/>
                    <w:left w:w="51" w:type="dxa"/>
                    <w:bottom w:w="0" w:type="dxa"/>
                    <w:right w:w="51" w:type="dxa"/>
                  </w:tcMar>
                  <w:vAlign w:val="center"/>
                </w:tcPr>
                <w:p w14:paraId="16244E25">
                  <w:pPr>
                    <w:pStyle w:val="63"/>
                    <w:keepNext w:val="0"/>
                    <w:keepLines w:val="0"/>
                    <w:pageBreakBefore w:val="0"/>
                    <w:widowControl w:val="0"/>
                    <w:suppressLineNumbers w:val="0"/>
                    <w:kinsoku/>
                    <w:wordWrap/>
                    <w:overflowPunct/>
                    <w:topLinePunct w:val="0"/>
                    <w:bidi w:val="0"/>
                    <w:adjustRightInd w:val="0"/>
                    <w:snapToGrid w:val="0"/>
                    <w:spacing w:before="0" w:beforeLines="0" w:beforeAutospacing="0" w:after="0" w:afterLines="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auto"/>
                      <w:sz w:val="21"/>
                      <w:szCs w:val="21"/>
                      <w:highlight w:val="none"/>
                      <w:u w:val="none"/>
                      <w:lang w:val="en"/>
                    </w:rPr>
                    <w:t>禁止入驻列入汤阴县产业集聚区负面清单中的项目。</w:t>
                  </w:r>
                </w:p>
              </w:tc>
              <w:tc>
                <w:tcPr>
                  <w:tcW w:w="1327" w:type="pct"/>
                  <w:tcBorders>
                    <w:tl2br w:val="nil"/>
                    <w:tr2bl w:val="nil"/>
                  </w:tcBorders>
                  <w:noWrap w:val="0"/>
                  <w:tcMar>
                    <w:top w:w="0" w:type="dxa"/>
                    <w:left w:w="51" w:type="dxa"/>
                    <w:bottom w:w="0" w:type="dxa"/>
                    <w:right w:w="51" w:type="dxa"/>
                  </w:tcMar>
                  <w:vAlign w:val="center"/>
                </w:tcPr>
                <w:p w14:paraId="4F86E35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lang w:eastAsia="zh-CN"/>
                    </w:rPr>
                    <w:t>本项目</w:t>
                  </w:r>
                  <w:r>
                    <w:rPr>
                      <w:rFonts w:hint="default" w:ascii="Times New Roman" w:hAnsi="Times New Roman" w:eastAsia="宋体" w:cs="Times New Roman"/>
                      <w:color w:val="auto"/>
                      <w:kern w:val="0"/>
                      <w:sz w:val="21"/>
                      <w:szCs w:val="21"/>
                      <w:highlight w:val="none"/>
                      <w:u w:val="none"/>
                    </w:rPr>
                    <w:t>未列入</w:t>
                  </w:r>
                  <w:r>
                    <w:rPr>
                      <w:rFonts w:hint="default" w:ascii="Times New Roman" w:hAnsi="Times New Roman" w:eastAsia="宋体" w:cs="Times New Roman"/>
                      <w:color w:val="auto"/>
                      <w:kern w:val="0"/>
                      <w:sz w:val="21"/>
                      <w:szCs w:val="21"/>
                      <w:highlight w:val="none"/>
                      <w:u w:val="none"/>
                      <w:lang w:val="en"/>
                    </w:rPr>
                    <w:t>汤阴县产业集聚区负面清单</w:t>
                  </w:r>
                  <w:r>
                    <w:rPr>
                      <w:rFonts w:hint="default" w:ascii="Times New Roman" w:hAnsi="Times New Roman" w:eastAsia="宋体" w:cs="Times New Roman"/>
                      <w:color w:val="auto"/>
                      <w:kern w:val="0"/>
                      <w:sz w:val="21"/>
                      <w:szCs w:val="21"/>
                      <w:highlight w:val="none"/>
                      <w:u w:val="none"/>
                    </w:rPr>
                    <w:t>。</w:t>
                  </w:r>
                </w:p>
              </w:tc>
              <w:tc>
                <w:tcPr>
                  <w:tcW w:w="434" w:type="pct"/>
                  <w:tcBorders>
                    <w:tl2br w:val="nil"/>
                    <w:tr2bl w:val="nil"/>
                  </w:tcBorders>
                  <w:noWrap w:val="0"/>
                  <w:tcMar>
                    <w:top w:w="0" w:type="dxa"/>
                    <w:left w:w="51" w:type="dxa"/>
                    <w:bottom w:w="0" w:type="dxa"/>
                    <w:right w:w="51" w:type="dxa"/>
                  </w:tcMar>
                  <w:vAlign w:val="center"/>
                </w:tcPr>
                <w:p w14:paraId="5794F42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符合</w:t>
                  </w:r>
                </w:p>
              </w:tc>
            </w:tr>
            <w:tr w14:paraId="4D746D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506" w:type="pct"/>
                  <w:vMerge w:val="restart"/>
                  <w:tcBorders>
                    <w:tl2br w:val="nil"/>
                    <w:tr2bl w:val="nil"/>
                  </w:tcBorders>
                  <w:noWrap w:val="0"/>
                  <w:tcMar>
                    <w:top w:w="0" w:type="dxa"/>
                    <w:left w:w="51" w:type="dxa"/>
                    <w:bottom w:w="0" w:type="dxa"/>
                    <w:right w:w="51" w:type="dxa"/>
                  </w:tcMar>
                  <w:vAlign w:val="center"/>
                </w:tcPr>
                <w:p w14:paraId="30BB21A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产业发展</w:t>
                  </w:r>
                </w:p>
              </w:tc>
              <w:tc>
                <w:tcPr>
                  <w:tcW w:w="315" w:type="pct"/>
                  <w:tcBorders>
                    <w:tl2br w:val="nil"/>
                    <w:tr2bl w:val="nil"/>
                  </w:tcBorders>
                  <w:noWrap w:val="0"/>
                  <w:tcMar>
                    <w:top w:w="0" w:type="dxa"/>
                    <w:left w:w="51" w:type="dxa"/>
                    <w:bottom w:w="0" w:type="dxa"/>
                    <w:right w:w="51" w:type="dxa"/>
                  </w:tcMar>
                  <w:vAlign w:val="center"/>
                </w:tcPr>
                <w:p w14:paraId="6C3C275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szCs w:val="21"/>
                      <w:highlight w:val="none"/>
                      <w:u w:val="none"/>
                      <w:lang w:val="en"/>
                    </w:rPr>
                    <w:t>医药行业</w:t>
                  </w:r>
                </w:p>
              </w:tc>
              <w:tc>
                <w:tcPr>
                  <w:tcW w:w="2416" w:type="pct"/>
                  <w:tcBorders>
                    <w:tl2br w:val="nil"/>
                    <w:tr2bl w:val="nil"/>
                  </w:tcBorders>
                  <w:noWrap w:val="0"/>
                  <w:tcMar>
                    <w:top w:w="0" w:type="dxa"/>
                    <w:left w:w="51" w:type="dxa"/>
                    <w:bottom w:w="0" w:type="dxa"/>
                    <w:right w:w="51" w:type="dxa"/>
                  </w:tcMar>
                  <w:vAlign w:val="center"/>
                </w:tcPr>
                <w:p w14:paraId="37362E5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eastAsia" w:ascii="Times New Roman" w:hAnsi="Times New Roman" w:eastAsia="宋体" w:cs="Times New Roman"/>
                      <w:color w:val="auto"/>
                      <w:sz w:val="21"/>
                      <w:szCs w:val="21"/>
                      <w:highlight w:val="none"/>
                      <w:u w:val="none"/>
                      <w:lang w:val="en" w:eastAsia="zh-CN"/>
                    </w:rPr>
                  </w:pPr>
                  <w:r>
                    <w:rPr>
                      <w:rFonts w:hint="default" w:ascii="Times New Roman" w:hAnsi="Times New Roman" w:eastAsia="宋体" w:cs="Times New Roman"/>
                      <w:color w:val="auto"/>
                      <w:sz w:val="21"/>
                      <w:szCs w:val="21"/>
                      <w:highlight w:val="none"/>
                      <w:u w:val="none"/>
                      <w:lang w:val="en"/>
                    </w:rPr>
                    <w:t>重点发展中药类制药、混装制剂类制药、提取类制药以及生物工程类制药</w:t>
                  </w:r>
                  <w:r>
                    <w:rPr>
                      <w:rFonts w:hint="eastAsia" w:ascii="Times New Roman" w:hAnsi="Times New Roman" w:eastAsia="宋体" w:cs="Times New Roman"/>
                      <w:color w:val="auto"/>
                      <w:sz w:val="21"/>
                      <w:szCs w:val="21"/>
                      <w:highlight w:val="none"/>
                      <w:u w:val="none"/>
                      <w:lang w:val="en" w:eastAsia="zh-CN"/>
                    </w:rPr>
                    <w:t>。</w:t>
                  </w:r>
                </w:p>
              </w:tc>
              <w:tc>
                <w:tcPr>
                  <w:tcW w:w="1327" w:type="pct"/>
                  <w:vMerge w:val="restart"/>
                  <w:tcBorders>
                    <w:tl2br w:val="nil"/>
                    <w:tr2bl w:val="nil"/>
                  </w:tcBorders>
                  <w:noWrap w:val="0"/>
                  <w:tcMar>
                    <w:top w:w="0" w:type="dxa"/>
                    <w:left w:w="51" w:type="dxa"/>
                    <w:bottom w:w="0" w:type="dxa"/>
                    <w:right w:w="51" w:type="dxa"/>
                  </w:tcMar>
                  <w:vAlign w:val="center"/>
                </w:tcPr>
                <w:p w14:paraId="35854A74">
                  <w:pPr>
                    <w:pStyle w:val="28"/>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firstLine="0" w:firstLineChars="0"/>
                    <w:jc w:val="both"/>
                    <w:textAlignment w:val="auto"/>
                    <w:rPr>
                      <w:rFonts w:hint="eastAsia" w:ascii="Times New Roman" w:hAnsi="Times New Roman" w:eastAsia="宋体" w:cs="Times New Roman"/>
                      <w:color w:val="auto"/>
                      <w:kern w:val="0"/>
                      <w:sz w:val="21"/>
                      <w:szCs w:val="21"/>
                      <w:highlight w:val="none"/>
                      <w:u w:val="none"/>
                      <w:lang w:eastAsia="zh-CN"/>
                    </w:rPr>
                  </w:pPr>
                  <w:r>
                    <w:rPr>
                      <w:rFonts w:hint="eastAsia" w:ascii="Times New Roman" w:hAnsi="Times New Roman" w:eastAsia="宋体" w:cs="Times New Roman"/>
                      <w:color w:val="auto"/>
                      <w:kern w:val="0"/>
                      <w:sz w:val="21"/>
                      <w:szCs w:val="21"/>
                      <w:highlight w:val="none"/>
                      <w:u w:val="none"/>
                      <w:lang w:eastAsia="zh-CN"/>
                    </w:rPr>
                    <w:t>本项目属于</w:t>
                  </w:r>
                  <w:r>
                    <w:rPr>
                      <w:rFonts w:hint="eastAsia" w:cs="Times New Roman"/>
                      <w:color w:val="auto"/>
                      <w:kern w:val="0"/>
                      <w:sz w:val="21"/>
                      <w:szCs w:val="21"/>
                      <w:highlight w:val="none"/>
                      <w:u w:val="none"/>
                      <w:lang w:eastAsia="zh-CN"/>
                    </w:rPr>
                    <w:t>塑料制品业，不属于开发区禁止入驻产业。</w:t>
                  </w:r>
                </w:p>
              </w:tc>
              <w:tc>
                <w:tcPr>
                  <w:tcW w:w="434" w:type="pct"/>
                  <w:tcBorders>
                    <w:tl2br w:val="nil"/>
                    <w:tr2bl w:val="nil"/>
                  </w:tcBorders>
                  <w:noWrap w:val="0"/>
                  <w:tcMar>
                    <w:top w:w="0" w:type="dxa"/>
                    <w:left w:w="51" w:type="dxa"/>
                    <w:bottom w:w="0" w:type="dxa"/>
                    <w:right w:w="51" w:type="dxa"/>
                  </w:tcMar>
                  <w:vAlign w:val="center"/>
                </w:tcPr>
                <w:p w14:paraId="052407D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w:t>
                  </w:r>
                </w:p>
              </w:tc>
            </w:tr>
            <w:tr w14:paraId="2EFD42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6" w:type="pct"/>
                  <w:vMerge w:val="continue"/>
                  <w:tcBorders>
                    <w:tl2br w:val="nil"/>
                    <w:tr2bl w:val="nil"/>
                  </w:tcBorders>
                  <w:noWrap w:val="0"/>
                  <w:tcMar>
                    <w:top w:w="0" w:type="dxa"/>
                    <w:left w:w="51" w:type="dxa"/>
                    <w:bottom w:w="0" w:type="dxa"/>
                    <w:right w:w="51" w:type="dxa"/>
                  </w:tcMar>
                  <w:vAlign w:val="center"/>
                </w:tcPr>
                <w:p w14:paraId="0A7EB8B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c>
                <w:tcPr>
                  <w:tcW w:w="315" w:type="pct"/>
                  <w:tcBorders>
                    <w:tl2br w:val="nil"/>
                    <w:tr2bl w:val="nil"/>
                  </w:tcBorders>
                  <w:noWrap w:val="0"/>
                  <w:tcMar>
                    <w:top w:w="0" w:type="dxa"/>
                    <w:left w:w="51" w:type="dxa"/>
                    <w:bottom w:w="0" w:type="dxa"/>
                    <w:right w:w="51" w:type="dxa"/>
                  </w:tcMar>
                  <w:vAlign w:val="center"/>
                </w:tcPr>
                <w:p w14:paraId="5AA3302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szCs w:val="21"/>
                      <w:highlight w:val="none"/>
                      <w:u w:val="none"/>
                      <w:lang w:val="en"/>
                    </w:rPr>
                    <w:t>食品行业</w:t>
                  </w:r>
                </w:p>
              </w:tc>
              <w:tc>
                <w:tcPr>
                  <w:tcW w:w="2416" w:type="pct"/>
                  <w:tcBorders>
                    <w:tl2br w:val="nil"/>
                    <w:tr2bl w:val="nil"/>
                  </w:tcBorders>
                  <w:noWrap w:val="0"/>
                  <w:tcMar>
                    <w:top w:w="0" w:type="dxa"/>
                    <w:left w:w="51" w:type="dxa"/>
                    <w:bottom w:w="0" w:type="dxa"/>
                    <w:right w:w="51" w:type="dxa"/>
                  </w:tcMar>
                  <w:vAlign w:val="center"/>
                </w:tcPr>
                <w:p w14:paraId="2744AF1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szCs w:val="21"/>
                      <w:highlight w:val="none"/>
                      <w:u w:val="none"/>
                      <w:lang w:val="en"/>
                    </w:rPr>
                    <w:t>重点发展农副食品加工工业和</w:t>
                  </w:r>
                  <w:r>
                    <w:rPr>
                      <w:rFonts w:hint="eastAsia" w:cs="Times New Roman"/>
                      <w:color w:val="auto"/>
                      <w:sz w:val="21"/>
                      <w:szCs w:val="21"/>
                      <w:highlight w:val="none"/>
                      <w:u w:val="none"/>
                      <w:lang w:val="en" w:eastAsia="zh-CN"/>
                    </w:rPr>
                    <w:t>塑料制品业</w:t>
                  </w:r>
                  <w:r>
                    <w:rPr>
                      <w:rFonts w:hint="default" w:ascii="Times New Roman" w:hAnsi="Times New Roman" w:eastAsia="宋体" w:cs="Times New Roman"/>
                      <w:color w:val="auto"/>
                      <w:sz w:val="21"/>
                      <w:szCs w:val="21"/>
                      <w:highlight w:val="none"/>
                      <w:u w:val="none"/>
                      <w:lang w:val="en"/>
                    </w:rPr>
                    <w:t>；适当发展酒、饮料和精制茶制造业。鼓励发展膨化食品、饼干等后续加工高附加值的休闲食品类项目。</w:t>
                  </w:r>
                </w:p>
              </w:tc>
              <w:tc>
                <w:tcPr>
                  <w:tcW w:w="1327" w:type="pct"/>
                  <w:vMerge w:val="continue"/>
                  <w:tcBorders>
                    <w:tl2br w:val="nil"/>
                    <w:tr2bl w:val="nil"/>
                  </w:tcBorders>
                  <w:noWrap w:val="0"/>
                  <w:tcMar>
                    <w:top w:w="0" w:type="dxa"/>
                    <w:left w:w="51" w:type="dxa"/>
                    <w:bottom w:w="0" w:type="dxa"/>
                    <w:right w:w="51" w:type="dxa"/>
                  </w:tcMar>
                  <w:vAlign w:val="center"/>
                </w:tcPr>
                <w:p w14:paraId="7B41E35C">
                  <w:pPr>
                    <w:pStyle w:val="28"/>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firstLine="0" w:firstLineChars="0"/>
                    <w:jc w:val="both"/>
                    <w:textAlignment w:val="auto"/>
                    <w:rPr>
                      <w:rFonts w:hint="eastAsia" w:ascii="Times New Roman" w:hAnsi="Times New Roman" w:eastAsia="宋体" w:cs="Times New Roman"/>
                      <w:color w:val="auto"/>
                      <w:kern w:val="0"/>
                      <w:sz w:val="21"/>
                      <w:szCs w:val="21"/>
                      <w:highlight w:val="none"/>
                      <w:u w:val="none"/>
                      <w:lang w:eastAsia="zh-CN"/>
                    </w:rPr>
                  </w:pPr>
                </w:p>
              </w:tc>
              <w:tc>
                <w:tcPr>
                  <w:tcW w:w="434" w:type="pct"/>
                  <w:tcBorders>
                    <w:tl2br w:val="nil"/>
                    <w:tr2bl w:val="nil"/>
                  </w:tcBorders>
                  <w:noWrap w:val="0"/>
                  <w:tcMar>
                    <w:top w:w="0" w:type="dxa"/>
                    <w:left w:w="51" w:type="dxa"/>
                    <w:bottom w:w="0" w:type="dxa"/>
                    <w:right w:w="51" w:type="dxa"/>
                  </w:tcMar>
                  <w:vAlign w:val="center"/>
                </w:tcPr>
                <w:p w14:paraId="6E56E2D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w:t>
                  </w:r>
                </w:p>
              </w:tc>
            </w:tr>
            <w:tr w14:paraId="56DBF1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6" w:type="pct"/>
                  <w:vMerge w:val="continue"/>
                  <w:tcBorders>
                    <w:tl2br w:val="nil"/>
                    <w:tr2bl w:val="nil"/>
                  </w:tcBorders>
                  <w:noWrap w:val="0"/>
                  <w:tcMar>
                    <w:top w:w="0" w:type="dxa"/>
                    <w:left w:w="51" w:type="dxa"/>
                    <w:bottom w:w="0" w:type="dxa"/>
                    <w:right w:w="51" w:type="dxa"/>
                  </w:tcMar>
                  <w:vAlign w:val="center"/>
                </w:tcPr>
                <w:p w14:paraId="5041D69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c>
                <w:tcPr>
                  <w:tcW w:w="315" w:type="pct"/>
                  <w:tcBorders>
                    <w:tl2br w:val="nil"/>
                    <w:tr2bl w:val="nil"/>
                  </w:tcBorders>
                  <w:noWrap w:val="0"/>
                  <w:tcMar>
                    <w:top w:w="0" w:type="dxa"/>
                    <w:left w:w="51" w:type="dxa"/>
                    <w:bottom w:w="0" w:type="dxa"/>
                    <w:right w:w="51" w:type="dxa"/>
                  </w:tcMar>
                  <w:vAlign w:val="center"/>
                </w:tcPr>
                <w:p w14:paraId="78F2DCD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szCs w:val="21"/>
                      <w:highlight w:val="none"/>
                      <w:u w:val="none"/>
                      <w:lang w:val="en"/>
                    </w:rPr>
                    <w:t>加工制造</w:t>
                  </w:r>
                </w:p>
              </w:tc>
              <w:tc>
                <w:tcPr>
                  <w:tcW w:w="2416" w:type="pct"/>
                  <w:tcBorders>
                    <w:tl2br w:val="nil"/>
                    <w:tr2bl w:val="nil"/>
                  </w:tcBorders>
                  <w:noWrap w:val="0"/>
                  <w:tcMar>
                    <w:top w:w="0" w:type="dxa"/>
                    <w:left w:w="51" w:type="dxa"/>
                    <w:bottom w:w="0" w:type="dxa"/>
                    <w:right w:w="51" w:type="dxa"/>
                  </w:tcMar>
                  <w:vAlign w:val="center"/>
                </w:tcPr>
                <w:p w14:paraId="036CFC18">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szCs w:val="21"/>
                      <w:highlight w:val="none"/>
                      <w:u w:val="none"/>
                      <w:lang w:val="en"/>
                    </w:rPr>
                    <w:t>重点发展装备制造业和专用装备制造，鼓励发展与集聚区产业定位相关联的加工项目，如医药、食品包装加工等上下游配套产品类项目。</w:t>
                  </w:r>
                </w:p>
              </w:tc>
              <w:tc>
                <w:tcPr>
                  <w:tcW w:w="1327" w:type="pct"/>
                  <w:vMerge w:val="continue"/>
                  <w:tcBorders>
                    <w:tl2br w:val="nil"/>
                    <w:tr2bl w:val="nil"/>
                  </w:tcBorders>
                  <w:noWrap w:val="0"/>
                  <w:tcMar>
                    <w:top w:w="0" w:type="dxa"/>
                    <w:left w:w="51" w:type="dxa"/>
                    <w:bottom w:w="0" w:type="dxa"/>
                    <w:right w:w="51" w:type="dxa"/>
                  </w:tcMar>
                  <w:vAlign w:val="center"/>
                </w:tcPr>
                <w:p w14:paraId="4A6E1985">
                  <w:pPr>
                    <w:pStyle w:val="28"/>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firstLine="0" w:firstLineChars="0"/>
                    <w:jc w:val="both"/>
                    <w:textAlignment w:val="auto"/>
                    <w:rPr>
                      <w:rFonts w:hint="default" w:ascii="Times New Roman" w:hAnsi="Times New Roman" w:eastAsia="宋体" w:cs="Times New Roman"/>
                      <w:color w:val="auto"/>
                      <w:kern w:val="0"/>
                      <w:sz w:val="21"/>
                      <w:szCs w:val="21"/>
                      <w:highlight w:val="none"/>
                      <w:u w:val="none"/>
                    </w:rPr>
                  </w:pPr>
                </w:p>
              </w:tc>
              <w:tc>
                <w:tcPr>
                  <w:tcW w:w="434" w:type="pct"/>
                  <w:tcBorders>
                    <w:tl2br w:val="nil"/>
                    <w:tr2bl w:val="nil"/>
                  </w:tcBorders>
                  <w:noWrap w:val="0"/>
                  <w:tcMar>
                    <w:top w:w="0" w:type="dxa"/>
                    <w:left w:w="51" w:type="dxa"/>
                    <w:bottom w:w="0" w:type="dxa"/>
                    <w:right w:w="51" w:type="dxa"/>
                  </w:tcMar>
                  <w:vAlign w:val="center"/>
                </w:tcPr>
                <w:p w14:paraId="699D57B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符合</w:t>
                  </w:r>
                </w:p>
              </w:tc>
            </w:tr>
            <w:tr w14:paraId="1C4BAE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506" w:type="pct"/>
                  <w:vMerge w:val="restart"/>
                  <w:tcBorders>
                    <w:tl2br w:val="nil"/>
                    <w:tr2bl w:val="nil"/>
                  </w:tcBorders>
                  <w:noWrap w:val="0"/>
                  <w:tcMar>
                    <w:top w:w="0" w:type="dxa"/>
                    <w:left w:w="51" w:type="dxa"/>
                    <w:bottom w:w="0" w:type="dxa"/>
                    <w:right w:w="51" w:type="dxa"/>
                  </w:tcMar>
                  <w:vAlign w:val="center"/>
                </w:tcPr>
                <w:p w14:paraId="3276D4B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sz w:val="21"/>
                      <w:szCs w:val="21"/>
                      <w:highlight w:val="none"/>
                      <w:u w:val="none"/>
                      <w:lang w:val="en"/>
                    </w:rPr>
                    <w:t>生产规模和工艺技术先进性要求</w:t>
                  </w:r>
                </w:p>
              </w:tc>
              <w:tc>
                <w:tcPr>
                  <w:tcW w:w="2731" w:type="pct"/>
                  <w:gridSpan w:val="2"/>
                  <w:tcBorders>
                    <w:tl2br w:val="nil"/>
                    <w:tr2bl w:val="nil"/>
                  </w:tcBorders>
                  <w:noWrap w:val="0"/>
                  <w:tcMar>
                    <w:top w:w="0" w:type="dxa"/>
                    <w:left w:w="51" w:type="dxa"/>
                    <w:bottom w:w="0" w:type="dxa"/>
                    <w:right w:w="51" w:type="dxa"/>
                  </w:tcMar>
                  <w:vAlign w:val="center"/>
                </w:tcPr>
                <w:p w14:paraId="1B42172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szCs w:val="21"/>
                      <w:highlight w:val="none"/>
                      <w:u w:val="none"/>
                      <w:lang w:val="en"/>
                    </w:rPr>
                    <w:t>在工艺技术水平上，要求入驻聚集区的项目必须达到国内同行业领先水平或具备国际先进水平；</w:t>
                  </w:r>
                </w:p>
              </w:tc>
              <w:tc>
                <w:tcPr>
                  <w:tcW w:w="1327" w:type="pct"/>
                  <w:tcBorders>
                    <w:tl2br w:val="nil"/>
                    <w:tr2bl w:val="nil"/>
                  </w:tcBorders>
                  <w:noWrap w:val="0"/>
                  <w:tcMar>
                    <w:top w:w="0" w:type="dxa"/>
                    <w:left w:w="51" w:type="dxa"/>
                    <w:bottom w:w="0" w:type="dxa"/>
                    <w:right w:w="51" w:type="dxa"/>
                  </w:tcMar>
                  <w:vAlign w:val="center"/>
                </w:tcPr>
                <w:p w14:paraId="0AE7CE5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项目工艺技术水平</w:t>
                  </w:r>
                  <w:r>
                    <w:rPr>
                      <w:rFonts w:hint="default" w:ascii="Times New Roman" w:hAnsi="Times New Roman" w:eastAsia="宋体" w:cs="Times New Roman"/>
                      <w:color w:val="auto"/>
                      <w:kern w:val="0"/>
                      <w:sz w:val="21"/>
                      <w:szCs w:val="21"/>
                      <w:highlight w:val="none"/>
                      <w:u w:val="none"/>
                      <w:lang w:val="en"/>
                    </w:rPr>
                    <w:t>达到国内同行业领先水平</w:t>
                  </w:r>
                  <w:r>
                    <w:rPr>
                      <w:rFonts w:hint="default" w:ascii="Times New Roman" w:hAnsi="Times New Roman" w:eastAsia="宋体" w:cs="Times New Roman"/>
                      <w:color w:val="auto"/>
                      <w:kern w:val="0"/>
                      <w:sz w:val="21"/>
                      <w:szCs w:val="21"/>
                      <w:highlight w:val="none"/>
                      <w:u w:val="none"/>
                    </w:rPr>
                    <w:t>。</w:t>
                  </w:r>
                </w:p>
              </w:tc>
              <w:tc>
                <w:tcPr>
                  <w:tcW w:w="434" w:type="pct"/>
                  <w:tcBorders>
                    <w:tl2br w:val="nil"/>
                    <w:tr2bl w:val="nil"/>
                  </w:tcBorders>
                  <w:noWrap w:val="0"/>
                  <w:tcMar>
                    <w:top w:w="0" w:type="dxa"/>
                    <w:left w:w="51" w:type="dxa"/>
                    <w:bottom w:w="0" w:type="dxa"/>
                    <w:right w:w="51" w:type="dxa"/>
                  </w:tcMar>
                  <w:vAlign w:val="center"/>
                </w:tcPr>
                <w:p w14:paraId="3CBB21C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符合</w:t>
                  </w:r>
                </w:p>
              </w:tc>
            </w:tr>
            <w:tr w14:paraId="0A23F9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506" w:type="pct"/>
                  <w:vMerge w:val="continue"/>
                  <w:tcBorders>
                    <w:tl2br w:val="nil"/>
                    <w:tr2bl w:val="nil"/>
                  </w:tcBorders>
                  <w:noWrap w:val="0"/>
                  <w:tcMar>
                    <w:top w:w="0" w:type="dxa"/>
                    <w:left w:w="51" w:type="dxa"/>
                    <w:bottom w:w="0" w:type="dxa"/>
                    <w:right w:w="51" w:type="dxa"/>
                  </w:tcMar>
                  <w:vAlign w:val="center"/>
                </w:tcPr>
                <w:p w14:paraId="5462253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c>
                <w:tcPr>
                  <w:tcW w:w="2731" w:type="pct"/>
                  <w:gridSpan w:val="2"/>
                  <w:tcBorders>
                    <w:tl2br w:val="nil"/>
                    <w:tr2bl w:val="nil"/>
                  </w:tcBorders>
                  <w:noWrap w:val="0"/>
                  <w:tcMar>
                    <w:top w:w="0" w:type="dxa"/>
                    <w:left w:w="51" w:type="dxa"/>
                    <w:bottom w:w="0" w:type="dxa"/>
                    <w:right w:w="51" w:type="dxa"/>
                  </w:tcMar>
                  <w:vAlign w:val="center"/>
                </w:tcPr>
                <w:p w14:paraId="67FC6A1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szCs w:val="21"/>
                      <w:highlight w:val="none"/>
                      <w:u w:val="none"/>
                      <w:lang w:val="en"/>
                    </w:rPr>
                    <w:t>建设规模应符合国家产业政策对相关经济规模的限制性要求；</w:t>
                  </w:r>
                </w:p>
              </w:tc>
              <w:tc>
                <w:tcPr>
                  <w:tcW w:w="1327" w:type="pct"/>
                  <w:tcBorders>
                    <w:tl2br w:val="nil"/>
                    <w:tr2bl w:val="nil"/>
                  </w:tcBorders>
                  <w:noWrap w:val="0"/>
                  <w:tcMar>
                    <w:top w:w="0" w:type="dxa"/>
                    <w:left w:w="51" w:type="dxa"/>
                    <w:bottom w:w="0" w:type="dxa"/>
                    <w:right w:w="51" w:type="dxa"/>
                  </w:tcMar>
                  <w:vAlign w:val="center"/>
                </w:tcPr>
                <w:p w14:paraId="7D797ED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项目无相关经济规模的限制性要求。</w:t>
                  </w:r>
                </w:p>
              </w:tc>
              <w:tc>
                <w:tcPr>
                  <w:tcW w:w="434" w:type="pct"/>
                  <w:tcBorders>
                    <w:tl2br w:val="nil"/>
                    <w:tr2bl w:val="nil"/>
                  </w:tcBorders>
                  <w:noWrap w:val="0"/>
                  <w:tcMar>
                    <w:top w:w="0" w:type="dxa"/>
                    <w:left w:w="51" w:type="dxa"/>
                    <w:bottom w:w="0" w:type="dxa"/>
                    <w:right w:w="51" w:type="dxa"/>
                  </w:tcMar>
                  <w:vAlign w:val="center"/>
                </w:tcPr>
                <w:p w14:paraId="2C5E445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w:t>
                  </w:r>
                </w:p>
              </w:tc>
            </w:tr>
            <w:tr w14:paraId="0D6728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6" w:type="pct"/>
                  <w:vMerge w:val="continue"/>
                  <w:tcBorders>
                    <w:tl2br w:val="nil"/>
                    <w:tr2bl w:val="nil"/>
                  </w:tcBorders>
                  <w:noWrap w:val="0"/>
                  <w:tcMar>
                    <w:top w:w="0" w:type="dxa"/>
                    <w:left w:w="51" w:type="dxa"/>
                    <w:bottom w:w="0" w:type="dxa"/>
                    <w:right w:w="51" w:type="dxa"/>
                  </w:tcMar>
                  <w:vAlign w:val="center"/>
                </w:tcPr>
                <w:p w14:paraId="3A6998C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p>
              </w:tc>
              <w:tc>
                <w:tcPr>
                  <w:tcW w:w="2731" w:type="pct"/>
                  <w:gridSpan w:val="2"/>
                  <w:tcBorders>
                    <w:tl2br w:val="nil"/>
                    <w:tr2bl w:val="nil"/>
                  </w:tcBorders>
                  <w:noWrap w:val="0"/>
                  <w:tcMar>
                    <w:top w:w="0" w:type="dxa"/>
                    <w:left w:w="51" w:type="dxa"/>
                    <w:bottom w:w="0" w:type="dxa"/>
                    <w:right w:w="51" w:type="dxa"/>
                  </w:tcMar>
                  <w:vAlign w:val="center"/>
                </w:tcPr>
                <w:p w14:paraId="7CA8F18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szCs w:val="21"/>
                      <w:highlight w:val="none"/>
                      <w:u w:val="none"/>
                      <w:lang w:val="en"/>
                    </w:rPr>
                    <w:t>市区环保搬迁入住聚集区的企业应进行产品和生产技术的升级改造，达到国家相关规定的要求。</w:t>
                  </w:r>
                </w:p>
              </w:tc>
              <w:tc>
                <w:tcPr>
                  <w:tcW w:w="1327" w:type="pct"/>
                  <w:tcBorders>
                    <w:tl2br w:val="nil"/>
                    <w:tr2bl w:val="nil"/>
                  </w:tcBorders>
                  <w:noWrap w:val="0"/>
                  <w:tcMar>
                    <w:top w:w="0" w:type="dxa"/>
                    <w:left w:w="51" w:type="dxa"/>
                    <w:bottom w:w="0" w:type="dxa"/>
                    <w:right w:w="51" w:type="dxa"/>
                  </w:tcMar>
                  <w:vAlign w:val="center"/>
                </w:tcPr>
                <w:p w14:paraId="4917B3D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本项目</w:t>
                  </w:r>
                  <w:r>
                    <w:rPr>
                      <w:rFonts w:hint="default" w:ascii="Times New Roman" w:hAnsi="Times New Roman" w:eastAsia="宋体" w:cs="Times New Roman"/>
                      <w:color w:val="auto"/>
                      <w:kern w:val="0"/>
                      <w:sz w:val="21"/>
                      <w:szCs w:val="21"/>
                      <w:highlight w:val="none"/>
                      <w:u w:val="none"/>
                      <w:lang w:eastAsia="zh-CN"/>
                    </w:rPr>
                    <w:t>不属于市区环保搬迁企业</w:t>
                  </w:r>
                  <w:r>
                    <w:rPr>
                      <w:rFonts w:hint="default" w:ascii="Times New Roman" w:hAnsi="Times New Roman" w:eastAsia="宋体" w:cs="Times New Roman"/>
                      <w:color w:val="auto"/>
                      <w:kern w:val="0"/>
                      <w:sz w:val="21"/>
                      <w:szCs w:val="21"/>
                      <w:highlight w:val="none"/>
                      <w:u w:val="none"/>
                    </w:rPr>
                    <w:t>。</w:t>
                  </w:r>
                </w:p>
              </w:tc>
              <w:tc>
                <w:tcPr>
                  <w:tcW w:w="434" w:type="pct"/>
                  <w:tcBorders>
                    <w:tl2br w:val="nil"/>
                    <w:tr2bl w:val="nil"/>
                  </w:tcBorders>
                  <w:noWrap w:val="0"/>
                  <w:tcMar>
                    <w:top w:w="0" w:type="dxa"/>
                    <w:left w:w="51" w:type="dxa"/>
                    <w:bottom w:w="0" w:type="dxa"/>
                    <w:right w:w="51" w:type="dxa"/>
                  </w:tcMar>
                  <w:vAlign w:val="center"/>
                </w:tcPr>
                <w:p w14:paraId="7A96AB2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lang w:eastAsia="zh-CN"/>
                    </w:rPr>
                  </w:pPr>
                  <w:r>
                    <w:rPr>
                      <w:rFonts w:hint="default" w:ascii="Times New Roman" w:hAnsi="Times New Roman" w:eastAsia="宋体" w:cs="Times New Roman"/>
                      <w:color w:val="auto"/>
                      <w:kern w:val="0"/>
                      <w:sz w:val="21"/>
                      <w:szCs w:val="21"/>
                      <w:highlight w:val="none"/>
                      <w:u w:val="none"/>
                      <w:lang w:eastAsia="zh-CN"/>
                    </w:rPr>
                    <w:t>符合</w:t>
                  </w:r>
                </w:p>
              </w:tc>
            </w:tr>
            <w:tr w14:paraId="30F481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6" w:type="pct"/>
                  <w:vMerge w:val="restart"/>
                  <w:tcBorders>
                    <w:tl2br w:val="nil"/>
                    <w:tr2bl w:val="nil"/>
                  </w:tcBorders>
                  <w:noWrap w:val="0"/>
                  <w:tcMar>
                    <w:top w:w="0" w:type="dxa"/>
                    <w:left w:w="51" w:type="dxa"/>
                    <w:bottom w:w="0" w:type="dxa"/>
                    <w:right w:w="51" w:type="dxa"/>
                  </w:tcMar>
                  <w:vAlign w:val="center"/>
                </w:tcPr>
                <w:p w14:paraId="0CB021A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清洁生产水平</w:t>
                  </w:r>
                </w:p>
              </w:tc>
              <w:tc>
                <w:tcPr>
                  <w:tcW w:w="2731" w:type="pct"/>
                  <w:gridSpan w:val="2"/>
                  <w:tcBorders>
                    <w:tl2br w:val="nil"/>
                    <w:tr2bl w:val="nil"/>
                  </w:tcBorders>
                  <w:noWrap w:val="0"/>
                  <w:tcMar>
                    <w:top w:w="0" w:type="dxa"/>
                    <w:left w:w="51" w:type="dxa"/>
                    <w:bottom w:w="0" w:type="dxa"/>
                    <w:right w:w="51" w:type="dxa"/>
                  </w:tcMar>
                  <w:vAlign w:val="center"/>
                </w:tcPr>
                <w:p w14:paraId="282C5BB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szCs w:val="21"/>
                      <w:highlight w:val="none"/>
                      <w:u w:val="none"/>
                      <w:lang w:val="en"/>
                    </w:rPr>
                    <w:t>应选择使用原料和产品为环境友好型的项目，避免聚集区大规模建设造成的不良辐射效应，诱使国家明令禁止项目在聚集区周边出现；</w:t>
                  </w:r>
                </w:p>
              </w:tc>
              <w:tc>
                <w:tcPr>
                  <w:tcW w:w="1327" w:type="pct"/>
                  <w:tcBorders>
                    <w:tl2br w:val="nil"/>
                    <w:tr2bl w:val="nil"/>
                  </w:tcBorders>
                  <w:noWrap w:val="0"/>
                  <w:tcMar>
                    <w:top w:w="0" w:type="dxa"/>
                    <w:left w:w="51" w:type="dxa"/>
                    <w:bottom w:w="0" w:type="dxa"/>
                    <w:right w:w="51" w:type="dxa"/>
                  </w:tcMar>
                  <w:vAlign w:val="center"/>
                </w:tcPr>
                <w:p w14:paraId="3165672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项目所用原料无毒无害，不会造成集聚区不良效应。</w:t>
                  </w:r>
                </w:p>
              </w:tc>
              <w:tc>
                <w:tcPr>
                  <w:tcW w:w="434" w:type="pct"/>
                  <w:tcBorders>
                    <w:tl2br w:val="nil"/>
                    <w:tr2bl w:val="nil"/>
                  </w:tcBorders>
                  <w:noWrap w:val="0"/>
                  <w:tcMar>
                    <w:top w:w="0" w:type="dxa"/>
                    <w:left w:w="51" w:type="dxa"/>
                    <w:bottom w:w="0" w:type="dxa"/>
                    <w:right w:w="51" w:type="dxa"/>
                  </w:tcMar>
                  <w:vAlign w:val="center"/>
                </w:tcPr>
                <w:p w14:paraId="7ED0DAB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符合</w:t>
                  </w:r>
                </w:p>
              </w:tc>
            </w:tr>
            <w:tr w14:paraId="04719C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6" w:type="pct"/>
                  <w:vMerge w:val="continue"/>
                  <w:tcBorders>
                    <w:tl2br w:val="nil"/>
                    <w:tr2bl w:val="nil"/>
                  </w:tcBorders>
                  <w:noWrap w:val="0"/>
                  <w:tcMar>
                    <w:top w:w="0" w:type="dxa"/>
                    <w:left w:w="51" w:type="dxa"/>
                    <w:bottom w:w="0" w:type="dxa"/>
                    <w:right w:w="51" w:type="dxa"/>
                  </w:tcMar>
                  <w:vAlign w:val="center"/>
                </w:tcPr>
                <w:p w14:paraId="07298E9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p>
              </w:tc>
              <w:tc>
                <w:tcPr>
                  <w:tcW w:w="2731" w:type="pct"/>
                  <w:gridSpan w:val="2"/>
                  <w:tcBorders>
                    <w:tl2br w:val="nil"/>
                    <w:tr2bl w:val="nil"/>
                  </w:tcBorders>
                  <w:noWrap w:val="0"/>
                  <w:tcMar>
                    <w:top w:w="0" w:type="dxa"/>
                    <w:left w:w="51" w:type="dxa"/>
                    <w:bottom w:w="0" w:type="dxa"/>
                    <w:right w:w="51" w:type="dxa"/>
                  </w:tcMar>
                  <w:vAlign w:val="center"/>
                </w:tcPr>
                <w:p w14:paraId="1CB2E56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szCs w:val="21"/>
                      <w:highlight w:val="none"/>
                      <w:u w:val="none"/>
                      <w:lang w:val="en"/>
                    </w:rPr>
                    <w:t>入聚集区的新建项目的单位产品水耗、单位产品污染物排放量等清洁生产指标应达到国内同行业领先或国际先进水平。项目整体清洁生产水平应达到或超过国内清洁生产先进水平；</w:t>
                  </w:r>
                </w:p>
              </w:tc>
              <w:tc>
                <w:tcPr>
                  <w:tcW w:w="1327" w:type="pct"/>
                  <w:tcBorders>
                    <w:tl2br w:val="nil"/>
                    <w:tr2bl w:val="nil"/>
                  </w:tcBorders>
                  <w:noWrap w:val="0"/>
                  <w:tcMar>
                    <w:top w:w="0" w:type="dxa"/>
                    <w:left w:w="51" w:type="dxa"/>
                    <w:bottom w:w="0" w:type="dxa"/>
                    <w:right w:w="51" w:type="dxa"/>
                  </w:tcMar>
                  <w:vAlign w:val="center"/>
                </w:tcPr>
                <w:p w14:paraId="27C9CCA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项目单位产品水耗、污染物排放等均低于同行业平均水平，</w:t>
                  </w:r>
                  <w:r>
                    <w:rPr>
                      <w:rFonts w:hint="default" w:ascii="Times New Roman" w:hAnsi="Times New Roman" w:eastAsia="宋体" w:cs="Times New Roman"/>
                      <w:color w:val="auto"/>
                      <w:sz w:val="21"/>
                      <w:szCs w:val="21"/>
                      <w:highlight w:val="none"/>
                      <w:u w:val="none"/>
                      <w:lang w:val="en"/>
                    </w:rPr>
                    <w:t>清洁生产指标达到国内同行业领先水平。</w:t>
                  </w:r>
                </w:p>
              </w:tc>
              <w:tc>
                <w:tcPr>
                  <w:tcW w:w="434" w:type="pct"/>
                  <w:tcBorders>
                    <w:tl2br w:val="nil"/>
                    <w:tr2bl w:val="nil"/>
                  </w:tcBorders>
                  <w:noWrap w:val="0"/>
                  <w:tcMar>
                    <w:top w:w="0" w:type="dxa"/>
                    <w:left w:w="51" w:type="dxa"/>
                    <w:bottom w:w="0" w:type="dxa"/>
                    <w:right w:w="51" w:type="dxa"/>
                  </w:tcMar>
                  <w:vAlign w:val="center"/>
                </w:tcPr>
                <w:p w14:paraId="0B442B3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符合</w:t>
                  </w:r>
                </w:p>
              </w:tc>
            </w:tr>
            <w:tr w14:paraId="021138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6" w:type="pct"/>
                  <w:vMerge w:val="continue"/>
                  <w:tcBorders>
                    <w:tl2br w:val="nil"/>
                    <w:tr2bl w:val="nil"/>
                  </w:tcBorders>
                  <w:noWrap w:val="0"/>
                  <w:tcMar>
                    <w:top w:w="0" w:type="dxa"/>
                    <w:left w:w="51" w:type="dxa"/>
                    <w:bottom w:w="0" w:type="dxa"/>
                    <w:right w:w="51" w:type="dxa"/>
                  </w:tcMar>
                  <w:vAlign w:val="center"/>
                </w:tcPr>
                <w:p w14:paraId="480326D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p>
              </w:tc>
              <w:tc>
                <w:tcPr>
                  <w:tcW w:w="2731" w:type="pct"/>
                  <w:gridSpan w:val="2"/>
                  <w:tcBorders>
                    <w:tl2br w:val="nil"/>
                    <w:tr2bl w:val="nil"/>
                  </w:tcBorders>
                  <w:noWrap w:val="0"/>
                  <w:tcMar>
                    <w:top w:w="0" w:type="dxa"/>
                    <w:left w:w="51" w:type="dxa"/>
                    <w:bottom w:w="0" w:type="dxa"/>
                    <w:right w:w="51" w:type="dxa"/>
                  </w:tcMar>
                  <w:vAlign w:val="center"/>
                </w:tcPr>
                <w:p w14:paraId="13101A9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szCs w:val="21"/>
                      <w:highlight w:val="none"/>
                      <w:u w:val="none"/>
                      <w:lang w:val="en"/>
                    </w:rPr>
                    <w:t>市区环保搬迁企业的清洁生产指标应达到国内同行业先进或领先水平。</w:t>
                  </w:r>
                </w:p>
              </w:tc>
              <w:tc>
                <w:tcPr>
                  <w:tcW w:w="1327" w:type="pct"/>
                  <w:tcBorders>
                    <w:tl2br w:val="nil"/>
                    <w:tr2bl w:val="nil"/>
                  </w:tcBorders>
                  <w:noWrap w:val="0"/>
                  <w:tcMar>
                    <w:top w:w="0" w:type="dxa"/>
                    <w:left w:w="51" w:type="dxa"/>
                    <w:bottom w:w="0" w:type="dxa"/>
                    <w:right w:w="51" w:type="dxa"/>
                  </w:tcMar>
                  <w:vAlign w:val="center"/>
                </w:tcPr>
                <w:p w14:paraId="6BE1B37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lang w:eastAsia="zh-CN"/>
                    </w:rPr>
                  </w:pPr>
                  <w:r>
                    <w:rPr>
                      <w:rFonts w:hint="default" w:ascii="Times New Roman" w:hAnsi="Times New Roman" w:eastAsia="宋体" w:cs="Times New Roman"/>
                      <w:color w:val="auto"/>
                      <w:sz w:val="21"/>
                      <w:u w:val="none"/>
                    </w:rPr>
                    <w:t>本项目</w:t>
                  </w:r>
                  <w:r>
                    <w:rPr>
                      <w:rFonts w:hint="default" w:ascii="Times New Roman" w:hAnsi="Times New Roman" w:eastAsia="宋体" w:cs="Times New Roman"/>
                      <w:color w:val="auto"/>
                      <w:sz w:val="21"/>
                      <w:u w:val="none"/>
                      <w:lang w:eastAsia="zh-CN"/>
                    </w:rPr>
                    <w:t>不属于市区环保搬迁企业。</w:t>
                  </w:r>
                </w:p>
              </w:tc>
              <w:tc>
                <w:tcPr>
                  <w:tcW w:w="434" w:type="pct"/>
                  <w:tcBorders>
                    <w:tl2br w:val="nil"/>
                    <w:tr2bl w:val="nil"/>
                  </w:tcBorders>
                  <w:noWrap w:val="0"/>
                  <w:tcMar>
                    <w:top w:w="0" w:type="dxa"/>
                    <w:left w:w="51" w:type="dxa"/>
                    <w:bottom w:w="0" w:type="dxa"/>
                    <w:right w:w="51" w:type="dxa"/>
                  </w:tcMar>
                  <w:vAlign w:val="center"/>
                </w:tcPr>
                <w:p w14:paraId="6BACF65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lang w:eastAsia="zh-CN"/>
                    </w:rPr>
                  </w:pPr>
                  <w:r>
                    <w:rPr>
                      <w:rFonts w:hint="default" w:ascii="Times New Roman" w:hAnsi="Times New Roman" w:eastAsia="宋体" w:cs="Times New Roman"/>
                      <w:color w:val="auto"/>
                      <w:kern w:val="0"/>
                      <w:sz w:val="21"/>
                      <w:szCs w:val="21"/>
                      <w:highlight w:val="none"/>
                      <w:u w:val="none"/>
                      <w:lang w:eastAsia="zh-CN"/>
                    </w:rPr>
                    <w:t>符合</w:t>
                  </w:r>
                </w:p>
              </w:tc>
            </w:tr>
            <w:tr w14:paraId="4EFFE0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6" w:type="pct"/>
                  <w:vMerge w:val="restart"/>
                  <w:tcBorders>
                    <w:tl2br w:val="nil"/>
                    <w:tr2bl w:val="nil"/>
                  </w:tcBorders>
                  <w:noWrap w:val="0"/>
                  <w:tcMar>
                    <w:top w:w="0" w:type="dxa"/>
                    <w:left w:w="51" w:type="dxa"/>
                    <w:bottom w:w="0" w:type="dxa"/>
                    <w:right w:w="51" w:type="dxa"/>
                  </w:tcMar>
                  <w:vAlign w:val="center"/>
                </w:tcPr>
                <w:p w14:paraId="1A0FA6B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污染物排放总量控制</w:t>
                  </w:r>
                </w:p>
              </w:tc>
              <w:tc>
                <w:tcPr>
                  <w:tcW w:w="2731" w:type="pct"/>
                  <w:gridSpan w:val="2"/>
                  <w:tcBorders>
                    <w:tl2br w:val="nil"/>
                    <w:tr2bl w:val="nil"/>
                  </w:tcBorders>
                  <w:noWrap w:val="0"/>
                  <w:tcMar>
                    <w:top w:w="0" w:type="dxa"/>
                    <w:left w:w="51" w:type="dxa"/>
                    <w:bottom w:w="0" w:type="dxa"/>
                    <w:right w:w="51" w:type="dxa"/>
                  </w:tcMar>
                  <w:vAlign w:val="center"/>
                </w:tcPr>
                <w:p w14:paraId="020D228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szCs w:val="21"/>
                      <w:highlight w:val="none"/>
                      <w:u w:val="none"/>
                      <w:lang w:val="en"/>
                    </w:rPr>
                    <w:t>属于环保搬迁的项目，污染物排放指标原则上不能超过现状污染物排放量（以达标排放计）；</w:t>
                  </w:r>
                </w:p>
              </w:tc>
              <w:tc>
                <w:tcPr>
                  <w:tcW w:w="1327" w:type="pct"/>
                  <w:tcBorders>
                    <w:tl2br w:val="nil"/>
                    <w:tr2bl w:val="nil"/>
                  </w:tcBorders>
                  <w:noWrap w:val="0"/>
                  <w:tcMar>
                    <w:top w:w="0" w:type="dxa"/>
                    <w:left w:w="51" w:type="dxa"/>
                    <w:bottom w:w="0" w:type="dxa"/>
                    <w:right w:w="51" w:type="dxa"/>
                  </w:tcMar>
                  <w:vAlign w:val="center"/>
                </w:tcPr>
                <w:p w14:paraId="7B47590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lang w:eastAsia="zh-CN"/>
                    </w:rPr>
                  </w:pPr>
                  <w:r>
                    <w:rPr>
                      <w:rFonts w:hint="default" w:ascii="Times New Roman" w:hAnsi="Times New Roman" w:eastAsia="宋体" w:cs="Times New Roman"/>
                      <w:color w:val="auto"/>
                      <w:sz w:val="21"/>
                      <w:u w:val="none"/>
                    </w:rPr>
                    <w:t>本项目</w:t>
                  </w:r>
                  <w:r>
                    <w:rPr>
                      <w:rFonts w:hint="default" w:ascii="Times New Roman" w:hAnsi="Times New Roman" w:eastAsia="宋体" w:cs="Times New Roman"/>
                      <w:color w:val="auto"/>
                      <w:sz w:val="21"/>
                      <w:u w:val="none"/>
                      <w:lang w:eastAsia="zh-CN"/>
                    </w:rPr>
                    <w:t>不属于环保搬迁的项目。</w:t>
                  </w:r>
                </w:p>
              </w:tc>
              <w:tc>
                <w:tcPr>
                  <w:tcW w:w="434" w:type="pct"/>
                  <w:tcBorders>
                    <w:tl2br w:val="nil"/>
                    <w:tr2bl w:val="nil"/>
                  </w:tcBorders>
                  <w:noWrap w:val="0"/>
                  <w:tcMar>
                    <w:top w:w="0" w:type="dxa"/>
                    <w:left w:w="51" w:type="dxa"/>
                    <w:bottom w:w="0" w:type="dxa"/>
                    <w:right w:w="51" w:type="dxa"/>
                  </w:tcMar>
                  <w:vAlign w:val="center"/>
                </w:tcPr>
                <w:p w14:paraId="0037CB4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lang w:eastAsia="zh-CN"/>
                    </w:rPr>
                  </w:pPr>
                  <w:r>
                    <w:rPr>
                      <w:rFonts w:hint="default" w:ascii="Times New Roman" w:hAnsi="Times New Roman" w:eastAsia="宋体" w:cs="Times New Roman"/>
                      <w:color w:val="auto"/>
                      <w:kern w:val="0"/>
                      <w:sz w:val="21"/>
                      <w:szCs w:val="21"/>
                      <w:highlight w:val="none"/>
                      <w:u w:val="none"/>
                      <w:lang w:eastAsia="zh-CN"/>
                    </w:rPr>
                    <w:t>符合</w:t>
                  </w:r>
                </w:p>
              </w:tc>
            </w:tr>
            <w:tr w14:paraId="00C9EC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6" w:type="pct"/>
                  <w:vMerge w:val="continue"/>
                  <w:tcBorders>
                    <w:tl2br w:val="nil"/>
                    <w:tr2bl w:val="nil"/>
                  </w:tcBorders>
                  <w:noWrap w:val="0"/>
                  <w:tcMar>
                    <w:top w:w="0" w:type="dxa"/>
                    <w:left w:w="51" w:type="dxa"/>
                    <w:bottom w:w="0" w:type="dxa"/>
                    <w:right w:w="51" w:type="dxa"/>
                  </w:tcMar>
                  <w:vAlign w:val="center"/>
                </w:tcPr>
                <w:p w14:paraId="098E4E6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p>
              </w:tc>
              <w:tc>
                <w:tcPr>
                  <w:tcW w:w="2731" w:type="pct"/>
                  <w:gridSpan w:val="2"/>
                  <w:tcBorders>
                    <w:tl2br w:val="nil"/>
                    <w:tr2bl w:val="nil"/>
                  </w:tcBorders>
                  <w:noWrap w:val="0"/>
                  <w:tcMar>
                    <w:top w:w="0" w:type="dxa"/>
                    <w:left w:w="51" w:type="dxa"/>
                    <w:bottom w:w="0" w:type="dxa"/>
                    <w:right w:w="51" w:type="dxa"/>
                  </w:tcMar>
                  <w:vAlign w:val="center"/>
                </w:tcPr>
                <w:p w14:paraId="515C0AC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szCs w:val="21"/>
                      <w:highlight w:val="none"/>
                      <w:u w:val="none"/>
                      <w:lang w:val="en"/>
                    </w:rPr>
                    <w:t>入驻项目</w:t>
                  </w:r>
                  <w:r>
                    <w:rPr>
                      <w:rFonts w:hint="default" w:ascii="Times New Roman" w:hAnsi="Times New Roman" w:eastAsia="宋体" w:cs="Times New Roman"/>
                      <w:color w:val="auto"/>
                      <w:sz w:val="21"/>
                      <w:szCs w:val="21"/>
                      <w:highlight w:val="none"/>
                      <w:u w:val="none"/>
                      <w:lang w:val="en" w:eastAsia="zh-CN"/>
                    </w:rPr>
                    <w:t>“</w:t>
                  </w:r>
                  <w:r>
                    <w:rPr>
                      <w:rFonts w:hint="default" w:ascii="Times New Roman" w:hAnsi="Times New Roman" w:eastAsia="宋体" w:cs="Times New Roman"/>
                      <w:color w:val="auto"/>
                      <w:sz w:val="21"/>
                      <w:szCs w:val="21"/>
                      <w:highlight w:val="none"/>
                      <w:u w:val="none"/>
                      <w:lang w:val="en"/>
                    </w:rPr>
                    <w:t>三废</w:t>
                  </w:r>
                  <w:r>
                    <w:rPr>
                      <w:rFonts w:hint="default" w:ascii="Times New Roman" w:hAnsi="Times New Roman" w:eastAsia="宋体" w:cs="Times New Roman"/>
                      <w:color w:val="auto"/>
                      <w:sz w:val="21"/>
                      <w:szCs w:val="21"/>
                      <w:highlight w:val="none"/>
                      <w:u w:val="none"/>
                      <w:lang w:val="en" w:eastAsia="zh-CN"/>
                    </w:rPr>
                    <w:t>”</w:t>
                  </w:r>
                  <w:r>
                    <w:rPr>
                      <w:rFonts w:hint="default" w:ascii="Times New Roman" w:hAnsi="Times New Roman" w:eastAsia="宋体" w:cs="Times New Roman"/>
                      <w:color w:val="auto"/>
                      <w:sz w:val="21"/>
                      <w:szCs w:val="21"/>
                      <w:highlight w:val="none"/>
                      <w:u w:val="none"/>
                      <w:lang w:val="en"/>
                    </w:rPr>
                    <w:t>治理必须有可靠、成熟和经济的处理处置措施，否则应慎重引进。</w:t>
                  </w:r>
                </w:p>
              </w:tc>
              <w:tc>
                <w:tcPr>
                  <w:tcW w:w="1327" w:type="pct"/>
                  <w:tcBorders>
                    <w:tl2br w:val="nil"/>
                    <w:tr2bl w:val="nil"/>
                  </w:tcBorders>
                  <w:noWrap w:val="0"/>
                  <w:tcMar>
                    <w:top w:w="0" w:type="dxa"/>
                    <w:left w:w="51" w:type="dxa"/>
                    <w:bottom w:w="0" w:type="dxa"/>
                    <w:right w:w="51" w:type="dxa"/>
                  </w:tcMar>
                  <w:vAlign w:val="center"/>
                </w:tcPr>
                <w:p w14:paraId="2DC6CAB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本项目三废治理措施成熟可靠。</w:t>
                  </w:r>
                </w:p>
              </w:tc>
              <w:tc>
                <w:tcPr>
                  <w:tcW w:w="434" w:type="pct"/>
                  <w:tcBorders>
                    <w:tl2br w:val="nil"/>
                    <w:tr2bl w:val="nil"/>
                  </w:tcBorders>
                  <w:noWrap w:val="0"/>
                  <w:tcMar>
                    <w:top w:w="0" w:type="dxa"/>
                    <w:left w:w="51" w:type="dxa"/>
                    <w:bottom w:w="0" w:type="dxa"/>
                    <w:right w:w="51" w:type="dxa"/>
                  </w:tcMar>
                  <w:vAlign w:val="center"/>
                </w:tcPr>
                <w:p w14:paraId="5446723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color w:val="auto"/>
                      <w:kern w:val="0"/>
                      <w:sz w:val="21"/>
                      <w:szCs w:val="21"/>
                      <w:highlight w:val="none"/>
                      <w:u w:val="none"/>
                    </w:rPr>
                  </w:pPr>
                  <w:r>
                    <w:rPr>
                      <w:rFonts w:hint="default" w:ascii="Times New Roman" w:hAnsi="Times New Roman" w:eastAsia="宋体" w:cs="Times New Roman"/>
                      <w:color w:val="auto"/>
                      <w:kern w:val="0"/>
                      <w:sz w:val="21"/>
                      <w:szCs w:val="21"/>
                      <w:highlight w:val="none"/>
                      <w:u w:val="none"/>
                    </w:rPr>
                    <w:t>符合</w:t>
                  </w:r>
                </w:p>
              </w:tc>
            </w:tr>
            <w:tr w14:paraId="127325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6" w:type="pct"/>
                  <w:tcBorders>
                    <w:tl2br w:val="nil"/>
                    <w:tr2bl w:val="nil"/>
                  </w:tcBorders>
                  <w:noWrap w:val="0"/>
                  <w:tcMar>
                    <w:top w:w="0" w:type="dxa"/>
                    <w:left w:w="51" w:type="dxa"/>
                    <w:bottom w:w="0" w:type="dxa"/>
                    <w:right w:w="51" w:type="dxa"/>
                  </w:tcMar>
                  <w:vAlign w:val="center"/>
                </w:tcPr>
                <w:p w14:paraId="0A802ED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eastAsia" w:ascii="Times New Roman" w:hAnsi="Times New Roman" w:eastAsia="宋体" w:cs="Times New Roman"/>
                      <w:color w:val="auto"/>
                      <w:kern w:val="0"/>
                      <w:sz w:val="21"/>
                      <w:szCs w:val="21"/>
                      <w:highlight w:val="none"/>
                      <w:u w:val="none"/>
                      <w:lang w:eastAsia="zh-CN"/>
                    </w:rPr>
                  </w:pPr>
                  <w:r>
                    <w:rPr>
                      <w:rFonts w:hint="eastAsia" w:ascii="Times New Roman" w:hAnsi="Times New Roman" w:eastAsia="宋体" w:cs="Times New Roman"/>
                      <w:color w:val="auto"/>
                      <w:kern w:val="0"/>
                      <w:sz w:val="21"/>
                      <w:szCs w:val="21"/>
                      <w:highlight w:val="none"/>
                      <w:u w:val="none"/>
                      <w:lang w:eastAsia="zh-CN"/>
                    </w:rPr>
                    <w:t>投资强度</w:t>
                  </w:r>
                </w:p>
              </w:tc>
              <w:tc>
                <w:tcPr>
                  <w:tcW w:w="2731" w:type="pct"/>
                  <w:gridSpan w:val="2"/>
                  <w:tcBorders>
                    <w:tl2br w:val="nil"/>
                    <w:tr2bl w:val="nil"/>
                  </w:tcBorders>
                  <w:noWrap w:val="0"/>
                  <w:tcMar>
                    <w:top w:w="0" w:type="dxa"/>
                    <w:left w:w="51" w:type="dxa"/>
                    <w:bottom w:w="0" w:type="dxa"/>
                    <w:right w:w="51" w:type="dxa"/>
                  </w:tcMar>
                  <w:vAlign w:val="center"/>
                </w:tcPr>
                <w:p w14:paraId="3D214EF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jc w:val="both"/>
                    <w:textAlignment w:val="auto"/>
                    <w:rPr>
                      <w:rFonts w:hint="default" w:ascii="Times New Roman" w:hAnsi="Times New Roman" w:eastAsia="宋体" w:cs="Times New Roman"/>
                      <w:color w:val="auto"/>
                      <w:sz w:val="21"/>
                      <w:szCs w:val="21"/>
                      <w:highlight w:val="none"/>
                      <w:u w:val="none"/>
                      <w:lang w:val="en"/>
                    </w:rPr>
                  </w:pPr>
                  <w:r>
                    <w:rPr>
                      <w:rFonts w:hint="default" w:ascii="Times New Roman" w:hAnsi="Times New Roman" w:eastAsia="宋体" w:cs="Times New Roman"/>
                      <w:color w:val="auto"/>
                      <w:sz w:val="21"/>
                      <w:szCs w:val="21"/>
                      <w:highlight w:val="none"/>
                      <w:u w:val="none"/>
                      <w:lang w:val="en"/>
                    </w:rPr>
                    <w:t>满足《河南省人民政府关于进一步加强节约集约用地的意见》（豫政</w:t>
                  </w:r>
                  <w:r>
                    <w:rPr>
                      <w:rFonts w:hint="eastAsia" w:ascii="宋体" w:hAnsi="宋体" w:eastAsia="宋体" w:cs="宋体"/>
                      <w:color w:val="auto"/>
                      <w:sz w:val="21"/>
                      <w:szCs w:val="21"/>
                      <w:highlight w:val="none"/>
                      <w:u w:val="none"/>
                      <w:lang w:val="en"/>
                    </w:rPr>
                    <w:t>〔</w:t>
                  </w:r>
                  <w:r>
                    <w:rPr>
                      <w:rFonts w:hint="default" w:ascii="Times New Roman" w:hAnsi="Times New Roman" w:eastAsia="宋体" w:cs="Times New Roman"/>
                      <w:color w:val="auto"/>
                      <w:sz w:val="21"/>
                      <w:szCs w:val="21"/>
                      <w:highlight w:val="none"/>
                      <w:u w:val="none"/>
                      <w:lang w:val="en"/>
                    </w:rPr>
                    <w:t>2015</w:t>
                  </w:r>
                  <w:r>
                    <w:rPr>
                      <w:rFonts w:hint="eastAsia" w:ascii="宋体" w:hAnsi="宋体" w:eastAsia="宋体" w:cs="宋体"/>
                      <w:color w:val="auto"/>
                      <w:sz w:val="21"/>
                      <w:szCs w:val="21"/>
                      <w:highlight w:val="none"/>
                      <w:u w:val="none"/>
                      <w:lang w:val="en"/>
                    </w:rPr>
                    <w:t>〕</w:t>
                  </w:r>
                  <w:r>
                    <w:rPr>
                      <w:rFonts w:hint="default" w:ascii="Times New Roman" w:hAnsi="Times New Roman" w:eastAsia="宋体" w:cs="Times New Roman"/>
                      <w:color w:val="auto"/>
                      <w:sz w:val="21"/>
                      <w:szCs w:val="21"/>
                      <w:highlight w:val="none"/>
                      <w:u w:val="none"/>
                      <w:lang w:val="en"/>
                    </w:rPr>
                    <w:t>66号）的要求，即：产业集聚区亩均投资强度一般不低于234万元/亩，投产后亩均税收一般不低于18万元/亩。</w:t>
                  </w:r>
                </w:p>
              </w:tc>
              <w:tc>
                <w:tcPr>
                  <w:tcW w:w="1327" w:type="pct"/>
                  <w:tcBorders>
                    <w:tl2br w:val="nil"/>
                    <w:tr2bl w:val="nil"/>
                  </w:tcBorders>
                  <w:noWrap w:val="0"/>
                  <w:tcMar>
                    <w:top w:w="0" w:type="dxa"/>
                    <w:left w:w="51" w:type="dxa"/>
                    <w:bottom w:w="0" w:type="dxa"/>
                    <w:right w:w="51" w:type="dxa"/>
                  </w:tcMar>
                  <w:vAlign w:val="center"/>
                </w:tcPr>
                <w:p w14:paraId="03AA183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both"/>
                    <w:textAlignment w:val="auto"/>
                    <w:rPr>
                      <w:rFonts w:hint="eastAsia" w:ascii="Times New Roman" w:hAnsi="Times New Roman" w:eastAsia="宋体" w:cs="Times New Roman"/>
                      <w:color w:val="auto"/>
                      <w:sz w:val="21"/>
                      <w:szCs w:val="21"/>
                      <w:highlight w:val="none"/>
                      <w:u w:val="none"/>
                      <w:lang w:val="en-US" w:eastAsia="zh-CN"/>
                    </w:rPr>
                  </w:pPr>
                  <w:r>
                    <w:rPr>
                      <w:rFonts w:hint="eastAsia"/>
                      <w:color w:val="auto"/>
                      <w:lang w:val="en-US" w:eastAsia="zh-CN"/>
                    </w:rPr>
                    <w:t>根据《河南省人民政府关于公布省政府行政规范性文件清理结果的决定》（豫政〔2025〕2号），</w:t>
                  </w:r>
                  <w:r>
                    <w:rPr>
                      <w:rFonts w:hint="eastAsia"/>
                      <w:color w:val="auto"/>
                    </w:rPr>
                    <w:t>豫政</w:t>
                  </w:r>
                  <w:r>
                    <w:rPr>
                      <w:rFonts w:hint="eastAsia"/>
                      <w:color w:val="auto"/>
                      <w:lang w:val="en-US" w:eastAsia="zh-CN"/>
                    </w:rPr>
                    <w:t>〔2015〕</w:t>
                  </w:r>
                  <w:r>
                    <w:rPr>
                      <w:rFonts w:hint="eastAsia"/>
                      <w:color w:val="auto"/>
                    </w:rPr>
                    <w:t>66号</w:t>
                  </w:r>
                  <w:r>
                    <w:rPr>
                      <w:rFonts w:hint="eastAsia"/>
                      <w:color w:val="auto"/>
                      <w:lang w:val="en-US" w:eastAsia="zh-CN"/>
                    </w:rPr>
                    <w:t>文件失效。</w:t>
                  </w:r>
                </w:p>
              </w:tc>
              <w:tc>
                <w:tcPr>
                  <w:tcW w:w="434" w:type="pct"/>
                  <w:tcBorders>
                    <w:tl2br w:val="nil"/>
                    <w:tr2bl w:val="nil"/>
                  </w:tcBorders>
                  <w:noWrap w:val="0"/>
                  <w:tcMar>
                    <w:top w:w="0" w:type="dxa"/>
                    <w:left w:w="51" w:type="dxa"/>
                    <w:bottom w:w="0" w:type="dxa"/>
                    <w:right w:w="51" w:type="dxa"/>
                  </w:tcMar>
                  <w:vAlign w:val="center"/>
                </w:tcPr>
                <w:p w14:paraId="7C22EB6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jc w:val="center"/>
                    <w:textAlignment w:val="auto"/>
                    <w:rPr>
                      <w:rFonts w:hint="eastAsia" w:ascii="Times New Roman" w:hAnsi="Times New Roman" w:eastAsia="宋体" w:cs="Times New Roman"/>
                      <w:color w:val="auto"/>
                      <w:kern w:val="0"/>
                      <w:sz w:val="21"/>
                      <w:szCs w:val="21"/>
                      <w:highlight w:val="none"/>
                      <w:u w:val="none"/>
                      <w:lang w:eastAsia="zh-CN"/>
                    </w:rPr>
                  </w:pPr>
                  <w:r>
                    <w:rPr>
                      <w:rFonts w:hint="eastAsia" w:ascii="Times New Roman" w:hAnsi="Times New Roman" w:eastAsia="宋体" w:cs="Times New Roman"/>
                      <w:color w:val="auto"/>
                      <w:kern w:val="0"/>
                      <w:sz w:val="21"/>
                      <w:szCs w:val="21"/>
                      <w:highlight w:val="none"/>
                      <w:u w:val="none"/>
                      <w:lang w:eastAsia="zh-CN"/>
                    </w:rPr>
                    <w:t>符合</w:t>
                  </w:r>
                </w:p>
              </w:tc>
            </w:tr>
          </w:tbl>
          <w:p w14:paraId="155F27C8">
            <w:pPr>
              <w:keepNext w:val="0"/>
              <w:keepLines w:val="0"/>
              <w:widowControl w:val="0"/>
              <w:suppressLineNumbers w:val="0"/>
              <w:autoSpaceDE w:val="0"/>
              <w:autoSpaceDN/>
              <w:adjustRightInd w:val="0"/>
              <w:snapToGrid w:val="0"/>
              <w:spacing w:before="0" w:beforeAutospacing="0" w:after="0" w:afterAutospacing="0" w:line="384" w:lineRule="auto"/>
              <w:ind w:left="0" w:right="0"/>
              <w:jc w:val="both"/>
              <w:rPr>
                <w:rFonts w:hint="default" w:ascii="Times New Roman" w:hAnsi="Times New Roman" w:eastAsia="宋体" w:cs="Times New Roman"/>
                <w:color w:val="auto"/>
                <w:sz w:val="24"/>
                <w:szCs w:val="24"/>
                <w:lang w:val="en-US" w:eastAsia="zh-CN"/>
              </w:rPr>
            </w:pPr>
            <w:r>
              <w:rPr>
                <w:rFonts w:hint="default" w:ascii="Times New Roman" w:hAnsi="Times New Roman" w:cs="Times New Roman"/>
                <w:b/>
                <w:bCs/>
                <w:color w:val="auto"/>
                <w:sz w:val="24"/>
                <w:szCs w:val="24"/>
                <w:lang w:val="en-US" w:eastAsia="zh-CN"/>
              </w:rPr>
              <w:t>3.本项目与《汤阴县产业集聚区发展规划调整方案（2017-2020）环境影响报告书的审查意见》相符性分析</w:t>
            </w:r>
          </w:p>
          <w:p w14:paraId="55D4698D">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84" w:lineRule="auto"/>
              <w:ind w:left="0" w:leftChars="0"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根据《汤阴县产业集聚区发展规划调整方案（2017-2020）环境影响报告书的审查意见》，本项目与之相符性分析见下表。</w:t>
            </w:r>
          </w:p>
          <w:p w14:paraId="49950AB1">
            <w:pPr>
              <w:keepNext w:val="0"/>
              <w:keepLines w:val="0"/>
              <w:widowControl w:val="0"/>
              <w:suppressLineNumbers w:val="0"/>
              <w:autoSpaceDE w:val="0"/>
              <w:autoSpaceDN/>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2"/>
                <w:sz w:val="24"/>
                <w:szCs w:val="24"/>
                <w:lang w:val="en-US" w:eastAsia="zh-CN" w:bidi="ar"/>
              </w:rPr>
            </w:pPr>
            <w:r>
              <w:rPr>
                <w:rFonts w:hint="default" w:ascii="Times New Roman" w:hAnsi="Times New Roman" w:eastAsia="宋体" w:cs="Times New Roman"/>
                <w:b/>
                <w:bCs/>
                <w:color w:val="auto"/>
                <w:kern w:val="2"/>
                <w:sz w:val="24"/>
                <w:szCs w:val="24"/>
                <w:lang w:val="en-US" w:eastAsia="zh-CN" w:bidi="ar"/>
              </w:rPr>
              <w:t>本项目与“审查意见”相符性分析一览表</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9"/>
              <w:gridCol w:w="930"/>
              <w:gridCol w:w="3668"/>
              <w:gridCol w:w="2124"/>
              <w:gridCol w:w="669"/>
            </w:tblGrid>
            <w:tr w14:paraId="46A979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86" w:type="pct"/>
                  <w:tcBorders>
                    <w:tl2br w:val="nil"/>
                    <w:tr2bl w:val="nil"/>
                  </w:tcBorders>
                  <w:noWrap w:val="0"/>
                  <w:tcMar>
                    <w:top w:w="0" w:type="dxa"/>
                    <w:left w:w="51" w:type="dxa"/>
                    <w:bottom w:w="0" w:type="dxa"/>
                    <w:right w:w="51" w:type="dxa"/>
                  </w:tcMar>
                  <w:vAlign w:val="center"/>
                </w:tcPr>
                <w:p w14:paraId="3D583856">
                  <w:pPr>
                    <w:keepNext w:val="0"/>
                    <w:keepLines w:val="0"/>
                    <w:widowControl w:val="0"/>
                    <w:suppressLineNumbers w:val="0"/>
                    <w:autoSpaceDE w:val="0"/>
                    <w:autoSpaceDN/>
                    <w:adjustRightInd w:val="0"/>
                    <w:spacing w:before="0" w:beforeAutospacing="0" w:after="0" w:afterAutospacing="0"/>
                    <w:ind w:left="0" w:right="0"/>
                    <w:jc w:val="center"/>
                    <w:rPr>
                      <w:rFonts w:hint="default" w:ascii="Times New Roman" w:hAnsi="Times New Roman" w:cs="Times New Roman"/>
                      <w:b/>
                      <w:bCs w:val="0"/>
                      <w:color w:val="auto"/>
                      <w:kern w:val="2"/>
                      <w:sz w:val="21"/>
                      <w:szCs w:val="21"/>
                    </w:rPr>
                  </w:pPr>
                  <w:r>
                    <w:rPr>
                      <w:rFonts w:hint="default" w:ascii="Times New Roman" w:hAnsi="Times New Roman" w:eastAsia="宋体" w:cs="Times New Roman"/>
                      <w:b/>
                      <w:bCs w:val="0"/>
                      <w:color w:val="auto"/>
                      <w:kern w:val="2"/>
                      <w:sz w:val="21"/>
                      <w:szCs w:val="21"/>
                      <w:lang w:val="en-US" w:eastAsia="zh-CN" w:bidi="ar"/>
                    </w:rPr>
                    <w:t>序号</w:t>
                  </w:r>
                </w:p>
              </w:tc>
              <w:tc>
                <w:tcPr>
                  <w:tcW w:w="593" w:type="pct"/>
                  <w:tcBorders>
                    <w:tl2br w:val="nil"/>
                    <w:tr2bl w:val="nil"/>
                  </w:tcBorders>
                  <w:noWrap w:val="0"/>
                  <w:tcMar>
                    <w:top w:w="0" w:type="dxa"/>
                    <w:left w:w="51" w:type="dxa"/>
                    <w:bottom w:w="0" w:type="dxa"/>
                    <w:right w:w="51" w:type="dxa"/>
                  </w:tcMar>
                  <w:vAlign w:val="center"/>
                </w:tcPr>
                <w:p w14:paraId="2D095D4B">
                  <w:pPr>
                    <w:keepNext w:val="0"/>
                    <w:keepLines w:val="0"/>
                    <w:widowControl w:val="0"/>
                    <w:suppressLineNumbers w:val="0"/>
                    <w:autoSpaceDE w:val="0"/>
                    <w:autoSpaceDN/>
                    <w:adjustRightInd w:val="0"/>
                    <w:spacing w:before="0" w:beforeAutospacing="0" w:after="0" w:afterAutospacing="0"/>
                    <w:ind w:left="0" w:right="0"/>
                    <w:jc w:val="center"/>
                    <w:rPr>
                      <w:rFonts w:hint="default" w:ascii="Times New Roman" w:hAnsi="Times New Roman" w:cs="Times New Roman"/>
                      <w:b/>
                      <w:bCs w:val="0"/>
                      <w:color w:val="auto"/>
                      <w:kern w:val="2"/>
                      <w:sz w:val="21"/>
                      <w:szCs w:val="21"/>
                    </w:rPr>
                  </w:pPr>
                  <w:r>
                    <w:rPr>
                      <w:rFonts w:hint="default" w:ascii="Times New Roman" w:hAnsi="Times New Roman" w:eastAsia="宋体" w:cs="Times New Roman"/>
                      <w:b/>
                      <w:bCs w:val="0"/>
                      <w:color w:val="auto"/>
                      <w:kern w:val="2"/>
                      <w:sz w:val="21"/>
                      <w:szCs w:val="21"/>
                      <w:lang w:val="en-US" w:eastAsia="zh-CN" w:bidi="ar"/>
                    </w:rPr>
                    <w:t>类别</w:t>
                  </w:r>
                </w:p>
              </w:tc>
              <w:tc>
                <w:tcPr>
                  <w:tcW w:w="2338" w:type="pct"/>
                  <w:tcBorders>
                    <w:tl2br w:val="nil"/>
                    <w:tr2bl w:val="nil"/>
                  </w:tcBorders>
                  <w:noWrap w:val="0"/>
                  <w:tcMar>
                    <w:top w:w="0" w:type="dxa"/>
                    <w:left w:w="51" w:type="dxa"/>
                    <w:bottom w:w="0" w:type="dxa"/>
                    <w:right w:w="51" w:type="dxa"/>
                  </w:tcMar>
                  <w:vAlign w:val="center"/>
                </w:tcPr>
                <w:p w14:paraId="24FA6CA8">
                  <w:pPr>
                    <w:keepNext w:val="0"/>
                    <w:keepLines w:val="0"/>
                    <w:widowControl w:val="0"/>
                    <w:suppressLineNumbers w:val="0"/>
                    <w:autoSpaceDE w:val="0"/>
                    <w:autoSpaceDN/>
                    <w:adjustRightInd w:val="0"/>
                    <w:spacing w:before="0" w:beforeAutospacing="0" w:after="0" w:afterAutospacing="0"/>
                    <w:ind w:left="0" w:right="0"/>
                    <w:jc w:val="center"/>
                    <w:rPr>
                      <w:rFonts w:hint="default" w:ascii="Times New Roman" w:hAnsi="Times New Roman" w:cs="Times New Roman"/>
                      <w:b/>
                      <w:bCs w:val="0"/>
                      <w:color w:val="auto"/>
                      <w:kern w:val="2"/>
                      <w:sz w:val="21"/>
                      <w:szCs w:val="21"/>
                    </w:rPr>
                  </w:pPr>
                  <w:r>
                    <w:rPr>
                      <w:rFonts w:hint="default" w:ascii="Times New Roman" w:hAnsi="Times New Roman" w:eastAsia="宋体" w:cs="Times New Roman"/>
                      <w:b/>
                      <w:bCs w:val="0"/>
                      <w:color w:val="auto"/>
                      <w:kern w:val="2"/>
                      <w:sz w:val="21"/>
                      <w:szCs w:val="21"/>
                      <w:lang w:val="en-US" w:eastAsia="zh-CN" w:bidi="ar"/>
                    </w:rPr>
                    <w:t>文件要求</w:t>
                  </w:r>
                </w:p>
              </w:tc>
              <w:tc>
                <w:tcPr>
                  <w:tcW w:w="1354" w:type="pct"/>
                  <w:tcBorders>
                    <w:tl2br w:val="nil"/>
                    <w:tr2bl w:val="nil"/>
                  </w:tcBorders>
                  <w:noWrap w:val="0"/>
                  <w:tcMar>
                    <w:top w:w="0" w:type="dxa"/>
                    <w:left w:w="51" w:type="dxa"/>
                    <w:bottom w:w="0" w:type="dxa"/>
                    <w:right w:w="51" w:type="dxa"/>
                  </w:tcMar>
                  <w:vAlign w:val="center"/>
                </w:tcPr>
                <w:p w14:paraId="56DB0D71">
                  <w:pPr>
                    <w:keepNext w:val="0"/>
                    <w:keepLines w:val="0"/>
                    <w:widowControl w:val="0"/>
                    <w:suppressLineNumbers w:val="0"/>
                    <w:autoSpaceDE w:val="0"/>
                    <w:autoSpaceDN/>
                    <w:adjustRightInd w:val="0"/>
                    <w:spacing w:before="0" w:beforeAutospacing="0" w:after="0" w:afterAutospacing="0"/>
                    <w:ind w:left="0" w:right="0"/>
                    <w:jc w:val="center"/>
                    <w:rPr>
                      <w:rFonts w:hint="default" w:ascii="Times New Roman" w:hAnsi="Times New Roman" w:cs="Times New Roman"/>
                      <w:b/>
                      <w:bCs w:val="0"/>
                      <w:color w:val="auto"/>
                      <w:kern w:val="2"/>
                      <w:sz w:val="21"/>
                      <w:szCs w:val="21"/>
                    </w:rPr>
                  </w:pPr>
                  <w:r>
                    <w:rPr>
                      <w:rFonts w:hint="default" w:ascii="Times New Roman" w:hAnsi="Times New Roman" w:eastAsia="宋体" w:cs="Times New Roman"/>
                      <w:b/>
                      <w:bCs w:val="0"/>
                      <w:color w:val="auto"/>
                      <w:kern w:val="2"/>
                      <w:sz w:val="21"/>
                      <w:szCs w:val="21"/>
                      <w:lang w:val="en-US" w:eastAsia="zh-CN" w:bidi="ar"/>
                    </w:rPr>
                    <w:t>项目情况</w:t>
                  </w:r>
                </w:p>
              </w:tc>
              <w:tc>
                <w:tcPr>
                  <w:tcW w:w="426" w:type="pct"/>
                  <w:tcBorders>
                    <w:tl2br w:val="nil"/>
                    <w:tr2bl w:val="nil"/>
                  </w:tcBorders>
                  <w:noWrap w:val="0"/>
                  <w:tcMar>
                    <w:top w:w="0" w:type="dxa"/>
                    <w:left w:w="51" w:type="dxa"/>
                    <w:bottom w:w="0" w:type="dxa"/>
                    <w:right w:w="51" w:type="dxa"/>
                  </w:tcMar>
                  <w:vAlign w:val="center"/>
                </w:tcPr>
                <w:p w14:paraId="648BB5B4">
                  <w:pPr>
                    <w:keepNext w:val="0"/>
                    <w:keepLines w:val="0"/>
                    <w:widowControl w:val="0"/>
                    <w:suppressLineNumbers w:val="0"/>
                    <w:autoSpaceDE w:val="0"/>
                    <w:autoSpaceDN/>
                    <w:adjustRightInd w:val="0"/>
                    <w:spacing w:before="0" w:beforeAutospacing="0" w:after="0" w:afterAutospacing="0"/>
                    <w:ind w:left="0" w:right="0"/>
                    <w:jc w:val="center"/>
                    <w:rPr>
                      <w:rFonts w:hint="default" w:ascii="Times New Roman" w:hAnsi="Times New Roman" w:cs="Times New Roman"/>
                      <w:b/>
                      <w:bCs w:val="0"/>
                      <w:color w:val="auto"/>
                      <w:kern w:val="2"/>
                      <w:sz w:val="21"/>
                      <w:szCs w:val="21"/>
                    </w:rPr>
                  </w:pPr>
                  <w:r>
                    <w:rPr>
                      <w:rFonts w:hint="default" w:ascii="Times New Roman" w:hAnsi="Times New Roman" w:eastAsia="宋体" w:cs="Times New Roman"/>
                      <w:b/>
                      <w:bCs w:val="0"/>
                      <w:color w:val="auto"/>
                      <w:kern w:val="2"/>
                      <w:sz w:val="21"/>
                      <w:szCs w:val="21"/>
                      <w:lang w:val="en-US" w:eastAsia="zh-CN" w:bidi="ar"/>
                    </w:rPr>
                    <w:t>相符性</w:t>
                  </w:r>
                </w:p>
              </w:tc>
            </w:tr>
            <w:tr w14:paraId="403E1E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286" w:type="pct"/>
                  <w:tcBorders>
                    <w:tl2br w:val="nil"/>
                    <w:tr2bl w:val="nil"/>
                  </w:tcBorders>
                  <w:noWrap w:val="0"/>
                  <w:tcMar>
                    <w:top w:w="0" w:type="dxa"/>
                    <w:left w:w="51" w:type="dxa"/>
                    <w:bottom w:w="0" w:type="dxa"/>
                    <w:right w:w="51" w:type="dxa"/>
                  </w:tcMar>
                  <w:vAlign w:val="center"/>
                </w:tcPr>
                <w:p w14:paraId="33250A9B">
                  <w:pPr>
                    <w:keepNext w:val="0"/>
                    <w:keepLines w:val="0"/>
                    <w:widowControl w:val="0"/>
                    <w:suppressLineNumbers w:val="0"/>
                    <w:adjustRightInd w:val="0"/>
                    <w:spacing w:before="0" w:beforeAutospacing="0" w:after="0" w:afterAutospacing="0"/>
                    <w:ind w:left="0" w:right="0"/>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lang w:val="en-US" w:eastAsia="zh-CN" w:bidi="ar"/>
                    </w:rPr>
                    <w:t>1</w:t>
                  </w:r>
                </w:p>
              </w:tc>
              <w:tc>
                <w:tcPr>
                  <w:tcW w:w="593" w:type="pct"/>
                  <w:tcBorders>
                    <w:tl2br w:val="nil"/>
                    <w:tr2bl w:val="nil"/>
                  </w:tcBorders>
                  <w:noWrap w:val="0"/>
                  <w:tcMar>
                    <w:top w:w="0" w:type="dxa"/>
                    <w:left w:w="51" w:type="dxa"/>
                    <w:bottom w:w="0" w:type="dxa"/>
                    <w:right w:w="51" w:type="dxa"/>
                  </w:tcMar>
                  <w:vAlign w:val="center"/>
                </w:tcPr>
                <w:p w14:paraId="3F719297">
                  <w:pPr>
                    <w:keepNext w:val="0"/>
                    <w:keepLines w:val="0"/>
                    <w:widowControl w:val="0"/>
                    <w:suppressLineNumbers w:val="0"/>
                    <w:adjustRightInd w:val="0"/>
                    <w:spacing w:before="0" w:beforeAutospacing="0" w:after="0" w:afterAutospacing="0"/>
                    <w:ind w:left="0" w:right="0"/>
                    <w:jc w:val="center"/>
                    <w:rPr>
                      <w:rFonts w:hint="default" w:ascii="Times New Roman" w:hAnsi="Times New Roman"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合理用地布局</w:t>
                  </w:r>
                </w:p>
              </w:tc>
              <w:tc>
                <w:tcPr>
                  <w:tcW w:w="2338" w:type="pct"/>
                  <w:tcBorders>
                    <w:tl2br w:val="nil"/>
                    <w:tr2bl w:val="nil"/>
                  </w:tcBorders>
                  <w:noWrap w:val="0"/>
                  <w:tcMar>
                    <w:top w:w="0" w:type="dxa"/>
                    <w:left w:w="51" w:type="dxa"/>
                    <w:bottom w:w="0" w:type="dxa"/>
                    <w:right w:w="51" w:type="dxa"/>
                  </w:tcMar>
                  <w:vAlign w:val="center"/>
                </w:tcPr>
                <w:p w14:paraId="67F4BDDC">
                  <w:pPr>
                    <w:keepNext w:val="0"/>
                    <w:keepLines w:val="0"/>
                    <w:widowControl w:val="0"/>
                    <w:suppressLineNumbers w:val="0"/>
                    <w:autoSpaceDE w:val="0"/>
                    <w:autoSpaceDN/>
                    <w:spacing w:before="0" w:beforeAutospacing="0" w:after="0" w:afterAutospacing="0"/>
                    <w:ind w:left="0" w:right="0"/>
                    <w:jc w:val="both"/>
                    <w:rPr>
                      <w:rFonts w:hint="default" w:ascii="Times New Roman" w:hAnsi="Times New Roman" w:cs="Times New Roman"/>
                      <w:color w:val="auto"/>
                      <w:kern w:val="2"/>
                      <w:sz w:val="21"/>
                      <w:szCs w:val="21"/>
                    </w:rPr>
                  </w:pPr>
                  <w:r>
                    <w:rPr>
                      <w:rFonts w:hint="default" w:ascii="Times New Roman" w:hAnsi="Times New Roman" w:cs="Times New Roman"/>
                      <w:color w:val="auto"/>
                      <w:sz w:val="21"/>
                      <w:szCs w:val="21"/>
                    </w:rPr>
                    <w:t>进一步加强与城市总体规划、土地利用总体规划的衔接，保持规划之间一致；优化用地布局，在开发过程中不应随意改变各用地功能区的使用功能，并注重节约集约用地；工业区生活居住区之间、医药片区与食品加工片区之间设置绿化隔离带，以减少工业区对居住区、医药片区对食品片区的不良影响；按照《报告书》要求，对现有的与集聚区主导产业规划或空间结构规划不相符的企业，限制其规模扩大，对部分企业远期进行搬迁；集聚区西侧部分区域位于南水北调中线工程二级保护区，应认真落实《南水北调中线一期工程总干渠河南段两侧水源保护区划定方案》中对二级保护区的保护要求，减少项目生产对南水北调干渠的影响；伏道镇集中饮用水地下水井（乡镇饮用水源地）及保护区范围位于本次调整后的集聚区范围内，将规划的工业用地调整为绿化用地，不得建设与供水设施无关的项目，远期供水范围内的伏道三街村使用集聚区供水管网统一供水，取消伏道镇集中式饮用水源；区内建设项目的大气环境防护范围内，不得规划新建居住区、学校、医院等环境敏感目标。</w:t>
                  </w:r>
                </w:p>
              </w:tc>
              <w:tc>
                <w:tcPr>
                  <w:tcW w:w="1354" w:type="pct"/>
                  <w:tcBorders>
                    <w:tl2br w:val="nil"/>
                    <w:tr2bl w:val="nil"/>
                  </w:tcBorders>
                  <w:noWrap w:val="0"/>
                  <w:tcMar>
                    <w:top w:w="0" w:type="dxa"/>
                    <w:left w:w="51" w:type="dxa"/>
                    <w:bottom w:w="0" w:type="dxa"/>
                    <w:right w:w="51" w:type="dxa"/>
                  </w:tcMar>
                  <w:vAlign w:val="center"/>
                </w:tcPr>
                <w:p w14:paraId="3022BE48">
                  <w:pPr>
                    <w:keepNext w:val="0"/>
                    <w:keepLines w:val="0"/>
                    <w:widowControl w:val="0"/>
                    <w:suppressLineNumbers w:val="0"/>
                    <w:autoSpaceDE w:val="0"/>
                    <w:autoSpaceDN/>
                    <w:adjustRightInd w:val="0"/>
                    <w:spacing w:before="0" w:beforeAutospacing="0" w:after="0" w:afterAutospacing="0"/>
                    <w:ind w:left="0" w:right="0"/>
                    <w:jc w:val="both"/>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项目</w:t>
                  </w:r>
                  <w:r>
                    <w:rPr>
                      <w:rFonts w:hint="eastAsia" w:cs="Times New Roman"/>
                      <w:color w:val="auto"/>
                      <w:kern w:val="2"/>
                      <w:sz w:val="21"/>
                      <w:szCs w:val="21"/>
                      <w:lang w:eastAsia="zh-CN"/>
                    </w:rPr>
                    <w:t>用地为工业用地，</w:t>
                  </w:r>
                  <w:r>
                    <w:rPr>
                      <w:rFonts w:hint="default" w:ascii="Times New Roman" w:hAnsi="Times New Roman" w:eastAsia="宋体" w:cs="Times New Roman"/>
                      <w:color w:val="auto"/>
                      <w:kern w:val="2"/>
                      <w:sz w:val="21"/>
                      <w:szCs w:val="21"/>
                      <w:lang w:eastAsia="zh-CN"/>
                    </w:rPr>
                    <w:t>符合集聚区用地布局，不涉及饮用水源保护区，不涉及居住区、学校、医院等环境敏感目标。</w:t>
                  </w:r>
                </w:p>
              </w:tc>
              <w:tc>
                <w:tcPr>
                  <w:tcW w:w="426" w:type="pct"/>
                  <w:tcBorders>
                    <w:tl2br w:val="nil"/>
                    <w:tr2bl w:val="nil"/>
                  </w:tcBorders>
                  <w:noWrap w:val="0"/>
                  <w:tcMar>
                    <w:top w:w="0" w:type="dxa"/>
                    <w:left w:w="51" w:type="dxa"/>
                    <w:bottom w:w="0" w:type="dxa"/>
                    <w:right w:w="51" w:type="dxa"/>
                  </w:tcMar>
                  <w:vAlign w:val="center"/>
                </w:tcPr>
                <w:p w14:paraId="15E852AA">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符合</w:t>
                  </w:r>
                </w:p>
              </w:tc>
            </w:tr>
            <w:tr w14:paraId="07EFCF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86" w:type="pct"/>
                  <w:tcBorders>
                    <w:tl2br w:val="nil"/>
                    <w:tr2bl w:val="nil"/>
                  </w:tcBorders>
                  <w:noWrap w:val="0"/>
                  <w:tcMar>
                    <w:top w:w="0" w:type="dxa"/>
                    <w:left w:w="51" w:type="dxa"/>
                    <w:bottom w:w="0" w:type="dxa"/>
                    <w:right w:w="51" w:type="dxa"/>
                  </w:tcMar>
                  <w:vAlign w:val="center"/>
                </w:tcPr>
                <w:p w14:paraId="7D1ACE12">
                  <w:pPr>
                    <w:keepNext w:val="0"/>
                    <w:keepLines w:val="0"/>
                    <w:widowControl w:val="0"/>
                    <w:suppressLineNumbers w:val="0"/>
                    <w:adjustRightInd w:val="0"/>
                    <w:spacing w:before="0" w:beforeAutospacing="0" w:after="0" w:afterAutospacing="0"/>
                    <w:ind w:left="0" w:right="0"/>
                    <w:jc w:val="center"/>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lang w:val="en-US" w:eastAsia="zh-CN" w:bidi="ar"/>
                    </w:rPr>
                    <w:t>2</w:t>
                  </w:r>
                </w:p>
              </w:tc>
              <w:tc>
                <w:tcPr>
                  <w:tcW w:w="593" w:type="pct"/>
                  <w:tcBorders>
                    <w:tl2br w:val="nil"/>
                    <w:tr2bl w:val="nil"/>
                  </w:tcBorders>
                  <w:noWrap w:val="0"/>
                  <w:tcMar>
                    <w:top w:w="0" w:type="dxa"/>
                    <w:left w:w="51" w:type="dxa"/>
                    <w:bottom w:w="0" w:type="dxa"/>
                    <w:right w:w="51" w:type="dxa"/>
                  </w:tcMar>
                  <w:vAlign w:val="center"/>
                </w:tcPr>
                <w:p w14:paraId="703AE560">
                  <w:pPr>
                    <w:keepNext w:val="0"/>
                    <w:keepLines w:val="0"/>
                    <w:widowControl w:val="0"/>
                    <w:suppressLineNumbers w:val="0"/>
                    <w:adjustRightInd w:val="0"/>
                    <w:spacing w:before="0" w:beforeAutospacing="0" w:after="0" w:afterAutospacing="0"/>
                    <w:ind w:left="0" w:right="0"/>
                    <w:jc w:val="both"/>
                    <w:rPr>
                      <w:rFonts w:hint="default" w:ascii="Times New Roman" w:hAnsi="Times New Roman" w:eastAsia="宋体" w:cs="Times New Roman"/>
                      <w:color w:val="auto"/>
                      <w:kern w:val="2"/>
                      <w:sz w:val="21"/>
                      <w:szCs w:val="21"/>
                      <w:lang w:eastAsia="zh-CN"/>
                    </w:rPr>
                  </w:pPr>
                  <w:r>
                    <w:rPr>
                      <w:rFonts w:hint="default" w:ascii="Times New Roman" w:hAnsi="Times New Roman" w:cs="Times New Roman"/>
                      <w:color w:val="auto"/>
                      <w:kern w:val="2"/>
                      <w:sz w:val="21"/>
                      <w:szCs w:val="21"/>
                      <w:lang w:eastAsia="zh-CN"/>
                    </w:rPr>
                    <w:t>优化产业结构</w:t>
                  </w:r>
                </w:p>
              </w:tc>
              <w:tc>
                <w:tcPr>
                  <w:tcW w:w="2338" w:type="pct"/>
                  <w:tcBorders>
                    <w:tl2br w:val="nil"/>
                    <w:tr2bl w:val="nil"/>
                  </w:tcBorders>
                  <w:noWrap w:val="0"/>
                  <w:tcMar>
                    <w:top w:w="0" w:type="dxa"/>
                    <w:left w:w="51" w:type="dxa"/>
                    <w:bottom w:w="0" w:type="dxa"/>
                    <w:right w:w="51" w:type="dxa"/>
                  </w:tcMar>
                  <w:vAlign w:val="center"/>
                </w:tcPr>
                <w:p w14:paraId="4B23F915">
                  <w:pPr>
                    <w:keepNext w:val="0"/>
                    <w:keepLines w:val="0"/>
                    <w:widowControl w:val="0"/>
                    <w:suppressLineNumbers w:val="0"/>
                    <w:autoSpaceDE w:val="0"/>
                    <w:autoSpaceDN/>
                    <w:spacing w:before="0" w:beforeAutospacing="0" w:after="0" w:afterAutospacing="0"/>
                    <w:ind w:left="0" w:right="0"/>
                    <w:jc w:val="both"/>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入驻项目应遵循循环经济理念，实施清洁生产，逐步优化产业结构，构筑循环经济产业链；鼓励发展主导产业，并不断完善产业链条；食品产业重点发展农副食品加工和</w:t>
                  </w:r>
                  <w:r>
                    <w:rPr>
                      <w:rFonts w:hint="eastAsia" w:cs="Times New Roman"/>
                      <w:color w:val="auto"/>
                      <w:kern w:val="2"/>
                      <w:sz w:val="21"/>
                      <w:szCs w:val="21"/>
                      <w:lang w:eastAsia="zh-CN"/>
                    </w:rPr>
                    <w:t>塑料制品业</w:t>
                  </w:r>
                  <w:r>
                    <w:rPr>
                      <w:rFonts w:hint="default" w:ascii="Times New Roman" w:hAnsi="Times New Roman" w:eastAsia="宋体" w:cs="Times New Roman"/>
                      <w:color w:val="auto"/>
                      <w:kern w:val="2"/>
                      <w:sz w:val="21"/>
                      <w:szCs w:val="21"/>
                    </w:rPr>
                    <w:t>；医药产业重点发展中药类制药、混装制剂类制药、提取类制药以及生物工程类制药等污染排放量小的项目；制造产业装备制造业；禁止入驻煤化工、石油化工、制浆造纸、水泥、陶瓷、制浆及毛皮鞣制等高水耗、高能耗、污染排放量较大行业；禁止入驻冶金、钢铁、铁合金等行业，已入驻项目禁止扩大生产规模；医药产业禁止入驻呋喃唑酮、氢化可的松等排水量较大的化学合成类制药项目、氨基糖苷类、多肽类、β-内酰胺类抗生素、洁霉素、阿霉素、利福霉素等排水量较大的发酵类制药项目以及《报告书》所列的采用重污染工艺的制药类项目。</w:t>
                  </w:r>
                </w:p>
              </w:tc>
              <w:tc>
                <w:tcPr>
                  <w:tcW w:w="1354" w:type="pct"/>
                  <w:tcBorders>
                    <w:tl2br w:val="nil"/>
                    <w:tr2bl w:val="nil"/>
                  </w:tcBorders>
                  <w:noWrap w:val="0"/>
                  <w:tcMar>
                    <w:top w:w="0" w:type="dxa"/>
                    <w:left w:w="51" w:type="dxa"/>
                    <w:bottom w:w="0" w:type="dxa"/>
                    <w:right w:w="51" w:type="dxa"/>
                  </w:tcMar>
                  <w:vAlign w:val="center"/>
                </w:tcPr>
                <w:p w14:paraId="1B5C1F34">
                  <w:pPr>
                    <w:keepNext w:val="0"/>
                    <w:keepLines w:val="0"/>
                    <w:widowControl w:val="0"/>
                    <w:suppressLineNumbers w:val="0"/>
                    <w:adjustRightInd w:val="0"/>
                    <w:spacing w:before="0" w:beforeAutospacing="0" w:after="0" w:afterAutospacing="0"/>
                    <w:ind w:left="0" w:right="0"/>
                    <w:jc w:val="both"/>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本项目为</w:t>
                  </w:r>
                  <w:r>
                    <w:rPr>
                      <w:rFonts w:hint="eastAsia" w:ascii="Times New Roman" w:hAnsi="Times New Roman" w:eastAsia="宋体" w:cs="Times New Roman"/>
                      <w:color w:val="auto"/>
                      <w:kern w:val="2"/>
                      <w:sz w:val="21"/>
                      <w:szCs w:val="21"/>
                      <w:lang w:eastAsia="zh-CN"/>
                    </w:rPr>
                    <w:t>塑料制品业</w:t>
                  </w:r>
                  <w:r>
                    <w:rPr>
                      <w:rFonts w:hint="default" w:ascii="Times New Roman" w:hAnsi="Times New Roman" w:eastAsia="宋体" w:cs="Times New Roman"/>
                      <w:color w:val="auto"/>
                      <w:kern w:val="2"/>
                      <w:sz w:val="21"/>
                      <w:szCs w:val="21"/>
                      <w:lang w:eastAsia="zh-CN"/>
                    </w:rPr>
                    <w:t>，不属于集聚区禁止入驻产业。</w:t>
                  </w:r>
                </w:p>
              </w:tc>
              <w:tc>
                <w:tcPr>
                  <w:tcW w:w="426" w:type="pct"/>
                  <w:tcBorders>
                    <w:tl2br w:val="nil"/>
                    <w:tr2bl w:val="nil"/>
                  </w:tcBorders>
                  <w:noWrap w:val="0"/>
                  <w:tcMar>
                    <w:top w:w="0" w:type="dxa"/>
                    <w:left w:w="51" w:type="dxa"/>
                    <w:bottom w:w="0" w:type="dxa"/>
                    <w:right w:w="51" w:type="dxa"/>
                  </w:tcMar>
                  <w:vAlign w:val="center"/>
                </w:tcPr>
                <w:p w14:paraId="040D7505">
                  <w:pPr>
                    <w:keepNext w:val="0"/>
                    <w:keepLines w:val="0"/>
                    <w:widowControl w:val="0"/>
                    <w:suppressLineNumbers w:val="0"/>
                    <w:adjustRightInd w:val="0"/>
                    <w:spacing w:before="0" w:beforeAutospacing="0" w:after="0" w:afterAutospacing="0"/>
                    <w:ind w:left="0" w:right="0"/>
                    <w:jc w:val="center"/>
                    <w:rPr>
                      <w:rFonts w:hint="default" w:ascii="Times New Roman" w:hAnsi="Times New Roman"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符合</w:t>
                  </w:r>
                </w:p>
              </w:tc>
            </w:tr>
            <w:tr w14:paraId="5A1E45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86" w:type="pct"/>
                  <w:tcBorders>
                    <w:tl2br w:val="nil"/>
                    <w:tr2bl w:val="nil"/>
                  </w:tcBorders>
                  <w:noWrap w:val="0"/>
                  <w:tcMar>
                    <w:top w:w="0" w:type="dxa"/>
                    <w:left w:w="51" w:type="dxa"/>
                    <w:bottom w:w="0" w:type="dxa"/>
                    <w:right w:w="51" w:type="dxa"/>
                  </w:tcMar>
                  <w:vAlign w:val="center"/>
                </w:tcPr>
                <w:p w14:paraId="363E1A73">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w:t>
                  </w:r>
                </w:p>
              </w:tc>
              <w:tc>
                <w:tcPr>
                  <w:tcW w:w="593" w:type="pct"/>
                  <w:tcBorders>
                    <w:tl2br w:val="nil"/>
                    <w:tr2bl w:val="nil"/>
                  </w:tcBorders>
                  <w:noWrap w:val="0"/>
                  <w:tcMar>
                    <w:top w:w="0" w:type="dxa"/>
                    <w:left w:w="51" w:type="dxa"/>
                    <w:bottom w:w="0" w:type="dxa"/>
                    <w:right w:w="51" w:type="dxa"/>
                  </w:tcMar>
                  <w:vAlign w:val="center"/>
                </w:tcPr>
                <w:p w14:paraId="0D9CA4D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eastAsia="zh-CN"/>
                    </w:rPr>
                  </w:pPr>
                  <w:r>
                    <w:rPr>
                      <w:rFonts w:hint="default" w:ascii="Times New Roman" w:hAnsi="Times New Roman" w:cs="Times New Roman"/>
                      <w:color w:val="auto"/>
                      <w:kern w:val="2"/>
                      <w:sz w:val="21"/>
                      <w:szCs w:val="21"/>
                      <w:lang w:eastAsia="zh-CN"/>
                    </w:rPr>
                    <w:t>尽快完善环保基础设施</w:t>
                  </w:r>
                </w:p>
              </w:tc>
              <w:tc>
                <w:tcPr>
                  <w:tcW w:w="2338" w:type="pct"/>
                  <w:tcBorders>
                    <w:tl2br w:val="nil"/>
                    <w:tr2bl w:val="nil"/>
                  </w:tcBorders>
                  <w:noWrap w:val="0"/>
                  <w:tcMar>
                    <w:top w:w="0" w:type="dxa"/>
                    <w:left w:w="51" w:type="dxa"/>
                    <w:bottom w:w="0" w:type="dxa"/>
                    <w:right w:w="51" w:type="dxa"/>
                  </w:tcMar>
                  <w:vAlign w:val="center"/>
                </w:tcPr>
                <w:p w14:paraId="7DB4EC72">
                  <w:pPr>
                    <w:keepNext w:val="0"/>
                    <w:keepLines w:val="0"/>
                    <w:widowControl w:val="0"/>
                    <w:suppressLineNumbers w:val="0"/>
                    <w:spacing w:before="0" w:beforeAutospacing="0" w:after="0" w:afterAutospacing="0"/>
                    <w:ind w:left="0" w:right="0"/>
                    <w:jc w:val="both"/>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按照</w:t>
                  </w:r>
                  <w:r>
                    <w:rPr>
                      <w:rFonts w:hint="default" w:ascii="Times New Roman" w:hAnsi="Times New Roman" w:cs="Times New Roman"/>
                      <w:color w:val="auto"/>
                      <w:kern w:val="2"/>
                      <w:sz w:val="21"/>
                      <w:szCs w:val="21"/>
                      <w:lang w:eastAsia="zh-CN"/>
                    </w:rPr>
                    <w:t>“</w:t>
                  </w:r>
                  <w:r>
                    <w:rPr>
                      <w:rFonts w:hint="default" w:ascii="Times New Roman" w:hAnsi="Times New Roman" w:cs="Times New Roman"/>
                      <w:color w:val="auto"/>
                      <w:kern w:val="2"/>
                      <w:sz w:val="21"/>
                      <w:szCs w:val="21"/>
                    </w:rPr>
                    <w:t>清污分流、雨污分流、中水回用</w:t>
                  </w:r>
                  <w:r>
                    <w:rPr>
                      <w:rFonts w:hint="default" w:ascii="Times New Roman" w:hAnsi="Times New Roman" w:cs="Times New Roman"/>
                      <w:color w:val="auto"/>
                      <w:kern w:val="2"/>
                      <w:sz w:val="21"/>
                      <w:szCs w:val="21"/>
                      <w:lang w:eastAsia="zh-CN"/>
                    </w:rPr>
                    <w:t>”</w:t>
                  </w:r>
                  <w:r>
                    <w:rPr>
                      <w:rFonts w:hint="default" w:ascii="Times New Roman" w:hAnsi="Times New Roman" w:cs="Times New Roman"/>
                      <w:color w:val="auto"/>
                      <w:kern w:val="2"/>
                      <w:sz w:val="21"/>
                      <w:szCs w:val="21"/>
                    </w:rPr>
                    <w:t>的要求，加快建设污水处理厂和中水深度处理回用工程，完善配套污水管网，确保入区企业外排废水全部经管网收集后进入污水处理厂处理，入园企业均不得单独设置废水排放口，减少对纳污水体的影响。集聚区应实施集中供热、供气，进一步优化能源结构，逐步拆除区内企业自备分散燃煤锅炉。按照循环经济的要求，提高固体废物的综合利用率，积极探索固废综合利用途径，提高一般工业固废综合利用率，严禁企业随意弃置；危险固废的收集、贮存应满足《危险废物贮存污染控制标准》(GB18597-2001）的要求，并送有资质的危险废物处置单位处置，危险废物的转运应执行《危险废物转移联单管理办法》的有关规定。</w:t>
                  </w:r>
                </w:p>
              </w:tc>
              <w:tc>
                <w:tcPr>
                  <w:tcW w:w="1354" w:type="pct"/>
                  <w:tcBorders>
                    <w:tl2br w:val="nil"/>
                    <w:tr2bl w:val="nil"/>
                  </w:tcBorders>
                  <w:noWrap w:val="0"/>
                  <w:tcMar>
                    <w:top w:w="0" w:type="dxa"/>
                    <w:left w:w="51" w:type="dxa"/>
                    <w:bottom w:w="0" w:type="dxa"/>
                    <w:right w:w="51" w:type="dxa"/>
                  </w:tcMar>
                  <w:vAlign w:val="center"/>
                </w:tcPr>
                <w:p w14:paraId="45726282">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ind w:left="0" w:right="0"/>
                    <w:jc w:val="both"/>
                    <w:textAlignment w:val="auto"/>
                    <w:rPr>
                      <w:rFonts w:hint="default" w:ascii="Times New Roman" w:hAnsi="Times New Roman" w:eastAsia="宋体" w:cs="Times New Roman"/>
                      <w:color w:val="auto"/>
                      <w:kern w:val="2"/>
                      <w:sz w:val="21"/>
                      <w:szCs w:val="21"/>
                      <w:lang w:eastAsia="zh-CN"/>
                    </w:rPr>
                  </w:pPr>
                  <w:r>
                    <w:rPr>
                      <w:rFonts w:hint="eastAsia" w:ascii="Times New Roman" w:hAnsi="Times New Roman" w:eastAsia="宋体" w:cs="Times New Roman"/>
                      <w:color w:val="auto"/>
                      <w:kern w:val="2"/>
                      <w:sz w:val="21"/>
                      <w:szCs w:val="21"/>
                      <w:highlight w:val="none"/>
                      <w:lang w:eastAsia="zh-CN"/>
                    </w:rPr>
                    <w:t>本项目雨污分流，</w:t>
                  </w:r>
                  <w:r>
                    <w:rPr>
                      <w:rFonts w:hint="eastAsia" w:cs="Times New Roman"/>
                      <w:color w:val="auto"/>
                      <w:kern w:val="2"/>
                      <w:sz w:val="21"/>
                      <w:szCs w:val="21"/>
                      <w:highlight w:val="none"/>
                      <w:lang w:eastAsia="zh-CN"/>
                    </w:rPr>
                    <w:t>不涉及生产废水排放，</w:t>
                  </w:r>
                  <w:r>
                    <w:rPr>
                      <w:rFonts w:hint="eastAsia" w:ascii="Times New Roman" w:hAnsi="Times New Roman" w:eastAsia="宋体" w:cs="Times New Roman"/>
                      <w:snapToGrid/>
                      <w:color w:val="auto"/>
                      <w:kern w:val="24"/>
                      <w:sz w:val="21"/>
                      <w:szCs w:val="21"/>
                      <w:lang w:val="en-US" w:eastAsia="zh-CN"/>
                    </w:rPr>
                    <w:t>项目食堂废水经隔油池预处理后与经化粪池处理后的其他生活污水一同排入汤阴天雨污水净化有限公司进一步处理</w:t>
                  </w:r>
                  <w:r>
                    <w:rPr>
                      <w:rFonts w:hint="eastAsia" w:cs="Times New Roman"/>
                      <w:snapToGrid/>
                      <w:color w:val="auto"/>
                      <w:kern w:val="24"/>
                      <w:sz w:val="21"/>
                      <w:szCs w:val="21"/>
                      <w:lang w:val="en-US" w:eastAsia="zh-CN"/>
                    </w:rPr>
                    <w:t>。</w:t>
                  </w:r>
                  <w:r>
                    <w:rPr>
                      <w:rFonts w:hint="default" w:ascii="Times New Roman" w:hAnsi="Times New Roman" w:cs="Times New Roman"/>
                      <w:color w:val="auto"/>
                      <w:kern w:val="2"/>
                      <w:sz w:val="21"/>
                      <w:szCs w:val="21"/>
                    </w:rPr>
                    <w:t>危险</w:t>
                  </w:r>
                  <w:r>
                    <w:rPr>
                      <w:rFonts w:hint="eastAsia" w:cs="Times New Roman"/>
                      <w:color w:val="auto"/>
                      <w:kern w:val="2"/>
                      <w:sz w:val="21"/>
                      <w:szCs w:val="21"/>
                      <w:lang w:eastAsia="zh-CN"/>
                    </w:rPr>
                    <w:t>废物</w:t>
                  </w:r>
                  <w:r>
                    <w:rPr>
                      <w:rFonts w:hint="eastAsia" w:ascii="Times New Roman" w:hAnsi="Times New Roman" w:cs="Times New Roman"/>
                      <w:color w:val="auto"/>
                      <w:kern w:val="2"/>
                      <w:sz w:val="21"/>
                      <w:szCs w:val="21"/>
                      <w:lang w:eastAsia="zh-CN"/>
                    </w:rPr>
                    <w:t>按照</w:t>
                  </w:r>
                  <w:r>
                    <w:rPr>
                      <w:rFonts w:hint="default" w:ascii="Times New Roman" w:hAnsi="Times New Roman" w:cs="Times New Roman"/>
                      <w:color w:val="auto"/>
                      <w:kern w:val="2"/>
                      <w:sz w:val="21"/>
                      <w:szCs w:val="21"/>
                    </w:rPr>
                    <w:t>《危险废物贮存污染控制标准》(GB18597-20</w:t>
                  </w:r>
                  <w:r>
                    <w:rPr>
                      <w:rFonts w:hint="eastAsia" w:cs="Times New Roman"/>
                      <w:color w:val="auto"/>
                      <w:kern w:val="2"/>
                      <w:sz w:val="21"/>
                      <w:szCs w:val="21"/>
                      <w:lang w:val="en-US" w:eastAsia="zh-CN"/>
                    </w:rPr>
                    <w:t>23</w:t>
                  </w:r>
                  <w:r>
                    <w:rPr>
                      <w:rFonts w:hint="default" w:ascii="Times New Roman" w:hAnsi="Times New Roman" w:cs="Times New Roman"/>
                      <w:color w:val="auto"/>
                      <w:kern w:val="2"/>
                      <w:sz w:val="21"/>
                      <w:szCs w:val="21"/>
                    </w:rPr>
                    <w:t>）</w:t>
                  </w:r>
                  <w:r>
                    <w:rPr>
                      <w:rFonts w:hint="default" w:ascii="Times New Roman" w:hAnsi="Times New Roman" w:cs="Times New Roman"/>
                      <w:color w:val="auto"/>
                      <w:kern w:val="2"/>
                      <w:sz w:val="21"/>
                      <w:szCs w:val="21"/>
                    </w:rPr>
                    <w:t>要求</w:t>
                  </w:r>
                  <w:r>
                    <w:rPr>
                      <w:rFonts w:hint="eastAsia" w:ascii="Times New Roman" w:hAnsi="Times New Roman" w:cs="Times New Roman"/>
                      <w:color w:val="auto"/>
                      <w:kern w:val="2"/>
                      <w:sz w:val="21"/>
                      <w:szCs w:val="21"/>
                      <w:lang w:eastAsia="zh-CN"/>
                    </w:rPr>
                    <w:t>收集、贮存</w:t>
                  </w:r>
                  <w:r>
                    <w:rPr>
                      <w:rFonts w:hint="default" w:ascii="Times New Roman" w:hAnsi="Times New Roman" w:cs="Times New Roman"/>
                      <w:color w:val="auto"/>
                      <w:kern w:val="2"/>
                      <w:sz w:val="21"/>
                      <w:szCs w:val="21"/>
                    </w:rPr>
                    <w:t>，并送有资质的危险废物处置单位处置，危险废物的转运应执行《危险废物转移联单管理办法》的有关规定。</w:t>
                  </w:r>
                </w:p>
              </w:tc>
              <w:tc>
                <w:tcPr>
                  <w:tcW w:w="426" w:type="pct"/>
                  <w:tcBorders>
                    <w:tl2br w:val="nil"/>
                    <w:tr2bl w:val="nil"/>
                  </w:tcBorders>
                  <w:noWrap w:val="0"/>
                  <w:tcMar>
                    <w:top w:w="0" w:type="dxa"/>
                    <w:left w:w="51" w:type="dxa"/>
                    <w:bottom w:w="0" w:type="dxa"/>
                    <w:right w:w="51" w:type="dxa"/>
                  </w:tcMar>
                  <w:vAlign w:val="center"/>
                </w:tcPr>
                <w:p w14:paraId="49AC6047">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符合</w:t>
                  </w:r>
                </w:p>
              </w:tc>
            </w:tr>
            <w:tr w14:paraId="59D77B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86" w:type="pct"/>
                  <w:tcBorders>
                    <w:tl2br w:val="nil"/>
                    <w:tr2bl w:val="nil"/>
                  </w:tcBorders>
                  <w:noWrap w:val="0"/>
                  <w:tcMar>
                    <w:top w:w="0" w:type="dxa"/>
                    <w:left w:w="51" w:type="dxa"/>
                    <w:bottom w:w="0" w:type="dxa"/>
                    <w:right w:w="51" w:type="dxa"/>
                  </w:tcMar>
                  <w:vAlign w:val="center"/>
                </w:tcPr>
                <w:p w14:paraId="4F3619ED">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4</w:t>
                  </w:r>
                </w:p>
              </w:tc>
              <w:tc>
                <w:tcPr>
                  <w:tcW w:w="593" w:type="pct"/>
                  <w:tcBorders>
                    <w:tl2br w:val="nil"/>
                    <w:tr2bl w:val="nil"/>
                  </w:tcBorders>
                  <w:noWrap w:val="0"/>
                  <w:tcMar>
                    <w:top w:w="0" w:type="dxa"/>
                    <w:left w:w="51" w:type="dxa"/>
                    <w:bottom w:w="0" w:type="dxa"/>
                    <w:right w:w="51" w:type="dxa"/>
                  </w:tcMar>
                  <w:vAlign w:val="center"/>
                </w:tcPr>
                <w:p w14:paraId="6192A22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严格控制污染物排放</w:t>
                  </w:r>
                </w:p>
              </w:tc>
              <w:tc>
                <w:tcPr>
                  <w:tcW w:w="2338" w:type="pct"/>
                  <w:tcBorders>
                    <w:tl2br w:val="nil"/>
                    <w:tr2bl w:val="nil"/>
                  </w:tcBorders>
                  <w:noWrap w:val="0"/>
                  <w:tcMar>
                    <w:top w:w="0" w:type="dxa"/>
                    <w:left w:w="51" w:type="dxa"/>
                    <w:bottom w:w="0" w:type="dxa"/>
                    <w:right w:w="51" w:type="dxa"/>
                  </w:tcMar>
                  <w:vAlign w:val="center"/>
                </w:tcPr>
                <w:p w14:paraId="4BBA9364">
                  <w:pPr>
                    <w:keepNext w:val="0"/>
                    <w:keepLines w:val="0"/>
                    <w:widowControl w:val="0"/>
                    <w:suppressLineNumbers w:val="0"/>
                    <w:spacing w:before="0" w:beforeAutospacing="0" w:after="0" w:afterAutospacing="0"/>
                    <w:ind w:left="0" w:right="0"/>
                    <w:jc w:val="both"/>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严格执行污染物排放总量控制制度，采取调整能源结构、加强污染治理等措施，严格控制烟粉尘、二氧化硫、氮氧化物、可挥发性有机物等大气污染物的排放。抓紧实施中水回用工程，减少废水排放量，保证污水处理设施的正常运行，确保污水处理厂出水执行《城镇污水处理厂污染物排放标准》(GB18918-2002）一级标准的A标准，并尽快对污水处理厂进行提标改造，减少对纳入水体的影响。尽快实现集聚区集中供水，逐步关停企业自备水井。定期对地下水质进行监测，发现问题，及时采取有效防治措施，避免对地下水造成污染。</w:t>
                  </w:r>
                </w:p>
              </w:tc>
              <w:tc>
                <w:tcPr>
                  <w:tcW w:w="1354" w:type="pct"/>
                  <w:tcBorders>
                    <w:tl2br w:val="nil"/>
                    <w:tr2bl w:val="nil"/>
                  </w:tcBorders>
                  <w:noWrap w:val="0"/>
                  <w:tcMar>
                    <w:top w:w="0" w:type="dxa"/>
                    <w:left w:w="51" w:type="dxa"/>
                    <w:bottom w:w="0" w:type="dxa"/>
                    <w:right w:w="51" w:type="dxa"/>
                  </w:tcMar>
                  <w:vAlign w:val="center"/>
                </w:tcPr>
                <w:p w14:paraId="3D56046F">
                  <w:pPr>
                    <w:keepNext w:val="0"/>
                    <w:keepLines w:val="0"/>
                    <w:widowControl w:val="0"/>
                    <w:suppressLineNumbers w:val="0"/>
                    <w:adjustRightInd w:val="0"/>
                    <w:spacing w:before="0" w:beforeAutospacing="0" w:after="0" w:afterAutospacing="0"/>
                    <w:ind w:left="0" w:right="0"/>
                    <w:jc w:val="both"/>
                    <w:rPr>
                      <w:rFonts w:hint="eastAsia" w:ascii="Times New Roman" w:hAnsi="Times New Roman" w:eastAsia="宋体" w:cs="Times New Roman"/>
                      <w:color w:val="auto"/>
                      <w:kern w:val="2"/>
                      <w:sz w:val="21"/>
                      <w:szCs w:val="21"/>
                      <w:lang w:eastAsia="zh-CN"/>
                    </w:rPr>
                  </w:pPr>
                  <w:r>
                    <w:rPr>
                      <w:rFonts w:hint="eastAsia" w:cs="Times New Roman"/>
                      <w:color w:val="auto"/>
                      <w:kern w:val="2"/>
                      <w:sz w:val="21"/>
                      <w:szCs w:val="21"/>
                      <w:lang w:eastAsia="zh-CN"/>
                    </w:rPr>
                    <w:t>本项目废气污染物实行等量替代、废水污染物实行等量替代。</w:t>
                  </w:r>
                </w:p>
              </w:tc>
              <w:tc>
                <w:tcPr>
                  <w:tcW w:w="426" w:type="pct"/>
                  <w:tcBorders>
                    <w:tl2br w:val="nil"/>
                    <w:tr2bl w:val="nil"/>
                  </w:tcBorders>
                  <w:noWrap w:val="0"/>
                  <w:tcMar>
                    <w:top w:w="0" w:type="dxa"/>
                    <w:left w:w="51" w:type="dxa"/>
                    <w:bottom w:w="0" w:type="dxa"/>
                    <w:right w:w="51" w:type="dxa"/>
                  </w:tcMar>
                  <w:vAlign w:val="center"/>
                </w:tcPr>
                <w:p w14:paraId="68C1CE4A">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符合</w:t>
                  </w:r>
                </w:p>
              </w:tc>
            </w:tr>
            <w:tr w14:paraId="24DFB7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86" w:type="pct"/>
                  <w:tcBorders>
                    <w:tl2br w:val="nil"/>
                    <w:tr2bl w:val="nil"/>
                  </w:tcBorders>
                  <w:noWrap w:val="0"/>
                  <w:tcMar>
                    <w:top w:w="0" w:type="dxa"/>
                    <w:left w:w="51" w:type="dxa"/>
                    <w:bottom w:w="0" w:type="dxa"/>
                    <w:right w:w="51" w:type="dxa"/>
                  </w:tcMar>
                  <w:vAlign w:val="center"/>
                </w:tcPr>
                <w:p w14:paraId="20932371">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5</w:t>
                  </w:r>
                </w:p>
              </w:tc>
              <w:tc>
                <w:tcPr>
                  <w:tcW w:w="593" w:type="pct"/>
                  <w:tcBorders>
                    <w:tl2br w:val="nil"/>
                    <w:tr2bl w:val="nil"/>
                  </w:tcBorders>
                  <w:noWrap w:val="0"/>
                  <w:tcMar>
                    <w:top w:w="0" w:type="dxa"/>
                    <w:left w:w="51" w:type="dxa"/>
                    <w:bottom w:w="0" w:type="dxa"/>
                    <w:right w:w="51" w:type="dxa"/>
                  </w:tcMar>
                  <w:vAlign w:val="center"/>
                </w:tcPr>
                <w:p w14:paraId="4DC75DF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建立事故风险防范和应急处置体系</w:t>
                  </w:r>
                </w:p>
              </w:tc>
              <w:tc>
                <w:tcPr>
                  <w:tcW w:w="2338" w:type="pct"/>
                  <w:tcBorders>
                    <w:tl2br w:val="nil"/>
                    <w:tr2bl w:val="nil"/>
                  </w:tcBorders>
                  <w:noWrap w:val="0"/>
                  <w:tcMar>
                    <w:top w:w="0" w:type="dxa"/>
                    <w:left w:w="51" w:type="dxa"/>
                    <w:bottom w:w="0" w:type="dxa"/>
                    <w:right w:w="51" w:type="dxa"/>
                  </w:tcMar>
                  <w:vAlign w:val="center"/>
                </w:tcPr>
                <w:p w14:paraId="2A91038F">
                  <w:pPr>
                    <w:keepNext w:val="0"/>
                    <w:keepLines w:val="0"/>
                    <w:widowControl w:val="0"/>
                    <w:suppressLineNumbers w:val="0"/>
                    <w:spacing w:before="0" w:beforeAutospacing="0" w:after="0" w:afterAutospacing="0"/>
                    <w:ind w:left="0" w:right="0"/>
                    <w:jc w:val="both"/>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加快环境风险预警体系建设，严格危险化学品管理；建立完善有效的环境风险防控设施和有效的拦截、降污、导流等措施，防止对地表水环境造成危害；制定园区级综合环境应急预案，不断完善各类突发环境事件应急预案，有计划地组织应急培训和演练，全面提升园区风险防控和事故应急处置能力。</w:t>
                  </w:r>
                </w:p>
              </w:tc>
              <w:tc>
                <w:tcPr>
                  <w:tcW w:w="1354" w:type="pct"/>
                  <w:tcBorders>
                    <w:tl2br w:val="nil"/>
                    <w:tr2bl w:val="nil"/>
                  </w:tcBorders>
                  <w:noWrap w:val="0"/>
                  <w:tcMar>
                    <w:top w:w="0" w:type="dxa"/>
                    <w:left w:w="51" w:type="dxa"/>
                    <w:bottom w:w="0" w:type="dxa"/>
                    <w:right w:w="51" w:type="dxa"/>
                  </w:tcMar>
                  <w:vAlign w:val="center"/>
                </w:tcPr>
                <w:p w14:paraId="53E9A038">
                  <w:pPr>
                    <w:keepNext w:val="0"/>
                    <w:keepLines w:val="0"/>
                    <w:widowControl w:val="0"/>
                    <w:suppressLineNumbers w:val="0"/>
                    <w:adjustRightInd w:val="0"/>
                    <w:spacing w:before="0" w:beforeAutospacing="0" w:after="0" w:afterAutospacing="0"/>
                    <w:ind w:left="0" w:right="0"/>
                    <w:jc w:val="both"/>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项目建成后，企业应进行突发环境事件应急预案编制，并建立区域联动机制。</w:t>
                  </w:r>
                </w:p>
              </w:tc>
              <w:tc>
                <w:tcPr>
                  <w:tcW w:w="426" w:type="pct"/>
                  <w:tcBorders>
                    <w:tl2br w:val="nil"/>
                    <w:tr2bl w:val="nil"/>
                  </w:tcBorders>
                  <w:noWrap w:val="0"/>
                  <w:tcMar>
                    <w:top w:w="0" w:type="dxa"/>
                    <w:left w:w="51" w:type="dxa"/>
                    <w:bottom w:w="0" w:type="dxa"/>
                    <w:right w:w="51" w:type="dxa"/>
                  </w:tcMar>
                  <w:vAlign w:val="center"/>
                </w:tcPr>
                <w:p w14:paraId="0C2028F8">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符合</w:t>
                  </w:r>
                </w:p>
              </w:tc>
            </w:tr>
            <w:tr w14:paraId="040B09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86" w:type="pct"/>
                  <w:tcBorders>
                    <w:tl2br w:val="nil"/>
                    <w:tr2bl w:val="nil"/>
                  </w:tcBorders>
                  <w:noWrap w:val="0"/>
                  <w:tcMar>
                    <w:top w:w="0" w:type="dxa"/>
                    <w:left w:w="51" w:type="dxa"/>
                    <w:bottom w:w="0" w:type="dxa"/>
                    <w:right w:w="51" w:type="dxa"/>
                  </w:tcMar>
                  <w:vAlign w:val="center"/>
                </w:tcPr>
                <w:p w14:paraId="628D4CB8">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6</w:t>
                  </w:r>
                </w:p>
              </w:tc>
              <w:tc>
                <w:tcPr>
                  <w:tcW w:w="593" w:type="pct"/>
                  <w:tcBorders>
                    <w:tl2br w:val="nil"/>
                    <w:tr2bl w:val="nil"/>
                  </w:tcBorders>
                  <w:noWrap w:val="0"/>
                  <w:tcMar>
                    <w:top w:w="0" w:type="dxa"/>
                    <w:left w:w="51" w:type="dxa"/>
                    <w:bottom w:w="0" w:type="dxa"/>
                    <w:right w:w="51" w:type="dxa"/>
                  </w:tcMar>
                  <w:vAlign w:val="center"/>
                </w:tcPr>
                <w:p w14:paraId="026E13C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妥善安置搬迁居民</w:t>
                  </w:r>
                </w:p>
              </w:tc>
              <w:tc>
                <w:tcPr>
                  <w:tcW w:w="2338" w:type="pct"/>
                  <w:tcBorders>
                    <w:tl2br w:val="nil"/>
                    <w:tr2bl w:val="nil"/>
                  </w:tcBorders>
                  <w:noWrap w:val="0"/>
                  <w:tcMar>
                    <w:top w:w="0" w:type="dxa"/>
                    <w:left w:w="51" w:type="dxa"/>
                    <w:bottom w:w="0" w:type="dxa"/>
                    <w:right w:w="51" w:type="dxa"/>
                  </w:tcMar>
                  <w:vAlign w:val="center"/>
                </w:tcPr>
                <w:p w14:paraId="272C3DEA">
                  <w:pPr>
                    <w:keepNext w:val="0"/>
                    <w:keepLines w:val="0"/>
                    <w:widowControl w:val="0"/>
                    <w:suppressLineNumbers w:val="0"/>
                    <w:spacing w:before="0" w:beforeAutospacing="0" w:after="0" w:afterAutospacing="0"/>
                    <w:ind w:left="0" w:right="0"/>
                    <w:jc w:val="both"/>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根据规划实施的进度，制定详细的搬迁计划，对居民及时拆迁，妥善安置。当地人民政府应加强组织协调，按照《报告书》提出的建议制定详细的搬迁计划和方案，认真组织落实。加强拆迁居民的培训，积极拓宽就业渠道，注意加强搬迁居民的就业、医疗、社会救助等保障体系建设，保证其生活基本稳定，构建和谐社会。</w:t>
                  </w:r>
                </w:p>
              </w:tc>
              <w:tc>
                <w:tcPr>
                  <w:tcW w:w="1354" w:type="pct"/>
                  <w:tcBorders>
                    <w:tl2br w:val="nil"/>
                    <w:tr2bl w:val="nil"/>
                  </w:tcBorders>
                  <w:noWrap w:val="0"/>
                  <w:tcMar>
                    <w:top w:w="0" w:type="dxa"/>
                    <w:left w:w="51" w:type="dxa"/>
                    <w:bottom w:w="0" w:type="dxa"/>
                    <w:right w:w="51" w:type="dxa"/>
                  </w:tcMar>
                  <w:vAlign w:val="center"/>
                </w:tcPr>
                <w:p w14:paraId="254E3964">
                  <w:pPr>
                    <w:keepNext w:val="0"/>
                    <w:keepLines w:val="0"/>
                    <w:widowControl w:val="0"/>
                    <w:suppressLineNumbers w:val="0"/>
                    <w:adjustRightInd w:val="0"/>
                    <w:spacing w:before="0" w:beforeAutospacing="0" w:after="0" w:afterAutospacing="0"/>
                    <w:ind w:left="0" w:right="0"/>
                    <w:jc w:val="both"/>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本项目不涉及居民搬迁。</w:t>
                  </w:r>
                </w:p>
              </w:tc>
              <w:tc>
                <w:tcPr>
                  <w:tcW w:w="426" w:type="pct"/>
                  <w:tcBorders>
                    <w:tl2br w:val="nil"/>
                    <w:tr2bl w:val="nil"/>
                  </w:tcBorders>
                  <w:noWrap w:val="0"/>
                  <w:tcMar>
                    <w:top w:w="0" w:type="dxa"/>
                    <w:left w:w="51" w:type="dxa"/>
                    <w:bottom w:w="0" w:type="dxa"/>
                    <w:right w:w="51" w:type="dxa"/>
                  </w:tcMar>
                  <w:vAlign w:val="center"/>
                </w:tcPr>
                <w:p w14:paraId="1002C25E">
                  <w:pPr>
                    <w:keepNext w:val="0"/>
                    <w:keepLines w:val="0"/>
                    <w:widowControl w:val="0"/>
                    <w:suppressLineNumbers w:val="0"/>
                    <w:adjustRightIn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不涉及</w:t>
                  </w:r>
                </w:p>
              </w:tc>
            </w:tr>
          </w:tbl>
          <w:p w14:paraId="058D402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综上分析，本项目建设符合《汤阴县产业集聚区发展规划调整方案（2017-2020）环境影响报告书的审查意见》相关内容。</w:t>
            </w:r>
          </w:p>
          <w:p w14:paraId="7A985395">
            <w:pPr>
              <w:keepNext w:val="0"/>
              <w:keepLines w:val="0"/>
              <w:suppressLineNumbers w:val="0"/>
              <w:spacing w:before="0" w:beforeAutospacing="0" w:after="0" w:afterAutospacing="0" w:line="360" w:lineRule="auto"/>
              <w:ind w:left="0" w:right="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4.与</w:t>
            </w:r>
            <w:bookmarkStart w:id="4" w:name="OLE_LINK207"/>
            <w:r>
              <w:rPr>
                <w:rFonts w:hint="default" w:ascii="Times New Roman" w:hAnsi="Times New Roman" w:cs="Times New Roman"/>
                <w:b/>
                <w:bCs/>
                <w:color w:val="auto"/>
                <w:sz w:val="24"/>
                <w:szCs w:val="24"/>
                <w:lang w:val="en-US" w:eastAsia="zh-CN"/>
              </w:rPr>
              <w:t>《汤阴高新技术产业开发区总体发展规划（2022-2035）》（送审版）</w:t>
            </w:r>
            <w:bookmarkEnd w:id="4"/>
            <w:r>
              <w:rPr>
                <w:rFonts w:hint="default" w:ascii="Times New Roman" w:hAnsi="Times New Roman" w:cs="Times New Roman"/>
                <w:b/>
                <w:bCs/>
                <w:color w:val="auto"/>
                <w:sz w:val="24"/>
                <w:szCs w:val="24"/>
                <w:lang w:val="en-US" w:eastAsia="zh-CN"/>
              </w:rPr>
              <w:t>相符性分析</w:t>
            </w:r>
          </w:p>
          <w:p w14:paraId="7B6E30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汤阴县产业集聚区目前已经更名为汤阴高新技术产业开发区，汤阴高新技术产业开发区总体发展规划（2022-2035）环境影响报告书目前处于送审阶段，有些内容可能存在一定的不确定性。因此本评价参考汤阴高新技术产业开发区总体发展规划（2022-2035）》及规划环评送审版的内容进行分析。</w:t>
            </w:r>
          </w:p>
          <w:p w14:paraId="40D1AD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241" w:firstLineChars="100"/>
              <w:jc w:val="both"/>
              <w:textAlignment w:val="auto"/>
              <w:rPr>
                <w:rFonts w:hint="default" w:ascii="Times New Roman" w:hAnsi="Times New Roman" w:eastAsia="宋体" w:cs="Times New Roman"/>
                <w:b w:val="0"/>
                <w:bCs w:val="0"/>
                <w:color w:val="auto"/>
                <w:kern w:val="2"/>
                <w:sz w:val="24"/>
                <w:szCs w:val="24"/>
                <w:lang w:val="en-US" w:eastAsia="zh-CN" w:bidi="ar"/>
              </w:rPr>
            </w:pPr>
            <w:r>
              <w:rPr>
                <w:rFonts w:hint="default" w:ascii="Times New Roman" w:hAnsi="Times New Roman" w:eastAsia="宋体" w:cs="Times New Roman"/>
                <w:b/>
                <w:bCs/>
                <w:color w:val="auto"/>
                <w:kern w:val="2"/>
                <w:sz w:val="24"/>
                <w:szCs w:val="24"/>
                <w:lang w:val="en-US" w:eastAsia="zh-CN" w:bidi="ar"/>
              </w:rPr>
              <w:t>4.1规划期限</w:t>
            </w:r>
          </w:p>
          <w:p w14:paraId="2C4D6C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2022～2035年。近期：2022～2025年；远期：2026～2035年。</w:t>
            </w:r>
          </w:p>
          <w:p w14:paraId="46324A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241" w:firstLineChars="100"/>
              <w:jc w:val="both"/>
              <w:textAlignment w:val="auto"/>
              <w:rPr>
                <w:rFonts w:hint="default" w:ascii="Times New Roman" w:hAnsi="Times New Roman" w:eastAsia="宋体" w:cs="Times New Roman"/>
                <w:b w:val="0"/>
                <w:bCs w:val="0"/>
                <w:color w:val="auto"/>
                <w:kern w:val="2"/>
                <w:sz w:val="24"/>
                <w:szCs w:val="24"/>
                <w:lang w:val="en-US" w:eastAsia="zh-CN" w:bidi="ar"/>
              </w:rPr>
            </w:pPr>
            <w:r>
              <w:rPr>
                <w:rFonts w:hint="default" w:ascii="Times New Roman" w:hAnsi="Times New Roman" w:eastAsia="宋体" w:cs="Times New Roman"/>
                <w:b/>
                <w:bCs/>
                <w:color w:val="auto"/>
                <w:kern w:val="2"/>
                <w:sz w:val="24"/>
                <w:szCs w:val="24"/>
                <w:lang w:val="en-US" w:eastAsia="zh-CN" w:bidi="ar"/>
              </w:rPr>
              <w:t>4.2规划范围</w:t>
            </w:r>
          </w:p>
          <w:p w14:paraId="2119B8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本次规划位于汤阴县中心城区东南部，开发区规划围合总面积约23.36平方公里，具体四至范围：东至兴隆路-京广高铁—徐伏路—汤伏路—刘大线，西至中原路—107国道--金穗路--扁鹊路，北至复兴大道--精忠路--省道302，南到开源大道--宜兴大道—阳光大道--晋豫鲁铁路。</w:t>
            </w:r>
          </w:p>
          <w:p w14:paraId="572D87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241" w:firstLineChars="100"/>
              <w:jc w:val="both"/>
              <w:textAlignment w:val="auto"/>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4.3产业定位</w:t>
            </w:r>
          </w:p>
          <w:p w14:paraId="0F4929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主导产业：以食品、精品钢及深加工、医药为主导产业。</w:t>
            </w:r>
          </w:p>
          <w:p w14:paraId="54801A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发展定位：中国主食工业化生产基地、中国食品工业强县；安阳千亿级精品钢产业重要支撑点；全国医药工业名县。</w:t>
            </w:r>
          </w:p>
          <w:p w14:paraId="4FD1CB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241" w:firstLineChars="1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bCs/>
                <w:color w:val="auto"/>
                <w:kern w:val="2"/>
                <w:sz w:val="24"/>
                <w:szCs w:val="24"/>
                <w:lang w:val="en-US" w:eastAsia="zh-CN" w:bidi="ar"/>
              </w:rPr>
              <w:t>4.4开发区产业空间布局规划</w:t>
            </w:r>
          </w:p>
          <w:p w14:paraId="6FF0DC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按照高新技术产业开发区发展目标，统筹生产、生活、生态三大空间，确定不同功能区域的划分。开发区用地总体呈现“一心、二轴、四园”的空间格局。</w:t>
            </w:r>
          </w:p>
          <w:p w14:paraId="3015DB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一心：是指开发区公共服务中心，位于众品大道中段两侧。</w:t>
            </w:r>
          </w:p>
          <w:p w14:paraId="0365C9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二轴：是指沿东西向众品大道、南北向刘大线联系汤阴中心城区和开发区形成的产城融合轴，及延伸形成的城乡融合轴。</w:t>
            </w:r>
          </w:p>
          <w:p w14:paraId="15EBB1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四园：是指按照主导产业形成的不同产业园，包括食品产业园、精品钢及深加工产业园、医药产业园和物流产业园。</w:t>
            </w:r>
          </w:p>
          <w:p w14:paraId="6A164C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本次工程厂址位于高新技术开发区的二类工业用地，符合产业空间布局规划。</w:t>
            </w:r>
          </w:p>
          <w:p w14:paraId="2975CA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241" w:firstLineChars="100"/>
              <w:jc w:val="both"/>
              <w:textAlignment w:val="auto"/>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4.5总体用地布局规划</w:t>
            </w:r>
          </w:p>
          <w:p w14:paraId="28471D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规划总用地面积2344.48</w:t>
            </w:r>
            <w:r>
              <w:rPr>
                <w:rFonts w:hint="eastAsia" w:ascii="Times New Roman" w:hAnsi="Times New Roman" w:eastAsia="宋体" w:cs="Times New Roman"/>
                <w:b w:val="0"/>
                <w:bCs w:val="0"/>
                <w:color w:val="auto"/>
                <w:kern w:val="2"/>
                <w:sz w:val="24"/>
                <w:szCs w:val="24"/>
                <w:lang w:val="en-US" w:eastAsia="zh-CN" w:bidi="ar"/>
              </w:rPr>
              <w:t>公顷</w:t>
            </w:r>
            <w:r>
              <w:rPr>
                <w:rFonts w:hint="default" w:ascii="Times New Roman" w:hAnsi="Times New Roman" w:eastAsia="宋体" w:cs="Times New Roman"/>
                <w:b w:val="0"/>
                <w:bCs w:val="0"/>
                <w:color w:val="auto"/>
                <w:kern w:val="2"/>
                <w:sz w:val="24"/>
                <w:szCs w:val="24"/>
                <w:lang w:val="en-US" w:eastAsia="zh-CN" w:bidi="ar"/>
              </w:rPr>
              <w:t>，其中城市建设用地1776.89</w:t>
            </w:r>
            <w:r>
              <w:rPr>
                <w:rFonts w:hint="eastAsia" w:ascii="Times New Roman" w:hAnsi="Times New Roman" w:eastAsia="宋体" w:cs="Times New Roman"/>
                <w:b w:val="0"/>
                <w:bCs w:val="0"/>
                <w:color w:val="auto"/>
                <w:kern w:val="2"/>
                <w:sz w:val="24"/>
                <w:szCs w:val="24"/>
                <w:lang w:val="en-US" w:eastAsia="zh-CN" w:bidi="ar"/>
              </w:rPr>
              <w:t>公顷</w:t>
            </w:r>
            <w:r>
              <w:rPr>
                <w:rFonts w:hint="default" w:ascii="Times New Roman" w:hAnsi="Times New Roman" w:eastAsia="宋体" w:cs="Times New Roman"/>
                <w:b w:val="0"/>
                <w:bCs w:val="0"/>
                <w:color w:val="auto"/>
                <w:kern w:val="2"/>
                <w:sz w:val="24"/>
                <w:szCs w:val="24"/>
                <w:lang w:val="en-US" w:eastAsia="zh-CN" w:bidi="ar"/>
              </w:rPr>
              <w:t>，规划工业用地主要有二类用地共1287.12公顷，商业服务业用地为42.91公顷，公共管理与公共服务用地7.45公顷，道路与交通设施用地规划用地162.94公顷，绿地与开敞空间用地面积共105.88公顷，居住用地规模为25.26公顷，公用设施用地规模为11.30公顷，物流仓储用地规模为125.74公顷，特殊用地规模为3.60公顷，区域交通设施用地23.23</w:t>
            </w:r>
            <w:r>
              <w:rPr>
                <w:rFonts w:hint="eastAsia" w:ascii="Times New Roman" w:hAnsi="Times New Roman" w:eastAsia="宋体" w:cs="Times New Roman"/>
                <w:b w:val="0"/>
                <w:bCs w:val="0"/>
                <w:color w:val="auto"/>
                <w:kern w:val="2"/>
                <w:sz w:val="24"/>
                <w:szCs w:val="24"/>
                <w:lang w:val="en-US" w:eastAsia="zh-CN" w:bidi="ar"/>
              </w:rPr>
              <w:t>公顷</w:t>
            </w:r>
            <w:r>
              <w:rPr>
                <w:rFonts w:hint="default" w:ascii="Times New Roman" w:hAnsi="Times New Roman" w:eastAsia="宋体" w:cs="Times New Roman"/>
                <w:b w:val="0"/>
                <w:bCs w:val="0"/>
                <w:color w:val="auto"/>
                <w:kern w:val="2"/>
                <w:sz w:val="24"/>
                <w:szCs w:val="24"/>
                <w:lang w:val="en-US" w:eastAsia="zh-CN" w:bidi="ar"/>
              </w:rPr>
              <w:t>，区域公用设施用地6.32</w:t>
            </w:r>
            <w:r>
              <w:rPr>
                <w:rFonts w:hint="eastAsia" w:ascii="Times New Roman" w:hAnsi="Times New Roman" w:eastAsia="宋体" w:cs="Times New Roman"/>
                <w:b w:val="0"/>
                <w:bCs w:val="0"/>
                <w:color w:val="auto"/>
                <w:kern w:val="2"/>
                <w:sz w:val="24"/>
                <w:szCs w:val="24"/>
                <w:lang w:val="en-US" w:eastAsia="zh-CN" w:bidi="ar"/>
              </w:rPr>
              <w:t>公顷</w:t>
            </w:r>
            <w:r>
              <w:rPr>
                <w:rFonts w:hint="default" w:ascii="Times New Roman" w:hAnsi="Times New Roman" w:eastAsia="宋体" w:cs="Times New Roman"/>
                <w:b w:val="0"/>
                <w:bCs w:val="0"/>
                <w:color w:val="auto"/>
                <w:kern w:val="2"/>
                <w:sz w:val="24"/>
                <w:szCs w:val="24"/>
                <w:lang w:val="en-US" w:eastAsia="zh-CN" w:bidi="ar"/>
              </w:rPr>
              <w:t>，其他建设用地330.28</w:t>
            </w:r>
            <w:r>
              <w:rPr>
                <w:rFonts w:hint="eastAsia" w:ascii="Times New Roman" w:hAnsi="Times New Roman" w:eastAsia="宋体" w:cs="Times New Roman"/>
                <w:b w:val="0"/>
                <w:bCs w:val="0"/>
                <w:color w:val="auto"/>
                <w:kern w:val="2"/>
                <w:sz w:val="24"/>
                <w:szCs w:val="24"/>
                <w:lang w:val="en-US" w:eastAsia="zh-CN" w:bidi="ar"/>
              </w:rPr>
              <w:t>公顷</w:t>
            </w:r>
            <w:r>
              <w:rPr>
                <w:rFonts w:hint="default" w:ascii="Times New Roman" w:hAnsi="Times New Roman" w:eastAsia="宋体" w:cs="Times New Roman"/>
                <w:b w:val="0"/>
                <w:bCs w:val="0"/>
                <w:color w:val="auto"/>
                <w:kern w:val="2"/>
                <w:sz w:val="24"/>
                <w:szCs w:val="24"/>
                <w:lang w:val="en-US" w:eastAsia="zh-CN" w:bidi="ar"/>
              </w:rPr>
              <w:t>，水域25.17</w:t>
            </w:r>
            <w:r>
              <w:rPr>
                <w:rFonts w:hint="eastAsia" w:ascii="Times New Roman" w:hAnsi="Times New Roman" w:eastAsia="宋体" w:cs="Times New Roman"/>
                <w:b w:val="0"/>
                <w:bCs w:val="0"/>
                <w:color w:val="auto"/>
                <w:kern w:val="2"/>
                <w:sz w:val="24"/>
                <w:szCs w:val="24"/>
                <w:lang w:val="en-US" w:eastAsia="zh-CN" w:bidi="ar"/>
              </w:rPr>
              <w:t>公顷</w:t>
            </w:r>
            <w:r>
              <w:rPr>
                <w:rFonts w:hint="default" w:ascii="Times New Roman" w:hAnsi="Times New Roman" w:eastAsia="宋体" w:cs="Times New Roman"/>
                <w:b w:val="0"/>
                <w:bCs w:val="0"/>
                <w:color w:val="auto"/>
                <w:kern w:val="2"/>
                <w:sz w:val="24"/>
                <w:szCs w:val="24"/>
                <w:lang w:val="en-US" w:eastAsia="zh-CN" w:bidi="ar"/>
              </w:rPr>
              <w:t>，其他非建设用地92.35</w:t>
            </w:r>
            <w:r>
              <w:rPr>
                <w:rFonts w:hint="eastAsia" w:ascii="Times New Roman" w:hAnsi="Times New Roman" w:eastAsia="宋体" w:cs="Times New Roman"/>
                <w:b w:val="0"/>
                <w:bCs w:val="0"/>
                <w:color w:val="auto"/>
                <w:kern w:val="2"/>
                <w:sz w:val="24"/>
                <w:szCs w:val="24"/>
                <w:lang w:val="en-US" w:eastAsia="zh-CN" w:bidi="ar"/>
              </w:rPr>
              <w:t>公顷</w:t>
            </w:r>
            <w:r>
              <w:rPr>
                <w:rFonts w:hint="default" w:ascii="Times New Roman" w:hAnsi="Times New Roman" w:eastAsia="宋体" w:cs="Times New Roman"/>
                <w:b w:val="0"/>
                <w:bCs w:val="0"/>
                <w:color w:val="auto"/>
                <w:kern w:val="2"/>
                <w:sz w:val="24"/>
                <w:szCs w:val="24"/>
                <w:lang w:val="en-US" w:eastAsia="zh-CN" w:bidi="ar"/>
              </w:rPr>
              <w:t>。</w:t>
            </w:r>
          </w:p>
          <w:p w14:paraId="6D93A2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本次工程在开发区规划的工业用地上，土地利用符合高新技术开发区规划。</w:t>
            </w:r>
          </w:p>
          <w:p w14:paraId="251121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241" w:firstLineChars="100"/>
              <w:jc w:val="both"/>
              <w:textAlignment w:val="auto"/>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lang w:val="en-US" w:eastAsia="zh-CN" w:bidi="ar"/>
              </w:rPr>
              <w:t>4.6高新技术开发区基础设施规划</w:t>
            </w:r>
          </w:p>
          <w:p w14:paraId="175C74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①供水</w:t>
            </w:r>
          </w:p>
          <w:p w14:paraId="779D06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根据规划，高新技术开发区内用水主要由城区第二水厂供给，由第一水厂和第三水厂作为补充。扩容开发区内汤阴第二水厂至5万立方米/日，结合正在建设的汤阴第三水厂（供水量规</w:t>
            </w:r>
            <w:r>
              <w:rPr>
                <w:rFonts w:hint="eastAsia" w:cs="Times New Roman"/>
                <w:b w:val="0"/>
                <w:bCs w:val="0"/>
                <w:color w:val="auto"/>
                <w:kern w:val="2"/>
                <w:sz w:val="24"/>
                <w:szCs w:val="24"/>
                <w:lang w:val="en-US" w:eastAsia="zh-CN" w:bidi="ar"/>
              </w:rPr>
              <w:t>模为</w:t>
            </w:r>
            <w:r>
              <w:rPr>
                <w:rFonts w:hint="default" w:ascii="Times New Roman" w:hAnsi="Times New Roman" w:eastAsia="宋体" w:cs="Times New Roman"/>
                <w:b w:val="0"/>
                <w:bCs w:val="0"/>
                <w:color w:val="auto"/>
                <w:kern w:val="2"/>
                <w:sz w:val="24"/>
                <w:szCs w:val="24"/>
                <w:lang w:val="en-US" w:eastAsia="zh-CN" w:bidi="ar"/>
              </w:rPr>
              <w:t>5万立方米/日）和已建第一水厂（供水规模为2万立方米/日），为汤阴高新技术产业开发区供水。水源为南水北调水。</w:t>
            </w:r>
          </w:p>
          <w:p w14:paraId="553942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本次工程厂址位于汤阴县高新技术产业开发区，拟采用开发区市政集中供水，符合产业集聚区规划。</w:t>
            </w:r>
          </w:p>
          <w:p w14:paraId="74BF36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②排水</w:t>
            </w:r>
          </w:p>
          <w:p w14:paraId="79083B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规划期末年开发区污水处理率为100%，高新技术产业开发区内有城东污水处理厂和工业污水处理厂，南侧为城南污水处理厂。规划保留工业污水处理厂处理规模；近期新建食品园区污水处理厂，污水处理厂处理规模为3万立方米/日；远期扩建城东污水处理厂处理规模为4万立方米/日，城南污水处理厂处理规模为3万立方米/日。加大推广中水利用力度，不断提高污水资源化利用程度。逐步使中水成为集聚区绿化、道路浇洒、生活杂用、工业冷却等主要水源。建立中水利用政策、管理体系，促进和规范中水利用。规划园区持续提升中水使用率，至规划期末达到60%。规划开发区污水全部送开发区工业污水处理厂处理。污水处理厂出水水质执行《城镇污水处理厂污染物排放标准》（GB18918-2002）一级A标准。</w:t>
            </w:r>
          </w:p>
          <w:p w14:paraId="59A1E3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汤阴高新技术开发区工业污水处理厂位于众品大道以北、汤伏路以东。该污水处理厂2020年近期设计处理规模2万m</w:t>
            </w:r>
            <w:r>
              <w:rPr>
                <w:rFonts w:hint="default" w:ascii="Times New Roman" w:hAnsi="Times New Roman" w:eastAsia="宋体" w:cs="Times New Roman"/>
                <w:b w:val="0"/>
                <w:bCs w:val="0"/>
                <w:color w:val="auto"/>
                <w:kern w:val="2"/>
                <w:sz w:val="24"/>
                <w:szCs w:val="24"/>
                <w:vertAlign w:val="superscript"/>
                <w:lang w:val="en-US" w:eastAsia="zh-CN" w:bidi="ar"/>
              </w:rPr>
              <w:t>3</w:t>
            </w:r>
            <w:r>
              <w:rPr>
                <w:rFonts w:hint="default" w:ascii="Times New Roman" w:hAnsi="Times New Roman" w:eastAsia="宋体" w:cs="Times New Roman"/>
                <w:b w:val="0"/>
                <w:bCs w:val="0"/>
                <w:color w:val="auto"/>
                <w:kern w:val="2"/>
                <w:sz w:val="24"/>
                <w:szCs w:val="24"/>
                <w:lang w:val="en-US" w:eastAsia="zh-CN" w:bidi="ar"/>
              </w:rPr>
              <w:t>/d，服务范围为6.7km</w:t>
            </w:r>
            <w:r>
              <w:rPr>
                <w:rFonts w:hint="default" w:ascii="Times New Roman" w:hAnsi="Times New Roman" w:eastAsia="宋体" w:cs="Times New Roman"/>
                <w:b w:val="0"/>
                <w:bCs w:val="0"/>
                <w:color w:val="auto"/>
                <w:kern w:val="2"/>
                <w:sz w:val="24"/>
                <w:szCs w:val="24"/>
                <w:vertAlign w:val="superscript"/>
                <w:lang w:val="en-US" w:eastAsia="zh-CN" w:bidi="ar"/>
              </w:rPr>
              <w:t>2</w:t>
            </w:r>
            <w:r>
              <w:rPr>
                <w:rFonts w:hint="default" w:ascii="Times New Roman" w:hAnsi="Times New Roman" w:eastAsia="宋体" w:cs="Times New Roman"/>
                <w:b w:val="0"/>
                <w:bCs w:val="0"/>
                <w:color w:val="auto"/>
                <w:kern w:val="2"/>
                <w:sz w:val="24"/>
                <w:szCs w:val="24"/>
                <w:lang w:val="en-US" w:eastAsia="zh-CN" w:bidi="ar"/>
              </w:rPr>
              <w:t>；2030年远期污水处理规模为4万m</w:t>
            </w:r>
            <w:r>
              <w:rPr>
                <w:rFonts w:hint="default" w:ascii="Times New Roman" w:hAnsi="Times New Roman" w:eastAsia="宋体" w:cs="Times New Roman"/>
                <w:b w:val="0"/>
                <w:bCs w:val="0"/>
                <w:color w:val="auto"/>
                <w:kern w:val="2"/>
                <w:sz w:val="24"/>
                <w:szCs w:val="24"/>
                <w:vertAlign w:val="superscript"/>
                <w:lang w:val="en-US" w:eastAsia="zh-CN" w:bidi="ar"/>
              </w:rPr>
              <w:t>3</w:t>
            </w:r>
            <w:r>
              <w:rPr>
                <w:rFonts w:hint="default" w:ascii="Times New Roman" w:hAnsi="Times New Roman" w:eastAsia="宋体" w:cs="Times New Roman"/>
                <w:b w:val="0"/>
                <w:bCs w:val="0"/>
                <w:color w:val="auto"/>
                <w:kern w:val="2"/>
                <w:sz w:val="24"/>
                <w:szCs w:val="24"/>
                <w:lang w:val="en-US" w:eastAsia="zh-CN" w:bidi="ar"/>
              </w:rPr>
              <w:t>/d，服务范围是12.4km</w:t>
            </w:r>
            <w:r>
              <w:rPr>
                <w:rFonts w:hint="default" w:ascii="Times New Roman" w:hAnsi="Times New Roman" w:eastAsia="宋体" w:cs="Times New Roman"/>
                <w:b w:val="0"/>
                <w:bCs w:val="0"/>
                <w:color w:val="auto"/>
                <w:kern w:val="2"/>
                <w:sz w:val="24"/>
                <w:szCs w:val="24"/>
                <w:vertAlign w:val="superscript"/>
                <w:lang w:val="en-US" w:eastAsia="zh-CN" w:bidi="ar"/>
              </w:rPr>
              <w:t>2</w:t>
            </w:r>
            <w:r>
              <w:rPr>
                <w:rFonts w:hint="default" w:ascii="Times New Roman" w:hAnsi="Times New Roman" w:eastAsia="宋体" w:cs="Times New Roman"/>
                <w:b w:val="0"/>
                <w:bCs w:val="0"/>
                <w:color w:val="auto"/>
                <w:kern w:val="2"/>
                <w:sz w:val="24"/>
                <w:szCs w:val="24"/>
                <w:lang w:val="en-US" w:eastAsia="zh-CN" w:bidi="ar"/>
              </w:rPr>
              <w:t>。污水处理主体工艺为</w:t>
            </w:r>
            <w:r>
              <w:rPr>
                <w:rFonts w:hint="eastAsia" w:ascii="Times New Roman" w:hAnsi="Times New Roman" w:eastAsia="宋体" w:cs="Times New Roman"/>
                <w:b w:val="0"/>
                <w:bCs w:val="0"/>
                <w:color w:val="auto"/>
                <w:kern w:val="2"/>
                <w:sz w:val="24"/>
                <w:szCs w:val="24"/>
                <w:lang w:val="en-US" w:eastAsia="zh-CN" w:bidi="ar"/>
              </w:rPr>
              <w:t>“</w:t>
            </w:r>
            <w:r>
              <w:rPr>
                <w:rFonts w:hint="default" w:ascii="Times New Roman" w:hAnsi="Times New Roman" w:eastAsia="宋体" w:cs="Times New Roman"/>
                <w:b w:val="0"/>
                <w:bCs w:val="0"/>
                <w:color w:val="auto"/>
                <w:kern w:val="2"/>
                <w:sz w:val="24"/>
                <w:szCs w:val="24"/>
                <w:lang w:val="en-US" w:eastAsia="zh-CN" w:bidi="ar"/>
              </w:rPr>
              <w:t>旋流沉砂池+水解酸化池+A</w:t>
            </w:r>
            <w:r>
              <w:rPr>
                <w:rFonts w:hint="default" w:ascii="Times New Roman" w:hAnsi="Times New Roman" w:eastAsia="宋体" w:cs="Times New Roman"/>
                <w:b w:val="0"/>
                <w:bCs w:val="0"/>
                <w:color w:val="auto"/>
                <w:kern w:val="2"/>
                <w:sz w:val="24"/>
                <w:szCs w:val="24"/>
                <w:vertAlign w:val="superscript"/>
                <w:lang w:val="en-US" w:eastAsia="zh-CN" w:bidi="ar"/>
              </w:rPr>
              <w:t>2</w:t>
            </w:r>
            <w:r>
              <w:rPr>
                <w:rFonts w:hint="default" w:ascii="Times New Roman" w:hAnsi="Times New Roman" w:eastAsia="宋体" w:cs="Times New Roman"/>
                <w:b w:val="0"/>
                <w:bCs w:val="0"/>
                <w:color w:val="auto"/>
                <w:kern w:val="2"/>
                <w:sz w:val="24"/>
                <w:szCs w:val="24"/>
                <w:lang w:val="en-US" w:eastAsia="zh-CN" w:bidi="ar"/>
              </w:rPr>
              <w:t>O池+二沉池+高密度沉淀池+纤维转盘滤池+紫外消毒</w:t>
            </w:r>
            <w:r>
              <w:rPr>
                <w:rFonts w:hint="eastAsia" w:ascii="Times New Roman" w:hAnsi="Times New Roman" w:eastAsia="宋体" w:cs="Times New Roman"/>
                <w:b w:val="0"/>
                <w:bCs w:val="0"/>
                <w:color w:val="auto"/>
                <w:kern w:val="2"/>
                <w:sz w:val="24"/>
                <w:szCs w:val="24"/>
                <w:lang w:val="en-US" w:eastAsia="zh-CN" w:bidi="ar"/>
              </w:rPr>
              <w:t>”</w:t>
            </w:r>
            <w:r>
              <w:rPr>
                <w:rFonts w:hint="default" w:ascii="Times New Roman" w:hAnsi="Times New Roman" w:eastAsia="宋体" w:cs="Times New Roman"/>
                <w:b w:val="0"/>
                <w:bCs w:val="0"/>
                <w:color w:val="auto"/>
                <w:kern w:val="2"/>
                <w:sz w:val="24"/>
                <w:szCs w:val="24"/>
                <w:lang w:val="en-US" w:eastAsia="zh-CN" w:bidi="ar"/>
              </w:rPr>
              <w:t>。出水水质执行《城镇污水处理厂污染物排放标准》（GB18918-2002）一级A标准。</w:t>
            </w:r>
          </w:p>
          <w:p w14:paraId="2CD0FA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根据调查，汤阴县高新技术开发区工业污水处理厂已建成，目前正在运行，近期建设规模为2万m</w:t>
            </w:r>
            <w:r>
              <w:rPr>
                <w:rFonts w:hint="default" w:ascii="Times New Roman" w:hAnsi="Times New Roman" w:eastAsia="宋体" w:cs="Times New Roman"/>
                <w:b w:val="0"/>
                <w:bCs w:val="0"/>
                <w:color w:val="auto"/>
                <w:kern w:val="2"/>
                <w:sz w:val="24"/>
                <w:szCs w:val="24"/>
                <w:vertAlign w:val="superscript"/>
                <w:lang w:val="en-US" w:eastAsia="zh-CN" w:bidi="ar"/>
              </w:rPr>
              <w:t>3</w:t>
            </w:r>
            <w:r>
              <w:rPr>
                <w:rFonts w:hint="default" w:ascii="Times New Roman" w:hAnsi="Times New Roman" w:eastAsia="宋体" w:cs="Times New Roman"/>
                <w:b w:val="0"/>
                <w:bCs w:val="0"/>
                <w:color w:val="auto"/>
                <w:kern w:val="2"/>
                <w:sz w:val="24"/>
                <w:szCs w:val="24"/>
                <w:lang w:val="en-US" w:eastAsia="zh-CN" w:bidi="ar"/>
              </w:rPr>
              <w:t>/d。根据调查，市政污水管道已敷设至厂址附近道路。本项目食堂废水经隔油池预处理后与经化粪池处理后的其他生活污水一同排入汤阴天雨污水净化有限公司进一步处理。</w:t>
            </w:r>
          </w:p>
          <w:p w14:paraId="2A088D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kern w:val="2"/>
                <w:sz w:val="24"/>
                <w:szCs w:val="24"/>
                <w:lang w:val="en-US" w:eastAsia="zh-CN" w:bidi="ar"/>
              </w:rPr>
              <w:t>③供热</w:t>
            </w:r>
          </w:p>
          <w:p w14:paraId="000980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snapToGrid w:val="0"/>
                <w:color w:val="auto"/>
                <w:kern w:val="2"/>
                <w:sz w:val="24"/>
                <w:szCs w:val="24"/>
                <w:lang w:val="en-US" w:eastAsia="zh-CN" w:bidi="ar"/>
              </w:rPr>
            </w:pPr>
            <w:r>
              <w:rPr>
                <w:rFonts w:hint="default" w:ascii="Times New Roman" w:hAnsi="Times New Roman" w:eastAsia="宋体" w:cs="Times New Roman"/>
                <w:b w:val="0"/>
                <w:bCs w:val="0"/>
                <w:color w:val="auto"/>
                <w:kern w:val="2"/>
                <w:sz w:val="24"/>
                <w:szCs w:val="24"/>
                <w:lang w:val="en-US" w:eastAsia="zh-CN" w:bidi="ar"/>
              </w:rPr>
              <w:t>规划主热源为现状华能热电厂，一期工程建设两台12MW燃煤背压热电联产机组（已建成投运），远期为两台350MW热电联产机组，可以满足该区域用热情况。华能安阳热电有限责任公司集中供热项目位于产业集聚区众品大道</w:t>
            </w:r>
            <w:r>
              <w:rPr>
                <w:rFonts w:hint="eastAsia" w:ascii="Times New Roman" w:hAnsi="Times New Roman" w:eastAsia="宋体" w:cs="Times New Roman"/>
                <w:b w:val="0"/>
                <w:bCs w:val="0"/>
                <w:color w:val="auto"/>
                <w:kern w:val="2"/>
                <w:sz w:val="24"/>
                <w:szCs w:val="24"/>
                <w:lang w:val="en-US" w:eastAsia="zh-CN" w:bidi="ar"/>
              </w:rPr>
              <w:t>华能安阳热电有限责任公司内</w:t>
            </w:r>
            <w:r>
              <w:rPr>
                <w:rFonts w:hint="default" w:ascii="Times New Roman" w:hAnsi="Times New Roman" w:eastAsia="宋体" w:cs="Times New Roman"/>
                <w:b w:val="0"/>
                <w:bCs w:val="0"/>
                <w:color w:val="auto"/>
                <w:kern w:val="2"/>
                <w:sz w:val="24"/>
                <w:szCs w:val="24"/>
                <w:lang w:val="en-US" w:eastAsia="zh-CN" w:bidi="ar"/>
              </w:rPr>
              <w:t>，规划装机容量为2×12MW燃煤背压机组，安装3台高效节能环保循环流化床锅炉，并配套建设汤阴县城</w:t>
            </w:r>
            <w:bookmarkStart w:id="5" w:name="OLE_LINK6"/>
            <w:r>
              <w:rPr>
                <w:rFonts w:hint="default" w:ascii="Times New Roman" w:hAnsi="Times New Roman" w:eastAsia="宋体" w:cs="Times New Roman"/>
                <w:b w:val="0"/>
                <w:bCs w:val="0"/>
                <w:color w:val="auto"/>
                <w:kern w:val="2"/>
                <w:sz w:val="24"/>
                <w:szCs w:val="24"/>
                <w:lang w:val="en-US" w:eastAsia="zh-CN" w:bidi="ar"/>
              </w:rPr>
              <w:t>镇集中供热管网工程，满足全县居</w:t>
            </w:r>
            <w:r>
              <w:rPr>
                <w:rFonts w:hint="default" w:ascii="Times New Roman" w:hAnsi="Times New Roman" w:eastAsia="宋体" w:cs="Times New Roman"/>
                <w:b w:val="0"/>
                <w:bCs w:val="0"/>
                <w:snapToGrid w:val="0"/>
                <w:color w:val="auto"/>
                <w:kern w:val="2"/>
                <w:sz w:val="24"/>
                <w:szCs w:val="24"/>
                <w:lang w:val="en-US" w:eastAsia="zh-CN" w:bidi="ar"/>
              </w:rPr>
              <w:t>民和企事业单位冬季采暖需要，同时建设27.23千米蒸汽管网，保障产业集</w:t>
            </w:r>
            <w:bookmarkEnd w:id="5"/>
            <w:r>
              <w:rPr>
                <w:rFonts w:hint="default" w:ascii="Times New Roman" w:hAnsi="Times New Roman" w:eastAsia="宋体" w:cs="Times New Roman"/>
                <w:b w:val="0"/>
                <w:bCs w:val="0"/>
                <w:snapToGrid w:val="0"/>
                <w:color w:val="auto"/>
                <w:kern w:val="2"/>
                <w:sz w:val="24"/>
                <w:szCs w:val="24"/>
                <w:lang w:val="en-US" w:eastAsia="zh-CN" w:bidi="ar"/>
              </w:rPr>
              <w:t>聚区内各企业生产用热。</w:t>
            </w:r>
          </w:p>
          <w:p w14:paraId="35C871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snapToGrid w:val="0"/>
                <w:color w:val="auto"/>
                <w:sz w:val="24"/>
                <w:szCs w:val="24"/>
                <w:lang w:val="en-US" w:eastAsia="zh-CN"/>
              </w:rPr>
            </w:pPr>
            <w:r>
              <w:rPr>
                <w:rFonts w:hint="default" w:ascii="Times New Roman" w:hAnsi="Times New Roman" w:cs="Times New Roman"/>
                <w:b/>
                <w:bCs/>
                <w:snapToGrid w:val="0"/>
                <w:color w:val="auto"/>
                <w:sz w:val="24"/>
                <w:szCs w:val="24"/>
                <w:lang w:val="en-US" w:eastAsia="zh-CN"/>
              </w:rPr>
              <w:t>与汤阴高新技术产业开发区生态环境准入清单相符性分析</w:t>
            </w:r>
          </w:p>
          <w:tbl>
            <w:tblPr>
              <w:tblStyle w:val="29"/>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3" w:type="dxa"/>
                <w:bottom w:w="0" w:type="dxa"/>
                <w:right w:w="23" w:type="dxa"/>
              </w:tblCellMar>
            </w:tblPr>
            <w:tblGrid>
              <w:gridCol w:w="620"/>
              <w:gridCol w:w="1695"/>
              <w:gridCol w:w="2743"/>
              <w:gridCol w:w="2191"/>
              <w:gridCol w:w="588"/>
            </w:tblGrid>
            <w:tr w14:paraId="120502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tcBorders>
                    <w:tl2br w:val="nil"/>
                    <w:tr2bl w:val="nil"/>
                  </w:tcBorders>
                  <w:noWrap w:val="0"/>
                  <w:tcMar>
                    <w:top w:w="0" w:type="dxa"/>
                    <w:left w:w="51" w:type="dxa"/>
                    <w:bottom w:w="0" w:type="dxa"/>
                    <w:right w:w="51" w:type="dxa"/>
                  </w:tcMar>
                  <w:vAlign w:val="center"/>
                </w:tcPr>
                <w:p w14:paraId="6C792A53">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b/>
                      <w:bCs w:val="0"/>
                      <w:snapToGrid/>
                      <w:color w:val="auto"/>
                      <w:kern w:val="24"/>
                      <w:sz w:val="21"/>
                      <w:szCs w:val="21"/>
                    </w:rPr>
                  </w:pPr>
                  <w:r>
                    <w:rPr>
                      <w:rFonts w:hint="default" w:ascii="Times New Roman" w:hAnsi="Times New Roman" w:eastAsia="宋体" w:cs="Times New Roman"/>
                      <w:b/>
                      <w:bCs w:val="0"/>
                      <w:snapToGrid/>
                      <w:color w:val="auto"/>
                      <w:kern w:val="24"/>
                      <w:sz w:val="21"/>
                      <w:szCs w:val="21"/>
                      <w:lang w:val="en-US" w:eastAsia="zh-CN" w:bidi="ar"/>
                    </w:rPr>
                    <w:t>管控分区</w:t>
                  </w:r>
                </w:p>
              </w:tc>
              <w:tc>
                <w:tcPr>
                  <w:tcW w:w="1081" w:type="pct"/>
                  <w:tcBorders>
                    <w:tl2br w:val="nil"/>
                    <w:tr2bl w:val="nil"/>
                  </w:tcBorders>
                  <w:noWrap w:val="0"/>
                  <w:tcMar>
                    <w:top w:w="0" w:type="dxa"/>
                    <w:left w:w="51" w:type="dxa"/>
                    <w:bottom w:w="0" w:type="dxa"/>
                    <w:right w:w="51" w:type="dxa"/>
                  </w:tcMar>
                  <w:vAlign w:val="center"/>
                </w:tcPr>
                <w:p w14:paraId="2DA3EB08">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b/>
                      <w:bCs w:val="0"/>
                      <w:snapToGrid/>
                      <w:color w:val="auto"/>
                      <w:kern w:val="24"/>
                      <w:sz w:val="21"/>
                      <w:szCs w:val="21"/>
                    </w:rPr>
                  </w:pPr>
                  <w:r>
                    <w:rPr>
                      <w:rFonts w:hint="default" w:ascii="Times New Roman" w:hAnsi="Times New Roman" w:eastAsia="宋体" w:cs="Times New Roman"/>
                      <w:b/>
                      <w:bCs w:val="0"/>
                      <w:snapToGrid/>
                      <w:color w:val="auto"/>
                      <w:kern w:val="24"/>
                      <w:sz w:val="21"/>
                      <w:szCs w:val="21"/>
                      <w:lang w:val="en-US" w:eastAsia="zh-CN" w:bidi="ar"/>
                    </w:rPr>
                    <w:t>类别</w:t>
                  </w:r>
                </w:p>
              </w:tc>
              <w:tc>
                <w:tcPr>
                  <w:tcW w:w="1749" w:type="pct"/>
                  <w:tcBorders>
                    <w:tl2br w:val="nil"/>
                    <w:tr2bl w:val="nil"/>
                  </w:tcBorders>
                  <w:noWrap w:val="0"/>
                  <w:tcMar>
                    <w:top w:w="0" w:type="dxa"/>
                    <w:left w:w="51" w:type="dxa"/>
                    <w:bottom w:w="0" w:type="dxa"/>
                    <w:right w:w="51" w:type="dxa"/>
                  </w:tcMar>
                  <w:vAlign w:val="center"/>
                </w:tcPr>
                <w:p w14:paraId="7C8762AA">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b/>
                      <w:bCs w:val="0"/>
                      <w:snapToGrid/>
                      <w:color w:val="auto"/>
                      <w:kern w:val="24"/>
                      <w:sz w:val="21"/>
                      <w:szCs w:val="21"/>
                    </w:rPr>
                  </w:pPr>
                  <w:r>
                    <w:rPr>
                      <w:rFonts w:hint="default" w:ascii="Times New Roman" w:hAnsi="Times New Roman" w:eastAsia="宋体" w:cs="Times New Roman"/>
                      <w:b/>
                      <w:bCs w:val="0"/>
                      <w:snapToGrid/>
                      <w:color w:val="auto"/>
                      <w:kern w:val="24"/>
                      <w:sz w:val="21"/>
                      <w:szCs w:val="21"/>
                      <w:lang w:val="en-US" w:eastAsia="zh-CN" w:bidi="ar"/>
                    </w:rPr>
                    <w:t>环境准入清单</w:t>
                  </w:r>
                </w:p>
              </w:tc>
              <w:tc>
                <w:tcPr>
                  <w:tcW w:w="1397" w:type="pct"/>
                  <w:tcBorders>
                    <w:tl2br w:val="nil"/>
                    <w:tr2bl w:val="nil"/>
                  </w:tcBorders>
                  <w:noWrap w:val="0"/>
                  <w:tcMar>
                    <w:top w:w="0" w:type="dxa"/>
                    <w:left w:w="51" w:type="dxa"/>
                    <w:bottom w:w="0" w:type="dxa"/>
                    <w:right w:w="51" w:type="dxa"/>
                  </w:tcMar>
                  <w:vAlign w:val="center"/>
                </w:tcPr>
                <w:p w14:paraId="716A81C5">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b/>
                      <w:bCs w:val="0"/>
                      <w:snapToGrid/>
                      <w:color w:val="auto"/>
                      <w:kern w:val="24"/>
                      <w:sz w:val="21"/>
                      <w:szCs w:val="21"/>
                    </w:rPr>
                  </w:pPr>
                  <w:r>
                    <w:rPr>
                      <w:rFonts w:hint="default" w:ascii="Times New Roman" w:hAnsi="Times New Roman" w:eastAsia="宋体" w:cs="Times New Roman"/>
                      <w:b/>
                      <w:bCs w:val="0"/>
                      <w:snapToGrid/>
                      <w:color w:val="auto"/>
                      <w:kern w:val="24"/>
                      <w:sz w:val="21"/>
                      <w:szCs w:val="21"/>
                      <w:lang w:val="en-US" w:eastAsia="zh-CN" w:bidi="ar"/>
                    </w:rPr>
                    <w:t>本项目情况</w:t>
                  </w:r>
                </w:p>
              </w:tc>
              <w:tc>
                <w:tcPr>
                  <w:tcW w:w="375" w:type="pct"/>
                  <w:tcBorders>
                    <w:tl2br w:val="nil"/>
                    <w:tr2bl w:val="nil"/>
                  </w:tcBorders>
                  <w:noWrap w:val="0"/>
                  <w:tcMar>
                    <w:top w:w="0" w:type="dxa"/>
                    <w:left w:w="51" w:type="dxa"/>
                    <w:bottom w:w="0" w:type="dxa"/>
                    <w:right w:w="51" w:type="dxa"/>
                  </w:tcMar>
                  <w:vAlign w:val="center"/>
                </w:tcPr>
                <w:p w14:paraId="4C67EEE9">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b/>
                      <w:bCs w:val="0"/>
                      <w:snapToGrid/>
                      <w:color w:val="auto"/>
                      <w:kern w:val="24"/>
                      <w:sz w:val="21"/>
                      <w:szCs w:val="21"/>
                    </w:rPr>
                  </w:pPr>
                  <w:r>
                    <w:rPr>
                      <w:rFonts w:hint="default" w:ascii="Times New Roman" w:hAnsi="Times New Roman" w:eastAsia="宋体" w:cs="Times New Roman"/>
                      <w:b/>
                      <w:bCs w:val="0"/>
                      <w:snapToGrid/>
                      <w:color w:val="auto"/>
                      <w:kern w:val="24"/>
                      <w:sz w:val="21"/>
                      <w:szCs w:val="21"/>
                      <w:lang w:val="en-US" w:eastAsia="zh-CN" w:bidi="ar"/>
                    </w:rPr>
                    <w:t>符合性</w:t>
                  </w:r>
                </w:p>
              </w:tc>
            </w:tr>
            <w:tr w14:paraId="01EA35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restart"/>
                  <w:tcBorders>
                    <w:tl2br w:val="nil"/>
                    <w:tr2bl w:val="nil"/>
                  </w:tcBorders>
                  <w:noWrap w:val="0"/>
                  <w:tcMar>
                    <w:top w:w="0" w:type="dxa"/>
                    <w:left w:w="51" w:type="dxa"/>
                    <w:bottom w:w="0" w:type="dxa"/>
                    <w:right w:w="51" w:type="dxa"/>
                  </w:tcMar>
                  <w:vAlign w:val="center"/>
                </w:tcPr>
                <w:p w14:paraId="445674A1">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保护区域</w:t>
                  </w:r>
                </w:p>
              </w:tc>
              <w:tc>
                <w:tcPr>
                  <w:tcW w:w="1081" w:type="pct"/>
                  <w:tcBorders>
                    <w:tl2br w:val="nil"/>
                    <w:tr2bl w:val="nil"/>
                  </w:tcBorders>
                  <w:noWrap w:val="0"/>
                  <w:tcMar>
                    <w:top w:w="0" w:type="dxa"/>
                    <w:left w:w="51" w:type="dxa"/>
                    <w:bottom w:w="0" w:type="dxa"/>
                    <w:right w:w="51" w:type="dxa"/>
                  </w:tcMar>
                  <w:vAlign w:val="center"/>
                </w:tcPr>
                <w:p w14:paraId="5BBE841B">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伏道镇地下水井一级保护区范围。</w:t>
                  </w:r>
                </w:p>
              </w:tc>
              <w:tc>
                <w:tcPr>
                  <w:tcW w:w="1749" w:type="pct"/>
                  <w:tcBorders>
                    <w:tl2br w:val="nil"/>
                    <w:tr2bl w:val="nil"/>
                  </w:tcBorders>
                  <w:noWrap w:val="0"/>
                  <w:tcMar>
                    <w:top w:w="0" w:type="dxa"/>
                    <w:left w:w="51" w:type="dxa"/>
                    <w:bottom w:w="0" w:type="dxa"/>
                    <w:right w:w="51" w:type="dxa"/>
                  </w:tcMar>
                  <w:vAlign w:val="center"/>
                </w:tcPr>
                <w:p w14:paraId="0AC88E64">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禁止在饮用水水源一级保护区内新建、改建、扩建与供水设施和保护水源无关的建设项目，且不得新建排污口。</w:t>
                  </w:r>
                </w:p>
              </w:tc>
              <w:tc>
                <w:tcPr>
                  <w:tcW w:w="1397" w:type="pct"/>
                  <w:tcBorders>
                    <w:tl2br w:val="nil"/>
                    <w:tr2bl w:val="nil"/>
                  </w:tcBorders>
                  <w:noWrap w:val="0"/>
                  <w:tcMar>
                    <w:top w:w="0" w:type="dxa"/>
                    <w:left w:w="51" w:type="dxa"/>
                    <w:bottom w:w="0" w:type="dxa"/>
                    <w:right w:w="51" w:type="dxa"/>
                  </w:tcMar>
                  <w:vAlign w:val="center"/>
                </w:tcPr>
                <w:p w14:paraId="337CDA96">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本项目位于</w:t>
                  </w:r>
                  <w:r>
                    <w:rPr>
                      <w:rFonts w:hint="eastAsia" w:ascii="Times New Roman" w:hAnsi="Times New Roman" w:eastAsia="宋体" w:cs="Times New Roman"/>
                      <w:snapToGrid/>
                      <w:color w:val="auto"/>
                      <w:kern w:val="24"/>
                      <w:sz w:val="21"/>
                      <w:szCs w:val="21"/>
                      <w:lang w:val="en-US" w:eastAsia="zh-CN" w:bidi="ar"/>
                    </w:rPr>
                    <w:t>安阳市汤阴县众品大道</w:t>
                  </w:r>
                  <w:r>
                    <w:rPr>
                      <w:rFonts w:hint="eastAsia" w:cs="Times New Roman"/>
                      <w:snapToGrid/>
                      <w:color w:val="auto"/>
                      <w:kern w:val="24"/>
                      <w:sz w:val="21"/>
                      <w:szCs w:val="21"/>
                      <w:lang w:val="en-US" w:eastAsia="zh-CN" w:bidi="ar"/>
                    </w:rPr>
                    <w:t>原色非家具厂院内</w:t>
                  </w:r>
                  <w:r>
                    <w:rPr>
                      <w:rFonts w:hint="default" w:ascii="Times New Roman" w:hAnsi="Times New Roman" w:eastAsia="宋体" w:cs="Times New Roman"/>
                      <w:snapToGrid/>
                      <w:color w:val="auto"/>
                      <w:kern w:val="24"/>
                      <w:sz w:val="21"/>
                      <w:szCs w:val="21"/>
                      <w:lang w:val="en-US" w:eastAsia="zh-CN" w:bidi="ar"/>
                    </w:rPr>
                    <w:t>，伏道镇地下水井</w:t>
                  </w:r>
                  <w:r>
                    <w:rPr>
                      <w:rFonts w:hint="eastAsia" w:ascii="Times New Roman" w:hAnsi="Times New Roman" w:eastAsia="宋体" w:cs="Times New Roman"/>
                      <w:snapToGrid/>
                      <w:color w:val="auto"/>
                      <w:kern w:val="24"/>
                      <w:sz w:val="21"/>
                      <w:szCs w:val="21"/>
                      <w:lang w:val="en-US" w:eastAsia="zh-CN" w:bidi="ar"/>
                    </w:rPr>
                    <w:t>位于本项目</w:t>
                  </w:r>
                  <w:r>
                    <w:rPr>
                      <w:rFonts w:hint="default" w:ascii="Times New Roman" w:hAnsi="Times New Roman" w:eastAsia="宋体" w:cs="Times New Roman"/>
                      <w:snapToGrid/>
                      <w:color w:val="auto"/>
                      <w:kern w:val="24"/>
                      <w:sz w:val="21"/>
                      <w:szCs w:val="21"/>
                      <w:lang w:val="en-US" w:eastAsia="zh-CN" w:bidi="ar"/>
                    </w:rPr>
                    <w:t>西</w:t>
                  </w:r>
                  <w:r>
                    <w:rPr>
                      <w:rFonts w:hint="eastAsia" w:ascii="Times New Roman" w:hAnsi="Times New Roman" w:eastAsia="宋体" w:cs="Times New Roman"/>
                      <w:snapToGrid/>
                      <w:color w:val="auto"/>
                      <w:kern w:val="24"/>
                      <w:sz w:val="21"/>
                      <w:szCs w:val="21"/>
                      <w:lang w:val="en-US" w:eastAsia="zh-CN" w:bidi="ar"/>
                    </w:rPr>
                    <w:t>南</w:t>
                  </w:r>
                  <w:r>
                    <w:rPr>
                      <w:rFonts w:hint="default" w:ascii="Times New Roman" w:hAnsi="Times New Roman" w:eastAsia="宋体" w:cs="Times New Roman"/>
                      <w:snapToGrid/>
                      <w:color w:val="auto"/>
                      <w:kern w:val="24"/>
                      <w:sz w:val="21"/>
                      <w:szCs w:val="21"/>
                      <w:lang w:val="en-US" w:eastAsia="zh-CN" w:bidi="ar"/>
                    </w:rPr>
                    <w:t>侧</w:t>
                  </w:r>
                  <w:r>
                    <w:rPr>
                      <w:rFonts w:hint="eastAsia" w:cs="Times New Roman"/>
                      <w:snapToGrid/>
                      <w:color w:val="auto"/>
                      <w:kern w:val="24"/>
                      <w:sz w:val="21"/>
                      <w:szCs w:val="21"/>
                      <w:lang w:val="en-US" w:eastAsia="zh-CN" w:bidi="ar"/>
                    </w:rPr>
                    <w:t>1218</w:t>
                  </w:r>
                  <w:r>
                    <w:rPr>
                      <w:rFonts w:hint="default" w:ascii="Times New Roman" w:hAnsi="Times New Roman" w:eastAsia="宋体" w:cs="Times New Roman"/>
                      <w:snapToGrid/>
                      <w:color w:val="auto"/>
                      <w:kern w:val="24"/>
                      <w:sz w:val="21"/>
                      <w:szCs w:val="21"/>
                      <w:lang w:val="en-US" w:eastAsia="zh-CN" w:bidi="ar"/>
                    </w:rPr>
                    <w:t>m</w:t>
                  </w:r>
                  <w:r>
                    <w:rPr>
                      <w:rFonts w:hint="eastAsia" w:cs="Times New Roman"/>
                      <w:snapToGrid/>
                      <w:color w:val="auto"/>
                      <w:kern w:val="24"/>
                      <w:sz w:val="21"/>
                      <w:szCs w:val="21"/>
                      <w:lang w:val="en-US" w:eastAsia="zh-CN" w:bidi="ar"/>
                    </w:rPr>
                    <w:t>处</w:t>
                  </w:r>
                  <w:r>
                    <w:rPr>
                      <w:rFonts w:hint="default" w:ascii="Times New Roman" w:hAnsi="Times New Roman" w:eastAsia="宋体" w:cs="Times New Roman"/>
                      <w:snapToGrid/>
                      <w:color w:val="auto"/>
                      <w:kern w:val="24"/>
                      <w:sz w:val="21"/>
                      <w:szCs w:val="21"/>
                      <w:lang w:val="en-US" w:eastAsia="zh-CN" w:bidi="ar"/>
                    </w:rPr>
                    <w:t>，不涉及伏道镇地下水井一级保护区范围。</w:t>
                  </w:r>
                </w:p>
              </w:tc>
              <w:tc>
                <w:tcPr>
                  <w:tcW w:w="375" w:type="pct"/>
                  <w:tcBorders>
                    <w:tl2br w:val="nil"/>
                    <w:tr2bl w:val="nil"/>
                  </w:tcBorders>
                  <w:noWrap w:val="0"/>
                  <w:tcMar>
                    <w:top w:w="0" w:type="dxa"/>
                    <w:left w:w="51" w:type="dxa"/>
                    <w:bottom w:w="0" w:type="dxa"/>
                    <w:right w:w="51" w:type="dxa"/>
                  </w:tcMar>
                  <w:vAlign w:val="center"/>
                </w:tcPr>
                <w:p w14:paraId="69F783FB">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17D5E9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4623DA45">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tcBorders>
                    <w:tl2br w:val="nil"/>
                    <w:tr2bl w:val="nil"/>
                  </w:tcBorders>
                  <w:noWrap w:val="0"/>
                  <w:tcMar>
                    <w:top w:w="0" w:type="dxa"/>
                    <w:left w:w="51" w:type="dxa"/>
                    <w:bottom w:w="0" w:type="dxa"/>
                    <w:right w:w="51" w:type="dxa"/>
                  </w:tcMar>
                  <w:vAlign w:val="center"/>
                </w:tcPr>
                <w:p w14:paraId="733A14FE">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道路两侧的防护绿地；京广铁路客运专线两侧的生态绿地；淤泥河和永通河及其两侧的生态绿地；公园绿地。</w:t>
                  </w:r>
                </w:p>
              </w:tc>
              <w:tc>
                <w:tcPr>
                  <w:tcW w:w="1749" w:type="pct"/>
                  <w:tcBorders>
                    <w:tl2br w:val="nil"/>
                    <w:tr2bl w:val="nil"/>
                  </w:tcBorders>
                  <w:noWrap w:val="0"/>
                  <w:tcMar>
                    <w:top w:w="0" w:type="dxa"/>
                    <w:left w:w="51" w:type="dxa"/>
                    <w:bottom w:w="0" w:type="dxa"/>
                    <w:right w:w="51" w:type="dxa"/>
                  </w:tcMar>
                  <w:vAlign w:val="center"/>
                </w:tcPr>
                <w:p w14:paraId="106FF35E">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原则上禁止任何与生态保护无关的开发性建设，以生态维护为主。通过生物措施和工程措施，加强生态环境的治理保护。</w:t>
                  </w:r>
                </w:p>
              </w:tc>
              <w:tc>
                <w:tcPr>
                  <w:tcW w:w="1397" w:type="pct"/>
                  <w:tcBorders>
                    <w:tl2br w:val="nil"/>
                    <w:tr2bl w:val="nil"/>
                  </w:tcBorders>
                  <w:noWrap w:val="0"/>
                  <w:tcMar>
                    <w:top w:w="0" w:type="dxa"/>
                    <w:left w:w="51" w:type="dxa"/>
                    <w:bottom w:w="0" w:type="dxa"/>
                    <w:right w:w="51" w:type="dxa"/>
                  </w:tcMar>
                  <w:vAlign w:val="center"/>
                </w:tcPr>
                <w:p w14:paraId="644E5BE1">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本项目不涉及。</w:t>
                  </w:r>
                </w:p>
              </w:tc>
              <w:tc>
                <w:tcPr>
                  <w:tcW w:w="375" w:type="pct"/>
                  <w:tcBorders>
                    <w:tl2br w:val="nil"/>
                    <w:tr2bl w:val="nil"/>
                  </w:tcBorders>
                  <w:noWrap w:val="0"/>
                  <w:tcMar>
                    <w:top w:w="0" w:type="dxa"/>
                    <w:left w:w="51" w:type="dxa"/>
                    <w:bottom w:w="0" w:type="dxa"/>
                    <w:right w:w="51" w:type="dxa"/>
                  </w:tcMar>
                  <w:vAlign w:val="center"/>
                </w:tcPr>
                <w:p w14:paraId="27BE86F4">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无关项</w:t>
                  </w:r>
                </w:p>
              </w:tc>
            </w:tr>
            <w:tr w14:paraId="34260E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46A4009D">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tcBorders>
                    <w:tl2br w:val="nil"/>
                    <w:tr2bl w:val="nil"/>
                  </w:tcBorders>
                  <w:noWrap w:val="0"/>
                  <w:tcMar>
                    <w:top w:w="0" w:type="dxa"/>
                    <w:left w:w="51" w:type="dxa"/>
                    <w:bottom w:w="0" w:type="dxa"/>
                    <w:right w:w="51" w:type="dxa"/>
                  </w:tcMar>
                  <w:vAlign w:val="center"/>
                </w:tcPr>
                <w:p w14:paraId="3243B979">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广场用地、消防用地以及规划的城市发展备用地。</w:t>
                  </w:r>
                </w:p>
              </w:tc>
              <w:tc>
                <w:tcPr>
                  <w:tcW w:w="1749" w:type="pct"/>
                  <w:tcBorders>
                    <w:tl2br w:val="nil"/>
                    <w:tr2bl w:val="nil"/>
                  </w:tcBorders>
                  <w:noWrap w:val="0"/>
                  <w:tcMar>
                    <w:top w:w="0" w:type="dxa"/>
                    <w:left w:w="51" w:type="dxa"/>
                    <w:bottom w:w="0" w:type="dxa"/>
                    <w:right w:w="51" w:type="dxa"/>
                  </w:tcMar>
                  <w:vAlign w:val="center"/>
                </w:tcPr>
                <w:p w14:paraId="35C17021">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禁止与设施功能无关的活动。</w:t>
                  </w:r>
                </w:p>
              </w:tc>
              <w:tc>
                <w:tcPr>
                  <w:tcW w:w="1397" w:type="pct"/>
                  <w:tcBorders>
                    <w:tl2br w:val="nil"/>
                    <w:tr2bl w:val="nil"/>
                  </w:tcBorders>
                  <w:noWrap w:val="0"/>
                  <w:tcMar>
                    <w:top w:w="0" w:type="dxa"/>
                    <w:left w:w="51" w:type="dxa"/>
                    <w:bottom w:w="0" w:type="dxa"/>
                    <w:right w:w="51" w:type="dxa"/>
                  </w:tcMar>
                  <w:vAlign w:val="center"/>
                </w:tcPr>
                <w:p w14:paraId="1BBC42BB">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本项目不涉及。</w:t>
                  </w:r>
                </w:p>
              </w:tc>
              <w:tc>
                <w:tcPr>
                  <w:tcW w:w="375" w:type="pct"/>
                  <w:tcBorders>
                    <w:tl2br w:val="nil"/>
                    <w:tr2bl w:val="nil"/>
                  </w:tcBorders>
                  <w:noWrap w:val="0"/>
                  <w:tcMar>
                    <w:top w:w="0" w:type="dxa"/>
                    <w:left w:w="51" w:type="dxa"/>
                    <w:bottom w:w="0" w:type="dxa"/>
                    <w:right w:w="51" w:type="dxa"/>
                  </w:tcMar>
                  <w:vAlign w:val="center"/>
                </w:tcPr>
                <w:p w14:paraId="17437198">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无关项</w:t>
                  </w:r>
                </w:p>
              </w:tc>
            </w:tr>
            <w:tr w14:paraId="6DB356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26BD358C">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tcBorders>
                    <w:tl2br w:val="nil"/>
                    <w:tr2bl w:val="nil"/>
                  </w:tcBorders>
                  <w:noWrap w:val="0"/>
                  <w:tcMar>
                    <w:top w:w="0" w:type="dxa"/>
                    <w:left w:w="51" w:type="dxa"/>
                    <w:bottom w:w="0" w:type="dxa"/>
                    <w:right w:w="51" w:type="dxa"/>
                  </w:tcMar>
                  <w:vAlign w:val="center"/>
                </w:tcPr>
                <w:p w14:paraId="6A31FF93">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现有未搬迁和规划居住用地、机关团体用地。</w:t>
                  </w:r>
                </w:p>
              </w:tc>
              <w:tc>
                <w:tcPr>
                  <w:tcW w:w="1749" w:type="pct"/>
                  <w:tcBorders>
                    <w:tl2br w:val="nil"/>
                    <w:tr2bl w:val="nil"/>
                  </w:tcBorders>
                  <w:noWrap w:val="0"/>
                  <w:tcMar>
                    <w:top w:w="0" w:type="dxa"/>
                    <w:left w:w="51" w:type="dxa"/>
                    <w:bottom w:w="0" w:type="dxa"/>
                    <w:right w:w="51" w:type="dxa"/>
                  </w:tcMar>
                  <w:vAlign w:val="center"/>
                </w:tcPr>
                <w:p w14:paraId="329B701F">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禁止入驻大气环境防护距离和环境风险防护距离涉及现有未搬迁和规划的居住、教育、机关团体等用地的项目。</w:t>
                  </w:r>
                </w:p>
              </w:tc>
              <w:tc>
                <w:tcPr>
                  <w:tcW w:w="1397" w:type="pct"/>
                  <w:tcBorders>
                    <w:tl2br w:val="nil"/>
                    <w:tr2bl w:val="nil"/>
                  </w:tcBorders>
                  <w:noWrap w:val="0"/>
                  <w:tcMar>
                    <w:top w:w="0" w:type="dxa"/>
                    <w:left w:w="51" w:type="dxa"/>
                    <w:bottom w:w="0" w:type="dxa"/>
                    <w:right w:w="51" w:type="dxa"/>
                  </w:tcMar>
                  <w:vAlign w:val="center"/>
                </w:tcPr>
                <w:p w14:paraId="4CB275B4">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本项目不涉及。</w:t>
                  </w:r>
                </w:p>
              </w:tc>
              <w:tc>
                <w:tcPr>
                  <w:tcW w:w="375" w:type="pct"/>
                  <w:tcBorders>
                    <w:tl2br w:val="nil"/>
                    <w:tr2bl w:val="nil"/>
                  </w:tcBorders>
                  <w:noWrap w:val="0"/>
                  <w:tcMar>
                    <w:top w:w="0" w:type="dxa"/>
                    <w:left w:w="51" w:type="dxa"/>
                    <w:bottom w:w="0" w:type="dxa"/>
                    <w:right w:w="51" w:type="dxa"/>
                  </w:tcMar>
                  <w:vAlign w:val="center"/>
                </w:tcPr>
                <w:p w14:paraId="28557B88">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无关项</w:t>
                  </w:r>
                </w:p>
              </w:tc>
            </w:tr>
            <w:tr w14:paraId="279F7E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restart"/>
                  <w:tcBorders>
                    <w:tl2br w:val="nil"/>
                    <w:tr2bl w:val="nil"/>
                  </w:tcBorders>
                  <w:noWrap w:val="0"/>
                  <w:tcMar>
                    <w:top w:w="0" w:type="dxa"/>
                    <w:left w:w="51" w:type="dxa"/>
                    <w:bottom w:w="0" w:type="dxa"/>
                    <w:right w:w="51" w:type="dxa"/>
                  </w:tcMar>
                  <w:vAlign w:val="center"/>
                </w:tcPr>
                <w:p w14:paraId="52C8DA5A">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重点管控区域</w:t>
                  </w:r>
                </w:p>
                <w:p w14:paraId="3DF79D4F">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420" w:leftChars="200" w:right="0" w:firstLine="420"/>
                    <w:jc w:val="center"/>
                    <w:rPr>
                      <w:rFonts w:hint="default" w:ascii="Times New Roman" w:hAnsi="Times New Roman" w:eastAsia="宋体" w:cs="Times New Roman"/>
                      <w:snapToGrid/>
                      <w:color w:val="auto"/>
                      <w:kern w:val="24"/>
                      <w:sz w:val="21"/>
                      <w:szCs w:val="21"/>
                    </w:rPr>
                  </w:pPr>
                </w:p>
              </w:tc>
              <w:tc>
                <w:tcPr>
                  <w:tcW w:w="1081" w:type="pct"/>
                  <w:vMerge w:val="restart"/>
                  <w:tcBorders>
                    <w:tl2br w:val="nil"/>
                    <w:tr2bl w:val="nil"/>
                  </w:tcBorders>
                  <w:noWrap w:val="0"/>
                  <w:tcMar>
                    <w:top w:w="0" w:type="dxa"/>
                    <w:left w:w="51" w:type="dxa"/>
                    <w:bottom w:w="0" w:type="dxa"/>
                    <w:right w:w="51" w:type="dxa"/>
                  </w:tcMar>
                  <w:vAlign w:val="center"/>
                </w:tcPr>
                <w:p w14:paraId="3B1D3B25">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空间布局约束</w:t>
                  </w:r>
                </w:p>
              </w:tc>
              <w:tc>
                <w:tcPr>
                  <w:tcW w:w="1749" w:type="pct"/>
                  <w:tcBorders>
                    <w:tl2br w:val="nil"/>
                    <w:tr2bl w:val="nil"/>
                  </w:tcBorders>
                  <w:noWrap w:val="0"/>
                  <w:tcMar>
                    <w:top w:w="0" w:type="dxa"/>
                    <w:left w:w="51" w:type="dxa"/>
                    <w:bottom w:w="0" w:type="dxa"/>
                    <w:right w:w="51" w:type="dxa"/>
                  </w:tcMar>
                  <w:vAlign w:val="center"/>
                </w:tcPr>
                <w:p w14:paraId="736633D6">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none"/>
                    </w:rPr>
                  </w:pPr>
                  <w:r>
                    <w:rPr>
                      <w:rFonts w:hint="default" w:ascii="Times New Roman" w:hAnsi="Times New Roman" w:eastAsia="宋体" w:cs="Times New Roman"/>
                      <w:snapToGrid/>
                      <w:color w:val="auto"/>
                      <w:kern w:val="24"/>
                      <w:sz w:val="21"/>
                      <w:szCs w:val="21"/>
                      <w:highlight w:val="none"/>
                      <w:lang w:val="en-US" w:eastAsia="zh-CN" w:bidi="ar"/>
                    </w:rPr>
                    <w:t>产业定位必须符合国家和省市最新产业导向政策，重点发展食品、医药和精品钢及深加工发展方向的3大产业和其他高新技术企业。</w:t>
                  </w:r>
                </w:p>
              </w:tc>
              <w:tc>
                <w:tcPr>
                  <w:tcW w:w="1397" w:type="pct"/>
                  <w:tcBorders>
                    <w:tl2br w:val="nil"/>
                    <w:tr2bl w:val="nil"/>
                  </w:tcBorders>
                  <w:noWrap w:val="0"/>
                  <w:tcMar>
                    <w:top w:w="0" w:type="dxa"/>
                    <w:left w:w="51" w:type="dxa"/>
                    <w:bottom w:w="0" w:type="dxa"/>
                    <w:right w:w="51" w:type="dxa"/>
                  </w:tcMar>
                  <w:vAlign w:val="center"/>
                </w:tcPr>
                <w:p w14:paraId="061ACB62">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none"/>
                      <w:lang w:val="en-US"/>
                    </w:rPr>
                  </w:pPr>
                  <w:r>
                    <w:rPr>
                      <w:rFonts w:hint="default" w:ascii="Times New Roman" w:hAnsi="Times New Roman" w:eastAsia="宋体" w:cs="Times New Roman"/>
                      <w:snapToGrid/>
                      <w:color w:val="auto"/>
                      <w:kern w:val="24"/>
                      <w:sz w:val="21"/>
                      <w:szCs w:val="21"/>
                      <w:highlight w:val="none"/>
                      <w:lang w:val="en-US" w:eastAsia="zh-CN" w:bidi="ar"/>
                    </w:rPr>
                    <w:t>本项目为</w:t>
                  </w:r>
                  <w:r>
                    <w:rPr>
                      <w:rFonts w:hint="eastAsia" w:cs="Times New Roman"/>
                      <w:snapToGrid/>
                      <w:color w:val="auto"/>
                      <w:kern w:val="24"/>
                      <w:sz w:val="21"/>
                      <w:szCs w:val="21"/>
                      <w:highlight w:val="none"/>
                      <w:lang w:val="en-US" w:eastAsia="zh-CN" w:bidi="ar"/>
                    </w:rPr>
                    <w:t>塑料制品业</w:t>
                  </w:r>
                  <w:r>
                    <w:rPr>
                      <w:rFonts w:hint="eastAsia" w:ascii="Times New Roman" w:hAnsi="Times New Roman" w:eastAsia="宋体" w:cs="Times New Roman"/>
                      <w:snapToGrid/>
                      <w:color w:val="auto"/>
                      <w:kern w:val="24"/>
                      <w:sz w:val="21"/>
                      <w:szCs w:val="21"/>
                      <w:highlight w:val="none"/>
                      <w:lang w:val="en-US" w:eastAsia="zh-CN" w:bidi="ar"/>
                    </w:rPr>
                    <w:t>，</w:t>
                  </w:r>
                  <w:r>
                    <w:rPr>
                      <w:rFonts w:hint="eastAsia" w:cs="Times New Roman"/>
                      <w:snapToGrid/>
                      <w:color w:val="auto"/>
                      <w:kern w:val="24"/>
                      <w:sz w:val="21"/>
                      <w:szCs w:val="21"/>
                      <w:highlight w:val="none"/>
                      <w:lang w:val="en-US" w:eastAsia="zh-CN" w:bidi="ar"/>
                    </w:rPr>
                    <w:t>为允许类项目，不属于开发区禁止入驻产业。</w:t>
                  </w:r>
                </w:p>
              </w:tc>
              <w:tc>
                <w:tcPr>
                  <w:tcW w:w="375" w:type="pct"/>
                  <w:tcBorders>
                    <w:tl2br w:val="nil"/>
                    <w:tr2bl w:val="nil"/>
                  </w:tcBorders>
                  <w:noWrap w:val="0"/>
                  <w:tcMar>
                    <w:top w:w="0" w:type="dxa"/>
                    <w:left w:w="51" w:type="dxa"/>
                    <w:bottom w:w="0" w:type="dxa"/>
                    <w:right w:w="51" w:type="dxa"/>
                  </w:tcMar>
                  <w:vAlign w:val="center"/>
                </w:tcPr>
                <w:p w14:paraId="2255229B">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02205D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05CDF1E2">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63887938">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4C098B90">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项目投资强度及产出效益应符合园区的要求。</w:t>
                  </w:r>
                </w:p>
              </w:tc>
              <w:tc>
                <w:tcPr>
                  <w:tcW w:w="1397" w:type="pct"/>
                  <w:tcBorders>
                    <w:tl2br w:val="nil"/>
                    <w:tr2bl w:val="nil"/>
                  </w:tcBorders>
                  <w:noWrap w:val="0"/>
                  <w:tcMar>
                    <w:top w:w="0" w:type="dxa"/>
                    <w:left w:w="51" w:type="dxa"/>
                    <w:bottom w:w="0" w:type="dxa"/>
                    <w:right w:w="51" w:type="dxa"/>
                  </w:tcMar>
                  <w:vAlign w:val="center"/>
                </w:tcPr>
                <w:p w14:paraId="27A6AF29">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lang w:val="en-US"/>
                    </w:rPr>
                  </w:pPr>
                  <w:r>
                    <w:rPr>
                      <w:rFonts w:hint="default" w:ascii="Times New Roman" w:hAnsi="Times New Roman" w:eastAsia="宋体" w:cs="Times New Roman"/>
                      <w:snapToGrid/>
                      <w:color w:val="auto"/>
                      <w:kern w:val="24"/>
                      <w:sz w:val="21"/>
                      <w:szCs w:val="21"/>
                      <w:lang w:val="en-US" w:eastAsia="zh-CN" w:bidi="ar"/>
                    </w:rPr>
                    <w:t>本项目</w:t>
                  </w:r>
                  <w:r>
                    <w:rPr>
                      <w:rFonts w:hint="eastAsia" w:ascii="Times New Roman" w:hAnsi="Times New Roman" w:eastAsia="宋体" w:cs="Times New Roman"/>
                      <w:snapToGrid/>
                      <w:color w:val="auto"/>
                      <w:kern w:val="24"/>
                      <w:sz w:val="21"/>
                      <w:szCs w:val="21"/>
                      <w:lang w:val="en-US" w:eastAsia="zh-CN" w:bidi="ar"/>
                    </w:rPr>
                    <w:t>在厂区内建设，</w:t>
                  </w:r>
                  <w:r>
                    <w:rPr>
                      <w:rFonts w:hint="default" w:ascii="Times New Roman" w:hAnsi="Times New Roman" w:eastAsia="宋体" w:cs="Times New Roman"/>
                      <w:snapToGrid/>
                      <w:color w:val="auto"/>
                      <w:kern w:val="24"/>
                      <w:sz w:val="21"/>
                      <w:szCs w:val="21"/>
                      <w:lang w:val="en-US" w:eastAsia="zh-CN" w:bidi="ar"/>
                    </w:rPr>
                    <w:t>投资强度及产出效益符合园区的要求</w:t>
                  </w:r>
                  <w:r>
                    <w:rPr>
                      <w:rFonts w:hint="eastAsia" w:ascii="Times New Roman" w:hAnsi="Times New Roman" w:eastAsia="宋体" w:cs="Times New Roman"/>
                      <w:snapToGrid/>
                      <w:color w:val="auto"/>
                      <w:kern w:val="24"/>
                      <w:sz w:val="21"/>
                      <w:szCs w:val="21"/>
                      <w:lang w:val="en-US" w:eastAsia="zh-CN" w:bidi="ar"/>
                    </w:rPr>
                    <w:t>。</w:t>
                  </w:r>
                </w:p>
              </w:tc>
              <w:tc>
                <w:tcPr>
                  <w:tcW w:w="375" w:type="pct"/>
                  <w:tcBorders>
                    <w:tl2br w:val="nil"/>
                    <w:tr2bl w:val="nil"/>
                  </w:tcBorders>
                  <w:noWrap w:val="0"/>
                  <w:tcMar>
                    <w:top w:w="0" w:type="dxa"/>
                    <w:left w:w="51" w:type="dxa"/>
                    <w:bottom w:w="0" w:type="dxa"/>
                    <w:right w:w="51" w:type="dxa"/>
                  </w:tcMar>
                  <w:vAlign w:val="center"/>
                </w:tcPr>
                <w:p w14:paraId="7FE6915C">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6E9038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1191" w:hRule="atLeast"/>
                <w:jc w:val="center"/>
              </w:trPr>
              <w:tc>
                <w:tcPr>
                  <w:tcW w:w="395" w:type="pct"/>
                  <w:vMerge w:val="continue"/>
                  <w:tcBorders>
                    <w:tl2br w:val="nil"/>
                    <w:tr2bl w:val="nil"/>
                  </w:tcBorders>
                  <w:noWrap w:val="0"/>
                  <w:tcMar>
                    <w:top w:w="0" w:type="dxa"/>
                    <w:left w:w="51" w:type="dxa"/>
                    <w:bottom w:w="0" w:type="dxa"/>
                    <w:right w:w="51" w:type="dxa"/>
                  </w:tcMar>
                  <w:vAlign w:val="center"/>
                </w:tcPr>
                <w:p w14:paraId="44E91DFF">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248D262B">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5ACCEBD3">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必须符合国家和河南省、安阳市环境保护法律法规、汤阴高新技术产业园区环境影响评价报告及其审查意见的要求。</w:t>
                  </w:r>
                </w:p>
              </w:tc>
              <w:tc>
                <w:tcPr>
                  <w:tcW w:w="1397" w:type="pct"/>
                  <w:tcBorders>
                    <w:tl2br w:val="nil"/>
                    <w:tr2bl w:val="nil"/>
                  </w:tcBorders>
                  <w:noWrap w:val="0"/>
                  <w:tcMar>
                    <w:top w:w="0" w:type="dxa"/>
                    <w:left w:w="51" w:type="dxa"/>
                    <w:bottom w:w="0" w:type="dxa"/>
                    <w:right w:w="51" w:type="dxa"/>
                  </w:tcMar>
                  <w:vAlign w:val="center"/>
                </w:tcPr>
                <w:p w14:paraId="0DD92126">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符合国家和河南省、安阳市环境保护法律法规、汤阴高新技术产业</w:t>
                  </w:r>
                  <w:r>
                    <w:rPr>
                      <w:rFonts w:hint="eastAsia" w:cs="Times New Roman"/>
                      <w:snapToGrid/>
                      <w:color w:val="auto"/>
                      <w:kern w:val="24"/>
                      <w:sz w:val="21"/>
                      <w:szCs w:val="21"/>
                      <w:lang w:val="en-US" w:eastAsia="zh-CN" w:bidi="ar"/>
                    </w:rPr>
                    <w:t>开发区</w:t>
                  </w:r>
                  <w:r>
                    <w:rPr>
                      <w:rFonts w:hint="default" w:ascii="Times New Roman" w:hAnsi="Times New Roman" w:eastAsia="宋体" w:cs="Times New Roman"/>
                      <w:snapToGrid/>
                      <w:color w:val="auto"/>
                      <w:kern w:val="24"/>
                      <w:sz w:val="21"/>
                      <w:szCs w:val="21"/>
                      <w:lang w:val="en-US" w:eastAsia="zh-CN" w:bidi="ar"/>
                    </w:rPr>
                    <w:t>环境影响评价报告送审版要求。</w:t>
                  </w:r>
                </w:p>
              </w:tc>
              <w:tc>
                <w:tcPr>
                  <w:tcW w:w="375" w:type="pct"/>
                  <w:tcBorders>
                    <w:tl2br w:val="nil"/>
                    <w:tr2bl w:val="nil"/>
                  </w:tcBorders>
                  <w:noWrap w:val="0"/>
                  <w:tcMar>
                    <w:top w:w="0" w:type="dxa"/>
                    <w:left w:w="51" w:type="dxa"/>
                    <w:bottom w:w="0" w:type="dxa"/>
                    <w:right w:w="51" w:type="dxa"/>
                  </w:tcMar>
                  <w:vAlign w:val="center"/>
                </w:tcPr>
                <w:p w14:paraId="1DA6C0F4">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4328B5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31EBBC55">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70FA42E1">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2A106912">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达到准入条件并具备以下条件之一的项目，在同等条件下优先准入：</w:t>
                  </w:r>
                </w:p>
                <w:p w14:paraId="47033C40">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①投资者为国内外行业500强企业，且项目符合国家《产业结构调整指导目录》鼓励类的或《鼓励外商投资产业目录》2022版的；</w:t>
                  </w:r>
                </w:p>
                <w:p w14:paraId="1968DF3C">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②投资者为国家重点扶持的高新技术企业，或拥有关键技术自主研发取得知识产权的发明专利项目、传统产业整合提升项目；</w:t>
                  </w:r>
                </w:p>
                <w:p w14:paraId="2463419A">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③符合国家有关规定的循环经济、清洁生产型项目；</w:t>
                  </w:r>
                </w:p>
                <w:p w14:paraId="78F8B35C">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④政府研究确定的重大项目。</w:t>
                  </w:r>
                </w:p>
              </w:tc>
              <w:tc>
                <w:tcPr>
                  <w:tcW w:w="1397" w:type="pct"/>
                  <w:tcBorders>
                    <w:tl2br w:val="nil"/>
                    <w:tr2bl w:val="nil"/>
                  </w:tcBorders>
                  <w:noWrap w:val="0"/>
                  <w:tcMar>
                    <w:top w:w="0" w:type="dxa"/>
                    <w:left w:w="51" w:type="dxa"/>
                    <w:bottom w:w="0" w:type="dxa"/>
                    <w:right w:w="51" w:type="dxa"/>
                  </w:tcMar>
                  <w:vAlign w:val="center"/>
                </w:tcPr>
                <w:p w14:paraId="24705CC7">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不涉及。</w:t>
                  </w:r>
                </w:p>
              </w:tc>
              <w:tc>
                <w:tcPr>
                  <w:tcW w:w="375" w:type="pct"/>
                  <w:tcBorders>
                    <w:tl2br w:val="nil"/>
                    <w:tr2bl w:val="nil"/>
                  </w:tcBorders>
                  <w:noWrap w:val="0"/>
                  <w:tcMar>
                    <w:top w:w="0" w:type="dxa"/>
                    <w:left w:w="51" w:type="dxa"/>
                    <w:bottom w:w="0" w:type="dxa"/>
                    <w:right w:w="51" w:type="dxa"/>
                  </w:tcMar>
                  <w:vAlign w:val="center"/>
                </w:tcPr>
                <w:p w14:paraId="432173C7">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无关项</w:t>
                  </w:r>
                </w:p>
              </w:tc>
            </w:tr>
            <w:tr w14:paraId="32CBFB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4C701079">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74D5C979">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48D61D56">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国家明令禁止的项目。</w:t>
                  </w:r>
                </w:p>
              </w:tc>
              <w:tc>
                <w:tcPr>
                  <w:tcW w:w="1397" w:type="pct"/>
                  <w:tcBorders>
                    <w:tl2br w:val="nil"/>
                    <w:tr2bl w:val="nil"/>
                  </w:tcBorders>
                  <w:noWrap w:val="0"/>
                  <w:tcMar>
                    <w:top w:w="0" w:type="dxa"/>
                    <w:left w:w="51" w:type="dxa"/>
                    <w:bottom w:w="0" w:type="dxa"/>
                    <w:right w:w="51" w:type="dxa"/>
                  </w:tcMar>
                  <w:vAlign w:val="center"/>
                </w:tcPr>
                <w:p w14:paraId="7DA33139">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不涉及国家明令禁止的项目。</w:t>
                  </w:r>
                </w:p>
              </w:tc>
              <w:tc>
                <w:tcPr>
                  <w:tcW w:w="375" w:type="pct"/>
                  <w:tcBorders>
                    <w:tl2br w:val="nil"/>
                    <w:tr2bl w:val="nil"/>
                  </w:tcBorders>
                  <w:noWrap w:val="0"/>
                  <w:tcMar>
                    <w:top w:w="0" w:type="dxa"/>
                    <w:left w:w="51" w:type="dxa"/>
                    <w:bottom w:w="0" w:type="dxa"/>
                    <w:right w:w="51" w:type="dxa"/>
                  </w:tcMar>
                  <w:vAlign w:val="center"/>
                </w:tcPr>
                <w:p w14:paraId="60729079">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440B6F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6219B02B">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3C240C2A">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75E0227B">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禁止《产业结构调整指导目录》</w:t>
                  </w:r>
                  <w:r>
                    <w:rPr>
                      <w:rFonts w:hint="eastAsia" w:ascii="Times New Roman" w:hAnsi="Times New Roman" w:eastAsia="宋体" w:cs="Times New Roman"/>
                      <w:snapToGrid/>
                      <w:color w:val="auto"/>
                      <w:kern w:val="24"/>
                      <w:sz w:val="21"/>
                      <w:szCs w:val="21"/>
                      <w:lang w:val="en-US" w:eastAsia="zh-CN" w:bidi="ar"/>
                    </w:rPr>
                    <w:t>（2019）</w:t>
                  </w:r>
                  <w:r>
                    <w:rPr>
                      <w:rFonts w:hint="default" w:ascii="Times New Roman" w:hAnsi="Times New Roman" w:eastAsia="宋体" w:cs="Times New Roman"/>
                      <w:snapToGrid/>
                      <w:color w:val="auto"/>
                      <w:kern w:val="24"/>
                      <w:sz w:val="21"/>
                      <w:szCs w:val="21"/>
                      <w:lang w:val="en-US" w:eastAsia="zh-CN" w:bidi="ar"/>
                    </w:rPr>
                    <w:t>限制类和淘汰类项目入驻。</w:t>
                  </w:r>
                </w:p>
              </w:tc>
              <w:tc>
                <w:tcPr>
                  <w:tcW w:w="1397" w:type="pct"/>
                  <w:tcBorders>
                    <w:tl2br w:val="nil"/>
                    <w:tr2bl w:val="nil"/>
                  </w:tcBorders>
                  <w:noWrap w:val="0"/>
                  <w:tcMar>
                    <w:top w:w="0" w:type="dxa"/>
                    <w:left w:w="51" w:type="dxa"/>
                    <w:bottom w:w="0" w:type="dxa"/>
                    <w:right w:w="51" w:type="dxa"/>
                  </w:tcMar>
                  <w:vAlign w:val="center"/>
                </w:tcPr>
                <w:p w14:paraId="3989BF0C">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不属于《产业结构调整指导目录》</w:t>
                  </w:r>
                  <w:r>
                    <w:rPr>
                      <w:rFonts w:hint="eastAsia" w:ascii="Times New Roman" w:hAnsi="Times New Roman" w:eastAsia="宋体" w:cs="Times New Roman"/>
                      <w:snapToGrid/>
                      <w:color w:val="auto"/>
                      <w:kern w:val="24"/>
                      <w:sz w:val="21"/>
                      <w:szCs w:val="21"/>
                      <w:lang w:val="en-US" w:eastAsia="zh-CN" w:bidi="ar"/>
                    </w:rPr>
                    <w:t>（2024）</w:t>
                  </w:r>
                  <w:r>
                    <w:rPr>
                      <w:rFonts w:hint="default" w:ascii="Times New Roman" w:hAnsi="Times New Roman" w:eastAsia="宋体" w:cs="Times New Roman"/>
                      <w:snapToGrid/>
                      <w:color w:val="auto"/>
                      <w:kern w:val="24"/>
                      <w:sz w:val="21"/>
                      <w:szCs w:val="21"/>
                      <w:lang w:val="en-US" w:eastAsia="zh-CN" w:bidi="ar"/>
                    </w:rPr>
                    <w:t>限制类和淘汰类项目。</w:t>
                  </w:r>
                </w:p>
              </w:tc>
              <w:tc>
                <w:tcPr>
                  <w:tcW w:w="375" w:type="pct"/>
                  <w:tcBorders>
                    <w:tl2br w:val="nil"/>
                    <w:tr2bl w:val="nil"/>
                  </w:tcBorders>
                  <w:noWrap w:val="0"/>
                  <w:tcMar>
                    <w:top w:w="0" w:type="dxa"/>
                    <w:left w:w="51" w:type="dxa"/>
                    <w:bottom w:w="0" w:type="dxa"/>
                    <w:right w:w="51" w:type="dxa"/>
                  </w:tcMar>
                  <w:vAlign w:val="center"/>
                </w:tcPr>
                <w:p w14:paraId="4C1F80FA">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282A8F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10EC0374">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5740A9F4">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2131A667">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禁止《外商投资准入特别管理（负面清单）》（2021版）项目。</w:t>
                  </w:r>
                </w:p>
              </w:tc>
              <w:tc>
                <w:tcPr>
                  <w:tcW w:w="1397" w:type="pct"/>
                  <w:tcBorders>
                    <w:tl2br w:val="nil"/>
                    <w:tr2bl w:val="nil"/>
                  </w:tcBorders>
                  <w:noWrap w:val="0"/>
                  <w:tcMar>
                    <w:top w:w="0" w:type="dxa"/>
                    <w:left w:w="51" w:type="dxa"/>
                    <w:bottom w:w="0" w:type="dxa"/>
                    <w:right w:w="51" w:type="dxa"/>
                  </w:tcMar>
                  <w:vAlign w:val="center"/>
                </w:tcPr>
                <w:p w14:paraId="335D710A">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不属于《外商投资准入特别管理（负面清单）》（2021版）项目。</w:t>
                  </w:r>
                </w:p>
              </w:tc>
              <w:tc>
                <w:tcPr>
                  <w:tcW w:w="375" w:type="pct"/>
                  <w:tcBorders>
                    <w:tl2br w:val="nil"/>
                    <w:tr2bl w:val="nil"/>
                  </w:tcBorders>
                  <w:noWrap w:val="0"/>
                  <w:tcMar>
                    <w:top w:w="0" w:type="dxa"/>
                    <w:left w:w="51" w:type="dxa"/>
                    <w:bottom w:w="0" w:type="dxa"/>
                    <w:right w:w="51" w:type="dxa"/>
                  </w:tcMar>
                  <w:vAlign w:val="center"/>
                </w:tcPr>
                <w:p w14:paraId="394461E0">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3E515F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0B95AFA7">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67980EE8">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3A00EB20">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禁止《高污染、高环境风险产品名录》中产品项目入驻。</w:t>
                  </w:r>
                </w:p>
              </w:tc>
              <w:tc>
                <w:tcPr>
                  <w:tcW w:w="1397" w:type="pct"/>
                  <w:tcBorders>
                    <w:tl2br w:val="nil"/>
                    <w:tr2bl w:val="nil"/>
                  </w:tcBorders>
                  <w:noWrap w:val="0"/>
                  <w:tcMar>
                    <w:top w:w="0" w:type="dxa"/>
                    <w:left w:w="51" w:type="dxa"/>
                    <w:bottom w:w="0" w:type="dxa"/>
                    <w:right w:w="51" w:type="dxa"/>
                  </w:tcMar>
                  <w:vAlign w:val="center"/>
                </w:tcPr>
                <w:p w14:paraId="0403CC45">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不属于《高污染、高环境风险产品名录》中产品项目。</w:t>
                  </w:r>
                </w:p>
              </w:tc>
              <w:tc>
                <w:tcPr>
                  <w:tcW w:w="375" w:type="pct"/>
                  <w:tcBorders>
                    <w:tl2br w:val="nil"/>
                    <w:tr2bl w:val="nil"/>
                  </w:tcBorders>
                  <w:noWrap w:val="0"/>
                  <w:tcMar>
                    <w:top w:w="0" w:type="dxa"/>
                    <w:left w:w="51" w:type="dxa"/>
                    <w:bottom w:w="0" w:type="dxa"/>
                    <w:right w:w="51" w:type="dxa"/>
                  </w:tcMar>
                  <w:vAlign w:val="center"/>
                </w:tcPr>
                <w:p w14:paraId="39286EB0">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1B7DF5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1068078A">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5BBBB43F">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259577CD">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bCs/>
                      <w:snapToGrid/>
                      <w:color w:val="auto"/>
                      <w:kern w:val="24"/>
                      <w:sz w:val="21"/>
                      <w:szCs w:val="21"/>
                      <w:lang w:val="en-US" w:eastAsia="zh-CN" w:bidi="ar"/>
                    </w:rPr>
                    <w:t>禁止投资建设列入禁止用地目录、限制用地目录的项目。</w:t>
                  </w:r>
                </w:p>
              </w:tc>
              <w:tc>
                <w:tcPr>
                  <w:tcW w:w="1397" w:type="pct"/>
                  <w:tcBorders>
                    <w:tl2br w:val="nil"/>
                    <w:tr2bl w:val="nil"/>
                  </w:tcBorders>
                  <w:noWrap w:val="0"/>
                  <w:tcMar>
                    <w:top w:w="0" w:type="dxa"/>
                    <w:left w:w="51" w:type="dxa"/>
                    <w:bottom w:w="0" w:type="dxa"/>
                    <w:right w:w="51" w:type="dxa"/>
                  </w:tcMar>
                  <w:vAlign w:val="center"/>
                </w:tcPr>
                <w:p w14:paraId="337544F8">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snapToGrid/>
                      <w:color w:val="auto"/>
                      <w:kern w:val="24"/>
                      <w:sz w:val="21"/>
                      <w:szCs w:val="21"/>
                    </w:rPr>
                  </w:pPr>
                  <w:r>
                    <w:rPr>
                      <w:rFonts w:hint="default" w:ascii="Times New Roman" w:hAnsi="Times New Roman" w:eastAsia="宋体" w:cs="Times New Roman"/>
                      <w:bCs/>
                      <w:snapToGrid/>
                      <w:color w:val="auto"/>
                      <w:kern w:val="24"/>
                      <w:sz w:val="21"/>
                      <w:szCs w:val="21"/>
                      <w:lang w:val="en-US" w:eastAsia="zh-CN" w:bidi="ar"/>
                    </w:rPr>
                    <w:t>不属于。</w:t>
                  </w:r>
                </w:p>
              </w:tc>
              <w:tc>
                <w:tcPr>
                  <w:tcW w:w="375" w:type="pct"/>
                  <w:tcBorders>
                    <w:tl2br w:val="nil"/>
                    <w:tr2bl w:val="nil"/>
                  </w:tcBorders>
                  <w:noWrap w:val="0"/>
                  <w:tcMar>
                    <w:top w:w="0" w:type="dxa"/>
                    <w:left w:w="51" w:type="dxa"/>
                    <w:bottom w:w="0" w:type="dxa"/>
                    <w:right w:w="51" w:type="dxa"/>
                  </w:tcMar>
                  <w:vAlign w:val="center"/>
                </w:tcPr>
                <w:p w14:paraId="372B9E59">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jc w:val="center"/>
                    <w:rPr>
                      <w:rFonts w:hint="eastAsia" w:ascii="Times New Roman" w:hAnsi="Times New Roman" w:eastAsia="宋体" w:cs="Times New Roman"/>
                      <w:bCs/>
                      <w:snapToGrid/>
                      <w:color w:val="auto"/>
                      <w:kern w:val="24"/>
                      <w:sz w:val="21"/>
                      <w:szCs w:val="21"/>
                      <w:lang w:eastAsia="zh-CN"/>
                    </w:rPr>
                  </w:pPr>
                  <w:r>
                    <w:rPr>
                      <w:rFonts w:hint="eastAsia" w:ascii="Times New Roman" w:hAnsi="Times New Roman" w:cs="Times New Roman"/>
                      <w:bCs/>
                      <w:snapToGrid/>
                      <w:color w:val="auto"/>
                      <w:kern w:val="24"/>
                      <w:sz w:val="21"/>
                      <w:szCs w:val="21"/>
                      <w:lang w:eastAsia="zh-CN"/>
                    </w:rPr>
                    <w:t>无关项</w:t>
                  </w:r>
                </w:p>
              </w:tc>
            </w:tr>
            <w:tr w14:paraId="26A3B7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04285F4B">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162F79DA">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13065977">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left"/>
                    <w:textAlignment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严禁新增钢铁、电解铝、氧化铝、水泥、平板玻璃、传统煤化工（甲醇、合成氨）、焦化、铸造、铝用炭素、烧结砖瓦、铁合金等行业产能。原则上禁止新建燃煤自备锅炉、自备燃煤机组和燃料类煤气发生炉。</w:t>
                  </w:r>
                </w:p>
              </w:tc>
              <w:tc>
                <w:tcPr>
                  <w:tcW w:w="1397" w:type="pct"/>
                  <w:tcBorders>
                    <w:tl2br w:val="nil"/>
                    <w:tr2bl w:val="nil"/>
                  </w:tcBorders>
                  <w:noWrap w:val="0"/>
                  <w:tcMar>
                    <w:top w:w="0" w:type="dxa"/>
                    <w:left w:w="51" w:type="dxa"/>
                    <w:bottom w:w="0" w:type="dxa"/>
                    <w:right w:w="51" w:type="dxa"/>
                  </w:tcMar>
                  <w:vAlign w:val="center"/>
                </w:tcPr>
                <w:p w14:paraId="5E18FCD7">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不涉及。</w:t>
                  </w:r>
                </w:p>
              </w:tc>
              <w:tc>
                <w:tcPr>
                  <w:tcW w:w="375" w:type="pct"/>
                  <w:tcBorders>
                    <w:tl2br w:val="nil"/>
                    <w:tr2bl w:val="nil"/>
                  </w:tcBorders>
                  <w:noWrap w:val="0"/>
                  <w:tcMar>
                    <w:top w:w="0" w:type="dxa"/>
                    <w:left w:w="51" w:type="dxa"/>
                    <w:bottom w:w="0" w:type="dxa"/>
                    <w:right w:w="51" w:type="dxa"/>
                  </w:tcMar>
                  <w:vAlign w:val="center"/>
                </w:tcPr>
                <w:p w14:paraId="4DE95694">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无关项</w:t>
                  </w:r>
                </w:p>
              </w:tc>
            </w:tr>
            <w:tr w14:paraId="0AFBC4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70D35FEF">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7D452683">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20F9DE0C">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none"/>
                    </w:rPr>
                  </w:pPr>
                  <w:r>
                    <w:rPr>
                      <w:rFonts w:hint="default" w:ascii="Times New Roman" w:hAnsi="Times New Roman" w:eastAsia="宋体" w:cs="Times New Roman"/>
                      <w:snapToGrid/>
                      <w:color w:val="auto"/>
                      <w:kern w:val="24"/>
                      <w:sz w:val="21"/>
                      <w:szCs w:val="21"/>
                      <w:highlight w:val="none"/>
                      <w:lang w:val="en-US" w:eastAsia="zh-CN" w:bidi="ar"/>
                    </w:rPr>
                    <w:t>禁止建设生产和使用高VOCs含量的溶剂型涂料、油墨、胶粘剂等项目。</w:t>
                  </w:r>
                </w:p>
              </w:tc>
              <w:tc>
                <w:tcPr>
                  <w:tcW w:w="1397" w:type="pct"/>
                  <w:tcBorders>
                    <w:tl2br w:val="nil"/>
                    <w:tr2bl w:val="nil"/>
                  </w:tcBorders>
                  <w:noWrap w:val="0"/>
                  <w:tcMar>
                    <w:top w:w="0" w:type="dxa"/>
                    <w:left w:w="51" w:type="dxa"/>
                    <w:bottom w:w="0" w:type="dxa"/>
                    <w:right w:w="51" w:type="dxa"/>
                  </w:tcMar>
                  <w:vAlign w:val="center"/>
                </w:tcPr>
                <w:p w14:paraId="0E575558">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eastAsia" w:ascii="Times New Roman" w:hAnsi="Times New Roman" w:eastAsia="宋体" w:cs="Times New Roman"/>
                      <w:snapToGrid/>
                      <w:color w:val="auto"/>
                      <w:kern w:val="24"/>
                      <w:sz w:val="21"/>
                      <w:szCs w:val="21"/>
                      <w:highlight w:val="none"/>
                      <w:lang w:eastAsia="zh-CN"/>
                    </w:rPr>
                  </w:pPr>
                  <w:r>
                    <w:rPr>
                      <w:rFonts w:hint="eastAsia" w:cs="Times New Roman"/>
                      <w:snapToGrid/>
                      <w:color w:val="auto"/>
                      <w:kern w:val="24"/>
                      <w:sz w:val="21"/>
                      <w:szCs w:val="21"/>
                      <w:highlight w:val="none"/>
                      <w:lang w:eastAsia="zh-CN"/>
                    </w:rPr>
                    <w:t>本项目喷码工序使用符合国家标准要求的水性墨。</w:t>
                  </w:r>
                </w:p>
              </w:tc>
              <w:tc>
                <w:tcPr>
                  <w:tcW w:w="375" w:type="pct"/>
                  <w:tcBorders>
                    <w:tl2br w:val="nil"/>
                    <w:tr2bl w:val="nil"/>
                  </w:tcBorders>
                  <w:noWrap w:val="0"/>
                  <w:tcMar>
                    <w:top w:w="0" w:type="dxa"/>
                    <w:left w:w="51" w:type="dxa"/>
                    <w:bottom w:w="0" w:type="dxa"/>
                    <w:right w:w="51" w:type="dxa"/>
                  </w:tcMar>
                  <w:vAlign w:val="center"/>
                </w:tcPr>
                <w:p w14:paraId="0A6EEAF1">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70A6EC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54120903">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7C6A4465">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3EC0B256">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新建、扩建、搬迁的化学原料药和生物生化制品建设项目应位于产业园区，并符合园区产业定位、园区规划、规划环评及审查意见要求。</w:t>
                  </w:r>
                </w:p>
              </w:tc>
              <w:tc>
                <w:tcPr>
                  <w:tcW w:w="1397" w:type="pct"/>
                  <w:tcBorders>
                    <w:tl2br w:val="nil"/>
                    <w:tr2bl w:val="nil"/>
                  </w:tcBorders>
                  <w:noWrap w:val="0"/>
                  <w:tcMar>
                    <w:top w:w="0" w:type="dxa"/>
                    <w:left w:w="51" w:type="dxa"/>
                    <w:bottom w:w="0" w:type="dxa"/>
                    <w:right w:w="51" w:type="dxa"/>
                  </w:tcMar>
                  <w:vAlign w:val="center"/>
                </w:tcPr>
                <w:p w14:paraId="4D2C91DB">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本项目为</w:t>
                  </w:r>
                  <w:r>
                    <w:rPr>
                      <w:rFonts w:hint="eastAsia" w:cs="Times New Roman"/>
                      <w:snapToGrid/>
                      <w:color w:val="auto"/>
                      <w:kern w:val="24"/>
                      <w:sz w:val="21"/>
                      <w:szCs w:val="21"/>
                      <w:lang w:val="en-US" w:eastAsia="zh-CN" w:bidi="ar"/>
                    </w:rPr>
                    <w:t>塑料制品业</w:t>
                  </w:r>
                  <w:r>
                    <w:rPr>
                      <w:rFonts w:hint="default" w:ascii="Times New Roman" w:hAnsi="Times New Roman" w:eastAsia="宋体" w:cs="Times New Roman"/>
                      <w:snapToGrid/>
                      <w:color w:val="auto"/>
                      <w:kern w:val="24"/>
                      <w:sz w:val="21"/>
                      <w:szCs w:val="21"/>
                      <w:lang w:val="en-US" w:eastAsia="zh-CN" w:bidi="ar"/>
                    </w:rPr>
                    <w:t>，不属于新建、扩建、搬迁的化学原料药和生物生化制品建设项目。</w:t>
                  </w:r>
                </w:p>
              </w:tc>
              <w:tc>
                <w:tcPr>
                  <w:tcW w:w="375" w:type="pct"/>
                  <w:tcBorders>
                    <w:tl2br w:val="nil"/>
                    <w:tr2bl w:val="nil"/>
                  </w:tcBorders>
                  <w:noWrap w:val="0"/>
                  <w:tcMar>
                    <w:top w:w="0" w:type="dxa"/>
                    <w:left w:w="51" w:type="dxa"/>
                    <w:bottom w:w="0" w:type="dxa"/>
                    <w:right w:w="51" w:type="dxa"/>
                  </w:tcMar>
                  <w:vAlign w:val="center"/>
                </w:tcPr>
                <w:p w14:paraId="7F9A3D2E">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无关项</w:t>
                  </w:r>
                </w:p>
              </w:tc>
            </w:tr>
            <w:tr w14:paraId="3D6C35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4E6D6701">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5156D04F">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28B141FF">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鼓励发展主导产业，完善产业链条，严格控制非主导产业。</w:t>
                  </w:r>
                </w:p>
              </w:tc>
              <w:tc>
                <w:tcPr>
                  <w:tcW w:w="1397" w:type="pct"/>
                  <w:tcBorders>
                    <w:tl2br w:val="nil"/>
                    <w:tr2bl w:val="nil"/>
                  </w:tcBorders>
                  <w:noWrap w:val="0"/>
                  <w:tcMar>
                    <w:top w:w="0" w:type="dxa"/>
                    <w:left w:w="51" w:type="dxa"/>
                    <w:bottom w:w="0" w:type="dxa"/>
                    <w:right w:w="51" w:type="dxa"/>
                  </w:tcMar>
                  <w:vAlign w:val="center"/>
                </w:tcPr>
                <w:p w14:paraId="2891D1F6">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本项目为</w:t>
                  </w:r>
                  <w:r>
                    <w:rPr>
                      <w:rFonts w:hint="eastAsia" w:cs="Times New Roman"/>
                      <w:snapToGrid/>
                      <w:color w:val="auto"/>
                      <w:kern w:val="24"/>
                      <w:sz w:val="21"/>
                      <w:szCs w:val="21"/>
                      <w:lang w:val="en-US" w:eastAsia="zh-CN" w:bidi="ar"/>
                    </w:rPr>
                    <w:t>塑料制品业</w:t>
                  </w:r>
                  <w:r>
                    <w:rPr>
                      <w:rFonts w:hint="eastAsia" w:ascii="Times New Roman" w:hAnsi="Times New Roman" w:eastAsia="宋体" w:cs="Times New Roman"/>
                      <w:snapToGrid/>
                      <w:color w:val="auto"/>
                      <w:kern w:val="24"/>
                      <w:sz w:val="21"/>
                      <w:szCs w:val="21"/>
                      <w:lang w:val="en-US" w:eastAsia="zh-CN" w:bidi="ar"/>
                    </w:rPr>
                    <w:t>，</w:t>
                  </w:r>
                  <w:r>
                    <w:rPr>
                      <w:rFonts w:hint="eastAsia" w:cs="Times New Roman"/>
                      <w:snapToGrid/>
                      <w:color w:val="auto"/>
                      <w:kern w:val="24"/>
                      <w:sz w:val="21"/>
                      <w:szCs w:val="21"/>
                      <w:lang w:val="en-US" w:eastAsia="zh-CN" w:bidi="ar"/>
                    </w:rPr>
                    <w:t>不属于主导产业，但未列入开发区负面清单。</w:t>
                  </w:r>
                </w:p>
              </w:tc>
              <w:tc>
                <w:tcPr>
                  <w:tcW w:w="375" w:type="pct"/>
                  <w:tcBorders>
                    <w:tl2br w:val="nil"/>
                    <w:tr2bl w:val="nil"/>
                  </w:tcBorders>
                  <w:noWrap w:val="0"/>
                  <w:tcMar>
                    <w:top w:w="0" w:type="dxa"/>
                    <w:left w:w="51" w:type="dxa"/>
                    <w:bottom w:w="0" w:type="dxa"/>
                    <w:right w:w="51" w:type="dxa"/>
                  </w:tcMar>
                  <w:vAlign w:val="center"/>
                </w:tcPr>
                <w:p w14:paraId="79A66C6A">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0A331F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38868571">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3987CDF6">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3198B10F">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禁止入驻煤化工、石油化工、制浆造纸、水泥、陶瓷、农药、制革及毛皮鞣制等高水耗、高能耗、污染排放量较大的行业。</w:t>
                  </w:r>
                </w:p>
              </w:tc>
              <w:tc>
                <w:tcPr>
                  <w:tcW w:w="1397" w:type="pct"/>
                  <w:tcBorders>
                    <w:tl2br w:val="nil"/>
                    <w:tr2bl w:val="nil"/>
                  </w:tcBorders>
                  <w:noWrap w:val="0"/>
                  <w:tcMar>
                    <w:top w:w="0" w:type="dxa"/>
                    <w:left w:w="51" w:type="dxa"/>
                    <w:bottom w:w="0" w:type="dxa"/>
                    <w:right w:w="51" w:type="dxa"/>
                  </w:tcMar>
                  <w:vAlign w:val="center"/>
                </w:tcPr>
                <w:p w14:paraId="0A5DB3A0">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不涉及。</w:t>
                  </w:r>
                </w:p>
              </w:tc>
              <w:tc>
                <w:tcPr>
                  <w:tcW w:w="375" w:type="pct"/>
                  <w:tcBorders>
                    <w:tl2br w:val="nil"/>
                    <w:tr2bl w:val="nil"/>
                  </w:tcBorders>
                  <w:noWrap w:val="0"/>
                  <w:tcMar>
                    <w:top w:w="0" w:type="dxa"/>
                    <w:left w:w="51" w:type="dxa"/>
                    <w:bottom w:w="0" w:type="dxa"/>
                    <w:right w:w="51" w:type="dxa"/>
                  </w:tcMar>
                  <w:vAlign w:val="center"/>
                </w:tcPr>
                <w:p w14:paraId="247BCB17">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无关项</w:t>
                  </w:r>
                </w:p>
              </w:tc>
            </w:tr>
            <w:tr w14:paraId="03F210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5BB05C13">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1960ED48">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35932A1B">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新建、改建、扩建“两高”项目须符合生态环境保护法律法规和相关法定规划，满足重点污染物排放总量控制、碳排放达峰目标、生态环境准入清单、相关规划环评和相应行业建设项目环境准入条件、环评文件审批原则要求。</w:t>
                  </w:r>
                </w:p>
              </w:tc>
              <w:tc>
                <w:tcPr>
                  <w:tcW w:w="1397" w:type="pct"/>
                  <w:tcBorders>
                    <w:tl2br w:val="nil"/>
                    <w:tr2bl w:val="nil"/>
                  </w:tcBorders>
                  <w:noWrap w:val="0"/>
                  <w:tcMar>
                    <w:top w:w="0" w:type="dxa"/>
                    <w:left w:w="51" w:type="dxa"/>
                    <w:bottom w:w="0" w:type="dxa"/>
                    <w:right w:w="51" w:type="dxa"/>
                  </w:tcMar>
                  <w:vAlign w:val="center"/>
                </w:tcPr>
                <w:p w14:paraId="3252B295">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本项目不属于两高项目。</w:t>
                  </w:r>
                </w:p>
              </w:tc>
              <w:tc>
                <w:tcPr>
                  <w:tcW w:w="375" w:type="pct"/>
                  <w:tcBorders>
                    <w:tl2br w:val="nil"/>
                    <w:tr2bl w:val="nil"/>
                  </w:tcBorders>
                  <w:noWrap w:val="0"/>
                  <w:tcMar>
                    <w:top w:w="0" w:type="dxa"/>
                    <w:left w:w="51" w:type="dxa"/>
                    <w:bottom w:w="0" w:type="dxa"/>
                    <w:right w:w="51" w:type="dxa"/>
                  </w:tcMar>
                  <w:vAlign w:val="center"/>
                </w:tcPr>
                <w:p w14:paraId="2D070A44">
                  <w:pPr>
                    <w:keepNext w:val="0"/>
                    <w:keepLines w:val="0"/>
                    <w:pageBreakBefore w:val="0"/>
                    <w:widowControl w:val="0"/>
                    <w:suppressLineNumbers w:val="0"/>
                    <w:kinsoku/>
                    <w:overflowPunct/>
                    <w:topLinePunct w:val="0"/>
                    <w:autoSpaceDE w:val="0"/>
                    <w:autoSpaceDN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65E221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4552AC3B">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restart"/>
                  <w:tcBorders>
                    <w:tl2br w:val="nil"/>
                    <w:tr2bl w:val="nil"/>
                  </w:tcBorders>
                  <w:noWrap w:val="0"/>
                  <w:tcMar>
                    <w:top w:w="0" w:type="dxa"/>
                    <w:left w:w="51" w:type="dxa"/>
                    <w:bottom w:w="0" w:type="dxa"/>
                    <w:right w:w="51" w:type="dxa"/>
                  </w:tcMar>
                  <w:vAlign w:val="center"/>
                </w:tcPr>
                <w:p w14:paraId="13FBBD42">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污染物排放管控</w:t>
                  </w:r>
                </w:p>
              </w:tc>
              <w:tc>
                <w:tcPr>
                  <w:tcW w:w="1749" w:type="pct"/>
                  <w:tcBorders>
                    <w:tl2br w:val="nil"/>
                    <w:tr2bl w:val="nil"/>
                  </w:tcBorders>
                  <w:noWrap w:val="0"/>
                  <w:tcMar>
                    <w:top w:w="0" w:type="dxa"/>
                    <w:left w:w="51" w:type="dxa"/>
                    <w:bottom w:w="0" w:type="dxa"/>
                    <w:right w:w="51" w:type="dxa"/>
                  </w:tcMar>
                  <w:vAlign w:val="center"/>
                </w:tcPr>
                <w:p w14:paraId="3632094C">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涉及挥发性有机物排放的建设项目，实行区域内VOCs排放等量或倍量削减替代，否则禁止入驻。</w:t>
                  </w:r>
                </w:p>
              </w:tc>
              <w:tc>
                <w:tcPr>
                  <w:tcW w:w="1397" w:type="pct"/>
                  <w:tcBorders>
                    <w:tl2br w:val="nil"/>
                    <w:tr2bl w:val="nil"/>
                  </w:tcBorders>
                  <w:noWrap w:val="0"/>
                  <w:tcMar>
                    <w:top w:w="0" w:type="dxa"/>
                    <w:left w:w="51" w:type="dxa"/>
                    <w:bottom w:w="0" w:type="dxa"/>
                    <w:right w:w="51" w:type="dxa"/>
                  </w:tcMar>
                  <w:vAlign w:val="center"/>
                </w:tcPr>
                <w:p w14:paraId="078DD467">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本项目不涉及VOCs排放。</w:t>
                  </w:r>
                </w:p>
              </w:tc>
              <w:tc>
                <w:tcPr>
                  <w:tcW w:w="375" w:type="pct"/>
                  <w:tcBorders>
                    <w:tl2br w:val="nil"/>
                    <w:tr2bl w:val="nil"/>
                  </w:tcBorders>
                  <w:noWrap w:val="0"/>
                  <w:tcMar>
                    <w:top w:w="0" w:type="dxa"/>
                    <w:left w:w="51" w:type="dxa"/>
                    <w:bottom w:w="0" w:type="dxa"/>
                    <w:right w:w="51" w:type="dxa"/>
                  </w:tcMar>
                  <w:vAlign w:val="center"/>
                </w:tcPr>
                <w:p w14:paraId="6D681600">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无关项</w:t>
                  </w:r>
                </w:p>
              </w:tc>
            </w:tr>
            <w:tr w14:paraId="44BAC3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5755975D">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2092153D">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78148A80">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鼓励现有钢铁、焦化、水泥、铁合金、铸造等</w:t>
                  </w:r>
                  <w:bookmarkStart w:id="6" w:name="OLE_LINK8"/>
                  <w:r>
                    <w:rPr>
                      <w:rFonts w:hint="default" w:ascii="Times New Roman" w:hAnsi="Times New Roman" w:eastAsia="宋体" w:cs="Times New Roman"/>
                      <w:snapToGrid/>
                      <w:color w:val="auto"/>
                      <w:kern w:val="24"/>
                      <w:sz w:val="21"/>
                      <w:szCs w:val="21"/>
                      <w:lang w:val="en-US" w:eastAsia="zh-CN" w:bidi="ar"/>
                    </w:rPr>
                    <w:t>重点行业及“两高”行业</w:t>
                  </w:r>
                  <w:bookmarkEnd w:id="6"/>
                  <w:r>
                    <w:rPr>
                      <w:rFonts w:hint="default" w:ascii="Times New Roman" w:hAnsi="Times New Roman" w:eastAsia="宋体" w:cs="Times New Roman"/>
                      <w:snapToGrid/>
                      <w:color w:val="auto"/>
                      <w:kern w:val="24"/>
                      <w:sz w:val="21"/>
                      <w:szCs w:val="21"/>
                      <w:lang w:val="en-US" w:eastAsia="zh-CN" w:bidi="ar"/>
                    </w:rPr>
                    <w:t>污染治理水平达到A级企业或引领性企业水平，其他行业污染治理水平达到B级企业水平；重点行业新建、扩建项目达到A级绩效水平，改建项目达到B级以上绩效水平。</w:t>
                  </w:r>
                </w:p>
              </w:tc>
              <w:tc>
                <w:tcPr>
                  <w:tcW w:w="1397" w:type="pct"/>
                  <w:tcBorders>
                    <w:tl2br w:val="nil"/>
                    <w:tr2bl w:val="nil"/>
                  </w:tcBorders>
                  <w:noWrap w:val="0"/>
                  <w:tcMar>
                    <w:top w:w="0" w:type="dxa"/>
                    <w:left w:w="51" w:type="dxa"/>
                    <w:bottom w:w="0" w:type="dxa"/>
                    <w:right w:w="51" w:type="dxa"/>
                  </w:tcMar>
                  <w:vAlign w:val="center"/>
                </w:tcPr>
                <w:p w14:paraId="46DC3C3B">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本项目</w:t>
                  </w:r>
                  <w:r>
                    <w:rPr>
                      <w:rFonts w:hint="eastAsia" w:cs="Times New Roman"/>
                      <w:snapToGrid/>
                      <w:color w:val="auto"/>
                      <w:kern w:val="24"/>
                      <w:sz w:val="21"/>
                      <w:szCs w:val="21"/>
                      <w:lang w:val="en-US" w:eastAsia="zh-CN" w:bidi="ar"/>
                    </w:rPr>
                    <w:t>属于塑料制品业</w:t>
                  </w:r>
                  <w:r>
                    <w:rPr>
                      <w:rFonts w:hint="default" w:ascii="Times New Roman" w:hAnsi="Times New Roman" w:eastAsia="宋体" w:cs="Times New Roman"/>
                      <w:snapToGrid/>
                      <w:color w:val="auto"/>
                      <w:kern w:val="24"/>
                      <w:sz w:val="21"/>
                      <w:szCs w:val="21"/>
                      <w:lang w:val="en-US" w:eastAsia="zh-CN" w:bidi="ar"/>
                    </w:rPr>
                    <w:t>，性质为</w:t>
                  </w:r>
                  <w:r>
                    <w:rPr>
                      <w:rFonts w:hint="eastAsia" w:cs="Times New Roman"/>
                      <w:snapToGrid/>
                      <w:color w:val="auto"/>
                      <w:kern w:val="24"/>
                      <w:sz w:val="21"/>
                      <w:szCs w:val="21"/>
                      <w:lang w:val="en-US" w:eastAsia="zh-CN" w:bidi="ar"/>
                    </w:rPr>
                    <w:t>新建</w:t>
                  </w:r>
                  <w:r>
                    <w:rPr>
                      <w:rFonts w:hint="default" w:ascii="Times New Roman" w:hAnsi="Times New Roman" w:eastAsia="宋体" w:cs="Times New Roman"/>
                      <w:snapToGrid/>
                      <w:color w:val="auto"/>
                      <w:kern w:val="24"/>
                      <w:sz w:val="21"/>
                      <w:szCs w:val="21"/>
                      <w:lang w:val="en-US" w:eastAsia="zh-CN" w:bidi="ar"/>
                    </w:rPr>
                    <w:t>，不属于重点行业及</w:t>
                  </w:r>
                  <w:r>
                    <w:rPr>
                      <w:rFonts w:hint="eastAsia" w:ascii="Times New Roman" w:hAnsi="Times New Roman" w:eastAsia="宋体" w:cs="Times New Roman"/>
                      <w:snapToGrid/>
                      <w:color w:val="auto"/>
                      <w:kern w:val="24"/>
                      <w:sz w:val="21"/>
                      <w:szCs w:val="21"/>
                      <w:lang w:val="en-US" w:eastAsia="zh-CN" w:bidi="ar"/>
                    </w:rPr>
                    <w:t>“</w:t>
                  </w:r>
                  <w:r>
                    <w:rPr>
                      <w:rFonts w:hint="default" w:ascii="Times New Roman" w:hAnsi="Times New Roman" w:eastAsia="宋体" w:cs="Times New Roman"/>
                      <w:snapToGrid/>
                      <w:color w:val="auto"/>
                      <w:kern w:val="24"/>
                      <w:sz w:val="21"/>
                      <w:szCs w:val="21"/>
                      <w:lang w:val="en-US" w:eastAsia="zh-CN" w:bidi="ar"/>
                    </w:rPr>
                    <w:t>两高</w:t>
                  </w:r>
                  <w:r>
                    <w:rPr>
                      <w:rFonts w:hint="eastAsia" w:ascii="Times New Roman" w:hAnsi="Times New Roman" w:eastAsia="宋体" w:cs="Times New Roman"/>
                      <w:snapToGrid/>
                      <w:color w:val="auto"/>
                      <w:kern w:val="24"/>
                      <w:sz w:val="21"/>
                      <w:szCs w:val="21"/>
                      <w:lang w:val="en-US" w:eastAsia="zh-CN" w:bidi="ar"/>
                    </w:rPr>
                    <w:t>”</w:t>
                  </w:r>
                  <w:r>
                    <w:rPr>
                      <w:rFonts w:hint="default" w:ascii="Times New Roman" w:hAnsi="Times New Roman" w:eastAsia="宋体" w:cs="Times New Roman"/>
                      <w:snapToGrid/>
                      <w:color w:val="auto"/>
                      <w:kern w:val="24"/>
                      <w:sz w:val="21"/>
                      <w:szCs w:val="21"/>
                      <w:lang w:val="en-US" w:eastAsia="zh-CN" w:bidi="ar"/>
                    </w:rPr>
                    <w:t>行业</w:t>
                  </w:r>
                  <w:r>
                    <w:rPr>
                      <w:rFonts w:hint="eastAsia" w:ascii="Times New Roman" w:hAnsi="Times New Roman" w:eastAsia="宋体" w:cs="Times New Roman"/>
                      <w:snapToGrid/>
                      <w:color w:val="auto"/>
                      <w:kern w:val="24"/>
                      <w:sz w:val="21"/>
                      <w:szCs w:val="21"/>
                      <w:lang w:val="en-US" w:eastAsia="zh-CN" w:bidi="ar"/>
                    </w:rPr>
                    <w:t>，按照《河南省重污染天气通用行业应急减排措施制定技术指南（2024年修订版）》中“塑料制品行业企业A级”要求设计、建设</w:t>
                  </w:r>
                  <w:r>
                    <w:rPr>
                      <w:rFonts w:hint="default" w:ascii="Times New Roman" w:hAnsi="Times New Roman" w:eastAsia="宋体" w:cs="Times New Roman"/>
                      <w:snapToGrid/>
                      <w:color w:val="auto"/>
                      <w:kern w:val="24"/>
                      <w:sz w:val="21"/>
                      <w:szCs w:val="21"/>
                      <w:lang w:val="en-US" w:eastAsia="zh-CN" w:bidi="ar"/>
                    </w:rPr>
                    <w:t>。</w:t>
                  </w:r>
                </w:p>
              </w:tc>
              <w:tc>
                <w:tcPr>
                  <w:tcW w:w="375" w:type="pct"/>
                  <w:tcBorders>
                    <w:tl2br w:val="nil"/>
                    <w:tr2bl w:val="nil"/>
                  </w:tcBorders>
                  <w:noWrap w:val="0"/>
                  <w:tcMar>
                    <w:top w:w="0" w:type="dxa"/>
                    <w:left w:w="51" w:type="dxa"/>
                    <w:bottom w:w="0" w:type="dxa"/>
                    <w:right w:w="51" w:type="dxa"/>
                  </w:tcMar>
                  <w:vAlign w:val="center"/>
                </w:tcPr>
                <w:p w14:paraId="372EDAE0">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467DD0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1DA37588">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274BDD05">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6FA8AFA2">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新、改、扩建项目</w:t>
                  </w:r>
                  <w:bookmarkStart w:id="7" w:name="OLE_LINK205"/>
                  <w:r>
                    <w:rPr>
                      <w:rFonts w:hint="default" w:ascii="Times New Roman" w:hAnsi="Times New Roman" w:eastAsia="宋体" w:cs="Times New Roman"/>
                      <w:snapToGrid/>
                      <w:color w:val="auto"/>
                      <w:kern w:val="24"/>
                      <w:sz w:val="21"/>
                      <w:szCs w:val="21"/>
                      <w:lang w:val="en-US" w:eastAsia="zh-CN" w:bidi="ar"/>
                    </w:rPr>
                    <w:t>主要污染物排放要求满足当地总量减排和替代要求。</w:t>
                  </w:r>
                  <w:bookmarkEnd w:id="7"/>
                </w:p>
              </w:tc>
              <w:tc>
                <w:tcPr>
                  <w:tcW w:w="1397" w:type="pct"/>
                  <w:tcBorders>
                    <w:tl2br w:val="nil"/>
                    <w:tr2bl w:val="nil"/>
                  </w:tcBorders>
                  <w:noWrap w:val="0"/>
                  <w:tcMar>
                    <w:top w:w="0" w:type="dxa"/>
                    <w:left w:w="51" w:type="dxa"/>
                    <w:bottom w:w="0" w:type="dxa"/>
                    <w:right w:w="51" w:type="dxa"/>
                  </w:tcMar>
                  <w:vAlign w:val="center"/>
                </w:tcPr>
                <w:p w14:paraId="6FD44878">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eastAsia" w:ascii="Times New Roman" w:hAnsi="Times New Roman" w:eastAsia="宋体" w:cs="Times New Roman"/>
                      <w:snapToGrid/>
                      <w:color w:val="auto"/>
                      <w:kern w:val="24"/>
                      <w:sz w:val="21"/>
                      <w:szCs w:val="21"/>
                      <w:lang w:eastAsia="zh-CN"/>
                    </w:rPr>
                  </w:pPr>
                  <w:r>
                    <w:rPr>
                      <w:rFonts w:hint="eastAsia" w:cs="Times New Roman"/>
                      <w:snapToGrid/>
                      <w:color w:val="auto"/>
                      <w:kern w:val="24"/>
                      <w:sz w:val="21"/>
                      <w:szCs w:val="21"/>
                      <w:lang w:eastAsia="zh-CN"/>
                    </w:rPr>
                    <w:t>本项目废气污染物实行倍量替代，废水污染物实行等量替代。</w:t>
                  </w:r>
                </w:p>
              </w:tc>
              <w:tc>
                <w:tcPr>
                  <w:tcW w:w="375" w:type="pct"/>
                  <w:tcBorders>
                    <w:tl2br w:val="nil"/>
                    <w:tr2bl w:val="nil"/>
                  </w:tcBorders>
                  <w:noWrap w:val="0"/>
                  <w:tcMar>
                    <w:top w:w="0" w:type="dxa"/>
                    <w:left w:w="51" w:type="dxa"/>
                    <w:bottom w:w="0" w:type="dxa"/>
                    <w:right w:w="51" w:type="dxa"/>
                  </w:tcMar>
                  <w:vAlign w:val="center"/>
                </w:tcPr>
                <w:p w14:paraId="6F3A7EA9">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68AB8E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511FBAD2">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7668CDBF">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3FC95F43">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textAlignment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医药、化工、橡胶、包装印刷、家具、金属表面涂装、合成革、制鞋等涉VOCs行业应采取密闭式作业，根据不同行业VOCs排放浓度、成分，选择燃烧、吸附、生物法、冷凝等针对性强、治理效果明显的处理技术或多种技术的组合工艺，提高VOCs治理效率；VOCs物料储存、转移和输送、工艺过程、设备与管线组件VOCs泄漏控制、敞开液面VOCs无组织排放控制，以及VOCs无组织排放废气收集处理系统和企业厂区内及周边污染监控应满足《挥发性有机物无组织排放控制标准（GB37822-2019）》相关要求。</w:t>
                  </w:r>
                </w:p>
              </w:tc>
              <w:tc>
                <w:tcPr>
                  <w:tcW w:w="1397" w:type="pct"/>
                  <w:tcBorders>
                    <w:tl2br w:val="nil"/>
                    <w:tr2bl w:val="nil"/>
                  </w:tcBorders>
                  <w:noWrap w:val="0"/>
                  <w:tcMar>
                    <w:top w:w="0" w:type="dxa"/>
                    <w:left w:w="51" w:type="dxa"/>
                    <w:bottom w:w="0" w:type="dxa"/>
                    <w:right w:w="51" w:type="dxa"/>
                  </w:tcMar>
                  <w:vAlign w:val="center"/>
                </w:tcPr>
                <w:p w14:paraId="4DEF5FBE">
                  <w:pPr>
                    <w:keepNext w:val="0"/>
                    <w:keepLines w:val="0"/>
                    <w:pageBreakBefore w:val="0"/>
                    <w:widowControl/>
                    <w:suppressLineNumbers w:val="0"/>
                    <w:kinsoku/>
                    <w:wordWrap w:val="0"/>
                    <w:overflowPunct/>
                    <w:topLinePunct w:val="0"/>
                    <w:autoSpaceDE w:val="0"/>
                    <w:autoSpaceDN/>
                    <w:bidi w:val="0"/>
                    <w:adjustRightInd w:val="0"/>
                    <w:snapToGrid w:val="0"/>
                    <w:spacing w:before="0" w:beforeAutospacing="0" w:after="0" w:afterAutospacing="0"/>
                    <w:ind w:left="0" w:right="0"/>
                    <w:jc w:val="both"/>
                    <w:textAlignment w:val="center"/>
                    <w:rPr>
                      <w:rFonts w:hint="default" w:ascii="Times New Roman" w:hAnsi="Times New Roman" w:eastAsia="宋体" w:cs="Times New Roman"/>
                      <w:snapToGrid/>
                      <w:color w:val="auto"/>
                      <w:kern w:val="24"/>
                      <w:sz w:val="21"/>
                      <w:szCs w:val="21"/>
                      <w:highlight w:val="yellow"/>
                      <w:lang w:val="en-US" w:eastAsia="zh-CN"/>
                    </w:rPr>
                  </w:pPr>
                  <w:r>
                    <w:rPr>
                      <w:rFonts w:hint="eastAsia" w:cs="Times New Roman"/>
                      <w:snapToGrid/>
                      <w:color w:val="auto"/>
                      <w:kern w:val="24"/>
                      <w:sz w:val="21"/>
                      <w:szCs w:val="21"/>
                      <w:highlight w:val="none"/>
                      <w:lang w:val="en-US" w:eastAsia="zh-CN"/>
                    </w:rPr>
                    <w:t>本项目挤出、喷码、高频复合工序废气经集气设施收集后引入一套“活性炭吸附、脱附+催化燃烧”处理装置处理后通过15m高排气筒排放。水性油墨桶装密闭保存，密闭转移。</w:t>
                  </w:r>
                </w:p>
              </w:tc>
              <w:tc>
                <w:tcPr>
                  <w:tcW w:w="375" w:type="pct"/>
                  <w:tcBorders>
                    <w:tl2br w:val="nil"/>
                    <w:tr2bl w:val="nil"/>
                  </w:tcBorders>
                  <w:noWrap w:val="0"/>
                  <w:tcMar>
                    <w:top w:w="0" w:type="dxa"/>
                    <w:left w:w="51" w:type="dxa"/>
                    <w:bottom w:w="0" w:type="dxa"/>
                    <w:right w:w="51" w:type="dxa"/>
                  </w:tcMar>
                  <w:vAlign w:val="center"/>
                </w:tcPr>
                <w:p w14:paraId="7F3F06BB">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无关项</w:t>
                  </w:r>
                </w:p>
              </w:tc>
            </w:tr>
            <w:tr w14:paraId="40AF7C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486FD111">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06E17C35">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1FC53E4E">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textAlignment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向污水集中处理设施排放工业废水的，应当按照国家有关规定进行预处理，达到集中处理设施处理工艺要求后方可排放。</w:t>
                  </w:r>
                </w:p>
              </w:tc>
              <w:tc>
                <w:tcPr>
                  <w:tcW w:w="1397" w:type="pct"/>
                  <w:tcBorders>
                    <w:tl2br w:val="nil"/>
                    <w:tr2bl w:val="nil"/>
                  </w:tcBorders>
                  <w:noWrap w:val="0"/>
                  <w:tcMar>
                    <w:top w:w="0" w:type="dxa"/>
                    <w:left w:w="51" w:type="dxa"/>
                    <w:bottom w:w="0" w:type="dxa"/>
                    <w:right w:w="51" w:type="dxa"/>
                  </w:tcMar>
                  <w:vAlign w:val="center"/>
                </w:tcPr>
                <w:p w14:paraId="29991DB1">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textAlignment w:val="center"/>
                    <w:rPr>
                      <w:rFonts w:hint="eastAsia" w:ascii="Times New Roman" w:hAnsi="Times New Roman" w:eastAsia="宋体" w:cs="Times New Roman"/>
                      <w:snapToGrid/>
                      <w:color w:val="auto"/>
                      <w:kern w:val="24"/>
                      <w:sz w:val="21"/>
                      <w:szCs w:val="21"/>
                      <w:lang w:eastAsia="zh-CN"/>
                    </w:rPr>
                  </w:pPr>
                  <w:r>
                    <w:rPr>
                      <w:rFonts w:hint="eastAsia" w:ascii="Times New Roman" w:hAnsi="Times New Roman" w:eastAsia="宋体" w:cs="Times New Roman"/>
                      <w:snapToGrid/>
                      <w:color w:val="auto"/>
                      <w:kern w:val="24"/>
                      <w:sz w:val="21"/>
                      <w:szCs w:val="21"/>
                      <w:lang w:val="en-US" w:eastAsia="zh-CN"/>
                    </w:rPr>
                    <w:t>本项目食堂废水经隔油池预处理后与经化粪池处理后的其他生活污水一同排入汤阴天雨污水净化有限公司进一步处理</w:t>
                  </w:r>
                  <w:r>
                    <w:rPr>
                      <w:rFonts w:hint="eastAsia" w:cs="Times New Roman"/>
                      <w:snapToGrid/>
                      <w:color w:val="auto"/>
                      <w:kern w:val="24"/>
                      <w:sz w:val="21"/>
                      <w:szCs w:val="21"/>
                      <w:lang w:val="en-US" w:eastAsia="zh-CN"/>
                    </w:rPr>
                    <w:t>。</w:t>
                  </w:r>
                </w:p>
              </w:tc>
              <w:tc>
                <w:tcPr>
                  <w:tcW w:w="375" w:type="pct"/>
                  <w:tcBorders>
                    <w:tl2br w:val="nil"/>
                    <w:tr2bl w:val="nil"/>
                  </w:tcBorders>
                  <w:noWrap w:val="0"/>
                  <w:tcMar>
                    <w:top w:w="0" w:type="dxa"/>
                    <w:left w:w="51" w:type="dxa"/>
                    <w:bottom w:w="0" w:type="dxa"/>
                    <w:right w:w="51" w:type="dxa"/>
                  </w:tcMar>
                  <w:vAlign w:val="center"/>
                </w:tcPr>
                <w:p w14:paraId="4F3FBDB3">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2E9DB8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6145A1B8">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0BD59978">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50A845A9">
                  <w:pPr>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新建“两高”项目应按照《关于加强重点行业建设项目区域削减措施监督管理的通知》要求，依据区域环境质量改善目标，制定配套区域污染物削减方案，采取有效的污染物区域削减措施，腾出足够的环境容量。</w:t>
                  </w:r>
                </w:p>
              </w:tc>
              <w:tc>
                <w:tcPr>
                  <w:tcW w:w="1397" w:type="pct"/>
                  <w:tcBorders>
                    <w:tl2br w:val="nil"/>
                    <w:tr2bl w:val="nil"/>
                  </w:tcBorders>
                  <w:noWrap w:val="0"/>
                  <w:tcMar>
                    <w:top w:w="0" w:type="dxa"/>
                    <w:left w:w="51" w:type="dxa"/>
                    <w:bottom w:w="0" w:type="dxa"/>
                    <w:right w:w="51" w:type="dxa"/>
                  </w:tcMar>
                  <w:vAlign w:val="center"/>
                </w:tcPr>
                <w:p w14:paraId="47ECA86E">
                  <w:pPr>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本项目不属于“两高”项目。</w:t>
                  </w:r>
                </w:p>
              </w:tc>
              <w:tc>
                <w:tcPr>
                  <w:tcW w:w="375" w:type="pct"/>
                  <w:tcBorders>
                    <w:tl2br w:val="nil"/>
                    <w:tr2bl w:val="nil"/>
                  </w:tcBorders>
                  <w:noWrap w:val="0"/>
                  <w:tcMar>
                    <w:top w:w="0" w:type="dxa"/>
                    <w:left w:w="51" w:type="dxa"/>
                    <w:bottom w:w="0" w:type="dxa"/>
                    <w:right w:w="51" w:type="dxa"/>
                  </w:tcMar>
                  <w:vAlign w:val="center"/>
                </w:tcPr>
                <w:p w14:paraId="0E836FAD">
                  <w:pPr>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4E0626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02489B45">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6B1D976B">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2E7B2852">
                  <w:pPr>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新建耗煤项目应严格按规定采取煤炭消费减量替代措施，不得使用高污染燃料作为煤炭减量替代措施。</w:t>
                  </w:r>
                </w:p>
              </w:tc>
              <w:tc>
                <w:tcPr>
                  <w:tcW w:w="1397" w:type="pct"/>
                  <w:tcBorders>
                    <w:tl2br w:val="nil"/>
                    <w:tr2bl w:val="nil"/>
                  </w:tcBorders>
                  <w:noWrap w:val="0"/>
                  <w:tcMar>
                    <w:top w:w="0" w:type="dxa"/>
                    <w:left w:w="51" w:type="dxa"/>
                    <w:bottom w:w="0" w:type="dxa"/>
                    <w:right w:w="51" w:type="dxa"/>
                  </w:tcMar>
                  <w:vAlign w:val="center"/>
                </w:tcPr>
                <w:p w14:paraId="6A4FDB6C">
                  <w:pPr>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本项目</w:t>
                  </w:r>
                  <w:r>
                    <w:rPr>
                      <w:rFonts w:hint="eastAsia" w:cs="Times New Roman"/>
                      <w:snapToGrid/>
                      <w:color w:val="auto"/>
                      <w:kern w:val="24"/>
                      <w:sz w:val="21"/>
                      <w:szCs w:val="21"/>
                      <w:lang w:val="en-US" w:eastAsia="zh-CN" w:bidi="ar"/>
                    </w:rPr>
                    <w:t>不属于新建</w:t>
                  </w:r>
                  <w:r>
                    <w:rPr>
                      <w:rFonts w:hint="default" w:ascii="Times New Roman" w:hAnsi="Times New Roman" w:eastAsia="宋体" w:cs="Times New Roman"/>
                      <w:snapToGrid/>
                      <w:color w:val="auto"/>
                      <w:kern w:val="24"/>
                      <w:sz w:val="21"/>
                      <w:szCs w:val="21"/>
                      <w:lang w:val="en-US" w:eastAsia="zh-CN" w:bidi="ar"/>
                    </w:rPr>
                    <w:t>耗煤项目</w:t>
                  </w:r>
                  <w:r>
                    <w:rPr>
                      <w:rFonts w:hint="eastAsia" w:ascii="Times New Roman" w:hAnsi="Times New Roman" w:eastAsia="宋体" w:cs="Times New Roman"/>
                      <w:snapToGrid/>
                      <w:color w:val="auto"/>
                      <w:kern w:val="24"/>
                      <w:sz w:val="21"/>
                      <w:szCs w:val="21"/>
                      <w:lang w:val="en-US" w:eastAsia="zh-CN" w:bidi="ar"/>
                    </w:rPr>
                    <w:t>。</w:t>
                  </w:r>
                </w:p>
              </w:tc>
              <w:tc>
                <w:tcPr>
                  <w:tcW w:w="375" w:type="pct"/>
                  <w:tcBorders>
                    <w:tl2br w:val="nil"/>
                    <w:tr2bl w:val="nil"/>
                  </w:tcBorders>
                  <w:noWrap w:val="0"/>
                  <w:tcMar>
                    <w:top w:w="0" w:type="dxa"/>
                    <w:left w:w="51" w:type="dxa"/>
                    <w:bottom w:w="0" w:type="dxa"/>
                    <w:right w:w="51" w:type="dxa"/>
                  </w:tcMar>
                  <w:vAlign w:val="center"/>
                </w:tcPr>
                <w:p w14:paraId="39484FDB">
                  <w:pPr>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1568ED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355064DD">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6EB1167F">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159736FE">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已出台超低排放要求的“两高”行业建设项目应满足超低排放要求。</w:t>
                  </w:r>
                </w:p>
              </w:tc>
              <w:tc>
                <w:tcPr>
                  <w:tcW w:w="1397" w:type="pct"/>
                  <w:tcBorders>
                    <w:tl2br w:val="nil"/>
                    <w:tr2bl w:val="nil"/>
                  </w:tcBorders>
                  <w:noWrap w:val="0"/>
                  <w:tcMar>
                    <w:top w:w="0" w:type="dxa"/>
                    <w:left w:w="51" w:type="dxa"/>
                    <w:bottom w:w="0" w:type="dxa"/>
                    <w:right w:w="51" w:type="dxa"/>
                  </w:tcMar>
                  <w:vAlign w:val="center"/>
                </w:tcPr>
                <w:p w14:paraId="48AC777F">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本项目不属于“两高”行业建设项目。</w:t>
                  </w:r>
                </w:p>
              </w:tc>
              <w:tc>
                <w:tcPr>
                  <w:tcW w:w="375" w:type="pct"/>
                  <w:tcBorders>
                    <w:tl2br w:val="nil"/>
                    <w:tr2bl w:val="nil"/>
                  </w:tcBorders>
                  <w:noWrap w:val="0"/>
                  <w:tcMar>
                    <w:top w:w="0" w:type="dxa"/>
                    <w:left w:w="51" w:type="dxa"/>
                    <w:bottom w:w="0" w:type="dxa"/>
                    <w:right w:w="51" w:type="dxa"/>
                  </w:tcMar>
                  <w:vAlign w:val="center"/>
                </w:tcPr>
                <w:p w14:paraId="2B418762">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44F1BF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0FA4BBBF">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restart"/>
                  <w:tcBorders>
                    <w:tl2br w:val="nil"/>
                    <w:tr2bl w:val="nil"/>
                  </w:tcBorders>
                  <w:noWrap w:val="0"/>
                  <w:tcMar>
                    <w:top w:w="0" w:type="dxa"/>
                    <w:left w:w="51" w:type="dxa"/>
                    <w:bottom w:w="0" w:type="dxa"/>
                    <w:right w:w="51" w:type="dxa"/>
                  </w:tcMar>
                  <w:vAlign w:val="center"/>
                </w:tcPr>
                <w:p w14:paraId="15F52E5E">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环境风险防控</w:t>
                  </w:r>
                </w:p>
              </w:tc>
              <w:tc>
                <w:tcPr>
                  <w:tcW w:w="1749" w:type="pct"/>
                  <w:tcBorders>
                    <w:tl2br w:val="nil"/>
                    <w:tr2bl w:val="nil"/>
                  </w:tcBorders>
                  <w:noWrap w:val="0"/>
                  <w:tcMar>
                    <w:top w:w="0" w:type="dxa"/>
                    <w:left w:w="51" w:type="dxa"/>
                    <w:bottom w:w="0" w:type="dxa"/>
                    <w:right w:w="51" w:type="dxa"/>
                  </w:tcMar>
                  <w:vAlign w:val="center"/>
                </w:tcPr>
                <w:p w14:paraId="0BC346AF">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firstLine="0" w:firstLineChars="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涉及危险化学品、危险废物及可能发生突发环境事件的污染物排放企业，应按照突发环境事件应急预案备案管理办法的要求，制定完善的环境应急预案，并报环境管理部门备案管理。未落实有关要求的，应停产整改。</w:t>
                  </w:r>
                </w:p>
              </w:tc>
              <w:tc>
                <w:tcPr>
                  <w:tcW w:w="1397" w:type="pct"/>
                  <w:tcBorders>
                    <w:tl2br w:val="nil"/>
                    <w:tr2bl w:val="nil"/>
                  </w:tcBorders>
                  <w:noWrap w:val="0"/>
                  <w:tcMar>
                    <w:top w:w="0" w:type="dxa"/>
                    <w:left w:w="51" w:type="dxa"/>
                    <w:bottom w:w="0" w:type="dxa"/>
                    <w:right w:w="51" w:type="dxa"/>
                  </w:tcMar>
                  <w:vAlign w:val="center"/>
                </w:tcPr>
                <w:p w14:paraId="4A4872AB">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firstLine="0" w:firstLineChars="0"/>
                    <w:jc w:val="both"/>
                    <w:rPr>
                      <w:rFonts w:hint="default" w:ascii="Times New Roman" w:hAnsi="Times New Roman" w:eastAsia="宋体" w:cs="Times New Roman"/>
                      <w:snapToGrid/>
                      <w:color w:val="auto"/>
                      <w:kern w:val="24"/>
                      <w:sz w:val="21"/>
                      <w:szCs w:val="21"/>
                      <w:highlight w:val="yellow"/>
                    </w:rPr>
                  </w:pPr>
                  <w:r>
                    <w:rPr>
                      <w:rFonts w:hint="eastAsia" w:ascii="Times New Roman" w:hAnsi="Times New Roman" w:eastAsia="宋体" w:cs="Times New Roman"/>
                      <w:snapToGrid/>
                      <w:color w:val="auto"/>
                      <w:kern w:val="24"/>
                      <w:sz w:val="21"/>
                      <w:szCs w:val="21"/>
                      <w:lang w:val="en-US" w:eastAsia="zh-CN" w:bidi="ar"/>
                    </w:rPr>
                    <w:t>本项目</w:t>
                  </w:r>
                  <w:r>
                    <w:rPr>
                      <w:rFonts w:hint="default" w:ascii="Times New Roman" w:hAnsi="Times New Roman" w:eastAsia="宋体" w:cs="Times New Roman"/>
                      <w:snapToGrid/>
                      <w:color w:val="auto"/>
                      <w:kern w:val="24"/>
                      <w:sz w:val="21"/>
                      <w:szCs w:val="21"/>
                      <w:lang w:val="en-US" w:eastAsia="zh-CN" w:bidi="ar"/>
                    </w:rPr>
                    <w:t>按照要求制定完善的环境应急预案，并报环境管理部门备案管理。</w:t>
                  </w:r>
                </w:p>
              </w:tc>
              <w:tc>
                <w:tcPr>
                  <w:tcW w:w="375" w:type="pct"/>
                  <w:tcBorders>
                    <w:tl2br w:val="nil"/>
                    <w:tr2bl w:val="nil"/>
                  </w:tcBorders>
                  <w:noWrap w:val="0"/>
                  <w:tcMar>
                    <w:top w:w="0" w:type="dxa"/>
                    <w:left w:w="51" w:type="dxa"/>
                    <w:bottom w:w="0" w:type="dxa"/>
                    <w:right w:w="51" w:type="dxa"/>
                  </w:tcMar>
                  <w:vAlign w:val="center"/>
                </w:tcPr>
                <w:p w14:paraId="674EB9D6">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2001C7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1E0ED2BC">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1F78C985">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289EF581">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项目环境风险防范措施未严格按照环境影响评价文件要求落实的，应停产整改。</w:t>
                  </w:r>
                </w:p>
              </w:tc>
              <w:tc>
                <w:tcPr>
                  <w:tcW w:w="1397" w:type="pct"/>
                  <w:tcBorders>
                    <w:tl2br w:val="nil"/>
                    <w:tr2bl w:val="nil"/>
                  </w:tcBorders>
                  <w:noWrap w:val="0"/>
                  <w:tcMar>
                    <w:top w:w="0" w:type="dxa"/>
                    <w:left w:w="51" w:type="dxa"/>
                    <w:bottom w:w="0" w:type="dxa"/>
                    <w:right w:w="51" w:type="dxa"/>
                  </w:tcMar>
                  <w:vAlign w:val="center"/>
                </w:tcPr>
                <w:p w14:paraId="56809E36">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snapToGrid/>
                      <w:color w:val="auto"/>
                      <w:kern w:val="24"/>
                      <w:sz w:val="21"/>
                      <w:szCs w:val="21"/>
                      <w:lang w:val="en-US" w:eastAsia="zh-CN" w:bidi="ar"/>
                    </w:rPr>
                    <w:t>项目环境风险防范措施未严格按照环境影响评价文件要求落实的，立即停产整改。</w:t>
                  </w:r>
                </w:p>
              </w:tc>
              <w:tc>
                <w:tcPr>
                  <w:tcW w:w="375" w:type="pct"/>
                  <w:tcBorders>
                    <w:tl2br w:val="nil"/>
                    <w:tr2bl w:val="nil"/>
                  </w:tcBorders>
                  <w:noWrap w:val="0"/>
                  <w:tcMar>
                    <w:top w:w="0" w:type="dxa"/>
                    <w:left w:w="51" w:type="dxa"/>
                    <w:bottom w:w="0" w:type="dxa"/>
                    <w:right w:w="51" w:type="dxa"/>
                  </w:tcMar>
                  <w:vAlign w:val="center"/>
                </w:tcPr>
                <w:p w14:paraId="001B1258">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4252BB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1037" w:hRule="atLeast"/>
                <w:jc w:val="center"/>
              </w:trPr>
              <w:tc>
                <w:tcPr>
                  <w:tcW w:w="395" w:type="pct"/>
                  <w:vMerge w:val="continue"/>
                  <w:tcBorders>
                    <w:tl2br w:val="nil"/>
                    <w:tr2bl w:val="nil"/>
                  </w:tcBorders>
                  <w:noWrap w:val="0"/>
                  <w:tcMar>
                    <w:top w:w="0" w:type="dxa"/>
                    <w:left w:w="51" w:type="dxa"/>
                    <w:bottom w:w="0" w:type="dxa"/>
                    <w:right w:w="51" w:type="dxa"/>
                  </w:tcMar>
                  <w:vAlign w:val="center"/>
                </w:tcPr>
                <w:p w14:paraId="36B79166">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22F96CA1">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080524FE">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必须符合国家和河南省、安阳市有关安全生产的法律、法规和标准。</w:t>
                  </w:r>
                </w:p>
              </w:tc>
              <w:tc>
                <w:tcPr>
                  <w:tcW w:w="1397" w:type="pct"/>
                  <w:tcBorders>
                    <w:tl2br w:val="nil"/>
                    <w:tr2bl w:val="nil"/>
                  </w:tcBorders>
                  <w:noWrap w:val="0"/>
                  <w:tcMar>
                    <w:top w:w="0" w:type="dxa"/>
                    <w:left w:w="51" w:type="dxa"/>
                    <w:bottom w:w="0" w:type="dxa"/>
                    <w:right w:w="51" w:type="dxa"/>
                  </w:tcMar>
                  <w:vAlign w:val="center"/>
                </w:tcPr>
                <w:p w14:paraId="58CE923B">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符合国家和河南省、安阳市有关安全生产的法律、法规和标准。</w:t>
                  </w:r>
                </w:p>
              </w:tc>
              <w:tc>
                <w:tcPr>
                  <w:tcW w:w="375" w:type="pct"/>
                  <w:tcBorders>
                    <w:tl2br w:val="nil"/>
                    <w:tr2bl w:val="nil"/>
                  </w:tcBorders>
                  <w:noWrap w:val="0"/>
                  <w:tcMar>
                    <w:top w:w="0" w:type="dxa"/>
                    <w:left w:w="51" w:type="dxa"/>
                    <w:bottom w:w="0" w:type="dxa"/>
                    <w:right w:w="51" w:type="dxa"/>
                  </w:tcMar>
                  <w:vAlign w:val="center"/>
                </w:tcPr>
                <w:p w14:paraId="1CA04F7B">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0237BC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68620CAF">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restart"/>
                  <w:tcBorders>
                    <w:tl2br w:val="nil"/>
                    <w:tr2bl w:val="nil"/>
                  </w:tcBorders>
                  <w:noWrap w:val="0"/>
                  <w:tcMar>
                    <w:top w:w="0" w:type="dxa"/>
                    <w:left w:w="51" w:type="dxa"/>
                    <w:bottom w:w="0" w:type="dxa"/>
                    <w:right w:w="51" w:type="dxa"/>
                  </w:tcMar>
                  <w:vAlign w:val="center"/>
                </w:tcPr>
                <w:p w14:paraId="6BC04C04">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资源开发利用</w:t>
                  </w:r>
                </w:p>
              </w:tc>
              <w:tc>
                <w:tcPr>
                  <w:tcW w:w="1749" w:type="pct"/>
                  <w:tcBorders>
                    <w:tl2br w:val="nil"/>
                    <w:tr2bl w:val="nil"/>
                  </w:tcBorders>
                  <w:noWrap w:val="0"/>
                  <w:tcMar>
                    <w:top w:w="0" w:type="dxa"/>
                    <w:left w:w="51" w:type="dxa"/>
                    <w:bottom w:w="0" w:type="dxa"/>
                    <w:right w:w="51" w:type="dxa"/>
                  </w:tcMar>
                  <w:vAlign w:val="center"/>
                </w:tcPr>
                <w:p w14:paraId="72546018">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工业用水应优先使用污水处理厂中水，不断提高中水回用率。</w:t>
                  </w:r>
                </w:p>
              </w:tc>
              <w:tc>
                <w:tcPr>
                  <w:tcW w:w="1397" w:type="pct"/>
                  <w:tcBorders>
                    <w:tl2br w:val="nil"/>
                    <w:tr2bl w:val="nil"/>
                  </w:tcBorders>
                  <w:noWrap w:val="0"/>
                  <w:tcMar>
                    <w:top w:w="0" w:type="dxa"/>
                    <w:left w:w="51" w:type="dxa"/>
                    <w:bottom w:w="0" w:type="dxa"/>
                    <w:right w:w="51" w:type="dxa"/>
                  </w:tcMar>
                  <w:vAlign w:val="center"/>
                </w:tcPr>
                <w:p w14:paraId="211A0EE6">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b w:val="0"/>
                      <w:bCs w:val="0"/>
                      <w:snapToGrid/>
                      <w:color w:val="auto"/>
                      <w:kern w:val="24"/>
                      <w:sz w:val="21"/>
                      <w:szCs w:val="21"/>
                      <w:lang w:val="en-US" w:eastAsia="zh-CN" w:bidi="ar"/>
                    </w:rPr>
                    <w:t>本项目</w:t>
                  </w:r>
                  <w:r>
                    <w:rPr>
                      <w:rFonts w:hint="eastAsia" w:ascii="Times New Roman" w:hAnsi="Times New Roman" w:eastAsia="宋体" w:cs="Times New Roman"/>
                      <w:b w:val="0"/>
                      <w:bCs w:val="0"/>
                      <w:snapToGrid/>
                      <w:color w:val="auto"/>
                      <w:kern w:val="24"/>
                      <w:sz w:val="21"/>
                      <w:szCs w:val="21"/>
                      <w:lang w:val="en-US" w:eastAsia="zh-CN" w:bidi="ar"/>
                    </w:rPr>
                    <w:t>为</w:t>
                  </w:r>
                  <w:r>
                    <w:rPr>
                      <w:rFonts w:hint="eastAsia" w:cs="Times New Roman"/>
                      <w:b w:val="0"/>
                      <w:bCs w:val="0"/>
                      <w:snapToGrid/>
                      <w:color w:val="auto"/>
                      <w:kern w:val="24"/>
                      <w:sz w:val="21"/>
                      <w:szCs w:val="21"/>
                      <w:lang w:val="en-US" w:eastAsia="zh-CN" w:bidi="ar"/>
                    </w:rPr>
                    <w:t>塑料制品业</w:t>
                  </w:r>
                  <w:r>
                    <w:rPr>
                      <w:rFonts w:hint="eastAsia" w:ascii="Times New Roman" w:hAnsi="Times New Roman" w:eastAsia="宋体" w:cs="Times New Roman"/>
                      <w:b w:val="0"/>
                      <w:bCs w:val="0"/>
                      <w:snapToGrid/>
                      <w:color w:val="auto"/>
                      <w:kern w:val="24"/>
                      <w:sz w:val="21"/>
                      <w:szCs w:val="21"/>
                      <w:lang w:val="en-US" w:eastAsia="zh-CN" w:bidi="ar"/>
                    </w:rPr>
                    <w:t>，不使用污水处理厂中水</w:t>
                  </w:r>
                  <w:r>
                    <w:rPr>
                      <w:rFonts w:hint="default" w:ascii="Times New Roman" w:hAnsi="Times New Roman" w:eastAsia="宋体" w:cs="Times New Roman"/>
                      <w:b w:val="0"/>
                      <w:bCs w:val="0"/>
                      <w:snapToGrid/>
                      <w:color w:val="auto"/>
                      <w:kern w:val="24"/>
                      <w:sz w:val="21"/>
                      <w:szCs w:val="21"/>
                      <w:lang w:val="en-US" w:eastAsia="zh-CN" w:bidi="ar"/>
                    </w:rPr>
                    <w:t>。</w:t>
                  </w:r>
                </w:p>
              </w:tc>
              <w:tc>
                <w:tcPr>
                  <w:tcW w:w="375" w:type="pct"/>
                  <w:tcBorders>
                    <w:tl2br w:val="nil"/>
                    <w:tr2bl w:val="nil"/>
                  </w:tcBorders>
                  <w:noWrap w:val="0"/>
                  <w:tcMar>
                    <w:top w:w="0" w:type="dxa"/>
                    <w:left w:w="51" w:type="dxa"/>
                    <w:bottom w:w="0" w:type="dxa"/>
                    <w:right w:w="51" w:type="dxa"/>
                  </w:tcMar>
                  <w:vAlign w:val="center"/>
                </w:tcPr>
                <w:p w14:paraId="6C31AB07">
                  <w:pPr>
                    <w:keepNext w:val="0"/>
                    <w:keepLines w:val="0"/>
                    <w:pageBreakBefore w:val="0"/>
                    <w:widowControl/>
                    <w:suppressLineNumbers w:val="0"/>
                    <w:kinsoku/>
                    <w:overflowPunct/>
                    <w:topLinePunct w:val="0"/>
                    <w:bidi w:val="0"/>
                    <w:adjustRightInd w:val="0"/>
                    <w:snapToGrid w:val="0"/>
                    <w:spacing w:before="0" w:beforeAutospacing="0" w:after="0" w:afterAutospacing="0"/>
                    <w:ind w:left="0" w:right="0"/>
                    <w:jc w:val="center"/>
                    <w:rPr>
                      <w:rFonts w:hint="default" w:ascii="Times New Roman" w:hAnsi="Times New Roman" w:eastAsia="宋体" w:cs="Times New Roman"/>
                      <w:snapToGrid/>
                      <w:color w:val="auto"/>
                      <w:kern w:val="24"/>
                      <w:sz w:val="21"/>
                      <w:szCs w:val="21"/>
                    </w:rPr>
                  </w:pPr>
                  <w:r>
                    <w:rPr>
                      <w:rFonts w:hint="eastAsia" w:ascii="Times New Roman" w:hAnsi="Times New Roman" w:eastAsia="宋体" w:cs="Times New Roman"/>
                      <w:snapToGrid/>
                      <w:color w:val="auto"/>
                      <w:kern w:val="24"/>
                      <w:sz w:val="21"/>
                      <w:szCs w:val="21"/>
                      <w:lang w:val="en-US" w:eastAsia="zh-CN" w:bidi="ar"/>
                    </w:rPr>
                    <w:t>无关项</w:t>
                  </w:r>
                </w:p>
              </w:tc>
            </w:tr>
            <w:tr w14:paraId="45F83A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6BF75A68">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0D7521A4">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456C3B61">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firstLine="0" w:firstLineChars="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禁止入驻投资强度不符合《工业项目建设用地控制指标》（国土资发</w:t>
                  </w:r>
                  <w:bookmarkStart w:id="8" w:name="OLE_LINK209"/>
                  <w:r>
                    <w:rPr>
                      <w:rFonts w:hint="default" w:ascii="Times New Roman" w:hAnsi="Times New Roman" w:eastAsia="宋体" w:cs="Times New Roman"/>
                      <w:snapToGrid/>
                      <w:color w:val="auto"/>
                      <w:kern w:val="24"/>
                      <w:sz w:val="21"/>
                      <w:szCs w:val="21"/>
                      <w:lang w:val="en-US" w:eastAsia="zh-CN" w:bidi="ar"/>
                    </w:rPr>
                    <w:t>〔2008〕</w:t>
                  </w:r>
                  <w:bookmarkEnd w:id="8"/>
                  <w:r>
                    <w:rPr>
                      <w:rFonts w:hint="default" w:ascii="Times New Roman" w:hAnsi="Times New Roman" w:eastAsia="宋体" w:cs="Times New Roman"/>
                      <w:snapToGrid/>
                      <w:color w:val="auto"/>
                      <w:kern w:val="24"/>
                      <w:sz w:val="21"/>
                      <w:szCs w:val="21"/>
                      <w:lang w:val="en-US" w:eastAsia="zh-CN" w:bidi="ar"/>
                    </w:rPr>
                    <w:t>24号文件）和《河南省人民政府关于进一步加强节约集约用地的意见》（豫政〔2015〕66号）要求的项目。</w:t>
                  </w:r>
                </w:p>
              </w:tc>
              <w:tc>
                <w:tcPr>
                  <w:tcW w:w="1397" w:type="pct"/>
                  <w:tcBorders>
                    <w:tl2br w:val="nil"/>
                    <w:tr2bl w:val="nil"/>
                  </w:tcBorders>
                  <w:noWrap w:val="0"/>
                  <w:tcMar>
                    <w:top w:w="0" w:type="dxa"/>
                    <w:left w:w="51" w:type="dxa"/>
                    <w:bottom w:w="0" w:type="dxa"/>
                    <w:right w:w="51" w:type="dxa"/>
                  </w:tcMar>
                  <w:vAlign w:val="center"/>
                </w:tcPr>
                <w:p w14:paraId="7688A49D">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firstLine="0" w:firstLineChars="0"/>
                    <w:jc w:val="both"/>
                    <w:rPr>
                      <w:rFonts w:hint="eastAsia" w:ascii="Times New Roman" w:hAnsi="Times New Roman" w:eastAsia="宋体" w:cs="Times New Roman"/>
                      <w:snapToGrid/>
                      <w:color w:val="auto"/>
                      <w:kern w:val="24"/>
                      <w:sz w:val="21"/>
                      <w:szCs w:val="21"/>
                      <w:highlight w:val="yellow"/>
                      <w:lang w:eastAsia="zh-CN"/>
                    </w:rPr>
                  </w:pPr>
                  <w:r>
                    <w:rPr>
                      <w:rFonts w:hint="eastAsia" w:ascii="Times New Roman" w:hAnsi="Times New Roman" w:eastAsia="宋体" w:cs="Times New Roman"/>
                      <w:snapToGrid/>
                      <w:color w:val="auto"/>
                      <w:kern w:val="24"/>
                      <w:sz w:val="21"/>
                      <w:szCs w:val="21"/>
                      <w:highlight w:val="none"/>
                      <w:lang w:val="en-US" w:eastAsia="zh-CN"/>
                    </w:rPr>
                    <w:t>根据《河南省人民政府关于公布省政府行政规范性文件清理结果的决定》（豫政〔2025〕2号），</w:t>
                  </w:r>
                  <w:r>
                    <w:rPr>
                      <w:rFonts w:hint="eastAsia" w:ascii="Times New Roman" w:hAnsi="Times New Roman" w:eastAsia="宋体" w:cs="Times New Roman"/>
                      <w:snapToGrid/>
                      <w:color w:val="auto"/>
                      <w:kern w:val="24"/>
                      <w:sz w:val="21"/>
                      <w:szCs w:val="21"/>
                      <w:highlight w:val="none"/>
                      <w:lang w:eastAsia="zh-CN"/>
                    </w:rPr>
                    <w:t>豫政</w:t>
                  </w:r>
                  <w:r>
                    <w:rPr>
                      <w:rFonts w:hint="eastAsia" w:ascii="Times New Roman" w:hAnsi="Times New Roman" w:eastAsia="宋体" w:cs="Times New Roman"/>
                      <w:snapToGrid/>
                      <w:color w:val="auto"/>
                      <w:kern w:val="24"/>
                      <w:sz w:val="21"/>
                      <w:szCs w:val="21"/>
                      <w:highlight w:val="none"/>
                      <w:lang w:val="en-US" w:eastAsia="zh-CN"/>
                    </w:rPr>
                    <w:t>〔2015〕</w:t>
                  </w:r>
                  <w:r>
                    <w:rPr>
                      <w:rFonts w:hint="eastAsia" w:ascii="Times New Roman" w:hAnsi="Times New Roman" w:eastAsia="宋体" w:cs="Times New Roman"/>
                      <w:snapToGrid/>
                      <w:color w:val="auto"/>
                      <w:kern w:val="24"/>
                      <w:sz w:val="21"/>
                      <w:szCs w:val="21"/>
                      <w:highlight w:val="none"/>
                      <w:lang w:eastAsia="zh-CN"/>
                    </w:rPr>
                    <w:t>66号</w:t>
                  </w:r>
                  <w:r>
                    <w:rPr>
                      <w:rFonts w:hint="eastAsia" w:ascii="Times New Roman" w:hAnsi="Times New Roman" w:eastAsia="宋体" w:cs="Times New Roman"/>
                      <w:snapToGrid/>
                      <w:color w:val="auto"/>
                      <w:kern w:val="24"/>
                      <w:sz w:val="21"/>
                      <w:szCs w:val="21"/>
                      <w:highlight w:val="none"/>
                      <w:lang w:val="en-US" w:eastAsia="zh-CN"/>
                    </w:rPr>
                    <w:t>文件失效。</w:t>
                  </w:r>
                </w:p>
              </w:tc>
              <w:tc>
                <w:tcPr>
                  <w:tcW w:w="375" w:type="pct"/>
                  <w:tcBorders>
                    <w:tl2br w:val="nil"/>
                    <w:tr2bl w:val="nil"/>
                  </w:tcBorders>
                  <w:noWrap w:val="0"/>
                  <w:tcMar>
                    <w:top w:w="0" w:type="dxa"/>
                    <w:left w:w="51" w:type="dxa"/>
                    <w:bottom w:w="0" w:type="dxa"/>
                    <w:right w:w="51" w:type="dxa"/>
                  </w:tcMar>
                  <w:vAlign w:val="center"/>
                </w:tcPr>
                <w:p w14:paraId="5E6F5F91">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074E8E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250AD248">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7542B04F">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7FC95243">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firstLine="0" w:firstLineChars="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用水指标不符合河南省地方标准《工业与城镇生活用水定额》（DB41/T385-2020）要求的项目禁止入驻。</w:t>
                  </w:r>
                </w:p>
              </w:tc>
              <w:tc>
                <w:tcPr>
                  <w:tcW w:w="1397" w:type="pct"/>
                  <w:tcBorders>
                    <w:tl2br w:val="nil"/>
                    <w:tr2bl w:val="nil"/>
                  </w:tcBorders>
                  <w:noWrap w:val="0"/>
                  <w:tcMar>
                    <w:top w:w="0" w:type="dxa"/>
                    <w:left w:w="51" w:type="dxa"/>
                    <w:bottom w:w="0" w:type="dxa"/>
                    <w:right w:w="51" w:type="dxa"/>
                  </w:tcMar>
                  <w:vAlign w:val="center"/>
                </w:tcPr>
                <w:p w14:paraId="4A929E41">
                  <w:pPr>
                    <w:pStyle w:val="26"/>
                    <w:keepNext w:val="0"/>
                    <w:keepLines w:val="0"/>
                    <w:pageBreakBefore w:val="0"/>
                    <w:widowControl w:val="0"/>
                    <w:suppressLineNumbers w:val="0"/>
                    <w:kinsoku/>
                    <w:wordWrap w:val="0"/>
                    <w:overflowPunct/>
                    <w:topLinePunct w:val="0"/>
                    <w:autoSpaceDE w:val="0"/>
                    <w:autoSpaceDN/>
                    <w:bidi w:val="0"/>
                    <w:adjustRightInd w:val="0"/>
                    <w:snapToGrid w:val="0"/>
                    <w:spacing w:before="0" w:beforeAutospacing="0" w:after="0" w:afterAutospacing="0"/>
                    <w:ind w:left="0" w:right="0" w:firstLine="0" w:firstLineChars="0"/>
                    <w:jc w:val="both"/>
                    <w:rPr>
                      <w:rFonts w:hint="eastAsia" w:ascii="Times New Roman" w:hAnsi="Times New Roman" w:eastAsia="宋体" w:cs="Times New Roman"/>
                      <w:snapToGrid/>
                      <w:color w:val="auto"/>
                      <w:kern w:val="24"/>
                      <w:sz w:val="21"/>
                      <w:szCs w:val="21"/>
                      <w:lang w:eastAsia="zh-CN"/>
                    </w:rPr>
                  </w:pPr>
                  <w:r>
                    <w:rPr>
                      <w:rFonts w:hint="eastAsia" w:ascii="Times New Roman" w:hAnsi="Times New Roman" w:eastAsia="宋体" w:cs="Times New Roman"/>
                      <w:snapToGrid/>
                      <w:color w:val="auto"/>
                      <w:kern w:val="24"/>
                      <w:sz w:val="21"/>
                      <w:szCs w:val="21"/>
                      <w:lang w:eastAsia="zh-CN"/>
                    </w:rPr>
                    <w:t>本项目用水指标</w:t>
                  </w:r>
                  <w:r>
                    <w:rPr>
                      <w:rFonts w:hint="default" w:ascii="Times New Roman" w:hAnsi="Times New Roman" w:eastAsia="宋体" w:cs="Times New Roman"/>
                      <w:snapToGrid/>
                      <w:color w:val="auto"/>
                      <w:kern w:val="24"/>
                      <w:sz w:val="21"/>
                      <w:szCs w:val="21"/>
                      <w:lang w:val="en-US" w:eastAsia="zh-CN" w:bidi="ar"/>
                    </w:rPr>
                    <w:t>符合河南省地方标准《工业与城镇生活用水定额》（DB41/T385-2020）</w:t>
                  </w:r>
                  <w:r>
                    <w:rPr>
                      <w:rFonts w:hint="eastAsia" w:ascii="Times New Roman" w:hAnsi="Times New Roman" w:eastAsia="宋体" w:cs="Times New Roman"/>
                      <w:snapToGrid/>
                      <w:color w:val="auto"/>
                      <w:kern w:val="24"/>
                      <w:sz w:val="21"/>
                      <w:szCs w:val="21"/>
                      <w:lang w:val="en-US" w:eastAsia="zh-CN" w:bidi="ar"/>
                    </w:rPr>
                    <w:t>。</w:t>
                  </w:r>
                </w:p>
              </w:tc>
              <w:tc>
                <w:tcPr>
                  <w:tcW w:w="375" w:type="pct"/>
                  <w:tcBorders>
                    <w:tl2br w:val="nil"/>
                    <w:tr2bl w:val="nil"/>
                  </w:tcBorders>
                  <w:noWrap w:val="0"/>
                  <w:tcMar>
                    <w:top w:w="0" w:type="dxa"/>
                    <w:left w:w="51" w:type="dxa"/>
                    <w:bottom w:w="0" w:type="dxa"/>
                    <w:right w:w="51" w:type="dxa"/>
                  </w:tcMar>
                  <w:vAlign w:val="center"/>
                </w:tcPr>
                <w:p w14:paraId="3E1741E2">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4A9C34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007171C8">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3575B37F">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2D7F91D5">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firstLine="0" w:firstLineChars="0"/>
                    <w:jc w:val="both"/>
                    <w:rPr>
                      <w:rFonts w:hint="default" w:ascii="Times New Roman" w:hAnsi="Times New Roman" w:eastAsia="宋体" w:cs="Times New Roman"/>
                      <w:snapToGrid/>
                      <w:color w:val="auto"/>
                      <w:kern w:val="24"/>
                      <w:sz w:val="21"/>
                      <w:szCs w:val="21"/>
                    </w:rPr>
                  </w:pPr>
                  <w:bookmarkStart w:id="9" w:name="OLE_LINK206"/>
                  <w:r>
                    <w:rPr>
                      <w:rFonts w:hint="default" w:ascii="Times New Roman" w:hAnsi="Times New Roman" w:eastAsia="宋体" w:cs="Times New Roman"/>
                      <w:snapToGrid/>
                      <w:color w:val="auto"/>
                      <w:kern w:val="24"/>
                      <w:sz w:val="21"/>
                      <w:szCs w:val="21"/>
                      <w:lang w:val="en-US" w:eastAsia="zh-CN" w:bidi="ar"/>
                    </w:rPr>
                    <w:t>单位GDP新鲜水耗≤8m</w:t>
                  </w:r>
                  <w:r>
                    <w:rPr>
                      <w:rFonts w:hint="default" w:ascii="Times New Roman" w:hAnsi="Times New Roman" w:eastAsia="宋体" w:cs="Times New Roman"/>
                      <w:snapToGrid/>
                      <w:color w:val="auto"/>
                      <w:kern w:val="24"/>
                      <w:sz w:val="21"/>
                      <w:szCs w:val="21"/>
                      <w:vertAlign w:val="superscript"/>
                      <w:lang w:val="en-US" w:eastAsia="zh-CN" w:bidi="ar"/>
                    </w:rPr>
                    <w:t>3</w:t>
                  </w:r>
                  <w:r>
                    <w:rPr>
                      <w:rFonts w:hint="default" w:ascii="Times New Roman" w:hAnsi="Times New Roman" w:eastAsia="宋体" w:cs="Times New Roman"/>
                      <w:snapToGrid/>
                      <w:color w:val="auto"/>
                      <w:kern w:val="24"/>
                      <w:sz w:val="21"/>
                      <w:szCs w:val="21"/>
                      <w:lang w:val="en-US" w:eastAsia="zh-CN" w:bidi="ar"/>
                    </w:rPr>
                    <w:t>/万元。</w:t>
                  </w:r>
                  <w:bookmarkEnd w:id="9"/>
                </w:p>
              </w:tc>
              <w:tc>
                <w:tcPr>
                  <w:tcW w:w="1397" w:type="pct"/>
                  <w:tcBorders>
                    <w:tl2br w:val="nil"/>
                    <w:tr2bl w:val="nil"/>
                  </w:tcBorders>
                  <w:noWrap w:val="0"/>
                  <w:tcMar>
                    <w:top w:w="0" w:type="dxa"/>
                    <w:left w:w="51" w:type="dxa"/>
                    <w:bottom w:w="0" w:type="dxa"/>
                    <w:right w:w="51" w:type="dxa"/>
                  </w:tcMar>
                  <w:vAlign w:val="center"/>
                </w:tcPr>
                <w:p w14:paraId="4E721DE5">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firstLine="0" w:firstLineChars="0"/>
                    <w:jc w:val="both"/>
                    <w:rPr>
                      <w:rFonts w:hint="default" w:ascii="Times New Roman" w:hAnsi="Times New Roman" w:eastAsia="宋体" w:cs="Times New Roman"/>
                      <w:snapToGrid/>
                      <w:color w:val="auto"/>
                      <w:kern w:val="24"/>
                      <w:sz w:val="21"/>
                      <w:szCs w:val="21"/>
                      <w:highlight w:val="yellow"/>
                    </w:rPr>
                  </w:pPr>
                  <w:r>
                    <w:rPr>
                      <w:rFonts w:hint="default" w:ascii="Times New Roman" w:hAnsi="Times New Roman" w:eastAsia="宋体" w:cs="Times New Roman"/>
                      <w:b w:val="0"/>
                      <w:bCs w:val="0"/>
                      <w:snapToGrid/>
                      <w:color w:val="auto"/>
                      <w:kern w:val="24"/>
                      <w:sz w:val="21"/>
                      <w:szCs w:val="21"/>
                      <w:highlight w:val="none"/>
                      <w:lang w:val="en-US" w:eastAsia="zh-CN" w:bidi="ar"/>
                    </w:rPr>
                    <w:t>本项目</w:t>
                  </w:r>
                  <w:r>
                    <w:rPr>
                      <w:rFonts w:hint="default" w:ascii="Times New Roman" w:hAnsi="Times New Roman" w:eastAsia="宋体" w:cs="Times New Roman"/>
                      <w:snapToGrid/>
                      <w:color w:val="auto"/>
                      <w:kern w:val="24"/>
                      <w:sz w:val="21"/>
                      <w:szCs w:val="21"/>
                      <w:lang w:val="en-US" w:eastAsia="zh-CN" w:bidi="ar"/>
                    </w:rPr>
                    <w:t>单位GDP新鲜水耗≤8m</w:t>
                  </w:r>
                  <w:r>
                    <w:rPr>
                      <w:rFonts w:hint="default" w:ascii="Times New Roman" w:hAnsi="Times New Roman" w:eastAsia="宋体" w:cs="Times New Roman"/>
                      <w:snapToGrid/>
                      <w:color w:val="auto"/>
                      <w:kern w:val="24"/>
                      <w:sz w:val="21"/>
                      <w:szCs w:val="21"/>
                      <w:vertAlign w:val="superscript"/>
                      <w:lang w:val="en-US" w:eastAsia="zh-CN" w:bidi="ar"/>
                    </w:rPr>
                    <w:t>3</w:t>
                  </w:r>
                  <w:r>
                    <w:rPr>
                      <w:rFonts w:hint="default" w:ascii="Times New Roman" w:hAnsi="Times New Roman" w:eastAsia="宋体" w:cs="Times New Roman"/>
                      <w:snapToGrid/>
                      <w:color w:val="auto"/>
                      <w:kern w:val="24"/>
                      <w:sz w:val="21"/>
                      <w:szCs w:val="21"/>
                      <w:lang w:val="en-US" w:eastAsia="zh-CN" w:bidi="ar"/>
                    </w:rPr>
                    <w:t>/万元。</w:t>
                  </w:r>
                </w:p>
              </w:tc>
              <w:tc>
                <w:tcPr>
                  <w:tcW w:w="375" w:type="pct"/>
                  <w:tcBorders>
                    <w:tl2br w:val="nil"/>
                    <w:tr2bl w:val="nil"/>
                  </w:tcBorders>
                  <w:noWrap w:val="0"/>
                  <w:tcMar>
                    <w:top w:w="0" w:type="dxa"/>
                    <w:left w:w="51" w:type="dxa"/>
                    <w:bottom w:w="0" w:type="dxa"/>
                    <w:right w:w="51" w:type="dxa"/>
                  </w:tcMar>
                  <w:vAlign w:val="center"/>
                </w:tcPr>
                <w:p w14:paraId="331605EE">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r w14:paraId="1B60A1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3" w:type="dxa"/>
                  <w:bottom w:w="0" w:type="dxa"/>
                  <w:right w:w="23" w:type="dxa"/>
                </w:tblCellMar>
              </w:tblPrEx>
              <w:trPr>
                <w:jc w:val="center"/>
              </w:trPr>
              <w:tc>
                <w:tcPr>
                  <w:tcW w:w="395" w:type="pct"/>
                  <w:vMerge w:val="continue"/>
                  <w:tcBorders>
                    <w:tl2br w:val="nil"/>
                    <w:tr2bl w:val="nil"/>
                  </w:tcBorders>
                  <w:noWrap w:val="0"/>
                  <w:tcMar>
                    <w:top w:w="0" w:type="dxa"/>
                    <w:left w:w="51" w:type="dxa"/>
                    <w:bottom w:w="0" w:type="dxa"/>
                    <w:right w:w="51" w:type="dxa"/>
                  </w:tcMar>
                  <w:vAlign w:val="center"/>
                </w:tcPr>
                <w:p w14:paraId="19472657">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081" w:type="pct"/>
                  <w:vMerge w:val="continue"/>
                  <w:tcBorders>
                    <w:tl2br w:val="nil"/>
                    <w:tr2bl w:val="nil"/>
                  </w:tcBorders>
                  <w:noWrap w:val="0"/>
                  <w:tcMar>
                    <w:top w:w="0" w:type="dxa"/>
                    <w:left w:w="51" w:type="dxa"/>
                    <w:bottom w:w="0" w:type="dxa"/>
                    <w:right w:w="51" w:type="dxa"/>
                  </w:tcMar>
                  <w:vAlign w:val="center"/>
                </w:tcPr>
                <w:p w14:paraId="345971A2">
                  <w:pPr>
                    <w:keepNext w:val="0"/>
                    <w:keepLines w:val="0"/>
                    <w:pageBreakBefore w:val="0"/>
                    <w:suppressLineNumbers w:val="0"/>
                    <w:kinsoku/>
                    <w:overflowPunct/>
                    <w:topLinePunct w:val="0"/>
                    <w:bidi w:val="0"/>
                    <w:adjustRightInd w:val="0"/>
                    <w:snapToGrid w:val="0"/>
                    <w:spacing w:before="0" w:beforeAutospacing="0" w:after="0" w:afterAutospacing="0"/>
                    <w:ind w:left="0" w:right="0"/>
                    <w:rPr>
                      <w:rFonts w:hint="default" w:ascii="Times New Roman" w:hAnsi="Times New Roman" w:eastAsia="宋体" w:cs="Times New Roman"/>
                      <w:snapToGrid/>
                      <w:color w:val="auto"/>
                      <w:kern w:val="24"/>
                      <w:sz w:val="21"/>
                      <w:szCs w:val="21"/>
                    </w:rPr>
                  </w:pPr>
                </w:p>
              </w:tc>
              <w:tc>
                <w:tcPr>
                  <w:tcW w:w="1749" w:type="pct"/>
                  <w:tcBorders>
                    <w:tl2br w:val="nil"/>
                    <w:tr2bl w:val="nil"/>
                  </w:tcBorders>
                  <w:noWrap w:val="0"/>
                  <w:tcMar>
                    <w:top w:w="0" w:type="dxa"/>
                    <w:left w:w="51" w:type="dxa"/>
                    <w:bottom w:w="0" w:type="dxa"/>
                    <w:right w:w="51" w:type="dxa"/>
                  </w:tcMar>
                  <w:vAlign w:val="center"/>
                </w:tcPr>
                <w:p w14:paraId="3C7A07EC">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firstLine="0" w:firstLineChars="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必须在国家规定的行业单位能耗以内，鼓励引进能源、资源消耗低的项目和循环经济项目。</w:t>
                  </w:r>
                </w:p>
              </w:tc>
              <w:tc>
                <w:tcPr>
                  <w:tcW w:w="1397" w:type="pct"/>
                  <w:tcBorders>
                    <w:tl2br w:val="nil"/>
                    <w:tr2bl w:val="nil"/>
                  </w:tcBorders>
                  <w:noWrap w:val="0"/>
                  <w:tcMar>
                    <w:top w:w="0" w:type="dxa"/>
                    <w:left w:w="51" w:type="dxa"/>
                    <w:bottom w:w="0" w:type="dxa"/>
                    <w:right w:w="51" w:type="dxa"/>
                  </w:tcMar>
                  <w:vAlign w:val="center"/>
                </w:tcPr>
                <w:p w14:paraId="3E4150C6">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firstLine="0" w:firstLineChars="0"/>
                    <w:jc w:val="both"/>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本项目能耗符合行业要求。</w:t>
                  </w:r>
                </w:p>
              </w:tc>
              <w:tc>
                <w:tcPr>
                  <w:tcW w:w="375" w:type="pct"/>
                  <w:tcBorders>
                    <w:tl2br w:val="nil"/>
                    <w:tr2bl w:val="nil"/>
                  </w:tcBorders>
                  <w:noWrap w:val="0"/>
                  <w:tcMar>
                    <w:top w:w="0" w:type="dxa"/>
                    <w:left w:w="51" w:type="dxa"/>
                    <w:bottom w:w="0" w:type="dxa"/>
                    <w:right w:w="51" w:type="dxa"/>
                  </w:tcMar>
                  <w:vAlign w:val="center"/>
                </w:tcPr>
                <w:p w14:paraId="5A94A918">
                  <w:pPr>
                    <w:pStyle w:val="26"/>
                    <w:keepNext w:val="0"/>
                    <w:keepLines w:val="0"/>
                    <w:pageBreakBefore w:val="0"/>
                    <w:widowControl w:val="0"/>
                    <w:suppressLineNumbers w:val="0"/>
                    <w:kinsoku/>
                    <w:overflowPunct/>
                    <w:topLinePunct w:val="0"/>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snapToGrid/>
                      <w:color w:val="auto"/>
                      <w:kern w:val="24"/>
                      <w:sz w:val="21"/>
                      <w:szCs w:val="21"/>
                    </w:rPr>
                  </w:pPr>
                  <w:r>
                    <w:rPr>
                      <w:rFonts w:hint="default" w:ascii="Times New Roman" w:hAnsi="Times New Roman" w:eastAsia="宋体" w:cs="Times New Roman"/>
                      <w:snapToGrid/>
                      <w:color w:val="auto"/>
                      <w:kern w:val="24"/>
                      <w:sz w:val="21"/>
                      <w:szCs w:val="21"/>
                      <w:lang w:val="en-US" w:eastAsia="zh-CN" w:bidi="ar"/>
                    </w:rPr>
                    <w:t>符合</w:t>
                  </w:r>
                </w:p>
              </w:tc>
            </w:tr>
          </w:tbl>
          <w:p w14:paraId="075218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r>
              <w:rPr>
                <w:rFonts w:hint="eastAsia" w:ascii="Times New Roman" w:hAnsi="Times New Roman" w:eastAsia="宋体" w:cs="Times New Roman"/>
                <w:b w:val="0"/>
                <w:bCs w:val="0"/>
                <w:color w:val="auto"/>
                <w:kern w:val="2"/>
                <w:sz w:val="24"/>
                <w:szCs w:val="24"/>
                <w:lang w:val="en-US" w:eastAsia="zh-CN" w:bidi="ar"/>
              </w:rPr>
              <w:t>综上，本项目符合</w:t>
            </w:r>
            <w:r>
              <w:rPr>
                <w:rFonts w:hint="default" w:ascii="Times New Roman" w:hAnsi="Times New Roman" w:eastAsia="宋体" w:cs="Times New Roman"/>
                <w:b w:val="0"/>
                <w:bCs w:val="0"/>
                <w:color w:val="auto"/>
                <w:kern w:val="2"/>
                <w:sz w:val="24"/>
                <w:szCs w:val="24"/>
                <w:lang w:val="en-US" w:eastAsia="zh-CN" w:bidi="ar"/>
              </w:rPr>
              <w:t>《汤阴高新技术产业开发区总体发展规划（2022-2035）》（</w:t>
            </w:r>
            <w:r>
              <w:rPr>
                <w:rFonts w:hint="eastAsia" w:ascii="Times New Roman" w:hAnsi="Times New Roman" w:eastAsia="宋体" w:cs="Times New Roman"/>
                <w:b w:val="0"/>
                <w:bCs w:val="0"/>
                <w:color w:val="auto"/>
                <w:kern w:val="2"/>
                <w:sz w:val="24"/>
                <w:szCs w:val="24"/>
                <w:lang w:val="en-US" w:eastAsia="zh-CN" w:bidi="ar"/>
              </w:rPr>
              <w:t>征求意见稿</w:t>
            </w:r>
            <w:r>
              <w:rPr>
                <w:rFonts w:hint="default" w:ascii="Times New Roman" w:hAnsi="Times New Roman" w:eastAsia="宋体" w:cs="Times New Roman"/>
                <w:b w:val="0"/>
                <w:bCs w:val="0"/>
                <w:color w:val="auto"/>
                <w:kern w:val="2"/>
                <w:sz w:val="24"/>
                <w:szCs w:val="24"/>
                <w:lang w:val="en-US" w:eastAsia="zh-CN" w:bidi="ar"/>
              </w:rPr>
              <w:t>）</w:t>
            </w:r>
            <w:r>
              <w:rPr>
                <w:rFonts w:hint="eastAsia" w:ascii="Times New Roman" w:hAnsi="Times New Roman" w:eastAsia="宋体" w:cs="Times New Roman"/>
                <w:b w:val="0"/>
                <w:bCs w:val="0"/>
                <w:color w:val="auto"/>
                <w:kern w:val="2"/>
                <w:sz w:val="24"/>
                <w:szCs w:val="24"/>
                <w:lang w:val="en-US" w:eastAsia="zh-CN" w:bidi="ar"/>
              </w:rPr>
              <w:t>要求。</w:t>
            </w:r>
          </w:p>
          <w:p w14:paraId="7C922A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672A8C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1ECE12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5A406A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3A18E2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60F331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4FEA82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74F801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297B29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549609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03FE88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12C16D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7D65C1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660815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18AA8F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6CA882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1E940B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10495D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7E870A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769083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018169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4665D4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7903D2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754FD7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12D615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2715FA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07F0B0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5AB801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5E0A6E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
              </w:rPr>
            </w:pPr>
          </w:p>
          <w:p w14:paraId="61DD7A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Times New Roman" w:hAnsi="Times New Roman" w:eastAsia="宋体" w:cs="Times New Roman"/>
                <w:b w:val="0"/>
                <w:bCs w:val="0"/>
                <w:color w:val="auto"/>
                <w:kern w:val="2"/>
                <w:sz w:val="24"/>
                <w:szCs w:val="24"/>
                <w:lang w:val="en-US" w:eastAsia="zh-CN" w:bidi="ar"/>
              </w:rPr>
            </w:pPr>
          </w:p>
        </w:tc>
      </w:tr>
      <w:tr w14:paraId="6224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5" w:hRule="atLeast"/>
          <w:jc w:val="center"/>
        </w:trPr>
        <w:tc>
          <w:tcPr>
            <w:tcW w:w="1012" w:type="dxa"/>
            <w:noWrap w:val="0"/>
            <w:vAlign w:val="center"/>
          </w:tcPr>
          <w:p w14:paraId="1E8D805E">
            <w:pPr>
              <w:keepNext w:val="0"/>
              <w:keepLines w:val="0"/>
              <w:suppressLineNumbers w:val="0"/>
              <w:autoSpaceDE w:val="0"/>
              <w:autoSpaceDN w:val="0"/>
              <w:adjustRightInd w:val="0"/>
              <w:snapToGrid w:val="0"/>
              <w:spacing w:before="0" w:beforeAutospacing="0" w:after="0" w:afterAutospacing="0" w:line="360" w:lineRule="auto"/>
              <w:ind w:left="0" w:leftChars="0" w:right="0" w:rightChars="0"/>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highlight w:val="none"/>
                <w14:textFill>
                  <w14:solidFill>
                    <w14:schemeClr w14:val="tx1"/>
                  </w14:solidFill>
                </w14:textFill>
              </w:rPr>
              <w:t>其他符合性分析</w:t>
            </w:r>
          </w:p>
        </w:tc>
        <w:tc>
          <w:tcPr>
            <w:tcW w:w="8059" w:type="dxa"/>
            <w:gridSpan w:val="4"/>
            <w:noWrap w:val="0"/>
            <w:vAlign w:val="center"/>
          </w:tcPr>
          <w:p w14:paraId="798DA1E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textAlignment w:val="auto"/>
              <w:rPr>
                <w:rFonts w:hint="default" w:ascii="Times New Roman" w:hAnsi="Times New Roman" w:eastAsia="Times New Roman" w:cs="Times New Roman"/>
                <w:b/>
                <w:snapToGrid w:val="0"/>
                <w:color w:val="000000" w:themeColor="text1"/>
                <w:kern w:val="0"/>
                <w:sz w:val="24"/>
                <w:szCs w:val="24"/>
                <w:highlight w:val="none"/>
                <w14:textFill>
                  <w14:solidFill>
                    <w14:schemeClr w14:val="tx1"/>
                  </w14:solidFill>
                </w14:textFill>
              </w:rPr>
            </w:pPr>
            <w:r>
              <w:rPr>
                <w:rFonts w:hint="eastAsia" w:ascii="Times New Roman" w:hAnsi="Times New Roman" w:eastAsia="Times New Roman" w:cs="Times New Roman"/>
                <w:b/>
                <w:snapToGrid w:val="0"/>
                <w:color w:val="000000" w:themeColor="text1"/>
                <w:kern w:val="0"/>
                <w:sz w:val="24"/>
                <w:szCs w:val="24"/>
                <w:highlight w:val="none"/>
                <w:lang w:val="en-US" w:eastAsia="zh-CN"/>
                <w14:textFill>
                  <w14:solidFill>
                    <w14:schemeClr w14:val="tx1"/>
                  </w14:solidFill>
                </w14:textFill>
              </w:rPr>
              <w:t>1.</w:t>
            </w:r>
            <w:r>
              <w:rPr>
                <w:rFonts w:hint="default" w:ascii="Times New Roman" w:hAnsi="Times New Roman" w:eastAsia="Times New Roman" w:cs="Times New Roman"/>
                <w:b/>
                <w:snapToGrid w:val="0"/>
                <w:color w:val="000000" w:themeColor="text1"/>
                <w:kern w:val="0"/>
                <w:sz w:val="24"/>
                <w:szCs w:val="24"/>
                <w:highlight w:val="none"/>
                <w14:textFill>
                  <w14:solidFill>
                    <w14:schemeClr w14:val="tx1"/>
                  </w14:solidFill>
                </w14:textFill>
              </w:rPr>
              <w:t>土地</w:t>
            </w:r>
            <w:r>
              <w:rPr>
                <w:rFonts w:hint="default" w:ascii="Times New Roman" w:hAnsi="Times New Roman" w:eastAsia="Times New Roman" w:cs="Times New Roman"/>
                <w:b/>
                <w:snapToGrid w:val="0"/>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Times New Roman" w:cs="Times New Roman"/>
                <w:b/>
                <w:snapToGrid w:val="0"/>
                <w:color w:val="000000" w:themeColor="text1"/>
                <w:kern w:val="0"/>
                <w:sz w:val="24"/>
                <w:szCs w:val="24"/>
                <w:highlight w:val="none"/>
                <w:lang w:val="en-US" w:eastAsia="zh-CN"/>
                <w14:textFill>
                  <w14:solidFill>
                    <w14:schemeClr w14:val="tx1"/>
                  </w14:solidFill>
                </w14:textFill>
              </w:rPr>
              <w:t>规划</w:t>
            </w:r>
            <w:r>
              <w:rPr>
                <w:rFonts w:hint="default" w:ascii="Times New Roman" w:hAnsi="Times New Roman" w:eastAsia="Times New Roman" w:cs="Times New Roman"/>
                <w:b/>
                <w:snapToGrid w:val="0"/>
                <w:color w:val="000000" w:themeColor="text1"/>
                <w:kern w:val="0"/>
                <w:sz w:val="24"/>
                <w:szCs w:val="24"/>
                <w:highlight w:val="none"/>
                <w14:textFill>
                  <w14:solidFill>
                    <w14:schemeClr w14:val="tx1"/>
                  </w14:solidFill>
                </w14:textFill>
              </w:rPr>
              <w:t>手续</w:t>
            </w:r>
          </w:p>
          <w:p w14:paraId="2790451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yellow"/>
                <w14:textFill>
                  <w14:solidFill>
                    <w14:schemeClr w14:val="tx1"/>
                  </w14:solidFill>
                </w14:textFill>
              </w:rPr>
            </w:pPr>
            <w:r>
              <w:rPr>
                <w:rFonts w:hint="eastAsia" w:eastAsia="Times New Roman" w:cs="Times New Roman"/>
                <w:color w:val="000000" w:themeColor="text1"/>
                <w:sz w:val="24"/>
                <w:szCs w:val="24"/>
                <w:highlight w:val="none"/>
                <w:lang w:val="en-US" w:eastAsia="zh-CN"/>
                <w14:textFill>
                  <w14:solidFill>
                    <w14:schemeClr w14:val="tx1"/>
                  </w14:solidFill>
                </w14:textFill>
              </w:rPr>
              <w:t>本项目</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位于</w:t>
            </w:r>
            <w:r>
              <w:rPr>
                <w:rFonts w:hint="eastAsia" w:eastAsia="Times New Roman" w:cs="Times New Roman"/>
                <w:color w:val="000000" w:themeColor="text1"/>
                <w:sz w:val="24"/>
                <w:szCs w:val="24"/>
                <w:highlight w:val="none"/>
                <w:lang w:val="en-US" w:eastAsia="zh-CN"/>
                <w14:textFill>
                  <w14:solidFill>
                    <w14:schemeClr w14:val="tx1"/>
                  </w14:solidFill>
                </w14:textFill>
              </w:rPr>
              <w:t>安阳市汤阴县汤阴县众品大道原色非家具厂院内，</w:t>
            </w:r>
            <w:r>
              <w:rPr>
                <w:rFonts w:hint="default" w:ascii="Times New Roman" w:hAnsi="Times New Roman" w:eastAsia="Times New Roman" w:cs="Times New Roman"/>
                <w:color w:val="auto"/>
                <w:sz w:val="24"/>
                <w:szCs w:val="24"/>
                <w:highlight w:val="none"/>
              </w:rPr>
              <w:t>项目</w:t>
            </w:r>
            <w:r>
              <w:rPr>
                <w:rFonts w:hint="eastAsia" w:eastAsia="宋体" w:cs="Times New Roman"/>
                <w:color w:val="auto"/>
                <w:sz w:val="24"/>
                <w:szCs w:val="24"/>
                <w:highlight w:val="none"/>
                <w:lang w:eastAsia="zh-CN"/>
              </w:rPr>
              <w:t>租赁汤阴县</w:t>
            </w:r>
            <w:r>
              <w:rPr>
                <w:rFonts w:hint="eastAsia" w:eastAsia="Times New Roman" w:cs="Times New Roman"/>
                <w:color w:val="000000" w:themeColor="text1"/>
                <w:sz w:val="24"/>
                <w:szCs w:val="24"/>
                <w:highlight w:val="none"/>
                <w:lang w:val="en-US" w:eastAsia="zh-CN"/>
                <w14:textFill>
                  <w14:solidFill>
                    <w14:schemeClr w14:val="tx1"/>
                  </w14:solidFill>
                </w14:textFill>
              </w:rPr>
              <w:t>色非家具厂</w:t>
            </w:r>
            <w:r>
              <w:rPr>
                <w:rFonts w:hint="eastAsia" w:eastAsia="宋体" w:cs="Times New Roman"/>
                <w:color w:val="auto"/>
                <w:sz w:val="24"/>
                <w:szCs w:val="24"/>
                <w:highlight w:val="none"/>
                <w:lang w:eastAsia="zh-CN"/>
              </w:rPr>
              <w:t>现有厂房</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w:t>
            </w:r>
            <w:r>
              <w:rPr>
                <w:rFonts w:hint="eastAsia" w:eastAsia="宋体" w:cs="Times New Roman"/>
                <w:color w:val="000000" w:themeColor="text1"/>
                <w:sz w:val="24"/>
                <w:szCs w:val="24"/>
                <w:highlight w:val="none"/>
                <w:lang w:eastAsia="zh-CN"/>
                <w14:textFill>
                  <w14:solidFill>
                    <w14:schemeClr w14:val="tx1"/>
                  </w14:solidFill>
                </w14:textFill>
              </w:rPr>
              <w:t>目前</w:t>
            </w:r>
            <w:r>
              <w:rPr>
                <w:rFonts w:hint="eastAsia" w:eastAsia="宋体" w:cs="Times New Roman"/>
                <w:color w:val="auto"/>
                <w:sz w:val="24"/>
                <w:szCs w:val="24"/>
                <w:highlight w:val="none"/>
                <w:lang w:eastAsia="zh-CN"/>
              </w:rPr>
              <w:t>汤阴县</w:t>
            </w:r>
            <w:r>
              <w:rPr>
                <w:rFonts w:hint="eastAsia" w:eastAsia="Times New Roman" w:cs="Times New Roman"/>
                <w:color w:val="000000" w:themeColor="text1"/>
                <w:sz w:val="24"/>
                <w:szCs w:val="24"/>
                <w:highlight w:val="none"/>
                <w:lang w:val="en-US" w:eastAsia="zh-CN"/>
                <w14:textFill>
                  <w14:solidFill>
                    <w14:schemeClr w14:val="tx1"/>
                  </w14:solidFill>
                </w14:textFill>
              </w:rPr>
              <w:t>色非家具厂已停止生产，生产设备等均已搬离厂区，</w:t>
            </w:r>
            <w:r>
              <w:rPr>
                <w:rFonts w:hint="eastAsia" w:eastAsia="Times New Roman" w:cs="Times New Roman"/>
                <w:color w:val="000000" w:themeColor="text1"/>
                <w:sz w:val="24"/>
                <w:szCs w:val="24"/>
                <w:highlight w:val="none"/>
                <w:lang w:eastAsia="zh-CN"/>
                <w14:textFill>
                  <w14:solidFill>
                    <w14:schemeClr w14:val="tx1"/>
                  </w14:solidFill>
                </w14:textFill>
              </w:rPr>
              <w:t>根据项目土地证、汤阴县高新技术产业开发区国土空间规划图，项目</w:t>
            </w:r>
            <w:r>
              <w:rPr>
                <w:rFonts w:hint="eastAsia" w:cs="Times New Roman"/>
                <w:color w:val="000000" w:themeColor="text1"/>
                <w:sz w:val="24"/>
                <w:szCs w:val="24"/>
                <w:highlight w:val="none"/>
                <w:lang w:eastAsia="zh-CN"/>
                <w14:textFill>
                  <w14:solidFill>
                    <w14:schemeClr w14:val="tx1"/>
                  </w14:solidFill>
                </w14:textFill>
              </w:rPr>
              <w:t>用地类型是工业用地，符合园区用地规划，本项目不属于开发区禁止入驻产业，根据</w:t>
            </w:r>
            <w:r>
              <w:rPr>
                <w:rFonts w:hint="eastAsia" w:eastAsia="Times New Roman" w:cs="Times New Roman"/>
                <w:color w:val="000000" w:themeColor="text1"/>
                <w:sz w:val="24"/>
                <w:szCs w:val="24"/>
                <w:highlight w:val="none"/>
                <w:lang w:eastAsia="zh-CN"/>
                <w14:textFill>
                  <w14:solidFill>
                    <w14:schemeClr w14:val="tx1"/>
                  </w14:solidFill>
                </w14:textFill>
              </w:rPr>
              <w:t>汤阴县高新技术产业开发区管委会出具的入驻证明，本项目能够入驻开发区</w:t>
            </w:r>
            <w:r>
              <w:rPr>
                <w:rFonts w:hint="eastAsia" w:cs="Times New Roman"/>
                <w:color w:val="auto"/>
                <w:sz w:val="24"/>
                <w:szCs w:val="24"/>
                <w:highlight w:val="none"/>
                <w:lang w:eastAsia="zh-CN"/>
              </w:rPr>
              <w:t>。</w:t>
            </w:r>
          </w:p>
          <w:p w14:paraId="54C6FBA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default" w:ascii="Times New Roman" w:hAnsi="Times New Roman" w:eastAsia="宋体" w:cs="Times New Roman"/>
                <w:b/>
                <w:color w:val="auto"/>
                <w:sz w:val="24"/>
                <w:szCs w:val="24"/>
                <w:highlight w:val="none"/>
              </w:rPr>
            </w:pPr>
            <w:r>
              <w:rPr>
                <w:rFonts w:hint="eastAsia" w:ascii="Times New Roman" w:hAnsi="Times New Roman" w:eastAsia="宋体" w:cs="Times New Roman"/>
                <w:b/>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color w:val="auto"/>
                <w:sz w:val="24"/>
                <w:szCs w:val="24"/>
                <w:highlight w:val="none"/>
              </w:rPr>
              <w:t>建设项目与所在地</w:t>
            </w:r>
            <w:r>
              <w:rPr>
                <w:rFonts w:hint="eastAsia" w:cs="Times New Roman"/>
                <w:b/>
                <w:color w:val="auto"/>
                <w:sz w:val="24"/>
                <w:szCs w:val="24"/>
                <w:highlight w:val="none"/>
                <w:lang w:eastAsia="zh-CN"/>
              </w:rPr>
              <w:t>生态环境分区管控要求</w:t>
            </w:r>
            <w:r>
              <w:rPr>
                <w:rFonts w:hint="default" w:ascii="Times New Roman" w:hAnsi="Times New Roman" w:eastAsia="宋体" w:cs="Times New Roman"/>
                <w:b/>
                <w:color w:val="auto"/>
                <w:sz w:val="24"/>
                <w:szCs w:val="24"/>
                <w:highlight w:val="none"/>
              </w:rPr>
              <w:t>相符性分析</w:t>
            </w:r>
          </w:p>
          <w:p w14:paraId="33F4D38D">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bCs/>
                <w:color w:val="auto"/>
                <w:kern w:val="2"/>
                <w:sz w:val="24"/>
                <w:szCs w:val="24"/>
                <w:u w:val="none"/>
              </w:rPr>
            </w:pPr>
            <w:r>
              <w:rPr>
                <w:rFonts w:hint="eastAsia" w:ascii="宋体" w:hAnsi="宋体" w:eastAsia="宋体" w:cs="宋体"/>
                <w:bCs/>
                <w:color w:val="auto"/>
                <w:kern w:val="2"/>
                <w:sz w:val="24"/>
                <w:szCs w:val="24"/>
                <w:u w:val="none"/>
                <w:lang w:val="en-US" w:eastAsia="zh-CN" w:bidi="ar"/>
              </w:rPr>
              <w:t>河南省人民政府于</w:t>
            </w:r>
            <w:r>
              <w:rPr>
                <w:rFonts w:hint="default" w:ascii="Times New Roman" w:hAnsi="Times New Roman" w:eastAsia="宋体" w:cs="Times New Roman"/>
                <w:bCs/>
                <w:color w:val="auto"/>
                <w:kern w:val="2"/>
                <w:sz w:val="24"/>
                <w:szCs w:val="24"/>
                <w:u w:val="none"/>
                <w:lang w:val="en-US" w:eastAsia="zh-CN" w:bidi="ar"/>
              </w:rPr>
              <w:t>2020</w:t>
            </w:r>
            <w:r>
              <w:rPr>
                <w:rFonts w:hint="eastAsia" w:ascii="宋体" w:hAnsi="宋体" w:eastAsia="宋体" w:cs="宋体"/>
                <w:bCs/>
                <w:color w:val="auto"/>
                <w:kern w:val="2"/>
                <w:sz w:val="24"/>
                <w:szCs w:val="24"/>
                <w:u w:val="none"/>
                <w:lang w:val="en-US" w:eastAsia="zh-CN" w:bidi="ar"/>
              </w:rPr>
              <w:t>年</w:t>
            </w:r>
            <w:r>
              <w:rPr>
                <w:rFonts w:hint="default" w:ascii="Times New Roman" w:hAnsi="Times New Roman" w:eastAsia="宋体" w:cs="Times New Roman"/>
                <w:bCs/>
                <w:color w:val="auto"/>
                <w:kern w:val="2"/>
                <w:sz w:val="24"/>
                <w:szCs w:val="24"/>
                <w:u w:val="none"/>
                <w:lang w:val="en-US" w:eastAsia="zh-CN" w:bidi="ar"/>
              </w:rPr>
              <w:t>12</w:t>
            </w:r>
            <w:r>
              <w:rPr>
                <w:rFonts w:hint="eastAsia" w:ascii="宋体" w:hAnsi="宋体" w:eastAsia="宋体" w:cs="宋体"/>
                <w:bCs/>
                <w:color w:val="auto"/>
                <w:kern w:val="2"/>
                <w:sz w:val="24"/>
                <w:szCs w:val="24"/>
                <w:u w:val="none"/>
                <w:lang w:val="en-US" w:eastAsia="zh-CN" w:bidi="ar"/>
              </w:rPr>
              <w:t>月发布了《河南省人民政府关于实施“三线一单”生态环境分区管控的意见》（豫政〔</w:t>
            </w:r>
            <w:r>
              <w:rPr>
                <w:rFonts w:hint="default" w:ascii="Times New Roman" w:hAnsi="Times New Roman" w:eastAsia="宋体" w:cs="Times New Roman"/>
                <w:bCs/>
                <w:color w:val="auto"/>
                <w:kern w:val="2"/>
                <w:sz w:val="24"/>
                <w:szCs w:val="24"/>
                <w:u w:val="none"/>
                <w:lang w:val="en-US" w:eastAsia="zh-CN" w:bidi="ar"/>
              </w:rPr>
              <w:t>2020</w:t>
            </w:r>
            <w:r>
              <w:rPr>
                <w:rFonts w:hint="eastAsia" w:ascii="宋体" w:hAnsi="宋体" w:eastAsia="宋体" w:cs="宋体"/>
                <w:bCs/>
                <w:color w:val="auto"/>
                <w:kern w:val="2"/>
                <w:sz w:val="24"/>
                <w:szCs w:val="24"/>
                <w:u w:val="none"/>
                <w:lang w:val="en-US" w:eastAsia="zh-CN" w:bidi="ar"/>
              </w:rPr>
              <w:t>〕</w:t>
            </w:r>
            <w:r>
              <w:rPr>
                <w:rFonts w:hint="default" w:ascii="Times New Roman" w:hAnsi="Times New Roman" w:eastAsia="宋体" w:cs="Times New Roman"/>
                <w:bCs/>
                <w:color w:val="auto"/>
                <w:kern w:val="2"/>
                <w:sz w:val="24"/>
                <w:szCs w:val="24"/>
                <w:u w:val="none"/>
                <w:lang w:val="en-US" w:eastAsia="zh-CN" w:bidi="ar"/>
              </w:rPr>
              <w:t>37</w:t>
            </w:r>
            <w:r>
              <w:rPr>
                <w:rFonts w:hint="eastAsia" w:ascii="宋体" w:hAnsi="宋体" w:eastAsia="宋体" w:cs="宋体"/>
                <w:bCs/>
                <w:color w:val="auto"/>
                <w:kern w:val="2"/>
                <w:sz w:val="24"/>
                <w:szCs w:val="24"/>
                <w:u w:val="none"/>
                <w:lang w:val="en-US" w:eastAsia="zh-CN" w:bidi="ar"/>
              </w:rPr>
              <w:t>号），按照生态保护红线、环境质量底线、资源利用上线等相关要求，划定全省优先保护单元、重点管控单元和一般管控单元三类生态环境管控单元，并实施分类管控。</w:t>
            </w:r>
          </w:p>
          <w:p w14:paraId="1CF623E2">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bCs/>
                <w:color w:val="auto"/>
                <w:kern w:val="2"/>
                <w:sz w:val="24"/>
                <w:szCs w:val="24"/>
                <w:u w:val="none"/>
              </w:rPr>
            </w:pPr>
            <w:r>
              <w:rPr>
                <w:rFonts w:hint="eastAsia" w:ascii="宋体" w:hAnsi="宋体" w:eastAsia="宋体" w:cs="宋体"/>
                <w:bCs/>
                <w:color w:val="auto"/>
                <w:kern w:val="2"/>
                <w:sz w:val="24"/>
                <w:szCs w:val="24"/>
                <w:u w:val="none"/>
                <w:lang w:val="en-US" w:eastAsia="zh-CN" w:bidi="ar"/>
              </w:rPr>
              <w:t>为落实（豫政〔</w:t>
            </w:r>
            <w:r>
              <w:rPr>
                <w:rFonts w:hint="default" w:ascii="Times New Roman" w:hAnsi="Times New Roman" w:eastAsia="宋体" w:cs="Times New Roman"/>
                <w:bCs/>
                <w:color w:val="auto"/>
                <w:kern w:val="2"/>
                <w:sz w:val="24"/>
                <w:szCs w:val="24"/>
                <w:u w:val="none"/>
                <w:lang w:val="en-US" w:eastAsia="zh-CN" w:bidi="ar"/>
              </w:rPr>
              <w:t>2020</w:t>
            </w:r>
            <w:r>
              <w:rPr>
                <w:rFonts w:hint="eastAsia" w:ascii="宋体" w:hAnsi="宋体" w:eastAsia="宋体" w:cs="宋体"/>
                <w:bCs/>
                <w:color w:val="auto"/>
                <w:kern w:val="2"/>
                <w:sz w:val="24"/>
                <w:szCs w:val="24"/>
                <w:u w:val="none"/>
                <w:lang w:val="en-US" w:eastAsia="zh-CN" w:bidi="ar"/>
              </w:rPr>
              <w:t>〕</w:t>
            </w:r>
            <w:r>
              <w:rPr>
                <w:rFonts w:hint="default" w:ascii="Times New Roman" w:hAnsi="Times New Roman" w:eastAsia="宋体" w:cs="Times New Roman"/>
                <w:bCs/>
                <w:color w:val="auto"/>
                <w:kern w:val="2"/>
                <w:sz w:val="24"/>
                <w:szCs w:val="24"/>
                <w:u w:val="none"/>
                <w:lang w:val="en-US" w:eastAsia="zh-CN" w:bidi="ar"/>
              </w:rPr>
              <w:t>37</w:t>
            </w:r>
            <w:r>
              <w:rPr>
                <w:rFonts w:hint="eastAsia" w:ascii="宋体" w:hAnsi="宋体" w:eastAsia="宋体" w:cs="宋体"/>
                <w:bCs/>
                <w:color w:val="auto"/>
                <w:kern w:val="2"/>
                <w:sz w:val="24"/>
                <w:szCs w:val="24"/>
                <w:u w:val="none"/>
                <w:lang w:val="en-US" w:eastAsia="zh-CN" w:bidi="ar"/>
              </w:rPr>
              <w:t>号），推进生态环境分区管控体系落地，河南省生态环境厅于</w:t>
            </w:r>
            <w:r>
              <w:rPr>
                <w:rFonts w:hint="default" w:ascii="Times New Roman" w:hAnsi="Times New Roman" w:eastAsia="宋体" w:cs="Times New Roman"/>
                <w:bCs/>
                <w:color w:val="auto"/>
                <w:kern w:val="2"/>
                <w:sz w:val="24"/>
                <w:szCs w:val="24"/>
                <w:u w:val="none"/>
                <w:lang w:val="en-US" w:eastAsia="zh-CN" w:bidi="ar"/>
              </w:rPr>
              <w:t>2021</w:t>
            </w:r>
            <w:r>
              <w:rPr>
                <w:rFonts w:hint="eastAsia" w:ascii="宋体" w:hAnsi="宋体" w:eastAsia="宋体" w:cs="宋体"/>
                <w:bCs/>
                <w:color w:val="auto"/>
                <w:kern w:val="2"/>
                <w:sz w:val="24"/>
                <w:szCs w:val="24"/>
                <w:u w:val="none"/>
                <w:lang w:val="en-US" w:eastAsia="zh-CN" w:bidi="ar"/>
              </w:rPr>
              <w:t>年</w:t>
            </w:r>
            <w:r>
              <w:rPr>
                <w:rFonts w:hint="default" w:ascii="Times New Roman" w:hAnsi="Times New Roman" w:eastAsia="宋体" w:cs="Times New Roman"/>
                <w:bCs/>
                <w:color w:val="auto"/>
                <w:kern w:val="2"/>
                <w:sz w:val="24"/>
                <w:szCs w:val="24"/>
                <w:u w:val="none"/>
                <w:lang w:val="en-US" w:eastAsia="zh-CN" w:bidi="ar"/>
              </w:rPr>
              <w:t>11</w:t>
            </w:r>
            <w:r>
              <w:rPr>
                <w:rFonts w:hint="eastAsia" w:ascii="宋体" w:hAnsi="宋体" w:eastAsia="宋体" w:cs="宋体"/>
                <w:bCs/>
                <w:color w:val="auto"/>
                <w:kern w:val="2"/>
                <w:sz w:val="24"/>
                <w:szCs w:val="24"/>
                <w:u w:val="none"/>
                <w:lang w:val="en-US" w:eastAsia="zh-CN" w:bidi="ar"/>
              </w:rPr>
              <w:t>月发布了《河南省生态环境分区管控总体要求（试行）（豫环函〔</w:t>
            </w:r>
            <w:r>
              <w:rPr>
                <w:rFonts w:hint="default" w:ascii="Times New Roman" w:hAnsi="Times New Roman" w:eastAsia="宋体" w:cs="Times New Roman"/>
                <w:bCs/>
                <w:color w:val="auto"/>
                <w:kern w:val="2"/>
                <w:sz w:val="24"/>
                <w:szCs w:val="24"/>
                <w:u w:val="none"/>
                <w:lang w:val="en-US" w:eastAsia="zh-CN" w:bidi="ar"/>
              </w:rPr>
              <w:t>2021</w:t>
            </w:r>
            <w:r>
              <w:rPr>
                <w:rFonts w:hint="eastAsia" w:ascii="宋体" w:hAnsi="宋体" w:eastAsia="宋体" w:cs="宋体"/>
                <w:bCs/>
                <w:color w:val="auto"/>
                <w:kern w:val="2"/>
                <w:sz w:val="24"/>
                <w:szCs w:val="24"/>
                <w:u w:val="none"/>
                <w:lang w:val="en-US" w:eastAsia="zh-CN" w:bidi="ar"/>
              </w:rPr>
              <w:t>〕</w:t>
            </w:r>
            <w:r>
              <w:rPr>
                <w:rFonts w:hint="default" w:ascii="Times New Roman" w:hAnsi="Times New Roman" w:eastAsia="宋体" w:cs="Times New Roman"/>
                <w:bCs/>
                <w:color w:val="auto"/>
                <w:kern w:val="2"/>
                <w:sz w:val="24"/>
                <w:szCs w:val="24"/>
                <w:u w:val="none"/>
                <w:lang w:val="en-US" w:eastAsia="zh-CN" w:bidi="ar"/>
              </w:rPr>
              <w:t>171</w:t>
            </w:r>
            <w:r>
              <w:rPr>
                <w:rFonts w:hint="eastAsia" w:ascii="宋体" w:hAnsi="宋体" w:eastAsia="宋体" w:cs="宋体"/>
                <w:bCs/>
                <w:color w:val="auto"/>
                <w:kern w:val="2"/>
                <w:sz w:val="24"/>
                <w:szCs w:val="24"/>
                <w:u w:val="none"/>
                <w:lang w:val="en-US" w:eastAsia="zh-CN" w:bidi="ar"/>
              </w:rPr>
              <w:t>号）。</w:t>
            </w:r>
            <w:r>
              <w:rPr>
                <w:rFonts w:hint="default" w:ascii="Times New Roman" w:hAnsi="Times New Roman" w:eastAsia="宋体" w:cs="Times New Roman"/>
                <w:bCs/>
                <w:color w:val="auto"/>
                <w:kern w:val="2"/>
                <w:sz w:val="24"/>
                <w:szCs w:val="24"/>
                <w:u w:val="none"/>
                <w:lang w:val="en-US" w:eastAsia="zh-CN" w:bidi="ar"/>
              </w:rPr>
              <w:t>2024</w:t>
            </w:r>
            <w:r>
              <w:rPr>
                <w:rFonts w:hint="eastAsia" w:ascii="宋体" w:hAnsi="宋体" w:eastAsia="宋体" w:cs="宋体"/>
                <w:bCs/>
                <w:color w:val="auto"/>
                <w:kern w:val="2"/>
                <w:sz w:val="24"/>
                <w:szCs w:val="24"/>
                <w:u w:val="none"/>
                <w:lang w:val="en-US" w:eastAsia="zh-CN" w:bidi="ar"/>
              </w:rPr>
              <w:t>年</w:t>
            </w:r>
            <w:r>
              <w:rPr>
                <w:rFonts w:hint="default" w:ascii="Times New Roman" w:hAnsi="Times New Roman" w:eastAsia="宋体" w:cs="Times New Roman"/>
                <w:bCs/>
                <w:color w:val="auto"/>
                <w:kern w:val="2"/>
                <w:sz w:val="24"/>
                <w:szCs w:val="24"/>
                <w:u w:val="none"/>
                <w:lang w:val="en-US" w:eastAsia="zh-CN" w:bidi="ar"/>
              </w:rPr>
              <w:t>2</w:t>
            </w:r>
            <w:r>
              <w:rPr>
                <w:rFonts w:hint="eastAsia" w:ascii="宋体" w:hAnsi="宋体" w:eastAsia="宋体" w:cs="宋体"/>
                <w:bCs/>
                <w:color w:val="auto"/>
                <w:kern w:val="2"/>
                <w:sz w:val="24"/>
                <w:szCs w:val="24"/>
                <w:u w:val="none"/>
                <w:lang w:val="en-US" w:eastAsia="zh-CN" w:bidi="ar"/>
              </w:rPr>
              <w:t>月</w:t>
            </w:r>
            <w:r>
              <w:rPr>
                <w:rFonts w:hint="default" w:ascii="Times New Roman" w:hAnsi="Times New Roman" w:eastAsia="宋体" w:cs="Times New Roman"/>
                <w:bCs/>
                <w:color w:val="auto"/>
                <w:kern w:val="2"/>
                <w:sz w:val="24"/>
                <w:szCs w:val="24"/>
                <w:u w:val="none"/>
                <w:lang w:val="en-US" w:eastAsia="zh-CN" w:bidi="ar"/>
              </w:rPr>
              <w:t>1</w:t>
            </w:r>
            <w:r>
              <w:rPr>
                <w:rFonts w:hint="eastAsia" w:ascii="宋体" w:hAnsi="宋体" w:eastAsia="宋体" w:cs="宋体"/>
                <w:bCs/>
                <w:color w:val="auto"/>
                <w:kern w:val="2"/>
                <w:sz w:val="24"/>
                <w:szCs w:val="24"/>
                <w:u w:val="none"/>
                <w:lang w:val="en-US" w:eastAsia="zh-CN" w:bidi="ar"/>
              </w:rPr>
              <w:t>日，河南省生态环境厅发布《关于公布河南省“三线一单”生态环境分区管控更新成果（</w:t>
            </w:r>
            <w:r>
              <w:rPr>
                <w:rFonts w:hint="default" w:ascii="Times New Roman" w:hAnsi="Times New Roman" w:eastAsia="宋体" w:cs="Times New Roman"/>
                <w:bCs/>
                <w:color w:val="auto"/>
                <w:kern w:val="2"/>
                <w:sz w:val="24"/>
                <w:szCs w:val="24"/>
                <w:u w:val="none"/>
                <w:lang w:val="en-US" w:eastAsia="zh-CN" w:bidi="ar"/>
              </w:rPr>
              <w:t>2023</w:t>
            </w:r>
            <w:r>
              <w:rPr>
                <w:rFonts w:hint="eastAsia" w:ascii="宋体" w:hAnsi="宋体" w:eastAsia="宋体" w:cs="宋体"/>
                <w:bCs/>
                <w:color w:val="auto"/>
                <w:kern w:val="2"/>
                <w:sz w:val="24"/>
                <w:szCs w:val="24"/>
                <w:u w:val="none"/>
                <w:lang w:val="en-US" w:eastAsia="zh-CN" w:bidi="ar"/>
              </w:rPr>
              <w:t>年版）的通知》，更新了《河南省生态环境分区管控总体要求（</w:t>
            </w:r>
            <w:r>
              <w:rPr>
                <w:rFonts w:hint="default" w:ascii="Times New Roman" w:hAnsi="Times New Roman" w:eastAsia="宋体" w:cs="Times New Roman"/>
                <w:bCs/>
                <w:color w:val="auto"/>
                <w:kern w:val="2"/>
                <w:sz w:val="24"/>
                <w:szCs w:val="24"/>
                <w:u w:val="none"/>
                <w:lang w:val="en-US" w:eastAsia="zh-CN" w:bidi="ar"/>
              </w:rPr>
              <w:t>2023</w:t>
            </w:r>
            <w:r>
              <w:rPr>
                <w:rFonts w:hint="eastAsia" w:ascii="宋体" w:hAnsi="宋体" w:eastAsia="宋体" w:cs="宋体"/>
                <w:bCs/>
                <w:color w:val="auto"/>
                <w:kern w:val="2"/>
                <w:sz w:val="24"/>
                <w:szCs w:val="24"/>
                <w:u w:val="none"/>
                <w:lang w:val="en-US" w:eastAsia="zh-CN" w:bidi="ar"/>
              </w:rPr>
              <w:t>年版）》</w:t>
            </w:r>
            <w:r>
              <w:rPr>
                <w:rFonts w:hint="eastAsia" w:ascii="宋体" w:hAnsi="宋体" w:eastAsia="宋体" w:cs="宋体"/>
                <w:bCs/>
                <w:color w:val="auto"/>
                <w:kern w:val="2"/>
                <w:sz w:val="24"/>
                <w:szCs w:val="24"/>
                <w:u w:val="none"/>
                <w:lang w:val="en-US" w:eastAsia="zh-CN" w:bidi="ar"/>
              </w:rPr>
              <w:t>本项目与其相关要求相符性分析如下：</w:t>
            </w:r>
          </w:p>
          <w:p w14:paraId="578D4D0F">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center"/>
              <w:textAlignment w:val="auto"/>
              <w:rPr>
                <w:rFonts w:hint="eastAsia" w:ascii="Times New Roman" w:hAnsi="Times New Roman" w:eastAsia="宋体" w:cs="Times New Roman"/>
                <w:b/>
                <w:bCs w:val="0"/>
                <w:iCs/>
                <w:color w:val="auto"/>
                <w:kern w:val="2"/>
                <w:sz w:val="24"/>
                <w:szCs w:val="24"/>
              </w:rPr>
            </w:pPr>
            <w:r>
              <w:rPr>
                <w:rFonts w:hint="eastAsia" w:ascii="宋体" w:hAnsi="宋体" w:eastAsia="宋体" w:cs="宋体"/>
                <w:b/>
                <w:bCs w:val="0"/>
                <w:iCs/>
                <w:color w:val="auto"/>
                <w:kern w:val="2"/>
                <w:sz w:val="24"/>
                <w:szCs w:val="24"/>
                <w:lang w:val="en-US" w:eastAsia="zh-CN" w:bidi="ar"/>
              </w:rPr>
              <w:t>项目与全省生态环境总体准入要求相符性分析</w:t>
            </w:r>
          </w:p>
          <w:tbl>
            <w:tblPr>
              <w:tblStyle w:val="29"/>
              <w:tblW w:w="4996" w:type="pct"/>
              <w:jc w:val="center"/>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70"/>
              <w:gridCol w:w="637"/>
              <w:gridCol w:w="3994"/>
              <w:gridCol w:w="1750"/>
              <w:gridCol w:w="586"/>
            </w:tblGrid>
            <w:tr w14:paraId="711A18FA">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878" w:type="dxa"/>
                  <w:tcBorders>
                    <w:top w:val="single" w:color="auto" w:sz="12" w:space="0"/>
                    <w:left w:val="nil"/>
                    <w:bottom w:val="single" w:color="auto" w:sz="4" w:space="0"/>
                    <w:right w:val="single" w:color="auto" w:sz="4" w:space="0"/>
                  </w:tcBorders>
                  <w:noWrap w:val="0"/>
                  <w:tcMar>
                    <w:left w:w="51" w:type="dxa"/>
                    <w:right w:w="51" w:type="dxa"/>
                  </w:tcMar>
                  <w:vAlign w:val="center"/>
                </w:tcPr>
                <w:p w14:paraId="428E2585">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环境管控单元分区</w:t>
                  </w:r>
                </w:p>
              </w:tc>
              <w:tc>
                <w:tcPr>
                  <w:tcW w:w="643" w:type="dxa"/>
                  <w:tcBorders>
                    <w:top w:val="single" w:color="auto" w:sz="12" w:space="0"/>
                    <w:left w:val="single" w:color="auto" w:sz="4" w:space="0"/>
                    <w:bottom w:val="single" w:color="auto" w:sz="4" w:space="0"/>
                    <w:right w:val="single" w:color="auto" w:sz="4" w:space="0"/>
                  </w:tcBorders>
                  <w:noWrap w:val="0"/>
                  <w:tcMar>
                    <w:left w:w="51" w:type="dxa"/>
                    <w:right w:w="51" w:type="dxa"/>
                  </w:tcMar>
                  <w:vAlign w:val="center"/>
                </w:tcPr>
                <w:p w14:paraId="5C8A2E37">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管控类别</w:t>
                  </w:r>
                </w:p>
              </w:tc>
              <w:tc>
                <w:tcPr>
                  <w:tcW w:w="4036" w:type="dxa"/>
                  <w:tcBorders>
                    <w:top w:val="single" w:color="auto" w:sz="12" w:space="0"/>
                    <w:left w:val="single" w:color="auto" w:sz="4" w:space="0"/>
                    <w:bottom w:val="single" w:color="auto" w:sz="4" w:space="0"/>
                    <w:right w:val="single" w:color="auto" w:sz="4" w:space="0"/>
                  </w:tcBorders>
                  <w:noWrap w:val="0"/>
                  <w:tcMar>
                    <w:left w:w="51" w:type="dxa"/>
                    <w:right w:w="51" w:type="dxa"/>
                  </w:tcMar>
                  <w:vAlign w:val="center"/>
                </w:tcPr>
                <w:p w14:paraId="1EC7DFF6">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center"/>
                    <w:textAlignment w:val="auto"/>
                    <w:rPr>
                      <w:rFonts w:hint="eastAsia"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准入要求</w:t>
                  </w:r>
                </w:p>
              </w:tc>
              <w:tc>
                <w:tcPr>
                  <w:tcW w:w="1768" w:type="dxa"/>
                  <w:tcBorders>
                    <w:top w:val="single" w:color="auto" w:sz="12" w:space="0"/>
                    <w:left w:val="single" w:color="auto" w:sz="4" w:space="0"/>
                    <w:bottom w:val="single" w:color="auto" w:sz="4" w:space="0"/>
                    <w:right w:val="single" w:color="auto" w:sz="4" w:space="0"/>
                  </w:tcBorders>
                  <w:noWrap w:val="0"/>
                  <w:tcMar>
                    <w:left w:w="51" w:type="dxa"/>
                    <w:right w:w="51" w:type="dxa"/>
                  </w:tcMar>
                  <w:vAlign w:val="center"/>
                </w:tcPr>
                <w:p w14:paraId="4449BE23">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auto"/>
                      <w:kern w:val="2"/>
                      <w:sz w:val="21"/>
                      <w:szCs w:val="21"/>
                      <w:highlight w:val="yellow"/>
                    </w:rPr>
                  </w:pPr>
                  <w:r>
                    <w:rPr>
                      <w:rFonts w:hint="eastAsia" w:ascii="宋体" w:hAnsi="宋体" w:eastAsia="宋体" w:cs="宋体"/>
                      <w:b/>
                      <w:bCs/>
                      <w:color w:val="auto"/>
                      <w:kern w:val="2"/>
                      <w:sz w:val="21"/>
                      <w:szCs w:val="21"/>
                      <w:highlight w:val="none"/>
                      <w:lang w:val="en-US" w:eastAsia="zh-CN" w:bidi="ar"/>
                    </w:rPr>
                    <w:t>项目情况</w:t>
                  </w:r>
                </w:p>
              </w:tc>
              <w:tc>
                <w:tcPr>
                  <w:tcW w:w="591" w:type="dxa"/>
                  <w:tcBorders>
                    <w:top w:val="single" w:color="auto" w:sz="12" w:space="0"/>
                    <w:left w:val="single" w:color="auto" w:sz="4" w:space="0"/>
                    <w:bottom w:val="single" w:color="auto" w:sz="4" w:space="0"/>
                    <w:right w:val="nil"/>
                  </w:tcBorders>
                  <w:noWrap w:val="0"/>
                  <w:tcMar>
                    <w:left w:w="51" w:type="dxa"/>
                    <w:right w:w="51" w:type="dxa"/>
                  </w:tcMar>
                  <w:vAlign w:val="center"/>
                </w:tcPr>
                <w:p w14:paraId="5AAADBAD">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center"/>
                    <w:textAlignment w:val="auto"/>
                    <w:rPr>
                      <w:rFonts w:hint="eastAsia" w:ascii="Times New Roman" w:hAnsi="Times New Roman" w:eastAsia="宋体" w:cs="Times New Roman"/>
                      <w:b/>
                      <w:bCs/>
                      <w:color w:val="auto"/>
                      <w:kern w:val="2"/>
                      <w:sz w:val="21"/>
                      <w:szCs w:val="21"/>
                    </w:rPr>
                  </w:pPr>
                  <w:r>
                    <w:rPr>
                      <w:rFonts w:hint="eastAsia" w:ascii="宋体" w:hAnsi="宋体" w:eastAsia="宋体" w:cs="宋体"/>
                      <w:b/>
                      <w:bCs/>
                      <w:color w:val="auto"/>
                      <w:kern w:val="2"/>
                      <w:sz w:val="21"/>
                      <w:szCs w:val="21"/>
                      <w:lang w:val="en-US" w:eastAsia="zh-CN" w:bidi="ar"/>
                    </w:rPr>
                    <w:t>符合性</w:t>
                  </w:r>
                </w:p>
              </w:tc>
            </w:tr>
            <w:tr w14:paraId="60F4250F">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878" w:type="dxa"/>
                  <w:vMerge w:val="restart"/>
                  <w:tcBorders>
                    <w:top w:val="single" w:color="auto" w:sz="4" w:space="0"/>
                    <w:left w:val="nil"/>
                    <w:bottom w:val="single" w:color="auto" w:sz="4" w:space="0"/>
                    <w:right w:val="single" w:color="auto" w:sz="4" w:space="0"/>
                  </w:tcBorders>
                  <w:noWrap w:val="0"/>
                  <w:tcMar>
                    <w:left w:w="51" w:type="dxa"/>
                    <w:right w:w="51" w:type="dxa"/>
                  </w:tcMar>
                  <w:vAlign w:val="center"/>
                </w:tcPr>
                <w:p w14:paraId="71C48E4B">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center"/>
                    <w:textAlignment w:val="auto"/>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重点管控单元</w:t>
                  </w:r>
                </w:p>
              </w:tc>
              <w:tc>
                <w:tcPr>
                  <w:tcW w:w="643" w:type="dxa"/>
                  <w:tcBorders>
                    <w:top w:val="single" w:color="auto" w:sz="4" w:space="0"/>
                    <w:left w:val="single" w:color="auto" w:sz="4" w:space="0"/>
                    <w:bottom w:val="single" w:color="auto" w:sz="4" w:space="0"/>
                    <w:right w:val="single" w:color="auto" w:sz="4" w:space="0"/>
                  </w:tcBorders>
                  <w:noWrap w:val="0"/>
                  <w:tcMar>
                    <w:left w:w="51" w:type="dxa"/>
                    <w:right w:w="51" w:type="dxa"/>
                  </w:tcMar>
                  <w:vAlign w:val="center"/>
                </w:tcPr>
                <w:p w14:paraId="54DBFDC1">
                  <w:pPr>
                    <w:keepNext w:val="0"/>
                    <w:keepLines w:val="0"/>
                    <w:pageBreakBefore w:val="0"/>
                    <w:widowControl w:val="0"/>
                    <w:suppressLineNumbers w:val="0"/>
                    <w:kinsoku/>
                    <w:wordWrap w:val="0"/>
                    <w:overflowPunct/>
                    <w:topLinePunct w:val="0"/>
                    <w:bidi w:val="0"/>
                    <w:spacing w:before="0" w:beforeAutospacing="0" w:after="0" w:afterAutospacing="0"/>
                    <w:ind w:left="0" w:right="0"/>
                    <w:jc w:val="center"/>
                    <w:textAlignment w:val="auto"/>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空间约束</w:t>
                  </w:r>
                </w:p>
              </w:tc>
              <w:tc>
                <w:tcPr>
                  <w:tcW w:w="4036" w:type="dxa"/>
                  <w:tcBorders>
                    <w:top w:val="single" w:color="auto" w:sz="4" w:space="0"/>
                    <w:left w:val="single" w:color="auto" w:sz="4" w:space="0"/>
                    <w:bottom w:val="single" w:color="auto" w:sz="4" w:space="0"/>
                    <w:right w:val="single" w:color="auto" w:sz="4" w:space="0"/>
                  </w:tcBorders>
                  <w:noWrap w:val="0"/>
                  <w:tcMar>
                    <w:left w:w="51" w:type="dxa"/>
                    <w:right w:w="51" w:type="dxa"/>
                  </w:tcMar>
                  <w:vAlign w:val="center"/>
                </w:tcPr>
                <w:p w14:paraId="076E2A84">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1.</w:t>
                  </w:r>
                  <w:r>
                    <w:rPr>
                      <w:rFonts w:hint="eastAsia" w:ascii="宋体" w:hAnsi="宋体" w:eastAsia="宋体" w:cs="宋体"/>
                      <w:color w:val="000000"/>
                      <w:kern w:val="2"/>
                      <w:sz w:val="21"/>
                      <w:szCs w:val="21"/>
                      <w:lang w:val="en-US" w:eastAsia="zh-CN" w:bidi="ar"/>
                    </w:rPr>
                    <w:t>鼓励钢铁冶炼项目依托现有生产基地集聚发展，鼓励新建焦化项目与钢铁、化工产业融合，促进区域减污降碳协同发展。</w:t>
                  </w:r>
                </w:p>
                <w:p w14:paraId="332B1CAB">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2.</w:t>
                  </w:r>
                  <w:r>
                    <w:rPr>
                      <w:rFonts w:hint="eastAsia" w:ascii="宋体" w:hAnsi="宋体" w:eastAsia="宋体" w:cs="宋体"/>
                      <w:color w:val="000000"/>
                      <w:kern w:val="2"/>
                      <w:sz w:val="21"/>
                      <w:szCs w:val="21"/>
                      <w:lang w:val="en-US" w:eastAsia="zh-CN" w:bidi="ar"/>
                    </w:rPr>
                    <w:t>鼓励再生铝企业靠近废铝资源聚集地区布局。</w:t>
                  </w:r>
                </w:p>
                <w:p w14:paraId="5980BBD8">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3.</w:t>
                  </w:r>
                  <w:r>
                    <w:rPr>
                      <w:rFonts w:hint="eastAsia" w:ascii="宋体" w:hAnsi="宋体" w:eastAsia="宋体" w:cs="宋体"/>
                      <w:color w:val="000000"/>
                      <w:kern w:val="2"/>
                      <w:sz w:val="21"/>
                      <w:szCs w:val="21"/>
                      <w:lang w:val="en-US" w:eastAsia="zh-CN" w:bidi="ar"/>
                    </w:rPr>
                    <w:t>根据国家产业政策、区域定位及环境特征等，建立差别化的产业准入要求，鼓励建设符合规划环评的项目。</w:t>
                  </w:r>
                </w:p>
                <w:p w14:paraId="497BFB95">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4.</w:t>
                  </w:r>
                  <w:r>
                    <w:rPr>
                      <w:rFonts w:hint="eastAsia" w:ascii="宋体" w:hAnsi="宋体" w:eastAsia="宋体" w:cs="宋体"/>
                      <w:color w:val="000000"/>
                      <w:kern w:val="2"/>
                      <w:sz w:val="21"/>
                      <w:szCs w:val="21"/>
                      <w:lang w:val="en-US" w:eastAsia="zh-CN" w:bidi="ar"/>
                    </w:rPr>
                    <w:t>强化环境准入约束，坚决遏制</w:t>
                  </w:r>
                  <w:r>
                    <w:rPr>
                      <w:rFonts w:hint="default" w:ascii="Times New Roman" w:hAnsi="Times New Roman" w:eastAsia="宋体" w:cs="Times New Roman"/>
                      <w:color w:val="000000"/>
                      <w:kern w:val="2"/>
                      <w:sz w:val="21"/>
                      <w:szCs w:val="21"/>
                      <w:lang w:val="en-US" w:eastAsia="zh-CN" w:bidi="ar"/>
                    </w:rPr>
                    <w:t>“</w:t>
                  </w:r>
                  <w:r>
                    <w:rPr>
                      <w:rFonts w:hint="eastAsia" w:ascii="宋体" w:hAnsi="宋体" w:eastAsia="宋体" w:cs="宋体"/>
                      <w:color w:val="000000"/>
                      <w:kern w:val="2"/>
                      <w:sz w:val="21"/>
                      <w:szCs w:val="21"/>
                      <w:lang w:val="en-US" w:eastAsia="zh-CN" w:bidi="ar"/>
                    </w:rPr>
                    <w:t>两高</w:t>
                  </w:r>
                  <w:r>
                    <w:rPr>
                      <w:rFonts w:hint="default" w:ascii="Times New Roman" w:hAnsi="Times New Roman" w:eastAsia="宋体" w:cs="Times New Roman"/>
                      <w:color w:val="000000"/>
                      <w:kern w:val="2"/>
                      <w:sz w:val="21"/>
                      <w:szCs w:val="21"/>
                      <w:lang w:val="en-US" w:eastAsia="zh-CN" w:bidi="ar"/>
                    </w:rPr>
                    <w:t>”</w:t>
                  </w:r>
                  <w:r>
                    <w:rPr>
                      <w:rFonts w:hint="eastAsia" w:ascii="宋体" w:hAnsi="宋体" w:eastAsia="宋体" w:cs="宋体"/>
                      <w:color w:val="000000"/>
                      <w:kern w:val="2"/>
                      <w:sz w:val="21"/>
                      <w:szCs w:val="21"/>
                      <w:lang w:val="en-US" w:eastAsia="zh-CN" w:bidi="ar"/>
                    </w:rPr>
                    <w:t>项目盲目发展，严把准入关口，对不符合规定的项目坚决停批停建。</w:t>
                  </w:r>
                </w:p>
                <w:p w14:paraId="44BE4AA1">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5.</w:t>
                  </w:r>
                  <w:r>
                    <w:rPr>
                      <w:rFonts w:hint="eastAsia" w:ascii="宋体" w:hAnsi="宋体" w:eastAsia="宋体" w:cs="宋体"/>
                      <w:color w:val="000000"/>
                      <w:kern w:val="2"/>
                      <w:sz w:val="21"/>
                      <w:szCs w:val="21"/>
                      <w:lang w:val="en-US" w:eastAsia="zh-CN" w:bidi="ar"/>
                    </w:rPr>
                    <w:t>加快城市建成区内重污染企业就地改造、退城入园、转型转产或关闭退出。</w:t>
                  </w:r>
                </w:p>
                <w:p w14:paraId="15931687">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6.</w:t>
                  </w:r>
                  <w:r>
                    <w:rPr>
                      <w:rFonts w:hint="eastAsia" w:ascii="宋体" w:hAnsi="宋体" w:eastAsia="宋体" w:cs="宋体"/>
                      <w:color w:val="000000"/>
                      <w:kern w:val="2"/>
                      <w:sz w:val="21"/>
                      <w:szCs w:val="21"/>
                      <w:lang w:val="en-US" w:eastAsia="zh-CN" w:bidi="ar"/>
                    </w:rPr>
                    <w:t>新建铜铅锌冶炼项目及新建、扩建石化、焦化、现代煤化工项目，应布设在依法合规设立的产业园区，并符合规划及规划环境影响评价要求。</w:t>
                  </w:r>
                </w:p>
                <w:p w14:paraId="2A58C6B0">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7.</w:t>
                  </w:r>
                  <w:r>
                    <w:rPr>
                      <w:rFonts w:hint="eastAsia" w:ascii="宋体" w:hAnsi="宋体" w:eastAsia="宋体" w:cs="宋体"/>
                      <w:color w:val="000000"/>
                      <w:kern w:val="2"/>
                      <w:sz w:val="21"/>
                      <w:szCs w:val="21"/>
                      <w:lang w:val="en-US" w:eastAsia="zh-CN" w:bidi="ar"/>
                    </w:rPr>
                    <w:t>将土壤环境要求纳入国土空间规划，根据土壤污染状况和风险合理规划土地用途。对列入建设用地土壤污染风险管控和修复名录的地块，不得作为住宅、公共管理与公共服务用地：不得办理土地征收、回购、收购、土地供应以及改变土地用途等手续。</w:t>
                  </w:r>
                </w:p>
                <w:p w14:paraId="3CBADB1E">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eastAsia" w:ascii="Times New Roman" w:hAnsi="Times New Roman" w:eastAsia="宋体" w:cs="Times New Roman"/>
                      <w:b/>
                      <w:bCs w:val="0"/>
                      <w:color w:val="000000"/>
                      <w:kern w:val="2"/>
                      <w:sz w:val="21"/>
                      <w:szCs w:val="21"/>
                    </w:rPr>
                  </w:pPr>
                  <w:r>
                    <w:rPr>
                      <w:rFonts w:hint="default" w:ascii="Times New Roman" w:hAnsi="Times New Roman" w:eastAsia="宋体" w:cs="Times New Roman"/>
                      <w:color w:val="000000"/>
                      <w:kern w:val="2"/>
                      <w:sz w:val="21"/>
                      <w:szCs w:val="21"/>
                      <w:lang w:val="en-US" w:eastAsia="zh-CN" w:bidi="ar"/>
                    </w:rPr>
                    <w:t>8.</w:t>
                  </w:r>
                  <w:r>
                    <w:rPr>
                      <w:rFonts w:hint="eastAsia" w:ascii="宋体" w:hAnsi="宋体" w:eastAsia="宋体" w:cs="宋体"/>
                      <w:color w:val="000000"/>
                      <w:kern w:val="2"/>
                      <w:sz w:val="21"/>
                      <w:szCs w:val="21"/>
                      <w:lang w:val="en-US" w:eastAsia="zh-CN" w:bidi="ar"/>
                    </w:rPr>
                    <w:t>在集中供热管网覆盖地区，禁止新建、扩建分散燃煤供热锅炉。</w:t>
                  </w:r>
                </w:p>
              </w:tc>
              <w:tc>
                <w:tcPr>
                  <w:tcW w:w="1768" w:type="dxa"/>
                  <w:tcBorders>
                    <w:top w:val="single" w:color="auto" w:sz="4" w:space="0"/>
                    <w:left w:val="single" w:color="auto" w:sz="4" w:space="0"/>
                    <w:bottom w:val="single" w:color="auto" w:sz="4" w:space="0"/>
                    <w:right w:val="single" w:color="auto" w:sz="4" w:space="0"/>
                  </w:tcBorders>
                  <w:noWrap w:val="0"/>
                  <w:tcMar>
                    <w:left w:w="51" w:type="dxa"/>
                    <w:right w:w="51" w:type="dxa"/>
                  </w:tcMar>
                  <w:vAlign w:val="center"/>
                </w:tcPr>
                <w:p w14:paraId="754CE655">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eastAsia" w:ascii="宋体" w:hAnsi="宋体" w:eastAsia="宋体" w:cs="宋体"/>
                      <w:color w:val="000000"/>
                      <w:kern w:val="2"/>
                      <w:sz w:val="21"/>
                      <w:szCs w:val="21"/>
                      <w:highlight w:val="none"/>
                      <w:lang w:val="en-US" w:eastAsia="zh-CN" w:bidi="ar"/>
                    </w:rPr>
                  </w:pPr>
                  <w:r>
                    <w:rPr>
                      <w:rFonts w:hint="default" w:ascii="Times New Roman" w:hAnsi="Times New Roman" w:eastAsia="宋体" w:cs="Times New Roman"/>
                      <w:bCs/>
                      <w:color w:val="000000"/>
                      <w:kern w:val="2"/>
                      <w:sz w:val="21"/>
                      <w:szCs w:val="21"/>
                      <w:highlight w:val="none"/>
                      <w:lang w:val="en-US" w:eastAsia="zh-CN" w:bidi="ar"/>
                    </w:rPr>
                    <w:t>1.</w:t>
                  </w:r>
                  <w:r>
                    <w:rPr>
                      <w:rFonts w:hint="eastAsia" w:ascii="宋体" w:hAnsi="宋体" w:eastAsia="宋体" w:cs="宋体"/>
                      <w:bCs/>
                      <w:color w:val="000000"/>
                      <w:kern w:val="2"/>
                      <w:sz w:val="21"/>
                      <w:szCs w:val="21"/>
                      <w:highlight w:val="none"/>
                      <w:lang w:val="en-US" w:eastAsia="zh-CN" w:bidi="ar"/>
                    </w:rPr>
                    <w:t>本项目为橡胶和塑料制品业，不属于钢铁冶炼、焦化项目</w:t>
                  </w:r>
                  <w:r>
                    <w:rPr>
                      <w:rFonts w:hint="eastAsia" w:ascii="宋体" w:hAnsi="宋体" w:eastAsia="宋体" w:cs="宋体"/>
                      <w:color w:val="000000"/>
                      <w:kern w:val="2"/>
                      <w:sz w:val="21"/>
                      <w:szCs w:val="21"/>
                      <w:highlight w:val="none"/>
                      <w:lang w:val="en-US" w:eastAsia="zh-CN" w:bidi="ar"/>
                    </w:rPr>
                    <w:t>。</w:t>
                  </w:r>
                </w:p>
                <w:p w14:paraId="5FF26C1A">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highlight w:val="none"/>
                      <w:lang w:val="en-US" w:eastAsia="zh-CN" w:bidi="ar"/>
                    </w:rPr>
                  </w:pPr>
                  <w:r>
                    <w:rPr>
                      <w:rFonts w:hint="default" w:ascii="Times New Roman" w:hAnsi="Times New Roman" w:cs="Times New Roman"/>
                      <w:color w:val="000000"/>
                      <w:kern w:val="2"/>
                      <w:sz w:val="21"/>
                      <w:szCs w:val="21"/>
                      <w:highlight w:val="none"/>
                      <w:lang w:val="en-US" w:eastAsia="zh-CN" w:bidi="ar"/>
                    </w:rPr>
                    <w:t>2.</w:t>
                  </w:r>
                  <w:r>
                    <w:rPr>
                      <w:rFonts w:hint="eastAsia" w:ascii="Times New Roman" w:hAnsi="Times New Roman" w:cs="Times New Roman"/>
                      <w:color w:val="000000"/>
                      <w:kern w:val="2"/>
                      <w:sz w:val="21"/>
                      <w:szCs w:val="21"/>
                      <w:highlight w:val="none"/>
                      <w:lang w:val="en-US" w:eastAsia="zh-CN" w:bidi="ar"/>
                    </w:rPr>
                    <w:t>本项目不属于再生铝企业。</w:t>
                  </w:r>
                </w:p>
                <w:p w14:paraId="74E8B3B6">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eastAsia"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3.</w:t>
                  </w:r>
                  <w:r>
                    <w:rPr>
                      <w:rFonts w:hint="eastAsia" w:ascii="宋体" w:hAnsi="宋体" w:eastAsia="宋体" w:cs="宋体"/>
                      <w:color w:val="000000"/>
                      <w:kern w:val="2"/>
                      <w:sz w:val="21"/>
                      <w:szCs w:val="21"/>
                      <w:highlight w:val="none"/>
                      <w:lang w:val="en-US" w:eastAsia="zh-CN" w:bidi="ar"/>
                    </w:rPr>
                    <w:t>本项目位于</w:t>
                  </w:r>
                  <w:r>
                    <w:rPr>
                      <w:rFonts w:hint="eastAsia" w:ascii="宋体" w:hAnsi="宋体" w:cs="宋体"/>
                      <w:color w:val="000000"/>
                      <w:kern w:val="2"/>
                      <w:sz w:val="21"/>
                      <w:szCs w:val="21"/>
                      <w:highlight w:val="none"/>
                      <w:lang w:val="en-US" w:eastAsia="zh-CN" w:bidi="ar"/>
                    </w:rPr>
                    <w:t>安阳市汤阴县汤阴县众品大道原色非家具厂院内</w:t>
                  </w:r>
                  <w:r>
                    <w:rPr>
                      <w:rFonts w:hint="eastAsia" w:ascii="宋体" w:hAnsi="宋体" w:eastAsia="宋体" w:cs="宋体"/>
                      <w:color w:val="000000"/>
                      <w:kern w:val="2"/>
                      <w:sz w:val="21"/>
                      <w:szCs w:val="21"/>
                      <w:highlight w:val="none"/>
                      <w:lang w:val="en-US" w:eastAsia="zh-CN" w:bidi="ar"/>
                    </w:rPr>
                    <w:t>，不属于禁止入驻项目。</w:t>
                  </w:r>
                </w:p>
                <w:p w14:paraId="0488515A">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eastAsia" w:ascii="宋体" w:hAnsi="宋体" w:eastAsia="宋体" w:cs="宋体"/>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4.</w:t>
                  </w:r>
                  <w:r>
                    <w:rPr>
                      <w:rFonts w:hint="eastAsia" w:ascii="宋体" w:hAnsi="宋体" w:eastAsia="宋体" w:cs="宋体"/>
                      <w:color w:val="000000"/>
                      <w:kern w:val="2"/>
                      <w:sz w:val="21"/>
                      <w:szCs w:val="21"/>
                      <w:highlight w:val="none"/>
                      <w:lang w:val="en-US" w:eastAsia="zh-CN" w:bidi="ar"/>
                    </w:rPr>
                    <w:t>本项目不属于“两高”项目。</w:t>
                  </w:r>
                </w:p>
                <w:p w14:paraId="1B97C05E">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eastAsia" w:ascii="宋体" w:hAnsi="宋体" w:eastAsia="宋体" w:cs="宋体"/>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5</w:t>
                  </w:r>
                  <w:r>
                    <w:rPr>
                      <w:rFonts w:hint="default" w:ascii="Times New Roman" w:hAnsi="Times New Roman" w:eastAsia="宋体" w:cs="Times New Roman"/>
                      <w:color w:val="auto"/>
                      <w:kern w:val="2"/>
                      <w:sz w:val="21"/>
                      <w:szCs w:val="21"/>
                      <w:highlight w:val="none"/>
                      <w:lang w:val="en-US" w:eastAsia="zh-CN" w:bidi="ar"/>
                    </w:rPr>
                    <w:t>.</w:t>
                  </w:r>
                  <w:r>
                    <w:rPr>
                      <w:rFonts w:hint="eastAsia" w:ascii="宋体" w:hAnsi="宋体" w:eastAsia="宋体" w:cs="宋体"/>
                      <w:color w:val="auto"/>
                      <w:kern w:val="2"/>
                      <w:sz w:val="21"/>
                      <w:szCs w:val="21"/>
                      <w:highlight w:val="none"/>
                      <w:lang w:val="en-US" w:eastAsia="zh-CN" w:bidi="ar"/>
                    </w:rPr>
                    <w:t>本项目位于</w:t>
                  </w:r>
                  <w:r>
                    <w:rPr>
                      <w:rFonts w:hint="eastAsia" w:ascii="宋体" w:hAnsi="宋体" w:cs="宋体"/>
                      <w:color w:val="auto"/>
                      <w:kern w:val="2"/>
                      <w:sz w:val="21"/>
                      <w:szCs w:val="21"/>
                      <w:highlight w:val="none"/>
                      <w:lang w:val="en-US" w:eastAsia="zh-CN" w:bidi="ar"/>
                    </w:rPr>
                    <w:t>安阳市汤阴县汤阴县众品大道原色非家具厂院内</w:t>
                  </w:r>
                  <w:r>
                    <w:rPr>
                      <w:rFonts w:hint="eastAsia" w:ascii="宋体" w:hAnsi="宋体" w:eastAsia="宋体" w:cs="宋体"/>
                      <w:color w:val="auto"/>
                      <w:kern w:val="2"/>
                      <w:sz w:val="21"/>
                      <w:szCs w:val="21"/>
                      <w:highlight w:val="none"/>
                      <w:lang w:val="en-US" w:eastAsia="zh-CN" w:bidi="ar"/>
                    </w:rPr>
                    <w:t>，</w:t>
                  </w:r>
                  <w:r>
                    <w:rPr>
                      <w:rFonts w:hint="eastAsia" w:ascii="宋体" w:hAnsi="宋体" w:cs="宋体"/>
                      <w:color w:val="auto"/>
                      <w:kern w:val="2"/>
                      <w:sz w:val="21"/>
                      <w:szCs w:val="21"/>
                      <w:highlight w:val="none"/>
                      <w:lang w:val="en-US" w:eastAsia="zh-CN" w:bidi="ar"/>
                    </w:rPr>
                    <w:t>位于汤阴高新技术产业开发区内</w:t>
                  </w:r>
                  <w:r>
                    <w:rPr>
                      <w:rFonts w:hint="eastAsia" w:ascii="宋体" w:hAnsi="宋体" w:eastAsia="宋体" w:cs="宋体"/>
                      <w:color w:val="auto"/>
                      <w:kern w:val="2"/>
                      <w:sz w:val="21"/>
                      <w:szCs w:val="21"/>
                      <w:highlight w:val="none"/>
                      <w:lang w:val="en-US" w:eastAsia="zh-CN" w:bidi="ar"/>
                    </w:rPr>
                    <w:t>。</w:t>
                  </w:r>
                </w:p>
                <w:p w14:paraId="16F1D0C5">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6.</w:t>
                  </w:r>
                  <w:r>
                    <w:rPr>
                      <w:rFonts w:hint="eastAsia" w:ascii="宋体" w:hAnsi="宋体" w:eastAsia="宋体" w:cs="宋体"/>
                      <w:color w:val="000000"/>
                      <w:kern w:val="2"/>
                      <w:sz w:val="21"/>
                      <w:szCs w:val="21"/>
                      <w:highlight w:val="none"/>
                      <w:lang w:val="en-US" w:eastAsia="zh-CN" w:bidi="ar"/>
                    </w:rPr>
                    <w:t>本项目不涉及前述行业。</w:t>
                  </w:r>
                </w:p>
                <w:p w14:paraId="7F8E6500">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highlight w:val="none"/>
                    </w:rPr>
                  </w:pPr>
                  <w:r>
                    <w:rPr>
                      <w:rFonts w:hint="default" w:ascii="Times New Roman" w:hAnsi="Times New Roman" w:eastAsia="宋体" w:cs="Times New Roman"/>
                      <w:color w:val="000000"/>
                      <w:kern w:val="2"/>
                      <w:sz w:val="21"/>
                      <w:szCs w:val="21"/>
                      <w:highlight w:val="none"/>
                      <w:lang w:val="en-US" w:eastAsia="zh-CN" w:bidi="ar"/>
                    </w:rPr>
                    <w:t>7.</w:t>
                  </w:r>
                  <w:r>
                    <w:rPr>
                      <w:rFonts w:hint="eastAsia" w:ascii="宋体" w:hAnsi="宋体" w:eastAsia="宋体" w:cs="宋体"/>
                      <w:color w:val="000000"/>
                      <w:kern w:val="2"/>
                      <w:sz w:val="21"/>
                      <w:szCs w:val="21"/>
                      <w:highlight w:val="none"/>
                      <w:lang w:val="en-US" w:eastAsia="zh-CN" w:bidi="ar"/>
                    </w:rPr>
                    <w:t>不涉及。</w:t>
                  </w:r>
                </w:p>
                <w:p w14:paraId="59AB22D3">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highlight w:val="yellow"/>
                    </w:rPr>
                  </w:pPr>
                  <w:r>
                    <w:rPr>
                      <w:rFonts w:hint="default" w:ascii="Times New Roman" w:hAnsi="Times New Roman" w:eastAsia="宋体" w:cs="Times New Roman"/>
                      <w:color w:val="000000"/>
                      <w:kern w:val="2"/>
                      <w:sz w:val="21"/>
                      <w:szCs w:val="21"/>
                      <w:highlight w:val="none"/>
                      <w:lang w:val="en-US" w:eastAsia="zh-CN" w:bidi="ar"/>
                    </w:rPr>
                    <w:t>8.</w:t>
                  </w:r>
                  <w:r>
                    <w:rPr>
                      <w:rFonts w:hint="eastAsia" w:ascii="宋体" w:hAnsi="宋体" w:eastAsia="宋体" w:cs="宋体"/>
                      <w:color w:val="000000"/>
                      <w:kern w:val="2"/>
                      <w:sz w:val="21"/>
                      <w:szCs w:val="21"/>
                      <w:highlight w:val="none"/>
                      <w:lang w:val="en-US" w:eastAsia="zh-CN" w:bidi="ar"/>
                    </w:rPr>
                    <w:t>本项目不涉及新建、扩建分散燃煤供热锅炉。</w:t>
                  </w:r>
                </w:p>
              </w:tc>
              <w:tc>
                <w:tcPr>
                  <w:tcW w:w="591" w:type="dxa"/>
                  <w:tcBorders>
                    <w:top w:val="single" w:color="auto" w:sz="4" w:space="0"/>
                    <w:left w:val="single" w:color="auto" w:sz="4" w:space="0"/>
                    <w:bottom w:val="single" w:color="auto" w:sz="4" w:space="0"/>
                    <w:right w:val="nil"/>
                  </w:tcBorders>
                  <w:noWrap w:val="0"/>
                  <w:tcMar>
                    <w:left w:w="51" w:type="dxa"/>
                    <w:right w:w="51" w:type="dxa"/>
                  </w:tcMar>
                  <w:vAlign w:val="center"/>
                </w:tcPr>
                <w:p w14:paraId="1889C940">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center"/>
                    <w:textAlignment w:val="auto"/>
                    <w:rPr>
                      <w:rFonts w:hint="eastAsia" w:ascii="Times New Roman" w:hAnsi="Times New Roman" w:eastAsia="宋体" w:cs="Times New Roman"/>
                      <w:b/>
                      <w:bCs w:val="0"/>
                      <w:color w:val="auto"/>
                      <w:kern w:val="2"/>
                      <w:sz w:val="21"/>
                      <w:szCs w:val="21"/>
                    </w:rPr>
                  </w:pPr>
                  <w:r>
                    <w:rPr>
                      <w:rFonts w:hint="eastAsia" w:ascii="宋体" w:hAnsi="宋体" w:eastAsia="宋体" w:cs="宋体"/>
                      <w:bCs/>
                      <w:color w:val="auto"/>
                      <w:kern w:val="2"/>
                      <w:sz w:val="21"/>
                      <w:szCs w:val="21"/>
                      <w:lang w:val="en-US" w:eastAsia="zh-CN" w:bidi="ar"/>
                    </w:rPr>
                    <w:t>符合</w:t>
                  </w:r>
                </w:p>
              </w:tc>
            </w:tr>
            <w:tr w14:paraId="4BEBEF66">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878" w:type="dxa"/>
                  <w:vMerge w:val="continue"/>
                  <w:tcBorders>
                    <w:top w:val="single" w:color="auto" w:sz="4" w:space="0"/>
                    <w:left w:val="nil"/>
                    <w:bottom w:val="single" w:color="auto" w:sz="4" w:space="0"/>
                    <w:right w:val="single" w:color="auto" w:sz="4" w:space="0"/>
                  </w:tcBorders>
                  <w:noWrap w:val="0"/>
                  <w:tcMar>
                    <w:left w:w="51" w:type="dxa"/>
                    <w:right w:w="51" w:type="dxa"/>
                  </w:tcMar>
                  <w:vAlign w:val="center"/>
                </w:tcPr>
                <w:p w14:paraId="42E9A9E6">
                  <w:pPr>
                    <w:keepNext w:val="0"/>
                    <w:keepLines w:val="0"/>
                    <w:pageBreakBefore w:val="0"/>
                    <w:widowControl w:val="0"/>
                    <w:suppressLineNumbers w:val="0"/>
                    <w:kinsoku/>
                    <w:wordWrap w:val="0"/>
                    <w:overflowPunct/>
                    <w:topLinePunct w:val="0"/>
                    <w:bidi w:val="0"/>
                    <w:spacing w:before="0" w:beforeAutospacing="0" w:after="0" w:afterAutospacing="0"/>
                    <w:ind w:left="0" w:right="0"/>
                    <w:textAlignment w:val="auto"/>
                    <w:rPr>
                      <w:rFonts w:hint="default" w:ascii="Calibri" w:hAnsi="Calibri" w:eastAsia="宋体" w:cs="Times New Roman"/>
                      <w:color w:val="auto"/>
                      <w:kern w:val="2"/>
                      <w:sz w:val="21"/>
                      <w:szCs w:val="21"/>
                    </w:rPr>
                  </w:pPr>
                </w:p>
              </w:tc>
              <w:tc>
                <w:tcPr>
                  <w:tcW w:w="643" w:type="dxa"/>
                  <w:tcBorders>
                    <w:top w:val="single" w:color="auto" w:sz="4" w:space="0"/>
                    <w:left w:val="single" w:color="auto" w:sz="4" w:space="0"/>
                    <w:bottom w:val="single" w:color="auto" w:sz="4" w:space="0"/>
                    <w:right w:val="single" w:color="auto" w:sz="4" w:space="0"/>
                  </w:tcBorders>
                  <w:noWrap w:val="0"/>
                  <w:tcMar>
                    <w:left w:w="51" w:type="dxa"/>
                    <w:right w:w="51" w:type="dxa"/>
                  </w:tcMar>
                  <w:vAlign w:val="center"/>
                </w:tcPr>
                <w:p w14:paraId="5A1F867E">
                  <w:pPr>
                    <w:keepNext w:val="0"/>
                    <w:keepLines w:val="0"/>
                    <w:pageBreakBefore w:val="0"/>
                    <w:widowControl w:val="0"/>
                    <w:suppressLineNumbers w:val="0"/>
                    <w:kinsoku/>
                    <w:wordWrap w:val="0"/>
                    <w:overflowPunct/>
                    <w:topLinePunct w:val="0"/>
                    <w:bidi w:val="0"/>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污染物排放管控</w:t>
                  </w:r>
                </w:p>
              </w:tc>
              <w:tc>
                <w:tcPr>
                  <w:tcW w:w="4036" w:type="dxa"/>
                  <w:tcBorders>
                    <w:top w:val="single" w:color="auto" w:sz="4" w:space="0"/>
                    <w:left w:val="single" w:color="auto" w:sz="4" w:space="0"/>
                    <w:bottom w:val="single" w:color="auto" w:sz="4" w:space="0"/>
                    <w:right w:val="single" w:color="auto" w:sz="4" w:space="0"/>
                  </w:tcBorders>
                  <w:noWrap w:val="0"/>
                  <w:tcMar>
                    <w:left w:w="51" w:type="dxa"/>
                    <w:right w:w="51" w:type="dxa"/>
                  </w:tcMar>
                  <w:vAlign w:val="center"/>
                </w:tcPr>
                <w:p w14:paraId="50BEBC27">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1.</w:t>
                  </w:r>
                  <w:r>
                    <w:rPr>
                      <w:rFonts w:hint="eastAsia" w:ascii="宋体" w:hAnsi="宋体" w:eastAsia="宋体" w:cs="宋体"/>
                      <w:color w:val="000000"/>
                      <w:kern w:val="2"/>
                      <w:sz w:val="21"/>
                      <w:szCs w:val="21"/>
                      <w:lang w:val="en-US" w:eastAsia="zh-CN" w:bidi="ar"/>
                    </w:rPr>
                    <w:t>严格实施污染物总量控制制度，落实污染物排放限值及控制要求，根据区域环境质量改善目标，削减污染物排放总量。</w:t>
                  </w:r>
                </w:p>
                <w:p w14:paraId="5125526D">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2.</w:t>
                  </w:r>
                  <w:r>
                    <w:rPr>
                      <w:rFonts w:hint="eastAsia" w:ascii="宋体" w:hAnsi="宋体" w:eastAsia="宋体" w:cs="宋体"/>
                      <w:color w:val="000000"/>
                      <w:kern w:val="2"/>
                      <w:sz w:val="21"/>
                      <w:szCs w:val="21"/>
                      <w:lang w:val="en-US" w:eastAsia="zh-CN" w:bidi="ar"/>
                    </w:rPr>
                    <w:t>强化项目环评及</w:t>
                  </w:r>
                  <w:r>
                    <w:rPr>
                      <w:rFonts w:hint="default" w:ascii="Times New Roman" w:hAnsi="Times New Roman" w:eastAsia="宋体" w:cs="Times New Roman"/>
                      <w:color w:val="000000"/>
                      <w:kern w:val="2"/>
                      <w:sz w:val="21"/>
                      <w:szCs w:val="21"/>
                      <w:lang w:val="en-US" w:eastAsia="zh-CN" w:bidi="ar"/>
                    </w:rPr>
                    <w:t>“</w:t>
                  </w:r>
                  <w:r>
                    <w:rPr>
                      <w:rFonts w:hint="eastAsia" w:ascii="宋体" w:hAnsi="宋体" w:eastAsia="宋体" w:cs="宋体"/>
                      <w:color w:val="000000"/>
                      <w:kern w:val="2"/>
                      <w:sz w:val="21"/>
                      <w:szCs w:val="21"/>
                      <w:lang w:val="en-US" w:eastAsia="zh-CN" w:bidi="ar"/>
                    </w:rPr>
                    <w:t>三同时</w:t>
                  </w:r>
                  <w:r>
                    <w:rPr>
                      <w:rFonts w:hint="default" w:ascii="Times New Roman" w:hAnsi="Times New Roman" w:eastAsia="宋体" w:cs="Times New Roman"/>
                      <w:color w:val="000000"/>
                      <w:kern w:val="2"/>
                      <w:sz w:val="21"/>
                      <w:szCs w:val="21"/>
                      <w:lang w:val="en-US" w:eastAsia="zh-CN" w:bidi="ar"/>
                    </w:rPr>
                    <w:t>”</w:t>
                  </w:r>
                  <w:r>
                    <w:rPr>
                      <w:rFonts w:hint="eastAsia" w:ascii="宋体" w:hAnsi="宋体" w:eastAsia="宋体" w:cs="宋体"/>
                      <w:color w:val="000000"/>
                      <w:kern w:val="2"/>
                      <w:sz w:val="21"/>
                      <w:szCs w:val="21"/>
                      <w:lang w:val="en-US" w:eastAsia="zh-CN" w:bidi="ar"/>
                    </w:rPr>
                    <w:t>管理，新建、扩建</w:t>
                  </w:r>
                  <w:r>
                    <w:rPr>
                      <w:rFonts w:hint="default" w:ascii="Times New Roman" w:hAnsi="Times New Roman" w:eastAsia="宋体" w:cs="Times New Roman"/>
                      <w:color w:val="000000"/>
                      <w:kern w:val="2"/>
                      <w:sz w:val="21"/>
                      <w:szCs w:val="21"/>
                      <w:lang w:val="en-US" w:eastAsia="zh-CN" w:bidi="ar"/>
                    </w:rPr>
                    <w:t>“</w:t>
                  </w:r>
                  <w:r>
                    <w:rPr>
                      <w:rFonts w:hint="eastAsia" w:ascii="宋体" w:hAnsi="宋体" w:eastAsia="宋体" w:cs="宋体"/>
                      <w:color w:val="000000"/>
                      <w:kern w:val="2"/>
                      <w:sz w:val="21"/>
                      <w:szCs w:val="21"/>
                      <w:lang w:val="en-US" w:eastAsia="zh-CN" w:bidi="ar"/>
                    </w:rPr>
                    <w:t>两高</w:t>
                  </w:r>
                  <w:r>
                    <w:rPr>
                      <w:rFonts w:hint="default" w:ascii="Times New Roman" w:hAnsi="Times New Roman" w:eastAsia="宋体" w:cs="Times New Roman"/>
                      <w:color w:val="000000"/>
                      <w:kern w:val="2"/>
                      <w:sz w:val="21"/>
                      <w:szCs w:val="21"/>
                      <w:lang w:val="en-US" w:eastAsia="zh-CN" w:bidi="ar"/>
                    </w:rPr>
                    <w:t>”</w:t>
                  </w:r>
                  <w:r>
                    <w:rPr>
                      <w:rFonts w:hint="eastAsia" w:ascii="宋体" w:hAnsi="宋体" w:eastAsia="宋体" w:cs="宋体"/>
                      <w:color w:val="000000"/>
                      <w:kern w:val="2"/>
                      <w:sz w:val="21"/>
                      <w:szCs w:val="21"/>
                      <w:lang w:val="en-US" w:eastAsia="zh-CN" w:bidi="ar"/>
                    </w:rPr>
                    <w:t>项目应采用先进的工艺技术和装备，单位产品污染物排放强度应达到清洁生产先进水平，国家、省绩效分级重点行业新建、扩建项目达到</w:t>
                  </w:r>
                  <w:r>
                    <w:rPr>
                      <w:rFonts w:hint="default" w:ascii="Times New Roman" w:hAnsi="Times New Roman" w:eastAsia="宋体" w:cs="Times New Roman"/>
                      <w:color w:val="000000"/>
                      <w:kern w:val="2"/>
                      <w:sz w:val="21"/>
                      <w:szCs w:val="21"/>
                      <w:lang w:val="en-US" w:eastAsia="zh-CN" w:bidi="ar"/>
                    </w:rPr>
                    <w:t>A</w:t>
                  </w:r>
                  <w:r>
                    <w:rPr>
                      <w:rFonts w:hint="eastAsia" w:ascii="宋体" w:hAnsi="宋体" w:eastAsia="宋体" w:cs="宋体"/>
                      <w:color w:val="000000"/>
                      <w:kern w:val="2"/>
                      <w:sz w:val="21"/>
                      <w:szCs w:val="21"/>
                      <w:lang w:val="en-US" w:eastAsia="zh-CN" w:bidi="ar"/>
                    </w:rPr>
                    <w:t>级水平，改建项目达到</w:t>
                  </w:r>
                  <w:r>
                    <w:rPr>
                      <w:rFonts w:hint="default" w:ascii="Times New Roman" w:hAnsi="Times New Roman" w:eastAsia="宋体" w:cs="Times New Roman"/>
                      <w:color w:val="000000"/>
                      <w:kern w:val="2"/>
                      <w:sz w:val="21"/>
                      <w:szCs w:val="21"/>
                      <w:lang w:val="en-US" w:eastAsia="zh-CN" w:bidi="ar"/>
                    </w:rPr>
                    <w:t>B</w:t>
                  </w:r>
                  <w:r>
                    <w:rPr>
                      <w:rFonts w:hint="eastAsia" w:ascii="宋体" w:hAnsi="宋体" w:eastAsia="宋体" w:cs="宋体"/>
                      <w:color w:val="000000"/>
                      <w:kern w:val="2"/>
                      <w:sz w:val="21"/>
                      <w:szCs w:val="21"/>
                      <w:lang w:val="en-US" w:eastAsia="zh-CN" w:bidi="ar"/>
                    </w:rPr>
                    <w:t>级以上水平。</w:t>
                  </w:r>
                </w:p>
                <w:p w14:paraId="447FB79D">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3.</w:t>
                  </w:r>
                  <w:r>
                    <w:rPr>
                      <w:rFonts w:hint="eastAsia" w:ascii="宋体" w:hAnsi="宋体" w:eastAsia="宋体" w:cs="宋体"/>
                      <w:color w:val="000000"/>
                      <w:kern w:val="2"/>
                      <w:sz w:val="21"/>
                      <w:szCs w:val="21"/>
                      <w:lang w:val="en-US" w:eastAsia="zh-CN" w:bidi="ar"/>
                    </w:rPr>
                    <w:t>以钢铁、焦化、铸造、建材、有色、石化、化工、工业涂装、包装印刷、电镀、制革、石油开采、造纸、纺织印染、农副食品加工等行业为重点，开展全流程清洁化、循环化、低碳化改造；加快推进钢铁、水泥、焦化行业超低排放改造。</w:t>
                  </w:r>
                </w:p>
                <w:p w14:paraId="6D01C98A">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4.</w:t>
                  </w:r>
                  <w:r>
                    <w:rPr>
                      <w:rFonts w:hint="eastAsia" w:ascii="宋体" w:hAnsi="宋体" w:eastAsia="宋体" w:cs="宋体"/>
                      <w:color w:val="000000"/>
                      <w:kern w:val="2"/>
                      <w:sz w:val="21"/>
                      <w:szCs w:val="21"/>
                      <w:lang w:val="en-US" w:eastAsia="zh-CN" w:bidi="ar"/>
                    </w:rPr>
                    <w:t>深入推进低挥发性有机物含量原辅材料源头替代，全面推广使用低挥发性有机物含量的涂料、油墨、胶粘剂、清洗剂等新兴原辅材料。</w:t>
                  </w:r>
                </w:p>
                <w:p w14:paraId="4880CFF6">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default"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5.</w:t>
                  </w:r>
                  <w:r>
                    <w:rPr>
                      <w:rFonts w:hint="eastAsia" w:ascii="宋体" w:hAnsi="宋体" w:eastAsia="宋体" w:cs="宋体"/>
                      <w:color w:val="000000"/>
                      <w:kern w:val="2"/>
                      <w:sz w:val="21"/>
                      <w:szCs w:val="21"/>
                      <w:lang w:val="en-US" w:eastAsia="zh-CN" w:bidi="ar"/>
                    </w:rPr>
                    <w:t>采矿项目矿井涌水应尽可能回用生产或综合利用，外排矿井涌水应满足受纳水体水功能区划和控制断面水质要求：选厂的生产废水及初期雨水、矿石及废石场的淋溶水、尾矿库澄清水及渗滤水应收集回用，不外排。</w:t>
                  </w:r>
                </w:p>
                <w:p w14:paraId="66AEBBC1">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eastAsia" w:ascii="Times New Roman" w:hAnsi="Times New Roman" w:eastAsia="宋体" w:cs="Times New Roman"/>
                      <w:color w:val="000000"/>
                      <w:kern w:val="2"/>
                      <w:sz w:val="21"/>
                      <w:szCs w:val="21"/>
                    </w:rPr>
                  </w:pPr>
                  <w:r>
                    <w:rPr>
                      <w:rFonts w:hint="default" w:ascii="Times New Roman" w:hAnsi="Times New Roman" w:eastAsia="宋体" w:cs="Times New Roman"/>
                      <w:color w:val="000000"/>
                      <w:kern w:val="2"/>
                      <w:sz w:val="21"/>
                      <w:szCs w:val="21"/>
                      <w:lang w:val="en-US" w:eastAsia="zh-CN" w:bidi="ar"/>
                    </w:rPr>
                    <w:t>6.</w:t>
                  </w:r>
                  <w:r>
                    <w:rPr>
                      <w:rFonts w:hint="eastAsia" w:ascii="宋体" w:hAnsi="宋体" w:eastAsia="宋体" w:cs="宋体"/>
                      <w:color w:val="000000"/>
                      <w:kern w:val="2"/>
                      <w:sz w:val="21"/>
                      <w:szCs w:val="21"/>
                      <w:lang w:val="en-US" w:eastAsia="zh-CN" w:bidi="ar"/>
                    </w:rPr>
                    <w:t>新建、扩建开发区、工业园区同步规划建设污水收集和集中处理设施，强化工业废水处理设施运行管理，确保稳定达标排放；按照“减量化、稳定化、无害化、资源化”要求，加快城镇污水处理厂污泥处理设施建设，新建污水处理厂必须有明确的污泥处置途径；依法查处取缔非法污泥堆放点，禁止重金属等污染物不达标的污泥进行土地利用。</w:t>
                  </w:r>
                </w:p>
              </w:tc>
              <w:tc>
                <w:tcPr>
                  <w:tcW w:w="1768" w:type="dxa"/>
                  <w:tcBorders>
                    <w:top w:val="single" w:color="auto" w:sz="4" w:space="0"/>
                    <w:left w:val="single" w:color="auto" w:sz="4" w:space="0"/>
                    <w:bottom w:val="single" w:color="auto" w:sz="4" w:space="0"/>
                    <w:right w:val="single" w:color="auto" w:sz="4" w:space="0"/>
                  </w:tcBorders>
                  <w:noWrap w:val="0"/>
                  <w:tcMar>
                    <w:left w:w="51" w:type="dxa"/>
                    <w:right w:w="51" w:type="dxa"/>
                  </w:tcMar>
                  <w:vAlign w:val="center"/>
                </w:tcPr>
                <w:p w14:paraId="11E8A4B7">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eastAsia" w:ascii="Times New Roman" w:hAnsi="Times New Roman" w:eastAsia="宋体" w:cs="Times New Roman"/>
                      <w:bCs/>
                      <w:color w:val="auto"/>
                      <w:kern w:val="2"/>
                      <w:sz w:val="21"/>
                      <w:szCs w:val="21"/>
                      <w:highlight w:val="none"/>
                    </w:rPr>
                  </w:pPr>
                  <w:r>
                    <w:rPr>
                      <w:rFonts w:hint="default" w:ascii="Times New Roman" w:hAnsi="Times New Roman" w:eastAsia="宋体" w:cs="Times New Roman"/>
                      <w:bCs/>
                      <w:color w:val="auto"/>
                      <w:kern w:val="2"/>
                      <w:sz w:val="21"/>
                      <w:szCs w:val="21"/>
                      <w:highlight w:val="none"/>
                      <w:lang w:val="en-US" w:eastAsia="zh-CN" w:bidi="ar"/>
                    </w:rPr>
                    <w:t>1.</w:t>
                  </w:r>
                  <w:r>
                    <w:rPr>
                      <w:rFonts w:hint="eastAsia" w:ascii="宋体" w:hAnsi="宋体" w:eastAsia="宋体" w:cs="宋体"/>
                      <w:bCs/>
                      <w:color w:val="auto"/>
                      <w:kern w:val="2"/>
                      <w:sz w:val="21"/>
                      <w:szCs w:val="21"/>
                      <w:highlight w:val="none"/>
                      <w:lang w:val="en-US" w:eastAsia="zh-CN" w:bidi="ar"/>
                    </w:rPr>
                    <w:t>本项目</w:t>
                  </w:r>
                  <w:r>
                    <w:rPr>
                      <w:rFonts w:hint="eastAsia" w:ascii="宋体" w:hAnsi="宋体" w:cs="宋体"/>
                      <w:bCs/>
                      <w:color w:val="auto"/>
                      <w:kern w:val="2"/>
                      <w:sz w:val="21"/>
                      <w:szCs w:val="21"/>
                      <w:highlight w:val="none"/>
                      <w:lang w:val="en-US" w:eastAsia="zh-CN" w:bidi="ar"/>
                    </w:rPr>
                    <w:t>废气</w:t>
                  </w:r>
                  <w:r>
                    <w:rPr>
                      <w:rFonts w:hint="eastAsia" w:ascii="宋体" w:hAnsi="宋体" w:eastAsia="宋体" w:cs="宋体"/>
                      <w:bCs/>
                      <w:color w:val="auto"/>
                      <w:kern w:val="2"/>
                      <w:sz w:val="21"/>
                      <w:szCs w:val="21"/>
                      <w:highlight w:val="none"/>
                      <w:lang w:val="en-US" w:eastAsia="zh-CN" w:bidi="ar"/>
                    </w:rPr>
                    <w:t>污染物排放量实行倍量替代</w:t>
                  </w:r>
                  <w:r>
                    <w:rPr>
                      <w:rFonts w:hint="eastAsia" w:ascii="宋体" w:hAnsi="宋体" w:cs="宋体"/>
                      <w:bCs/>
                      <w:color w:val="0070C0"/>
                      <w:kern w:val="2"/>
                      <w:sz w:val="21"/>
                      <w:szCs w:val="21"/>
                      <w:highlight w:val="none"/>
                      <w:lang w:val="en-US" w:eastAsia="zh-CN" w:bidi="ar"/>
                    </w:rPr>
                    <w:t>，</w:t>
                  </w:r>
                  <w:r>
                    <w:rPr>
                      <w:rFonts w:hint="eastAsia" w:ascii="宋体" w:hAnsi="宋体" w:cs="宋体"/>
                      <w:bCs/>
                      <w:color w:val="auto"/>
                      <w:kern w:val="2"/>
                      <w:sz w:val="21"/>
                      <w:szCs w:val="21"/>
                      <w:highlight w:val="none"/>
                      <w:lang w:val="en-US" w:eastAsia="zh-CN" w:bidi="ar"/>
                    </w:rPr>
                    <w:t>废水污染物实行等量替代</w:t>
                  </w:r>
                  <w:r>
                    <w:rPr>
                      <w:rFonts w:hint="eastAsia" w:ascii="宋体" w:hAnsi="宋体" w:eastAsia="宋体" w:cs="宋体"/>
                      <w:bCs/>
                      <w:color w:val="auto"/>
                      <w:kern w:val="2"/>
                      <w:sz w:val="21"/>
                      <w:szCs w:val="21"/>
                      <w:highlight w:val="none"/>
                      <w:lang w:val="en-US" w:eastAsia="zh-CN" w:bidi="ar"/>
                    </w:rPr>
                    <w:t>。</w:t>
                  </w:r>
                </w:p>
                <w:p w14:paraId="69B48D9E">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eastAsia" w:ascii="Times New Roman" w:hAnsi="Times New Roman" w:eastAsia="宋体" w:cs="Times New Roman"/>
                      <w:bCs/>
                      <w:color w:val="auto"/>
                      <w:kern w:val="2"/>
                      <w:sz w:val="21"/>
                      <w:szCs w:val="21"/>
                      <w:highlight w:val="none"/>
                    </w:rPr>
                  </w:pPr>
                  <w:r>
                    <w:rPr>
                      <w:rFonts w:hint="default" w:ascii="Times New Roman" w:hAnsi="Times New Roman" w:eastAsia="宋体" w:cs="Times New Roman"/>
                      <w:bCs/>
                      <w:color w:val="auto"/>
                      <w:kern w:val="2"/>
                      <w:sz w:val="21"/>
                      <w:szCs w:val="21"/>
                      <w:highlight w:val="none"/>
                      <w:lang w:val="en-US" w:eastAsia="zh-CN" w:bidi="ar"/>
                    </w:rPr>
                    <w:t>2.</w:t>
                  </w:r>
                  <w:r>
                    <w:rPr>
                      <w:rFonts w:hint="eastAsia" w:ascii="宋体" w:hAnsi="宋体" w:eastAsia="宋体" w:cs="宋体"/>
                      <w:bCs/>
                      <w:color w:val="auto"/>
                      <w:kern w:val="2"/>
                      <w:sz w:val="21"/>
                      <w:szCs w:val="21"/>
                      <w:highlight w:val="none"/>
                      <w:lang w:val="en-US" w:eastAsia="zh-CN" w:bidi="ar"/>
                    </w:rPr>
                    <w:t>本项目将严格执行“三同时”管理，本项目为橡胶和塑料制品业，不属于“两高”项目，</w:t>
                  </w:r>
                  <w:r>
                    <w:rPr>
                      <w:rFonts w:hint="default" w:ascii="Times New Roman" w:hAnsi="Times New Roman" w:cs="Times New Roman"/>
                      <w:bCs/>
                      <w:color w:val="auto"/>
                      <w:kern w:val="2"/>
                      <w:sz w:val="21"/>
                      <w:szCs w:val="21"/>
                      <w:highlight w:val="none"/>
                      <w:lang w:val="en-US" w:eastAsia="zh-CN" w:bidi="ar"/>
                    </w:rPr>
                    <w:t>项目按</w:t>
                  </w:r>
                  <w:r>
                    <w:rPr>
                      <w:rFonts w:hint="default" w:ascii="Times New Roman" w:hAnsi="Times New Roman" w:eastAsia="宋体" w:cs="Times New Roman"/>
                      <w:bCs/>
                      <w:color w:val="auto"/>
                      <w:kern w:val="2"/>
                      <w:sz w:val="21"/>
                      <w:szCs w:val="21"/>
                      <w:highlight w:val="none"/>
                      <w:lang w:val="en-US" w:eastAsia="zh-CN" w:bidi="ar"/>
                    </w:rPr>
                    <w:t>照《河南省重污染天气重点行业应急减排措施制定技术指南（2024年版）》中塑料制品行业企业A级指标要求</w:t>
                  </w:r>
                  <w:r>
                    <w:rPr>
                      <w:rFonts w:hint="eastAsia" w:cs="Times New Roman"/>
                      <w:bCs/>
                      <w:color w:val="auto"/>
                      <w:kern w:val="2"/>
                      <w:sz w:val="21"/>
                      <w:szCs w:val="21"/>
                      <w:highlight w:val="none"/>
                      <w:lang w:val="en-US" w:eastAsia="zh-CN" w:bidi="ar"/>
                    </w:rPr>
                    <w:t>设计</w:t>
                  </w:r>
                  <w:r>
                    <w:rPr>
                      <w:rFonts w:hint="eastAsia" w:ascii="Times New Roman" w:hAnsi="Times New Roman" w:cs="Times New Roman"/>
                      <w:bCs/>
                      <w:color w:val="auto"/>
                      <w:kern w:val="2"/>
                      <w:sz w:val="21"/>
                      <w:szCs w:val="21"/>
                      <w:highlight w:val="none"/>
                      <w:lang w:val="en-US" w:eastAsia="zh-CN" w:bidi="ar"/>
                    </w:rPr>
                    <w:t>、建设</w:t>
                  </w:r>
                  <w:r>
                    <w:rPr>
                      <w:rFonts w:hint="eastAsia" w:ascii="宋体" w:hAnsi="宋体" w:eastAsia="宋体" w:cs="宋体"/>
                      <w:bCs/>
                      <w:color w:val="auto"/>
                      <w:kern w:val="2"/>
                      <w:sz w:val="21"/>
                      <w:szCs w:val="21"/>
                      <w:highlight w:val="none"/>
                      <w:lang w:val="en-US" w:eastAsia="zh-CN" w:bidi="ar"/>
                    </w:rPr>
                    <w:t>。</w:t>
                  </w:r>
                </w:p>
                <w:p w14:paraId="4B61A538">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eastAsia" w:ascii="Times New Roman" w:hAnsi="Times New Roman" w:eastAsia="宋体" w:cs="Times New Roman"/>
                      <w:bCs/>
                      <w:color w:val="000000"/>
                      <w:kern w:val="2"/>
                      <w:sz w:val="21"/>
                      <w:szCs w:val="21"/>
                      <w:highlight w:val="none"/>
                    </w:rPr>
                  </w:pPr>
                  <w:r>
                    <w:rPr>
                      <w:rFonts w:hint="default" w:ascii="Times New Roman" w:hAnsi="Times New Roman" w:eastAsia="宋体" w:cs="Times New Roman"/>
                      <w:bCs/>
                      <w:color w:val="auto"/>
                      <w:kern w:val="2"/>
                      <w:sz w:val="21"/>
                      <w:szCs w:val="21"/>
                      <w:highlight w:val="none"/>
                      <w:lang w:val="en-US" w:eastAsia="zh-CN" w:bidi="ar"/>
                    </w:rPr>
                    <w:t>3.</w:t>
                  </w:r>
                  <w:r>
                    <w:rPr>
                      <w:rFonts w:hint="eastAsia" w:ascii="宋体" w:hAnsi="宋体" w:eastAsia="宋体" w:cs="宋体"/>
                      <w:bCs/>
                      <w:color w:val="auto"/>
                      <w:kern w:val="2"/>
                      <w:sz w:val="21"/>
                      <w:szCs w:val="21"/>
                      <w:highlight w:val="none"/>
                      <w:lang w:val="en-US" w:eastAsia="zh-CN" w:bidi="ar"/>
                    </w:rPr>
                    <w:t>本项目为橡</w:t>
                  </w:r>
                  <w:r>
                    <w:rPr>
                      <w:rFonts w:hint="eastAsia" w:ascii="宋体" w:hAnsi="宋体" w:eastAsia="宋体" w:cs="宋体"/>
                      <w:bCs/>
                      <w:color w:val="000000"/>
                      <w:kern w:val="2"/>
                      <w:sz w:val="21"/>
                      <w:szCs w:val="21"/>
                      <w:highlight w:val="none"/>
                      <w:lang w:val="en-US" w:eastAsia="zh-CN" w:bidi="ar"/>
                    </w:rPr>
                    <w:t>胶和塑料制品业，不涉及前述行业。</w:t>
                  </w:r>
                </w:p>
                <w:p w14:paraId="5131185F">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eastAsia" w:ascii="Times New Roman" w:hAnsi="Times New Roman" w:eastAsia="宋体" w:cs="Times New Roman"/>
                      <w:bCs/>
                      <w:color w:val="000000"/>
                      <w:kern w:val="2"/>
                      <w:sz w:val="21"/>
                      <w:szCs w:val="21"/>
                      <w:highlight w:val="none"/>
                    </w:rPr>
                  </w:pPr>
                  <w:r>
                    <w:rPr>
                      <w:rFonts w:hint="default" w:ascii="Times New Roman" w:hAnsi="Times New Roman" w:eastAsia="宋体" w:cs="Times New Roman"/>
                      <w:bCs/>
                      <w:color w:val="000000"/>
                      <w:kern w:val="2"/>
                      <w:sz w:val="21"/>
                      <w:szCs w:val="21"/>
                      <w:highlight w:val="none"/>
                      <w:lang w:val="en-US" w:eastAsia="zh-CN" w:bidi="ar"/>
                    </w:rPr>
                    <w:t>4.</w:t>
                  </w:r>
                  <w:r>
                    <w:rPr>
                      <w:rFonts w:hint="eastAsia" w:ascii="宋体" w:hAnsi="宋体" w:eastAsia="宋体" w:cs="宋体"/>
                      <w:bCs/>
                      <w:color w:val="000000"/>
                      <w:kern w:val="2"/>
                      <w:sz w:val="21"/>
                      <w:szCs w:val="21"/>
                      <w:highlight w:val="none"/>
                      <w:lang w:val="en-US" w:eastAsia="zh-CN" w:bidi="ar"/>
                    </w:rPr>
                    <w:t>本项目使用低挥发性有机物含量原料。</w:t>
                  </w:r>
                </w:p>
                <w:p w14:paraId="335D7154">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eastAsia" w:ascii="Times New Roman" w:hAnsi="Times New Roman" w:eastAsia="宋体" w:cs="Times New Roman"/>
                      <w:bCs/>
                      <w:color w:val="000000"/>
                      <w:kern w:val="2"/>
                      <w:sz w:val="21"/>
                      <w:szCs w:val="21"/>
                      <w:highlight w:val="none"/>
                    </w:rPr>
                  </w:pPr>
                  <w:r>
                    <w:rPr>
                      <w:rFonts w:hint="default" w:ascii="Times New Roman" w:hAnsi="Times New Roman" w:eastAsia="宋体" w:cs="Times New Roman"/>
                      <w:bCs/>
                      <w:color w:val="000000"/>
                      <w:kern w:val="2"/>
                      <w:sz w:val="21"/>
                      <w:szCs w:val="21"/>
                      <w:highlight w:val="none"/>
                      <w:lang w:val="en-US" w:eastAsia="zh-CN" w:bidi="ar"/>
                    </w:rPr>
                    <w:t>5.</w:t>
                  </w:r>
                  <w:r>
                    <w:rPr>
                      <w:rFonts w:hint="eastAsia" w:ascii="宋体" w:hAnsi="宋体" w:eastAsia="宋体" w:cs="宋体"/>
                      <w:bCs/>
                      <w:color w:val="000000"/>
                      <w:kern w:val="2"/>
                      <w:sz w:val="21"/>
                      <w:szCs w:val="21"/>
                      <w:highlight w:val="none"/>
                      <w:lang w:val="en-US" w:eastAsia="zh-CN" w:bidi="ar"/>
                    </w:rPr>
                    <w:t>不涉及。</w:t>
                  </w:r>
                </w:p>
                <w:p w14:paraId="2CDA84CB">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eastAsia" w:ascii="Times New Roman" w:hAnsi="Times New Roman" w:eastAsia="宋体" w:cs="Times New Roman"/>
                      <w:bCs/>
                      <w:color w:val="000000"/>
                      <w:kern w:val="2"/>
                      <w:sz w:val="21"/>
                      <w:szCs w:val="21"/>
                      <w:highlight w:val="yellow"/>
                    </w:rPr>
                  </w:pPr>
                  <w:r>
                    <w:rPr>
                      <w:rFonts w:hint="default" w:ascii="Times New Roman" w:hAnsi="Times New Roman" w:eastAsia="宋体" w:cs="Times New Roman"/>
                      <w:bCs/>
                      <w:color w:val="000000"/>
                      <w:kern w:val="2"/>
                      <w:sz w:val="21"/>
                      <w:szCs w:val="21"/>
                      <w:highlight w:val="none"/>
                      <w:lang w:val="en-US" w:eastAsia="zh-CN" w:bidi="ar"/>
                    </w:rPr>
                    <w:t>6.</w:t>
                  </w:r>
                  <w:r>
                    <w:rPr>
                      <w:rFonts w:hint="eastAsia" w:ascii="宋体" w:hAnsi="宋体" w:eastAsia="宋体" w:cs="宋体"/>
                      <w:bCs/>
                      <w:color w:val="000000"/>
                      <w:kern w:val="2"/>
                      <w:sz w:val="21"/>
                      <w:szCs w:val="21"/>
                      <w:highlight w:val="none"/>
                      <w:lang w:val="en-US" w:eastAsia="zh-CN" w:bidi="ar"/>
                    </w:rPr>
                    <w:t>不涉及。</w:t>
                  </w:r>
                </w:p>
              </w:tc>
              <w:tc>
                <w:tcPr>
                  <w:tcW w:w="591" w:type="dxa"/>
                  <w:tcBorders>
                    <w:top w:val="single" w:color="auto" w:sz="4" w:space="0"/>
                    <w:left w:val="single" w:color="auto" w:sz="4" w:space="0"/>
                    <w:bottom w:val="single" w:color="auto" w:sz="4" w:space="0"/>
                    <w:right w:val="nil"/>
                  </w:tcBorders>
                  <w:noWrap w:val="0"/>
                  <w:tcMar>
                    <w:left w:w="51" w:type="dxa"/>
                    <w:right w:w="51" w:type="dxa"/>
                  </w:tcMar>
                  <w:vAlign w:val="center"/>
                </w:tcPr>
                <w:p w14:paraId="375C001E">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center"/>
                    <w:textAlignment w:val="auto"/>
                    <w:rPr>
                      <w:rFonts w:hint="eastAsia" w:ascii="Times New Roman" w:hAnsi="Times New Roman" w:eastAsia="宋体" w:cs="Times New Roman"/>
                      <w:bCs/>
                      <w:color w:val="auto"/>
                      <w:kern w:val="2"/>
                      <w:sz w:val="21"/>
                      <w:szCs w:val="21"/>
                    </w:rPr>
                  </w:pPr>
                  <w:r>
                    <w:rPr>
                      <w:rFonts w:hint="eastAsia" w:ascii="宋体" w:hAnsi="宋体" w:eastAsia="宋体" w:cs="宋体"/>
                      <w:bCs/>
                      <w:color w:val="auto"/>
                      <w:kern w:val="2"/>
                      <w:sz w:val="21"/>
                      <w:szCs w:val="21"/>
                      <w:lang w:val="en-US" w:eastAsia="zh-CN" w:bidi="ar"/>
                    </w:rPr>
                    <w:t>符合</w:t>
                  </w:r>
                </w:p>
              </w:tc>
            </w:tr>
            <w:tr w14:paraId="2B7A2282">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878" w:type="dxa"/>
                  <w:vMerge w:val="continue"/>
                  <w:tcBorders>
                    <w:top w:val="single" w:color="auto" w:sz="4" w:space="0"/>
                    <w:left w:val="nil"/>
                    <w:bottom w:val="single" w:color="auto" w:sz="4" w:space="0"/>
                    <w:right w:val="single" w:color="auto" w:sz="4" w:space="0"/>
                  </w:tcBorders>
                  <w:noWrap w:val="0"/>
                  <w:tcMar>
                    <w:left w:w="51" w:type="dxa"/>
                    <w:right w:w="51" w:type="dxa"/>
                  </w:tcMar>
                  <w:vAlign w:val="center"/>
                </w:tcPr>
                <w:p w14:paraId="37606661">
                  <w:pPr>
                    <w:keepNext w:val="0"/>
                    <w:keepLines w:val="0"/>
                    <w:pageBreakBefore w:val="0"/>
                    <w:widowControl w:val="0"/>
                    <w:suppressLineNumbers w:val="0"/>
                    <w:kinsoku/>
                    <w:wordWrap w:val="0"/>
                    <w:overflowPunct/>
                    <w:topLinePunct w:val="0"/>
                    <w:bidi w:val="0"/>
                    <w:spacing w:before="0" w:beforeAutospacing="0" w:after="0" w:afterAutospacing="0"/>
                    <w:ind w:left="0" w:right="0"/>
                    <w:textAlignment w:val="auto"/>
                    <w:rPr>
                      <w:rFonts w:hint="default" w:ascii="Calibri" w:hAnsi="Calibri" w:eastAsia="宋体" w:cs="Times New Roman"/>
                      <w:color w:val="auto"/>
                      <w:kern w:val="2"/>
                      <w:sz w:val="21"/>
                      <w:szCs w:val="21"/>
                    </w:rPr>
                  </w:pPr>
                </w:p>
              </w:tc>
              <w:tc>
                <w:tcPr>
                  <w:tcW w:w="643" w:type="dxa"/>
                  <w:tcBorders>
                    <w:top w:val="single" w:color="auto" w:sz="4" w:space="0"/>
                    <w:left w:val="single" w:color="auto" w:sz="4" w:space="0"/>
                    <w:bottom w:val="single" w:color="auto" w:sz="4" w:space="0"/>
                    <w:right w:val="single" w:color="auto" w:sz="4" w:space="0"/>
                  </w:tcBorders>
                  <w:noWrap w:val="0"/>
                  <w:tcMar>
                    <w:left w:w="51" w:type="dxa"/>
                    <w:right w:w="51" w:type="dxa"/>
                  </w:tcMar>
                  <w:vAlign w:val="center"/>
                </w:tcPr>
                <w:p w14:paraId="3DAE4891">
                  <w:pPr>
                    <w:keepNext w:val="0"/>
                    <w:keepLines w:val="0"/>
                    <w:pageBreakBefore w:val="0"/>
                    <w:widowControl w:val="0"/>
                    <w:suppressLineNumbers w:val="0"/>
                    <w:kinsoku/>
                    <w:wordWrap w:val="0"/>
                    <w:overflowPunct/>
                    <w:topLinePunct w:val="0"/>
                    <w:bidi w:val="0"/>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环境风险防控</w:t>
                  </w:r>
                </w:p>
              </w:tc>
              <w:tc>
                <w:tcPr>
                  <w:tcW w:w="4036" w:type="dxa"/>
                  <w:tcBorders>
                    <w:top w:val="single" w:color="auto" w:sz="4" w:space="0"/>
                    <w:left w:val="single" w:color="auto" w:sz="4" w:space="0"/>
                    <w:bottom w:val="single" w:color="auto" w:sz="4" w:space="0"/>
                    <w:right w:val="single" w:color="auto" w:sz="4" w:space="0"/>
                  </w:tcBorders>
                  <w:noWrap w:val="0"/>
                  <w:tcMar>
                    <w:left w:w="51" w:type="dxa"/>
                    <w:right w:w="51" w:type="dxa"/>
                  </w:tcMar>
                  <w:vAlign w:val="center"/>
                </w:tcPr>
                <w:p w14:paraId="5B1B2295">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1.</w:t>
                  </w:r>
                  <w:r>
                    <w:rPr>
                      <w:rFonts w:hint="eastAsia" w:ascii="宋体" w:hAnsi="宋体" w:eastAsia="宋体" w:cs="宋体"/>
                      <w:color w:val="auto"/>
                      <w:kern w:val="2"/>
                      <w:sz w:val="21"/>
                      <w:szCs w:val="21"/>
                      <w:highlight w:val="none"/>
                      <w:lang w:val="en-US" w:eastAsia="zh-CN" w:bidi="ar"/>
                    </w:rPr>
                    <w:t>安全利用类耕地加强利用过程监管，严格管控类耕地严禁种植食用农产品；用途变更为住宅、公共管理与公共服务用地及有土壤污染风险的建设用地地块，应当依法开展土壤污染状况调查；污染地块经治理与修复，并符合相应规划用地土壤环境质量要求后，方可进入用地程序；合理规划污染地块土地用途，鼓励农药、化工等行业中重度污染地块优先规划用于拓展生态空间。</w:t>
                  </w:r>
                </w:p>
                <w:p w14:paraId="16FC0A99">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2.</w:t>
                  </w:r>
                  <w:r>
                    <w:rPr>
                      <w:rFonts w:hint="eastAsia" w:ascii="宋体" w:hAnsi="宋体" w:eastAsia="宋体" w:cs="宋体"/>
                      <w:color w:val="auto"/>
                      <w:kern w:val="2"/>
                      <w:sz w:val="21"/>
                      <w:szCs w:val="21"/>
                      <w:highlight w:val="none"/>
                      <w:lang w:val="en-US" w:eastAsia="zh-CN" w:bidi="ar"/>
                    </w:rPr>
                    <w:t>以涉重涉危及有毒有害等行业企业为重点，加强水环境风险日常监管，强化企业应急建设；完善上下游政府及相关部门之间的联防联控、信息共享、闸坝调度机制，落实防范措施。</w:t>
                  </w:r>
                </w:p>
                <w:p w14:paraId="040B0D10">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eastAsia"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3.</w:t>
                  </w:r>
                  <w:r>
                    <w:rPr>
                      <w:rFonts w:hint="eastAsia" w:ascii="宋体" w:hAnsi="宋体" w:eastAsia="宋体" w:cs="宋体"/>
                      <w:color w:val="auto"/>
                      <w:kern w:val="2"/>
                      <w:sz w:val="21"/>
                      <w:szCs w:val="21"/>
                      <w:highlight w:val="none"/>
                      <w:lang w:val="en-US" w:eastAsia="zh-CN" w:bidi="ar"/>
                    </w:rPr>
                    <w:t>化工园区内涉及有毒有害物质的重点场所或者重点设施设备（特别是地下储罐、管网等）应进行防渗漏设计和建设，消除土壤和地下水污染隐患；建立完善的生态环境监测监控和风险预警体系，相关监测监控数据应接入地方监测预警系统：建立满足突发环境事件情形下应急处置需求的应急救援体系、预案、平台和专职应急救援队伍，配备符合相关国家标准、行业标准要求的人员和装备。</w:t>
                  </w:r>
                </w:p>
              </w:tc>
              <w:tc>
                <w:tcPr>
                  <w:tcW w:w="1768" w:type="dxa"/>
                  <w:tcBorders>
                    <w:top w:val="single" w:color="auto" w:sz="4" w:space="0"/>
                    <w:left w:val="single" w:color="auto" w:sz="4" w:space="0"/>
                    <w:bottom w:val="single" w:color="auto" w:sz="4" w:space="0"/>
                    <w:right w:val="single" w:color="auto" w:sz="4" w:space="0"/>
                  </w:tcBorders>
                  <w:noWrap w:val="0"/>
                  <w:tcMar>
                    <w:left w:w="51" w:type="dxa"/>
                    <w:right w:w="51" w:type="dxa"/>
                  </w:tcMar>
                  <w:vAlign w:val="center"/>
                </w:tcPr>
                <w:p w14:paraId="61B1923E">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eastAsia"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1.</w:t>
                  </w:r>
                  <w:r>
                    <w:rPr>
                      <w:rFonts w:hint="eastAsia" w:ascii="宋体" w:hAnsi="宋体" w:eastAsia="宋体" w:cs="宋体"/>
                      <w:color w:val="auto"/>
                      <w:kern w:val="2"/>
                      <w:sz w:val="21"/>
                      <w:szCs w:val="21"/>
                      <w:highlight w:val="none"/>
                      <w:lang w:val="en-US" w:eastAsia="zh-CN" w:bidi="ar"/>
                    </w:rPr>
                    <w:t>不涉及。</w:t>
                  </w:r>
                </w:p>
                <w:p w14:paraId="72A45CE0">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eastAsia"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2.</w:t>
                  </w:r>
                  <w:r>
                    <w:rPr>
                      <w:rFonts w:hint="eastAsia" w:ascii="宋体" w:hAnsi="宋体" w:eastAsia="宋体" w:cs="宋体"/>
                      <w:color w:val="auto"/>
                      <w:kern w:val="2"/>
                      <w:sz w:val="21"/>
                      <w:szCs w:val="21"/>
                      <w:highlight w:val="none"/>
                      <w:lang w:val="en-US" w:eastAsia="zh-CN" w:bidi="ar"/>
                    </w:rPr>
                    <w:t>本项目不属于有毒有害行业。</w:t>
                  </w:r>
                </w:p>
                <w:p w14:paraId="6E1A92E8">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default" w:ascii="Times New Roman" w:hAnsi="Times New Roman" w:eastAsia="宋体" w:cs="Times New Roman"/>
                      <w:b/>
                      <w:bCs w:val="0"/>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bidi="ar"/>
                    </w:rPr>
                    <w:t>3.</w:t>
                  </w:r>
                  <w:r>
                    <w:rPr>
                      <w:rFonts w:hint="eastAsia" w:ascii="宋体" w:hAnsi="宋体" w:eastAsia="宋体" w:cs="宋体"/>
                      <w:color w:val="auto"/>
                      <w:kern w:val="2"/>
                      <w:sz w:val="21"/>
                      <w:szCs w:val="21"/>
                      <w:highlight w:val="none"/>
                      <w:lang w:val="en-US" w:eastAsia="zh-CN" w:bidi="ar"/>
                    </w:rPr>
                    <w:t>本项目建成后会建立满足突发环境事件情形下应急处置需求的应急救援体系、预案、平台和专职应急救援队伍，配备符合相关国家标准、行业标准要求的人员和装备。</w:t>
                  </w:r>
                </w:p>
              </w:tc>
              <w:tc>
                <w:tcPr>
                  <w:tcW w:w="591" w:type="dxa"/>
                  <w:tcBorders>
                    <w:top w:val="single" w:color="auto" w:sz="4" w:space="0"/>
                    <w:left w:val="single" w:color="auto" w:sz="4" w:space="0"/>
                    <w:bottom w:val="single" w:color="auto" w:sz="4" w:space="0"/>
                    <w:right w:val="nil"/>
                  </w:tcBorders>
                  <w:noWrap w:val="0"/>
                  <w:tcMar>
                    <w:left w:w="51" w:type="dxa"/>
                    <w:right w:w="51" w:type="dxa"/>
                  </w:tcMar>
                  <w:vAlign w:val="center"/>
                </w:tcPr>
                <w:p w14:paraId="6CF315B3">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val="0"/>
                      <w:color w:val="auto"/>
                      <w:kern w:val="2"/>
                      <w:sz w:val="21"/>
                      <w:szCs w:val="21"/>
                    </w:rPr>
                  </w:pPr>
                  <w:r>
                    <w:rPr>
                      <w:rFonts w:hint="eastAsia" w:ascii="宋体" w:hAnsi="宋体" w:eastAsia="宋体" w:cs="宋体"/>
                      <w:b w:val="0"/>
                      <w:bCs/>
                      <w:color w:val="auto"/>
                      <w:kern w:val="2"/>
                      <w:sz w:val="21"/>
                      <w:szCs w:val="21"/>
                      <w:lang w:val="en-US" w:eastAsia="zh-CN" w:bidi="ar"/>
                    </w:rPr>
                    <w:t>符合</w:t>
                  </w:r>
                </w:p>
              </w:tc>
            </w:tr>
            <w:tr w14:paraId="73F0CD3C">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878" w:type="dxa"/>
                  <w:vMerge w:val="continue"/>
                  <w:tcBorders>
                    <w:top w:val="single" w:color="auto" w:sz="4" w:space="0"/>
                    <w:left w:val="nil"/>
                    <w:bottom w:val="single" w:color="auto" w:sz="12" w:space="0"/>
                    <w:right w:val="single" w:color="auto" w:sz="4" w:space="0"/>
                  </w:tcBorders>
                  <w:noWrap w:val="0"/>
                  <w:tcMar>
                    <w:left w:w="51" w:type="dxa"/>
                    <w:right w:w="51" w:type="dxa"/>
                  </w:tcMar>
                  <w:vAlign w:val="center"/>
                </w:tcPr>
                <w:p w14:paraId="0EABD7AE">
                  <w:pPr>
                    <w:keepNext w:val="0"/>
                    <w:keepLines w:val="0"/>
                    <w:pageBreakBefore w:val="0"/>
                    <w:widowControl w:val="0"/>
                    <w:suppressLineNumbers w:val="0"/>
                    <w:kinsoku/>
                    <w:wordWrap w:val="0"/>
                    <w:overflowPunct/>
                    <w:topLinePunct w:val="0"/>
                    <w:bidi w:val="0"/>
                    <w:spacing w:before="0" w:beforeAutospacing="0" w:after="0" w:afterAutospacing="0"/>
                    <w:ind w:left="0" w:right="0"/>
                    <w:textAlignment w:val="auto"/>
                    <w:rPr>
                      <w:rFonts w:hint="default" w:ascii="Calibri" w:hAnsi="Calibri" w:eastAsia="宋体" w:cs="Times New Roman"/>
                      <w:color w:val="auto"/>
                      <w:kern w:val="2"/>
                      <w:sz w:val="21"/>
                      <w:szCs w:val="21"/>
                    </w:rPr>
                  </w:pPr>
                </w:p>
              </w:tc>
              <w:tc>
                <w:tcPr>
                  <w:tcW w:w="643" w:type="dxa"/>
                  <w:tcBorders>
                    <w:top w:val="single" w:color="auto" w:sz="4" w:space="0"/>
                    <w:left w:val="single" w:color="auto" w:sz="4" w:space="0"/>
                    <w:bottom w:val="single" w:color="auto" w:sz="12" w:space="0"/>
                    <w:right w:val="single" w:color="auto" w:sz="4" w:space="0"/>
                  </w:tcBorders>
                  <w:noWrap w:val="0"/>
                  <w:tcMar>
                    <w:left w:w="51" w:type="dxa"/>
                    <w:right w:w="51" w:type="dxa"/>
                  </w:tcMar>
                  <w:vAlign w:val="center"/>
                </w:tcPr>
                <w:p w14:paraId="350A68AF">
                  <w:pPr>
                    <w:keepNext w:val="0"/>
                    <w:keepLines w:val="0"/>
                    <w:pageBreakBefore w:val="0"/>
                    <w:widowControl w:val="0"/>
                    <w:suppressLineNumbers w:val="0"/>
                    <w:kinsoku/>
                    <w:wordWrap w:val="0"/>
                    <w:overflowPunct/>
                    <w:topLinePunct w:val="0"/>
                    <w:bidi w:val="0"/>
                    <w:spacing w:before="0" w:beforeAutospacing="0" w:after="0" w:afterAutospacing="0"/>
                    <w:ind w:left="0" w:right="0"/>
                    <w:jc w:val="center"/>
                    <w:textAlignment w:val="auto"/>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资源利用效率</w:t>
                  </w:r>
                </w:p>
              </w:tc>
              <w:tc>
                <w:tcPr>
                  <w:tcW w:w="4036" w:type="dxa"/>
                  <w:tcBorders>
                    <w:top w:val="single" w:color="auto" w:sz="4" w:space="0"/>
                    <w:left w:val="single" w:color="auto" w:sz="4" w:space="0"/>
                    <w:bottom w:val="single" w:color="auto" w:sz="12" w:space="0"/>
                    <w:right w:val="single" w:color="auto" w:sz="4" w:space="0"/>
                  </w:tcBorders>
                  <w:noWrap w:val="0"/>
                  <w:tcMar>
                    <w:left w:w="51" w:type="dxa"/>
                    <w:right w:w="51" w:type="dxa"/>
                  </w:tcMar>
                  <w:vAlign w:val="center"/>
                </w:tcPr>
                <w:p w14:paraId="6DAB0F97">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w:t>
                  </w:r>
                  <w:r>
                    <w:rPr>
                      <w:rFonts w:hint="eastAsia" w:ascii="宋体" w:hAnsi="宋体" w:eastAsia="宋体" w:cs="宋体"/>
                      <w:color w:val="auto"/>
                      <w:kern w:val="2"/>
                      <w:sz w:val="21"/>
                      <w:szCs w:val="21"/>
                      <w:lang w:val="en-US" w:eastAsia="zh-CN" w:bidi="ar"/>
                    </w:rPr>
                    <w:t>“十四五”时期，规模以上工业单位增加值能耗下降</w:t>
                  </w:r>
                  <w:r>
                    <w:rPr>
                      <w:rFonts w:hint="default" w:ascii="Times New Roman" w:hAnsi="Times New Roman" w:eastAsia="宋体" w:cs="Times New Roman"/>
                      <w:color w:val="auto"/>
                      <w:kern w:val="2"/>
                      <w:sz w:val="21"/>
                      <w:szCs w:val="21"/>
                      <w:lang w:val="en-US" w:eastAsia="zh-CN" w:bidi="ar"/>
                    </w:rPr>
                    <w:t>18%</w:t>
                  </w:r>
                  <w:r>
                    <w:rPr>
                      <w:rFonts w:hint="eastAsia" w:ascii="宋体" w:hAnsi="宋体" w:eastAsia="宋体" w:cs="宋体"/>
                      <w:color w:val="auto"/>
                      <w:kern w:val="2"/>
                      <w:sz w:val="21"/>
                      <w:szCs w:val="21"/>
                      <w:lang w:val="en-US" w:eastAsia="zh-CN" w:bidi="ar"/>
                    </w:rPr>
                    <w:t>，万元工业增加值用水量下降</w:t>
                  </w:r>
                  <w:r>
                    <w:rPr>
                      <w:rFonts w:hint="default" w:ascii="Times New Roman" w:hAnsi="Times New Roman" w:eastAsia="宋体" w:cs="Times New Roman"/>
                      <w:color w:val="auto"/>
                      <w:kern w:val="2"/>
                      <w:sz w:val="21"/>
                      <w:szCs w:val="21"/>
                      <w:lang w:val="en-US" w:eastAsia="zh-CN" w:bidi="ar"/>
                    </w:rPr>
                    <w:t>10%</w:t>
                  </w:r>
                  <w:r>
                    <w:rPr>
                      <w:rFonts w:hint="eastAsia" w:ascii="宋体" w:hAnsi="宋体" w:eastAsia="宋体" w:cs="宋体"/>
                      <w:color w:val="auto"/>
                      <w:kern w:val="2"/>
                      <w:sz w:val="21"/>
                      <w:szCs w:val="21"/>
                      <w:lang w:val="en-US" w:eastAsia="zh-CN" w:bidi="ar"/>
                    </w:rPr>
                    <w:t>。</w:t>
                  </w:r>
                </w:p>
                <w:p w14:paraId="6066E439">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w:t>
                  </w:r>
                  <w:r>
                    <w:rPr>
                      <w:rFonts w:hint="eastAsia" w:ascii="宋体" w:hAnsi="宋体" w:eastAsia="宋体" w:cs="宋体"/>
                      <w:color w:val="auto"/>
                      <w:kern w:val="2"/>
                      <w:sz w:val="21"/>
                      <w:szCs w:val="21"/>
                      <w:lang w:val="en-US" w:eastAsia="zh-CN" w:bidi="ar"/>
                    </w:rPr>
                    <w:t>新建、扩建“两高”项目单位产品物耗、能耗、水耗等达到清洁生产先进水平。</w:t>
                  </w:r>
                </w:p>
                <w:p w14:paraId="08E322C9">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w:t>
                  </w:r>
                  <w:r>
                    <w:rPr>
                      <w:rFonts w:hint="eastAsia" w:ascii="宋体" w:hAnsi="宋体" w:eastAsia="宋体" w:cs="宋体"/>
                      <w:color w:val="auto"/>
                      <w:kern w:val="2"/>
                      <w:sz w:val="21"/>
                      <w:szCs w:val="21"/>
                      <w:lang w:val="en-US" w:eastAsia="zh-CN" w:bidi="ar"/>
                    </w:rPr>
                    <w:t>实施重点领域节能降碳改造，到</w:t>
                  </w:r>
                  <w:r>
                    <w:rPr>
                      <w:rFonts w:hint="default" w:ascii="Times New Roman" w:hAnsi="Times New Roman" w:eastAsia="宋体" w:cs="Times New Roman"/>
                      <w:color w:val="auto"/>
                      <w:kern w:val="2"/>
                      <w:sz w:val="21"/>
                      <w:szCs w:val="21"/>
                      <w:lang w:val="en-US" w:eastAsia="zh-CN" w:bidi="ar"/>
                    </w:rPr>
                    <w:t>2025</w:t>
                  </w:r>
                  <w:r>
                    <w:rPr>
                      <w:rFonts w:hint="eastAsia" w:ascii="宋体" w:hAnsi="宋体" w:eastAsia="宋体" w:cs="宋体"/>
                      <w:color w:val="auto"/>
                      <w:kern w:val="2"/>
                      <w:sz w:val="21"/>
                      <w:szCs w:val="21"/>
                      <w:lang w:val="en-US" w:eastAsia="zh-CN" w:bidi="ar"/>
                    </w:rPr>
                    <w:t>年钢铁、电解铝、水泥、炼油、乙烯、焦化等重点行业产能达到能效标杆水平的比例超过</w:t>
                  </w:r>
                  <w:r>
                    <w:rPr>
                      <w:rFonts w:hint="default" w:ascii="Times New Roman" w:hAnsi="Times New Roman" w:eastAsia="宋体" w:cs="Times New Roman"/>
                      <w:color w:val="auto"/>
                      <w:kern w:val="2"/>
                      <w:sz w:val="21"/>
                      <w:szCs w:val="21"/>
                      <w:lang w:val="en-US" w:eastAsia="zh-CN" w:bidi="ar"/>
                    </w:rPr>
                    <w:t>30%</w:t>
                  </w:r>
                  <w:r>
                    <w:rPr>
                      <w:rFonts w:hint="eastAsia" w:ascii="宋体" w:hAnsi="宋体" w:eastAsia="宋体" w:cs="宋体"/>
                      <w:color w:val="auto"/>
                      <w:kern w:val="2"/>
                      <w:sz w:val="21"/>
                      <w:szCs w:val="21"/>
                      <w:lang w:val="en-US" w:eastAsia="zh-CN" w:bidi="ar"/>
                    </w:rPr>
                    <w:t>，行业整体能效水平明显提升，碳排放强度明显下降，绿色低碳发展能力显著增强。</w:t>
                  </w:r>
                </w:p>
                <w:p w14:paraId="3071AF6F">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4.</w:t>
                  </w:r>
                  <w:r>
                    <w:rPr>
                      <w:rFonts w:hint="eastAsia" w:ascii="宋体" w:hAnsi="宋体" w:eastAsia="宋体" w:cs="宋体"/>
                      <w:color w:val="auto"/>
                      <w:kern w:val="2"/>
                      <w:sz w:val="21"/>
                      <w:szCs w:val="21"/>
                      <w:lang w:val="en-US" w:eastAsia="zh-CN" w:bidi="ar"/>
                    </w:rPr>
                    <w:t>对以煤、石油焦、渣油、重油等为燃料的锅炉和工业炉窑，加快使用工业余热、电厂热力、清洁能源等进行替代。</w:t>
                  </w:r>
                </w:p>
                <w:p w14:paraId="3342FEBE">
                  <w:pPr>
                    <w:keepNext w:val="0"/>
                    <w:keepLines w:val="0"/>
                    <w:pageBreakBefore w:val="0"/>
                    <w:widowControl w:val="0"/>
                    <w:suppressLineNumbers w:val="0"/>
                    <w:kinsoku/>
                    <w:wordWrap w:val="0"/>
                    <w:overflowPunct/>
                    <w:topLinePunct w:val="0"/>
                    <w:bidi w:val="0"/>
                    <w:spacing w:before="0" w:beforeAutospacing="0" w:after="0" w:afterAutospacing="0"/>
                    <w:ind w:left="0" w:right="0"/>
                    <w:jc w:val="both"/>
                    <w:textAlignment w:val="auto"/>
                    <w:rPr>
                      <w:rFonts w:hint="eastAsia" w:ascii="Times New Roman" w:hAnsi="Times New Roman" w:eastAsia="宋体" w:cs="Times New Roman"/>
                      <w:b/>
                      <w:bCs w:val="0"/>
                      <w:color w:val="auto"/>
                      <w:kern w:val="2"/>
                      <w:sz w:val="21"/>
                      <w:szCs w:val="21"/>
                    </w:rPr>
                  </w:pPr>
                  <w:r>
                    <w:rPr>
                      <w:rFonts w:hint="default" w:ascii="Times New Roman" w:hAnsi="Times New Roman" w:eastAsia="宋体" w:cs="Times New Roman"/>
                      <w:color w:val="auto"/>
                      <w:kern w:val="2"/>
                      <w:sz w:val="21"/>
                      <w:szCs w:val="21"/>
                      <w:lang w:val="en-US" w:eastAsia="zh-CN" w:bidi="ar"/>
                    </w:rPr>
                    <w:t>5.</w:t>
                  </w:r>
                  <w:r>
                    <w:rPr>
                      <w:rFonts w:hint="eastAsia" w:ascii="宋体" w:hAnsi="宋体" w:eastAsia="宋体" w:cs="宋体"/>
                      <w:color w:val="auto"/>
                      <w:kern w:val="2"/>
                      <w:sz w:val="21"/>
                      <w:szCs w:val="21"/>
                      <w:lang w:val="en-US" w:eastAsia="zh-CN" w:bidi="ar"/>
                    </w:rPr>
                    <w:t>除应急取（排）水、地下水监测外，在地下水禁采区内，禁止取用地下水；在地下水限采区内，禁止开凿新的取水井或者增加地下水取水量。</w:t>
                  </w:r>
                </w:p>
              </w:tc>
              <w:tc>
                <w:tcPr>
                  <w:tcW w:w="1768" w:type="dxa"/>
                  <w:tcBorders>
                    <w:top w:val="single" w:color="auto" w:sz="4" w:space="0"/>
                    <w:left w:val="single" w:color="auto" w:sz="4" w:space="0"/>
                    <w:bottom w:val="single" w:color="auto" w:sz="12" w:space="0"/>
                    <w:right w:val="single" w:color="auto" w:sz="4" w:space="0"/>
                  </w:tcBorders>
                  <w:noWrap w:val="0"/>
                  <w:tcMar>
                    <w:left w:w="51" w:type="dxa"/>
                    <w:right w:w="51" w:type="dxa"/>
                  </w:tcMar>
                  <w:vAlign w:val="center"/>
                </w:tcPr>
                <w:p w14:paraId="377CCF63">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default" w:ascii="Times New Roman" w:hAnsi="Times New Roman" w:eastAsia="宋体" w:cs="Times New Roman"/>
                      <w:b w:val="0"/>
                      <w:bCs/>
                      <w:color w:val="auto"/>
                      <w:kern w:val="2"/>
                      <w:sz w:val="21"/>
                      <w:szCs w:val="21"/>
                      <w:highlight w:val="none"/>
                    </w:rPr>
                  </w:pPr>
                  <w:r>
                    <w:rPr>
                      <w:rFonts w:hint="default" w:ascii="Times New Roman" w:hAnsi="Times New Roman" w:eastAsia="宋体" w:cs="Times New Roman"/>
                      <w:bCs/>
                      <w:color w:val="auto"/>
                      <w:kern w:val="2"/>
                      <w:sz w:val="21"/>
                      <w:szCs w:val="21"/>
                      <w:highlight w:val="none"/>
                      <w:lang w:val="en-US" w:eastAsia="zh-CN" w:bidi="ar"/>
                    </w:rPr>
                    <w:t>1</w:t>
                  </w:r>
                  <w:r>
                    <w:rPr>
                      <w:rFonts w:hint="default" w:ascii="Times New Roman" w:hAnsi="Times New Roman" w:eastAsia="宋体" w:cs="Times New Roman"/>
                      <w:b w:val="0"/>
                      <w:bCs/>
                      <w:color w:val="auto"/>
                      <w:kern w:val="2"/>
                      <w:sz w:val="21"/>
                      <w:szCs w:val="21"/>
                      <w:highlight w:val="none"/>
                      <w:lang w:val="en-US" w:eastAsia="zh-CN" w:bidi="ar"/>
                    </w:rPr>
                    <w:t>.</w:t>
                  </w:r>
                  <w:r>
                    <w:rPr>
                      <w:rFonts w:hint="eastAsia" w:ascii="Times New Roman" w:hAnsi="Times New Roman" w:eastAsia="宋体" w:cs="Times New Roman"/>
                      <w:b w:val="0"/>
                      <w:bCs/>
                      <w:color w:val="auto"/>
                      <w:kern w:val="2"/>
                      <w:sz w:val="21"/>
                      <w:szCs w:val="21"/>
                      <w:highlight w:val="none"/>
                      <w:lang w:val="en-US" w:eastAsia="zh-CN" w:bidi="ar"/>
                    </w:rPr>
                    <w:t>本项目由市政管网供水，</w:t>
                  </w:r>
                  <w:r>
                    <w:rPr>
                      <w:rFonts w:hint="default" w:ascii="Times New Roman" w:hAnsi="Times New Roman" w:eastAsia="宋体" w:cs="Times New Roman"/>
                      <w:b w:val="0"/>
                      <w:bCs/>
                      <w:color w:val="auto"/>
                      <w:kern w:val="2"/>
                      <w:sz w:val="21"/>
                      <w:szCs w:val="21"/>
                      <w:highlight w:val="none"/>
                      <w:lang w:val="en-US" w:eastAsia="zh-CN" w:bidi="ar"/>
                    </w:rPr>
                    <w:t>新增用水量</w:t>
                  </w:r>
                  <w:r>
                    <w:rPr>
                      <w:rFonts w:hint="eastAsia" w:ascii="Times New Roman" w:hAnsi="Times New Roman" w:eastAsia="宋体" w:cs="Times New Roman"/>
                      <w:b w:val="0"/>
                      <w:bCs/>
                      <w:color w:val="auto"/>
                      <w:kern w:val="2"/>
                      <w:sz w:val="21"/>
                      <w:szCs w:val="21"/>
                      <w:highlight w:val="none"/>
                      <w:lang w:val="en-US" w:eastAsia="zh-CN" w:bidi="ar"/>
                    </w:rPr>
                    <w:t>为</w:t>
                  </w:r>
                  <w:r>
                    <w:rPr>
                      <w:rFonts w:hint="eastAsia" w:cs="Times New Roman"/>
                      <w:b w:val="0"/>
                      <w:bCs/>
                      <w:color w:val="auto"/>
                      <w:kern w:val="2"/>
                      <w:sz w:val="21"/>
                      <w:szCs w:val="21"/>
                      <w:highlight w:val="none"/>
                      <w:lang w:val="en-US" w:eastAsia="zh-CN" w:bidi="ar"/>
                    </w:rPr>
                    <w:t>916.7</w:t>
                  </w:r>
                  <w:r>
                    <w:rPr>
                      <w:rFonts w:hint="eastAsia" w:ascii="Times New Roman" w:hAnsi="Times New Roman" w:eastAsia="宋体" w:cs="Times New Roman"/>
                      <w:b w:val="0"/>
                      <w:bCs/>
                      <w:color w:val="auto"/>
                      <w:kern w:val="2"/>
                      <w:sz w:val="21"/>
                      <w:szCs w:val="21"/>
                      <w:highlight w:val="none"/>
                      <w:lang w:val="en-US" w:eastAsia="zh-CN" w:bidi="ar"/>
                    </w:rPr>
                    <w:t>m</w:t>
                  </w:r>
                  <w:r>
                    <w:rPr>
                      <w:rFonts w:hint="eastAsia" w:ascii="Times New Roman" w:hAnsi="Times New Roman" w:eastAsia="宋体" w:cs="Times New Roman"/>
                      <w:b w:val="0"/>
                      <w:bCs/>
                      <w:color w:val="auto"/>
                      <w:kern w:val="2"/>
                      <w:sz w:val="21"/>
                      <w:szCs w:val="21"/>
                      <w:highlight w:val="none"/>
                      <w:vertAlign w:val="superscript"/>
                      <w:lang w:val="en-US" w:eastAsia="zh-CN" w:bidi="ar"/>
                    </w:rPr>
                    <w:t>3</w:t>
                  </w:r>
                  <w:r>
                    <w:rPr>
                      <w:rFonts w:hint="eastAsia" w:ascii="Times New Roman" w:hAnsi="Times New Roman" w:eastAsia="宋体" w:cs="Times New Roman"/>
                      <w:b w:val="0"/>
                      <w:bCs/>
                      <w:color w:val="auto"/>
                      <w:kern w:val="2"/>
                      <w:sz w:val="21"/>
                      <w:szCs w:val="21"/>
                      <w:highlight w:val="none"/>
                      <w:lang w:val="en-US" w:eastAsia="zh-CN" w:bidi="ar"/>
                    </w:rPr>
                    <w:t>/a，用水量不大。</w:t>
                  </w:r>
                </w:p>
                <w:p w14:paraId="1180E9A1">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default" w:ascii="Times New Roman" w:hAnsi="Times New Roman" w:eastAsia="宋体" w:cs="Times New Roman"/>
                      <w:b w:val="0"/>
                      <w:bCs/>
                      <w:color w:val="auto"/>
                      <w:kern w:val="2"/>
                      <w:sz w:val="21"/>
                      <w:szCs w:val="21"/>
                      <w:highlight w:val="none"/>
                    </w:rPr>
                  </w:pPr>
                  <w:r>
                    <w:rPr>
                      <w:rFonts w:hint="default" w:ascii="Times New Roman" w:hAnsi="Times New Roman" w:eastAsia="宋体" w:cs="Times New Roman"/>
                      <w:b w:val="0"/>
                      <w:bCs/>
                      <w:color w:val="auto"/>
                      <w:kern w:val="2"/>
                      <w:sz w:val="21"/>
                      <w:szCs w:val="21"/>
                      <w:highlight w:val="none"/>
                      <w:lang w:val="en-US" w:eastAsia="zh-CN" w:bidi="ar"/>
                    </w:rPr>
                    <w:t>2、本项目不属于两高项目。</w:t>
                  </w:r>
                </w:p>
                <w:p w14:paraId="01475F5E">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eastAsia" w:ascii="Times New Roman" w:hAnsi="Times New Roman" w:eastAsia="宋体" w:cs="Times New Roman"/>
                      <w:b w:val="0"/>
                      <w:bCs/>
                      <w:color w:val="auto"/>
                      <w:kern w:val="2"/>
                      <w:sz w:val="21"/>
                      <w:szCs w:val="21"/>
                      <w:highlight w:val="none"/>
                    </w:rPr>
                  </w:pPr>
                  <w:r>
                    <w:rPr>
                      <w:rFonts w:hint="default" w:ascii="Times New Roman" w:hAnsi="Times New Roman" w:eastAsia="宋体" w:cs="Times New Roman"/>
                      <w:b w:val="0"/>
                      <w:bCs/>
                      <w:color w:val="auto"/>
                      <w:kern w:val="2"/>
                      <w:sz w:val="21"/>
                      <w:szCs w:val="21"/>
                      <w:highlight w:val="none"/>
                      <w:lang w:val="en-US" w:eastAsia="zh-CN" w:bidi="ar"/>
                    </w:rPr>
                    <w:t>3.</w:t>
                  </w:r>
                  <w:r>
                    <w:rPr>
                      <w:rFonts w:hint="eastAsia" w:ascii="宋体" w:hAnsi="宋体" w:eastAsia="宋体" w:cs="宋体"/>
                      <w:b w:val="0"/>
                      <w:bCs/>
                      <w:color w:val="auto"/>
                      <w:kern w:val="2"/>
                      <w:sz w:val="21"/>
                      <w:szCs w:val="21"/>
                      <w:highlight w:val="none"/>
                      <w:lang w:val="en-US" w:eastAsia="zh-CN" w:bidi="ar"/>
                    </w:rPr>
                    <w:t>本项目为橡胶和塑料制品业，不属于前述重点行业。</w:t>
                  </w:r>
                </w:p>
                <w:p w14:paraId="3EF80141">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eastAsia" w:ascii="Times New Roman" w:hAnsi="Times New Roman" w:eastAsia="宋体" w:cs="Times New Roman"/>
                      <w:b w:val="0"/>
                      <w:bCs/>
                      <w:color w:val="auto"/>
                      <w:kern w:val="2"/>
                      <w:sz w:val="21"/>
                      <w:szCs w:val="21"/>
                      <w:highlight w:val="none"/>
                    </w:rPr>
                  </w:pPr>
                  <w:r>
                    <w:rPr>
                      <w:rFonts w:hint="default" w:ascii="Times New Roman" w:hAnsi="Times New Roman" w:eastAsia="宋体" w:cs="Times New Roman"/>
                      <w:b w:val="0"/>
                      <w:bCs/>
                      <w:color w:val="auto"/>
                      <w:kern w:val="2"/>
                      <w:sz w:val="21"/>
                      <w:szCs w:val="21"/>
                      <w:highlight w:val="none"/>
                      <w:lang w:val="en-US" w:eastAsia="zh-CN" w:bidi="ar"/>
                    </w:rPr>
                    <w:t>4.</w:t>
                  </w:r>
                  <w:r>
                    <w:rPr>
                      <w:rFonts w:hint="eastAsia" w:ascii="宋体" w:hAnsi="宋体" w:eastAsia="宋体" w:cs="宋体"/>
                      <w:b w:val="0"/>
                      <w:bCs/>
                      <w:color w:val="auto"/>
                      <w:kern w:val="2"/>
                      <w:sz w:val="21"/>
                      <w:szCs w:val="21"/>
                      <w:highlight w:val="none"/>
                      <w:lang w:val="en-US" w:eastAsia="zh-CN" w:bidi="ar"/>
                    </w:rPr>
                    <w:t>本项目不涉及煤、石油焦、渣油、重油等燃料。</w:t>
                  </w:r>
                </w:p>
                <w:p w14:paraId="224E4EED">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both"/>
                    <w:textAlignment w:val="auto"/>
                    <w:rPr>
                      <w:rFonts w:hint="default" w:ascii="Times New Roman" w:hAnsi="Times New Roman" w:eastAsia="宋体" w:cs="Times New Roman"/>
                      <w:bCs/>
                      <w:color w:val="auto"/>
                      <w:kern w:val="2"/>
                      <w:sz w:val="21"/>
                      <w:szCs w:val="21"/>
                      <w:highlight w:val="yellow"/>
                    </w:rPr>
                  </w:pPr>
                  <w:r>
                    <w:rPr>
                      <w:rFonts w:hint="default" w:ascii="Times New Roman" w:hAnsi="Times New Roman" w:eastAsia="宋体" w:cs="Times New Roman"/>
                      <w:b w:val="0"/>
                      <w:bCs/>
                      <w:color w:val="auto"/>
                      <w:kern w:val="2"/>
                      <w:sz w:val="21"/>
                      <w:szCs w:val="21"/>
                      <w:highlight w:val="none"/>
                      <w:lang w:val="en-US" w:eastAsia="zh-CN" w:bidi="ar"/>
                    </w:rPr>
                    <w:t>5.</w:t>
                  </w:r>
                  <w:r>
                    <w:rPr>
                      <w:rFonts w:hint="eastAsia" w:ascii="宋体" w:hAnsi="宋体" w:eastAsia="宋体" w:cs="宋体"/>
                      <w:b w:val="0"/>
                      <w:bCs/>
                      <w:color w:val="auto"/>
                      <w:kern w:val="2"/>
                      <w:sz w:val="21"/>
                      <w:szCs w:val="21"/>
                      <w:highlight w:val="none"/>
                      <w:lang w:val="en-US" w:eastAsia="zh-CN" w:bidi="ar"/>
                    </w:rPr>
                    <w:t>本项目由市政管网供水。</w:t>
                  </w:r>
                </w:p>
              </w:tc>
              <w:tc>
                <w:tcPr>
                  <w:tcW w:w="591" w:type="dxa"/>
                  <w:tcBorders>
                    <w:top w:val="single" w:color="auto" w:sz="4" w:space="0"/>
                    <w:left w:val="single" w:color="auto" w:sz="4" w:space="0"/>
                    <w:bottom w:val="single" w:color="auto" w:sz="12" w:space="0"/>
                    <w:right w:val="nil"/>
                  </w:tcBorders>
                  <w:noWrap w:val="0"/>
                  <w:tcMar>
                    <w:left w:w="51" w:type="dxa"/>
                    <w:right w:w="51" w:type="dxa"/>
                  </w:tcMar>
                  <w:vAlign w:val="center"/>
                </w:tcPr>
                <w:p w14:paraId="236BD82A">
                  <w:pPr>
                    <w:keepNext w:val="0"/>
                    <w:keepLines w:val="0"/>
                    <w:pageBreakBefore w:val="0"/>
                    <w:widowControl w:val="0"/>
                    <w:suppressLineNumbers w:val="0"/>
                    <w:kinsoku/>
                    <w:wordWrap w:val="0"/>
                    <w:overflowPunct/>
                    <w:topLinePunct w:val="0"/>
                    <w:bidi w:val="0"/>
                    <w:adjustRightInd w:val="0"/>
                    <w:snapToGrid w:val="0"/>
                    <w:spacing w:before="0" w:beforeAutospacing="0" w:after="0" w:afterAutospacing="0"/>
                    <w:ind w:left="0" w:right="0"/>
                    <w:jc w:val="center"/>
                    <w:textAlignment w:val="auto"/>
                    <w:rPr>
                      <w:rFonts w:hint="eastAsia" w:ascii="Times New Roman" w:hAnsi="Times New Roman" w:eastAsia="宋体" w:cs="Times New Roman"/>
                      <w:b/>
                      <w:bCs w:val="0"/>
                      <w:color w:val="auto"/>
                      <w:kern w:val="2"/>
                      <w:sz w:val="21"/>
                      <w:szCs w:val="21"/>
                    </w:rPr>
                  </w:pPr>
                  <w:r>
                    <w:rPr>
                      <w:rFonts w:hint="eastAsia" w:ascii="宋体" w:hAnsi="宋体" w:eastAsia="宋体" w:cs="宋体"/>
                      <w:b w:val="0"/>
                      <w:bCs/>
                      <w:color w:val="auto"/>
                      <w:kern w:val="2"/>
                      <w:sz w:val="21"/>
                      <w:szCs w:val="21"/>
                      <w:lang w:val="en-US" w:eastAsia="zh-CN" w:bidi="ar"/>
                    </w:rPr>
                    <w:t>符合</w:t>
                  </w:r>
                </w:p>
              </w:tc>
            </w:tr>
          </w:tbl>
          <w:p w14:paraId="5A0438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auto"/>
                <w:sz w:val="24"/>
                <w:szCs w:val="24"/>
                <w:highlight w:val="none"/>
                <w:u w:val="none" w:color="auto"/>
                <w:lang w:val="en-US" w:eastAsia="zh-CN"/>
              </w:rPr>
              <w:t>根据《安阳市生态环境保护委员会办公室关于更新调整安阳市生态环境分区管控方案的通知》（安环委办〔2025〕19号）</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，项目与安阳市生态环境总体准入要求相符性分析如下：</w:t>
            </w:r>
          </w:p>
          <w:p w14:paraId="31FC37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bCs/>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安阳市生态环境总体准入要求</w:t>
            </w:r>
          </w:p>
          <w:tbl>
            <w:tblPr>
              <w:tblStyle w:val="29"/>
              <w:tblW w:w="4966"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8"/>
              <w:gridCol w:w="3827"/>
              <w:gridCol w:w="2339"/>
              <w:gridCol w:w="846"/>
            </w:tblGrid>
            <w:tr w14:paraId="7436F2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78" w:type="dxa"/>
                  <w:noWrap w:val="0"/>
                  <w:vAlign w:val="center"/>
                </w:tcPr>
                <w:p w14:paraId="0804F152">
                  <w:pPr>
                    <w:pStyle w:val="20"/>
                    <w:keepNext w:val="0"/>
                    <w:keepLines w:val="0"/>
                    <w:widowControl/>
                    <w:suppressLineNumbers w:val="0"/>
                    <w:spacing w:before="0" w:beforeAutospacing="0" w:after="0" w:afterAutospacing="0"/>
                    <w:ind w:left="0" w:right="0"/>
                    <w:jc w:val="center"/>
                    <w:rPr>
                      <w:rFonts w:hint="default" w:ascii="Times New Roman" w:hAnsi="Times New Roman"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14:textFill>
                        <w14:solidFill>
                          <w14:schemeClr w14:val="tx1"/>
                        </w14:solidFill>
                      </w14:textFill>
                    </w:rPr>
                    <w:t>维度</w:t>
                  </w:r>
                </w:p>
              </w:tc>
              <w:tc>
                <w:tcPr>
                  <w:tcW w:w="3825" w:type="dxa"/>
                  <w:noWrap w:val="0"/>
                  <w:vAlign w:val="center"/>
                </w:tcPr>
                <w:p w14:paraId="628BC687">
                  <w:pPr>
                    <w:pStyle w:val="20"/>
                    <w:keepNext w:val="0"/>
                    <w:keepLines w:val="0"/>
                    <w:widowControl/>
                    <w:suppressLineNumbers w:val="0"/>
                    <w:spacing w:before="0" w:beforeAutospacing="0" w:after="0" w:afterAutospacing="0"/>
                    <w:ind w:left="0" w:right="0"/>
                    <w:jc w:val="center"/>
                    <w:rPr>
                      <w:rFonts w:hint="default" w:ascii="Times New Roman" w:hAnsi="Times New Roman"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14:textFill>
                        <w14:solidFill>
                          <w14:schemeClr w14:val="tx1"/>
                        </w14:solidFill>
                      </w14:textFill>
                    </w:rPr>
                    <w:t>管控要求</w:t>
                  </w:r>
                </w:p>
              </w:tc>
              <w:tc>
                <w:tcPr>
                  <w:tcW w:w="2337" w:type="dxa"/>
                  <w:noWrap w:val="0"/>
                  <w:vAlign w:val="center"/>
                </w:tcPr>
                <w:p w14:paraId="031C0F1F">
                  <w:pPr>
                    <w:pStyle w:val="20"/>
                    <w:keepNext w:val="0"/>
                    <w:keepLines w:val="0"/>
                    <w:widowControl/>
                    <w:suppressLineNumbers w:val="0"/>
                    <w:spacing w:before="0" w:beforeAutospacing="0" w:after="0" w:afterAutospacing="0"/>
                    <w:ind w:left="0" w:right="0"/>
                    <w:jc w:val="center"/>
                    <w:rPr>
                      <w:rFonts w:hint="default" w:ascii="Times New Roman" w:hAnsi="Times New Roman"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14:textFill>
                        <w14:solidFill>
                          <w14:schemeClr w14:val="tx1"/>
                        </w14:solidFill>
                      </w14:textFill>
                    </w:rPr>
                    <w:t>本项目情况</w:t>
                  </w:r>
                </w:p>
              </w:tc>
              <w:tc>
                <w:tcPr>
                  <w:tcW w:w="845" w:type="dxa"/>
                  <w:noWrap w:val="0"/>
                  <w:vAlign w:val="center"/>
                </w:tcPr>
                <w:p w14:paraId="1F7D6024">
                  <w:pPr>
                    <w:pStyle w:val="20"/>
                    <w:keepNext w:val="0"/>
                    <w:keepLines w:val="0"/>
                    <w:widowControl/>
                    <w:suppressLineNumbers w:val="0"/>
                    <w:spacing w:before="0" w:beforeAutospacing="0" w:after="0" w:afterAutospacing="0"/>
                    <w:ind w:left="0" w:right="0"/>
                    <w:jc w:val="center"/>
                    <w:rPr>
                      <w:rFonts w:hint="default" w:ascii="Times New Roman" w:hAnsi="Times New Roman"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14:textFill>
                        <w14:solidFill>
                          <w14:schemeClr w14:val="tx1"/>
                        </w14:solidFill>
                      </w14:textFill>
                    </w:rPr>
                    <w:t>相符性</w:t>
                  </w:r>
                </w:p>
              </w:tc>
            </w:tr>
            <w:tr w14:paraId="52C8D9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restart"/>
                  <w:noWrap w:val="0"/>
                  <w:vAlign w:val="center"/>
                </w:tcPr>
                <w:p w14:paraId="5F403E11">
                  <w:pPr>
                    <w:pStyle w:val="20"/>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空间布局约束</w:t>
                  </w:r>
                </w:p>
              </w:tc>
              <w:tc>
                <w:tcPr>
                  <w:tcW w:w="3825" w:type="dxa"/>
                  <w:noWrap w:val="0"/>
                  <w:vAlign w:val="center"/>
                </w:tcPr>
                <w:p w14:paraId="6D0DEBD5">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1、严格控制高耗能、高排放项目准入，新建、改建、扩建“两高”项目须符合生态环境保护法律法规和相关法定规划，满足重点污染物排放总量控制、碳排放达峰目标、相关规划环评和相应行业建设项目环境准入条件、环评文件审批原则要求。</w:t>
                  </w:r>
                </w:p>
              </w:tc>
              <w:tc>
                <w:tcPr>
                  <w:tcW w:w="2337" w:type="dxa"/>
                  <w:noWrap w:val="0"/>
                  <w:vAlign w:val="center"/>
                </w:tcPr>
                <w:p w14:paraId="2C96D83C">
                  <w:pPr>
                    <w:pStyle w:val="20"/>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1、</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本项目不属于</w:t>
                  </w:r>
                  <w:r>
                    <w:rPr>
                      <w:rFonts w:hint="eastAsia" w:ascii="Times New Roman" w:hAnsi="Times New Roman" w:eastAsia="宋体" w:cs="Times New Roman"/>
                      <w:bCs/>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两高</w:t>
                  </w:r>
                  <w:r>
                    <w:rPr>
                      <w:rFonts w:hint="eastAsia" w:ascii="Times New Roman" w:hAnsi="Times New Roman" w:eastAsia="宋体" w:cs="Times New Roman"/>
                      <w:bCs/>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项目。</w:t>
                  </w:r>
                </w:p>
              </w:tc>
              <w:tc>
                <w:tcPr>
                  <w:tcW w:w="845" w:type="dxa"/>
                  <w:noWrap w:val="0"/>
                  <w:vAlign w:val="center"/>
                </w:tcPr>
                <w:p w14:paraId="2EA46175">
                  <w:pPr>
                    <w:keepNext w:val="0"/>
                    <w:keepLines w:val="0"/>
                    <w:widowControl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相符</w:t>
                  </w:r>
                </w:p>
              </w:tc>
            </w:tr>
            <w:tr w14:paraId="6574DF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6F7F6B4D">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6FB860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2、新建、扩建、搬迁的化学原料药和生物生化制品建设项目应位于产业园区，并符合园区产业定位、园区规划、规划环评及审查意见要求。</w:t>
                  </w:r>
                </w:p>
              </w:tc>
              <w:tc>
                <w:tcPr>
                  <w:tcW w:w="2337" w:type="dxa"/>
                  <w:noWrap w:val="0"/>
                  <w:vAlign w:val="center"/>
                </w:tcPr>
                <w:p w14:paraId="2548EE16">
                  <w:pPr>
                    <w:pStyle w:val="20"/>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cs="Times New Roman"/>
                      <w:color w:val="000000" w:themeColor="text1"/>
                      <w:kern w:val="2"/>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kern w:val="2"/>
                      <w:sz w:val="21"/>
                      <w:szCs w:val="21"/>
                      <w14:textFill>
                        <w14:solidFill>
                          <w14:schemeClr w14:val="tx1"/>
                        </w14:solidFill>
                      </w14:textFill>
                    </w:rPr>
                    <w:t>本项目不属于</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化学原料药和生物生化制品建设项目</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w:t>
                  </w:r>
                </w:p>
              </w:tc>
              <w:tc>
                <w:tcPr>
                  <w:tcW w:w="845" w:type="dxa"/>
                  <w:noWrap w:val="0"/>
                  <w:vAlign w:val="center"/>
                </w:tcPr>
                <w:p w14:paraId="202A6BA0">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不涉及</w:t>
                  </w:r>
                </w:p>
              </w:tc>
            </w:tr>
            <w:tr w14:paraId="79EFFF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66CD369E">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2F837616">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3、铸造企业不得采用无芯工频感应电炉、无磁轭（≥0.25吨）铝壳中频感应电炉、水玻璃熔模精密铸造氯化铵硬化模壳、铝合金六氯乙烷精炼等淘汰类工艺和装备。严格区分锻压行业和钢铁行业生产工艺特征特点，避免锻压配套的炼钢判定为钢铁冶炼生产，也严禁以铸造和锻压名义违规新增钢铁产能、违规生产钢坯钢锭及上市销售。</w:t>
                  </w:r>
                </w:p>
              </w:tc>
              <w:tc>
                <w:tcPr>
                  <w:tcW w:w="2337" w:type="dxa"/>
                  <w:noWrap w:val="0"/>
                  <w:vAlign w:val="center"/>
                </w:tcPr>
                <w:p w14:paraId="2AF83C6B">
                  <w:pPr>
                    <w:pStyle w:val="20"/>
                    <w:keepNext w:val="0"/>
                    <w:keepLines w:val="0"/>
                    <w:widowControl/>
                    <w:suppressLineNumbers w:val="0"/>
                    <w:spacing w:before="0" w:beforeAutospacing="0" w:after="0" w:afterAutospacing="0"/>
                    <w:ind w:left="0" w:right="0"/>
                    <w:jc w:val="both"/>
                    <w:rPr>
                      <w:rFonts w:hint="eastAsia" w:ascii="Times New Roman" w:hAnsi="Times New Roman" w:eastAsia="宋体" w:cs="Times New Roman"/>
                      <w:color w:val="000000" w:themeColor="text1"/>
                      <w:kern w:val="2"/>
                      <w:sz w:val="21"/>
                      <w:szCs w:val="21"/>
                      <w:lang w:eastAsia="zh-CN"/>
                      <w14:textFill>
                        <w14:solidFill>
                          <w14:schemeClr w14:val="tx1"/>
                        </w14:solidFill>
                      </w14:textFill>
                    </w:rPr>
                  </w:pPr>
                  <w:r>
                    <w:rPr>
                      <w:rFonts w:hint="eastAsia" w:ascii="Times New Roman" w:hAnsi="Times New Roman" w:cs="Times New Roman"/>
                      <w:color w:val="000000" w:themeColor="text1"/>
                      <w:kern w:val="2"/>
                      <w:sz w:val="21"/>
                      <w:szCs w:val="21"/>
                      <w:lang w:val="en-US" w:eastAsia="zh-CN"/>
                      <w14:textFill>
                        <w14:solidFill>
                          <w14:schemeClr w14:val="tx1"/>
                        </w14:solidFill>
                      </w14:textFill>
                    </w:rPr>
                    <w:t>3、</w:t>
                  </w:r>
                  <w:r>
                    <w:rPr>
                      <w:rFonts w:hint="eastAsia" w:ascii="Times New Roman" w:hAnsi="Times New Roman" w:cs="Times New Roman"/>
                      <w:color w:val="000000" w:themeColor="text1"/>
                      <w:kern w:val="2"/>
                      <w:sz w:val="21"/>
                      <w:szCs w:val="21"/>
                      <w:lang w:eastAsia="zh-CN"/>
                      <w14:textFill>
                        <w14:solidFill>
                          <w14:schemeClr w14:val="tx1"/>
                        </w14:solidFill>
                      </w14:textFill>
                    </w:rPr>
                    <w:t>本项目不属于铸造企业。</w:t>
                  </w:r>
                </w:p>
              </w:tc>
              <w:tc>
                <w:tcPr>
                  <w:tcW w:w="845" w:type="dxa"/>
                  <w:noWrap w:val="0"/>
                  <w:vAlign w:val="center"/>
                </w:tcPr>
                <w:p w14:paraId="2D74FC92">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不涉及</w:t>
                  </w:r>
                </w:p>
              </w:tc>
            </w:tr>
            <w:tr w14:paraId="54C640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69F687E3">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191176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4、严控磷铵、电石、黄磷等行业新增产能。</w:t>
                  </w:r>
                </w:p>
              </w:tc>
              <w:tc>
                <w:tcPr>
                  <w:tcW w:w="2337" w:type="dxa"/>
                  <w:noWrap w:val="0"/>
                  <w:vAlign w:val="center"/>
                </w:tcPr>
                <w:p w14:paraId="298B2DB9">
                  <w:pPr>
                    <w:pStyle w:val="20"/>
                    <w:keepNext w:val="0"/>
                    <w:keepLines w:val="0"/>
                    <w:widowControl/>
                    <w:suppressLineNumbers w:val="0"/>
                    <w:spacing w:before="0" w:beforeAutospacing="0" w:after="0" w:afterAutospacing="0"/>
                    <w:ind w:left="0" w:right="0"/>
                    <w:jc w:val="both"/>
                    <w:rPr>
                      <w:rFonts w:hint="eastAsia"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4、本项目不属于磷铵、电石、黄磷等行业。</w:t>
                  </w:r>
                </w:p>
              </w:tc>
              <w:tc>
                <w:tcPr>
                  <w:tcW w:w="845" w:type="dxa"/>
                  <w:noWrap w:val="0"/>
                  <w:vAlign w:val="center"/>
                </w:tcPr>
                <w:p w14:paraId="69B01BC1">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不涉及</w:t>
                  </w:r>
                </w:p>
              </w:tc>
            </w:tr>
            <w:tr w14:paraId="6BABA3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39A8351B">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18A176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5、禁止在黄河干支流岸线管控范围内新建、扩建化工园区和化工项目。新建危险化学品生产项目必须进入通过认定的一般或较低安全风险的化工园区（与其他行业生产装置配套建设的项目除外，配套建设项目由工业和信息化部门会同应急管理部门认定），引导其他化工项目在化工园区发展。</w:t>
                  </w:r>
                </w:p>
              </w:tc>
              <w:tc>
                <w:tcPr>
                  <w:tcW w:w="2337" w:type="dxa"/>
                  <w:noWrap w:val="0"/>
                  <w:vAlign w:val="center"/>
                </w:tcPr>
                <w:p w14:paraId="08301F13">
                  <w:pPr>
                    <w:pStyle w:val="20"/>
                    <w:keepNext w:val="0"/>
                    <w:keepLines w:val="0"/>
                    <w:widowControl/>
                    <w:suppressLineNumbers w:val="0"/>
                    <w:spacing w:before="0" w:beforeAutospacing="0" w:after="0" w:afterAutospacing="0"/>
                    <w:ind w:left="0" w:right="0"/>
                    <w:jc w:val="both"/>
                    <w:rPr>
                      <w:rFonts w:hint="eastAsia"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5、本项目不属于化工项目。</w:t>
                  </w:r>
                </w:p>
              </w:tc>
              <w:tc>
                <w:tcPr>
                  <w:tcW w:w="845" w:type="dxa"/>
                  <w:noWrap w:val="0"/>
                  <w:vAlign w:val="center"/>
                </w:tcPr>
                <w:p w14:paraId="7A36FEE9">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不涉及</w:t>
                  </w:r>
                </w:p>
              </w:tc>
            </w:tr>
            <w:tr w14:paraId="07A1E9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3A920692">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750531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6、禁止承接不符合国家石化、现代煤化工等产业布局规划的项目。禁止承接包含《安阳市承接化工产业转移“禁限控”目录》中所列工艺装备或产品的项目。禁止承接煤化工产能。禁止承接一次性固定资产投资额低于3亿元（不含土地费用）的危险化学品生产建设项目（列入国家战略性新兴产业重点产品和服务指导目录的项目除外）。禁止在化工园区外承接化工项目。</w:t>
                  </w:r>
                </w:p>
              </w:tc>
              <w:tc>
                <w:tcPr>
                  <w:tcW w:w="2337" w:type="dxa"/>
                  <w:noWrap w:val="0"/>
                  <w:vAlign w:val="center"/>
                </w:tcPr>
                <w:p w14:paraId="3DD94146">
                  <w:pPr>
                    <w:pStyle w:val="20"/>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cs="Times New Roman"/>
                      <w:color w:val="000000" w:themeColor="text1"/>
                      <w:kern w:val="2"/>
                      <w:sz w:val="21"/>
                      <w:szCs w:val="21"/>
                      <w:lang w:val="en-US" w:eastAsia="zh-CN"/>
                      <w14:textFill>
                        <w14:solidFill>
                          <w14:schemeClr w14:val="tx1"/>
                        </w14:solidFill>
                      </w14:textFill>
                    </w:rPr>
                    <w:t>6、</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本项目不属于化工项目。</w:t>
                  </w:r>
                </w:p>
              </w:tc>
              <w:tc>
                <w:tcPr>
                  <w:tcW w:w="845" w:type="dxa"/>
                  <w:noWrap w:val="0"/>
                  <w:vAlign w:val="center"/>
                </w:tcPr>
                <w:p w14:paraId="724B25AC">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不涉及</w:t>
                  </w:r>
                </w:p>
              </w:tc>
            </w:tr>
            <w:tr w14:paraId="43840F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3887B1BB">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37EA6E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7、从严从紧控制现代煤化工产能规模和新增煤炭消费量。确需新建的现代煤化工项目，应确保煤炭供应稳定，优先完成国家明确的发电供热用煤保供任务，不得通过减少保供煤用于现代煤化工项目建设，新建项目企业环保应达到绩效分级A级指标要求。新建项目应优先依托园区集中供热供汽设施，原则上不再新增自备燃煤机组。大气污染防治重点区域严禁新增煤化工产能（不含煤制油、煤制燃料）。</w:t>
                  </w:r>
                </w:p>
              </w:tc>
              <w:tc>
                <w:tcPr>
                  <w:tcW w:w="2337" w:type="dxa"/>
                  <w:noWrap w:val="0"/>
                  <w:vAlign w:val="center"/>
                </w:tcPr>
                <w:p w14:paraId="766CD3C3">
                  <w:pPr>
                    <w:pStyle w:val="20"/>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7</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、本项目不属于化工项目。</w:t>
                  </w:r>
                </w:p>
              </w:tc>
              <w:tc>
                <w:tcPr>
                  <w:tcW w:w="845" w:type="dxa"/>
                  <w:noWrap w:val="0"/>
                  <w:vAlign w:val="center"/>
                </w:tcPr>
                <w:p w14:paraId="40CFA5AB">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不涉及</w:t>
                  </w:r>
                </w:p>
              </w:tc>
            </w:tr>
            <w:tr w14:paraId="128CF4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1AA06391">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146C6718">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8、推动涉重金属产业集中优化发展，禁止低端落后产能向我市转移。禁止新建用汞的电石法（聚）氯乙烯生产工艺。新建、扩建的重有色金属冶炼、电镀、制革企业应选择布设在依法合规设立并经规划环评的产业园区。</w:t>
                  </w:r>
                </w:p>
              </w:tc>
              <w:tc>
                <w:tcPr>
                  <w:tcW w:w="2337" w:type="dxa"/>
                  <w:noWrap w:val="0"/>
                  <w:vAlign w:val="center"/>
                </w:tcPr>
                <w:p w14:paraId="6547F9BA">
                  <w:pPr>
                    <w:pStyle w:val="20"/>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8</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、本项目属于</w:t>
                  </w:r>
                  <w:r>
                    <w:rPr>
                      <w:rFonts w:hint="eastAsia" w:cs="Times New Roman"/>
                      <w:b w:val="0"/>
                      <w:bCs w:val="0"/>
                      <w:color w:val="000000" w:themeColor="text1"/>
                      <w:sz w:val="21"/>
                      <w:szCs w:val="21"/>
                      <w:u w:val="none" w:color="auto"/>
                      <w:lang w:val="en-US" w:eastAsia="zh-CN"/>
                      <w14:textFill>
                        <w14:solidFill>
                          <w14:schemeClr w14:val="tx1"/>
                        </w14:solidFill>
                      </w14:textFill>
                    </w:rPr>
                    <w:t>橡胶和塑料制品业，</w:t>
                  </w:r>
                  <w:r>
                    <w:rPr>
                      <w:rFonts w:hint="eastAsia" w:cs="Times New Roman"/>
                      <w:color w:val="000000" w:themeColor="text1"/>
                      <w:kern w:val="0"/>
                      <w:sz w:val="21"/>
                      <w:szCs w:val="21"/>
                      <w:lang w:val="en-US" w:eastAsia="zh-CN" w:bidi="ar"/>
                      <w14:textFill>
                        <w14:solidFill>
                          <w14:schemeClr w14:val="tx1"/>
                        </w14:solidFill>
                      </w14:textFill>
                    </w:rPr>
                    <w:t>不属于重金属产业</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r>
                    <w:rPr>
                      <w:rFonts w:hint="eastAsia" w:cs="Times New Roman"/>
                      <w:color w:val="000000" w:themeColor="text1"/>
                      <w:kern w:val="0"/>
                      <w:sz w:val="21"/>
                      <w:szCs w:val="21"/>
                      <w:lang w:val="en-US" w:eastAsia="zh-CN" w:bidi="ar"/>
                      <w14:textFill>
                        <w14:solidFill>
                          <w14:schemeClr w14:val="tx1"/>
                        </w14:solidFill>
                      </w14:textFill>
                    </w:rPr>
                    <w:t>未涉及汞的电石法（聚）氯乙烯生产工艺，不属于重有色金属冶炼、电镀、制革企业</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p>
              </w:tc>
              <w:tc>
                <w:tcPr>
                  <w:tcW w:w="845" w:type="dxa"/>
                  <w:noWrap w:val="0"/>
                  <w:vAlign w:val="center"/>
                </w:tcPr>
                <w:p w14:paraId="66A64DF6">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不涉及</w:t>
                  </w:r>
                </w:p>
              </w:tc>
            </w:tr>
            <w:tr w14:paraId="3079A3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7C78C732">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74BEB849">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9、禁止在水土流失严重区及重点预防区、水源保护区、生态脆弱区、自然保护地、野生动植物重要栖息地等区域，开展造成或者可能造成严重水土流失、破坏水生态环境和野生动植物栖息环境的生产建设活动。确因重大发展战略和重大公共利益需要建设的，应当经科学论证，并依法办理审批手续。严禁在黄河干流和主要支流临岸一定范围内新建“两高一资”（高耗能、高污染和资源性）项目及相关产业园区，具体范围由省人民政府制定。禁止在黄河干流岸线和重要支流岸线的管控范围内新建、改建、扩建尾矿库；但是以提升安全水平、生态环境保护水平为目的的改建除外。</w:t>
                  </w:r>
                </w:p>
              </w:tc>
              <w:tc>
                <w:tcPr>
                  <w:tcW w:w="2337" w:type="dxa"/>
                  <w:noWrap w:val="0"/>
                  <w:vAlign w:val="center"/>
                </w:tcPr>
                <w:p w14:paraId="6CE04A6C">
                  <w:pPr>
                    <w:pStyle w:val="20"/>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themeColor="text1"/>
                      <w:kern w:val="2"/>
                      <w:sz w:val="21"/>
                      <w:szCs w:val="21"/>
                      <w14:textFill>
                        <w14:solidFill>
                          <w14:schemeClr w14:val="tx1"/>
                        </w14:solidFill>
                      </w14:textFill>
                    </w:rPr>
                  </w:pPr>
                  <w:r>
                    <w:rPr>
                      <w:rFonts w:hint="eastAsia" w:ascii="Times New Roman" w:hAnsi="Times New Roman" w:cs="Times New Roman"/>
                      <w:color w:val="000000" w:themeColor="text1"/>
                      <w:kern w:val="2"/>
                      <w:sz w:val="21"/>
                      <w:szCs w:val="21"/>
                      <w:lang w:val="en-US" w:eastAsia="zh-CN"/>
                      <w14:textFill>
                        <w14:solidFill>
                          <w14:schemeClr w14:val="tx1"/>
                        </w14:solidFill>
                      </w14:textFill>
                    </w:rPr>
                    <w:t>9、</w:t>
                  </w:r>
                  <w:r>
                    <w:rPr>
                      <w:rFonts w:hint="default" w:ascii="Times New Roman" w:hAnsi="Times New Roman" w:eastAsia="宋体" w:cs="Times New Roman"/>
                      <w:color w:val="000000" w:themeColor="text1"/>
                      <w:kern w:val="2"/>
                      <w:sz w:val="21"/>
                      <w:szCs w:val="21"/>
                      <w14:textFill>
                        <w14:solidFill>
                          <w14:schemeClr w14:val="tx1"/>
                        </w14:solidFill>
                      </w14:textFill>
                    </w:rPr>
                    <w:t>本项目不涉及。</w:t>
                  </w:r>
                </w:p>
              </w:tc>
              <w:tc>
                <w:tcPr>
                  <w:tcW w:w="845" w:type="dxa"/>
                  <w:noWrap w:val="0"/>
                  <w:vAlign w:val="center"/>
                </w:tcPr>
                <w:p w14:paraId="19478F2E">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不涉及</w:t>
                  </w:r>
                </w:p>
              </w:tc>
            </w:tr>
            <w:tr w14:paraId="634BD2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6742B814">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0EDE6FA0">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10、原则上禁止曾用于生产、使用、贮存、回收、处置有毒有害物质的工矿用地复垦为种植食用农产品的耕地。</w:t>
                  </w:r>
                </w:p>
              </w:tc>
              <w:tc>
                <w:tcPr>
                  <w:tcW w:w="2337" w:type="dxa"/>
                  <w:noWrap w:val="0"/>
                  <w:vAlign w:val="center"/>
                </w:tcPr>
                <w:p w14:paraId="799AF159">
                  <w:pPr>
                    <w:pStyle w:val="20"/>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themeColor="text1"/>
                      <w:kern w:val="2"/>
                      <w:sz w:val="21"/>
                      <w:szCs w:val="21"/>
                      <w14:textFill>
                        <w14:solidFill>
                          <w14:schemeClr w14:val="tx1"/>
                        </w14:solidFill>
                      </w14:textFill>
                    </w:rPr>
                  </w:pPr>
                  <w:r>
                    <w:rPr>
                      <w:rFonts w:hint="eastAsia" w:ascii="Times New Roman" w:hAnsi="Times New Roman" w:cs="Times New Roman"/>
                      <w:color w:val="000000" w:themeColor="text1"/>
                      <w:kern w:val="2"/>
                      <w:sz w:val="21"/>
                      <w:szCs w:val="21"/>
                      <w:lang w:val="en-US" w:eastAsia="zh-CN"/>
                      <w14:textFill>
                        <w14:solidFill>
                          <w14:schemeClr w14:val="tx1"/>
                        </w14:solidFill>
                      </w14:textFill>
                    </w:rPr>
                    <w:t>10、</w:t>
                  </w:r>
                  <w:r>
                    <w:rPr>
                      <w:rFonts w:hint="default" w:ascii="Times New Roman" w:hAnsi="Times New Roman" w:eastAsia="宋体" w:cs="Times New Roman"/>
                      <w:color w:val="000000" w:themeColor="text1"/>
                      <w:kern w:val="2"/>
                      <w:sz w:val="21"/>
                      <w:szCs w:val="21"/>
                      <w14:textFill>
                        <w14:solidFill>
                          <w14:schemeClr w14:val="tx1"/>
                        </w14:solidFill>
                      </w14:textFill>
                    </w:rPr>
                    <w:t>本项目不涉及。</w:t>
                  </w:r>
                </w:p>
              </w:tc>
              <w:tc>
                <w:tcPr>
                  <w:tcW w:w="845" w:type="dxa"/>
                  <w:noWrap w:val="0"/>
                  <w:vAlign w:val="center"/>
                </w:tcPr>
                <w:p w14:paraId="02BF7049">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相符</w:t>
                  </w:r>
                </w:p>
              </w:tc>
            </w:tr>
            <w:tr w14:paraId="4EF98F2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6F47C1AE">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47C5DD1C">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11、工业企业选址应对符合国土空间规划和相关规划要求，建设项目严格执行声功能区环境准入要求，禁止在0、1类声环境功能区、严格限制在城市建成区内2类声环境功能区（工业园区外）建设产生噪声污染的工业项目。严控噪声污染严重的工业企业向乡村居民区域转移。</w:t>
                  </w:r>
                </w:p>
              </w:tc>
              <w:tc>
                <w:tcPr>
                  <w:tcW w:w="2337" w:type="dxa"/>
                  <w:noWrap w:val="0"/>
                  <w:vAlign w:val="center"/>
                </w:tcPr>
                <w:p w14:paraId="7A4BF213">
                  <w:pPr>
                    <w:pStyle w:val="20"/>
                    <w:keepNext w:val="0"/>
                    <w:keepLines w:val="0"/>
                    <w:widowControl/>
                    <w:suppressLineNumbers w:val="0"/>
                    <w:spacing w:before="0" w:beforeAutospacing="0" w:after="0" w:afterAutospacing="0"/>
                    <w:ind w:left="0" w:right="0"/>
                    <w:jc w:val="left"/>
                    <w:rPr>
                      <w:rFonts w:hint="default" w:ascii="Times New Roman" w:hAnsi="Times New Roman"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11、</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本项目位于</w:t>
                  </w:r>
                  <w:r>
                    <w:rPr>
                      <w:rFonts w:hint="eastAsia" w:cs="Times New Roman"/>
                      <w:color w:val="000000" w:themeColor="text1"/>
                      <w:kern w:val="0"/>
                      <w:sz w:val="21"/>
                      <w:szCs w:val="21"/>
                      <w:highlight w:val="none"/>
                      <w:lang w:val="en-US" w:eastAsia="zh-CN" w:bidi="ar"/>
                      <w14:textFill>
                        <w14:solidFill>
                          <w14:schemeClr w14:val="tx1"/>
                        </w14:solidFill>
                      </w14:textFill>
                    </w:rPr>
                    <w:t>安阳市汤阴县汤阴县众品大道原色非家具厂院内</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eastAsia" w:cs="Times New Roman"/>
                      <w:color w:val="000000" w:themeColor="text1"/>
                      <w:kern w:val="0"/>
                      <w:sz w:val="21"/>
                      <w:szCs w:val="21"/>
                      <w:highlight w:val="none"/>
                      <w:lang w:val="en-US" w:eastAsia="zh-CN" w:bidi="ar"/>
                      <w14:textFill>
                        <w14:solidFill>
                          <w14:schemeClr w14:val="tx1"/>
                        </w14:solidFill>
                      </w14:textFill>
                    </w:rPr>
                    <w:t>位于汤阴高新产业技术开发区内，本项目在工业用地上进行建设，根据汤阴县高新技术产业开发区管委会出具证明，本项目能够入驻开发区，符合</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国土空间规划和相关规划要求</w:t>
                  </w:r>
                  <w:r>
                    <w:rPr>
                      <w:rFonts w:hint="eastAsia" w:cs="Times New Roman"/>
                      <w:color w:val="000000" w:themeColor="text1"/>
                      <w:kern w:val="2"/>
                      <w:sz w:val="21"/>
                      <w:szCs w:val="21"/>
                      <w:lang w:val="en-US" w:eastAsia="zh-CN" w:bidi="ar"/>
                      <w14:textFill>
                        <w14:solidFill>
                          <w14:schemeClr w14:val="tx1"/>
                        </w14:solidFill>
                      </w14:textFill>
                    </w:rPr>
                    <w:t>，</w:t>
                  </w:r>
                  <w:r>
                    <w:rPr>
                      <w:rFonts w:hint="eastAsia" w:cs="Times New Roman"/>
                      <w:color w:val="000000" w:themeColor="text1"/>
                      <w:kern w:val="0"/>
                      <w:sz w:val="21"/>
                      <w:szCs w:val="21"/>
                      <w:highlight w:val="none"/>
                      <w:lang w:val="en-US" w:eastAsia="zh-CN" w:bidi="ar"/>
                      <w14:textFill>
                        <w14:solidFill>
                          <w14:schemeClr w14:val="tx1"/>
                        </w14:solidFill>
                      </w14:textFill>
                    </w:rPr>
                    <w:t>根据项目规划环评，执行3类声环境标准</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，厂界外50m范围内无声环境保护目标。</w:t>
                  </w:r>
                </w:p>
              </w:tc>
              <w:tc>
                <w:tcPr>
                  <w:tcW w:w="845" w:type="dxa"/>
                  <w:noWrap w:val="0"/>
                  <w:vAlign w:val="center"/>
                </w:tcPr>
                <w:p w14:paraId="54622452">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相符</w:t>
                  </w:r>
                </w:p>
              </w:tc>
            </w:tr>
            <w:tr w14:paraId="2A9A76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8" w:type="dxa"/>
                  <w:vMerge w:val="continue"/>
                  <w:noWrap w:val="0"/>
                  <w:vAlign w:val="center"/>
                </w:tcPr>
                <w:p w14:paraId="67FAEA55">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1F209411">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12、禁止在饮用水水源一级保护区内新建、改建、扩建与供水设施和保护水源无关的建设项目，且不得新建排污口。禁止在饮用水水源二级保护区内新建、改建、扩建排放污染物的建设项目，且不得新建排污口。禁止在饮用水水源准保护区内新建、扩建对水体污染严重的建设项目，改建建设项目不得增加排污量。</w:t>
                  </w:r>
                </w:p>
              </w:tc>
              <w:tc>
                <w:tcPr>
                  <w:tcW w:w="2337" w:type="dxa"/>
                  <w:noWrap w:val="0"/>
                  <w:vAlign w:val="center"/>
                </w:tcPr>
                <w:p w14:paraId="70A279EE">
                  <w:pPr>
                    <w:pStyle w:val="20"/>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12、</w:t>
                  </w:r>
                  <w:r>
                    <w:rPr>
                      <w:rFonts w:hint="eastAsia" w:cs="Times New Roman"/>
                      <w:b w:val="0"/>
                      <w:bCs w:val="0"/>
                      <w:color w:val="auto"/>
                      <w:kern w:val="0"/>
                      <w:sz w:val="21"/>
                      <w:szCs w:val="21"/>
                      <w:u w:val="none"/>
                      <w:lang w:val="en-US" w:eastAsia="zh-CN" w:bidi="ar"/>
                    </w:rPr>
                    <w:t>距离伏道水源保护地1218m</w:t>
                  </w:r>
                  <w:r>
                    <w:rPr>
                      <w:rFonts w:hint="eastAsia" w:cs="Times New Roman"/>
                      <w:b w:val="0"/>
                      <w:bCs w:val="0"/>
                      <w:color w:val="auto"/>
                      <w:kern w:val="0"/>
                      <w:sz w:val="21"/>
                      <w:szCs w:val="21"/>
                      <w:u w:val="none"/>
                      <w:lang w:val="en-US" w:eastAsia="zh-CN" w:bidi="ar"/>
                    </w:rPr>
                    <w:t>，</w:t>
                  </w:r>
                  <w:r>
                    <w:rPr>
                      <w:rFonts w:hint="eastAsia" w:cs="Times New Roman"/>
                      <w:color w:val="auto"/>
                      <w:kern w:val="0"/>
                      <w:sz w:val="21"/>
                      <w:szCs w:val="21"/>
                      <w:lang w:val="en-US" w:eastAsia="zh-CN" w:bidi="ar"/>
                    </w:rPr>
                    <w:t>未在</w:t>
                  </w:r>
                  <w:r>
                    <w:rPr>
                      <w:rFonts w:hint="default" w:ascii="Times New Roman" w:hAnsi="Times New Roman" w:eastAsia="宋体" w:cs="Times New Roman"/>
                      <w:color w:val="auto"/>
                      <w:kern w:val="2"/>
                      <w:sz w:val="21"/>
                      <w:szCs w:val="21"/>
                      <w:lang w:val="en-US" w:eastAsia="zh-CN" w:bidi="ar"/>
                    </w:rPr>
                    <w:t>饮用水水源一级、二级保护区及准保护区</w:t>
                  </w:r>
                  <w:r>
                    <w:rPr>
                      <w:rFonts w:hint="eastAsia" w:cs="Times New Roman"/>
                      <w:color w:val="auto"/>
                      <w:kern w:val="2"/>
                      <w:sz w:val="21"/>
                      <w:szCs w:val="21"/>
                      <w:lang w:val="en-US" w:eastAsia="zh-CN" w:bidi="ar"/>
                    </w:rPr>
                    <w:t>范围内</w:t>
                  </w:r>
                  <w:r>
                    <w:rPr>
                      <w:rFonts w:hint="default" w:ascii="Times New Roman" w:hAnsi="Times New Roman" w:eastAsia="宋体" w:cs="Times New Roman"/>
                      <w:color w:val="auto"/>
                      <w:kern w:val="2"/>
                      <w:sz w:val="21"/>
                      <w:szCs w:val="21"/>
                      <w:lang w:val="en-US" w:eastAsia="zh-CN" w:bidi="ar"/>
                    </w:rPr>
                    <w:t>。</w:t>
                  </w:r>
                </w:p>
              </w:tc>
              <w:tc>
                <w:tcPr>
                  <w:tcW w:w="845" w:type="dxa"/>
                  <w:noWrap w:val="0"/>
                  <w:vAlign w:val="center"/>
                </w:tcPr>
                <w:p w14:paraId="361712C5">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相符</w:t>
                  </w:r>
                </w:p>
              </w:tc>
            </w:tr>
            <w:tr w14:paraId="454C91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099AEDB9">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1A24B0F2">
                  <w:pPr>
                    <w:pStyle w:val="26"/>
                    <w:keepNext w:val="0"/>
                    <w:keepLines w:val="0"/>
                    <w:widowControl w:val="0"/>
                    <w:suppressLineNumbers w:val="0"/>
                    <w:overflowPunct w:val="0"/>
                    <w:autoSpaceDE w:val="0"/>
                    <w:autoSpaceDN/>
                    <w:adjustRightInd w:val="0"/>
                    <w:snapToGrid w:val="0"/>
                    <w:spacing w:before="0" w:beforeAutospacing="0" w:after="0" w:afterAutospacing="0" w:line="252" w:lineRule="auto"/>
                    <w:ind w:left="0" w:leftChars="0" w:right="0" w:rightChars="0" w:firstLine="0" w:firstLineChars="0"/>
                    <w:jc w:val="both"/>
                    <w:rPr>
                      <w:rFonts w:hint="default" w:ascii="Times New Roman" w:hAnsi="Times New Roman" w:eastAsia="宋体" w:cs="Times New Roman"/>
                      <w:b w:val="0"/>
                      <w:bCs w:val="0"/>
                      <w:color w:val="auto"/>
                      <w:kern w:val="2"/>
                      <w:sz w:val="21"/>
                      <w:szCs w:val="21"/>
                      <w:u w:val="none"/>
                      <w:lang w:val="en-US" w:eastAsia="zh-CN" w:bidi="ar"/>
                    </w:rPr>
                  </w:pPr>
                  <w:r>
                    <w:rPr>
                      <w:rFonts w:hint="default" w:ascii="Times New Roman" w:hAnsi="Times New Roman" w:eastAsia="宋体" w:cs="Times New Roman"/>
                      <w:b w:val="0"/>
                      <w:bCs/>
                      <w:color w:val="auto"/>
                      <w:kern w:val="0"/>
                      <w:sz w:val="21"/>
                      <w:szCs w:val="21"/>
                      <w:lang w:val="en-US" w:eastAsia="zh-CN" w:bidi="ar"/>
                    </w:rPr>
                    <w:t>13</w:t>
                  </w:r>
                  <w:r>
                    <w:rPr>
                      <w:rFonts w:hint="eastAsia" w:ascii="Times New Roman" w:hAnsi="Times New Roman" w:eastAsia="宋体" w:cs="Times New Roman"/>
                      <w:b w:val="0"/>
                      <w:bCs/>
                      <w:color w:val="auto"/>
                      <w:kern w:val="0"/>
                      <w:sz w:val="21"/>
                      <w:szCs w:val="21"/>
                      <w:lang w:val="en-US" w:eastAsia="zh-CN" w:bidi="ar"/>
                    </w:rPr>
                    <w:t>、林州万宝山省级自然保护区禁止下列行为：</w:t>
                  </w:r>
                  <w:r>
                    <w:rPr>
                      <w:rFonts w:hint="eastAsia" w:ascii="Times New Roman" w:hAnsi="Times New Roman" w:cs="Times New Roman"/>
                      <w:b w:val="0"/>
                      <w:bCs/>
                      <w:color w:val="auto"/>
                      <w:kern w:val="0"/>
                      <w:sz w:val="21"/>
                      <w:szCs w:val="21"/>
                      <w:lang w:val="en-US" w:eastAsia="zh-CN"/>
                    </w:rPr>
                    <w:t>略。</w:t>
                  </w:r>
                </w:p>
              </w:tc>
              <w:tc>
                <w:tcPr>
                  <w:tcW w:w="2337" w:type="dxa"/>
                  <w:noWrap w:val="0"/>
                  <w:vAlign w:val="center"/>
                </w:tcPr>
                <w:p w14:paraId="08A9FEBD">
                  <w:pPr>
                    <w:keepNext w:val="0"/>
                    <w:keepLines w:val="0"/>
                    <w:widowControl/>
                    <w:suppressLineNumbers w:val="0"/>
                    <w:adjustRightInd w:val="0"/>
                    <w:snapToGrid w:val="0"/>
                    <w:spacing w:before="0" w:beforeAutospacing="0" w:after="0" w:afterAutospacing="0"/>
                    <w:ind w:left="0" w:leftChars="0" w:right="0" w:rightChars="0"/>
                    <w:jc w:val="both"/>
                    <w:rPr>
                      <w:rFonts w:hint="default" w:ascii="Times New Roman" w:hAnsi="Times New Roman" w:cs="Times New Roman"/>
                      <w:b w:val="0"/>
                      <w:bCs w:val="0"/>
                      <w:color w:val="auto"/>
                      <w:kern w:val="0"/>
                      <w:sz w:val="21"/>
                      <w:szCs w:val="21"/>
                      <w:u w:val="none"/>
                      <w:lang w:val="en-US" w:eastAsia="zh-CN" w:bidi="ar"/>
                    </w:rPr>
                  </w:pPr>
                  <w:r>
                    <w:rPr>
                      <w:rFonts w:hint="eastAsia" w:cs="Times New Roman"/>
                      <w:b w:val="0"/>
                      <w:bCs w:val="0"/>
                      <w:color w:val="auto"/>
                      <w:kern w:val="0"/>
                      <w:sz w:val="21"/>
                      <w:szCs w:val="21"/>
                      <w:u w:val="none"/>
                      <w:lang w:val="en-US" w:eastAsia="zh-CN" w:bidi="ar"/>
                    </w:rPr>
                    <w:t>13、不涉及。</w:t>
                  </w:r>
                </w:p>
              </w:tc>
              <w:tc>
                <w:tcPr>
                  <w:tcW w:w="845" w:type="dxa"/>
                  <w:noWrap w:val="0"/>
                  <w:vAlign w:val="center"/>
                </w:tcPr>
                <w:p w14:paraId="1BD474B0">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0"/>
                      <w:sz w:val="21"/>
                      <w:szCs w:val="21"/>
                      <w:u w:val="none"/>
                      <w:lang w:val="en-US" w:eastAsia="zh-CN" w:bidi="ar"/>
                    </w:rPr>
                  </w:pPr>
                  <w:r>
                    <w:rPr>
                      <w:rFonts w:hint="eastAsia" w:cs="Times New Roman"/>
                      <w:b w:val="0"/>
                      <w:bCs w:val="0"/>
                      <w:color w:val="auto"/>
                      <w:kern w:val="0"/>
                      <w:sz w:val="21"/>
                      <w:szCs w:val="21"/>
                      <w:u w:val="none"/>
                      <w:lang w:val="en-US" w:eastAsia="zh-CN" w:bidi="ar"/>
                    </w:rPr>
                    <w:t>不涉及</w:t>
                  </w:r>
                </w:p>
              </w:tc>
            </w:tr>
            <w:tr w14:paraId="7B44C8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68E569E3">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61A0CCB6">
                  <w:pPr>
                    <w:pStyle w:val="26"/>
                    <w:keepNext w:val="0"/>
                    <w:keepLines w:val="0"/>
                    <w:widowControl w:val="0"/>
                    <w:suppressLineNumbers w:val="0"/>
                    <w:overflowPunct w:val="0"/>
                    <w:autoSpaceDE w:val="0"/>
                    <w:autoSpaceDN/>
                    <w:adjustRightInd w:val="0"/>
                    <w:snapToGrid w:val="0"/>
                    <w:spacing w:before="0" w:beforeAutospacing="0" w:after="0" w:afterAutospacing="0" w:line="252" w:lineRule="auto"/>
                    <w:ind w:left="0" w:leftChars="0" w:right="0" w:rightChars="0" w:firstLine="0" w:firstLineChars="0"/>
                    <w:jc w:val="both"/>
                    <w:rPr>
                      <w:rFonts w:hint="eastAsia" w:cs="Times New Roman"/>
                      <w:b w:val="0"/>
                      <w:bCs w:val="0"/>
                      <w:color w:val="auto"/>
                      <w:kern w:val="2"/>
                      <w:sz w:val="21"/>
                      <w:szCs w:val="21"/>
                      <w:u w:val="none"/>
                      <w:lang w:val="en-US" w:eastAsia="zh-CN" w:bidi="ar"/>
                    </w:rPr>
                  </w:pPr>
                  <w:r>
                    <w:rPr>
                      <w:rFonts w:hint="eastAsia" w:ascii="Times New Roman" w:hAnsi="Times New Roman" w:eastAsia="宋体" w:cs="Times New Roman"/>
                      <w:b w:val="0"/>
                      <w:bCs/>
                      <w:color w:val="auto"/>
                      <w:kern w:val="0"/>
                      <w:sz w:val="21"/>
                      <w:szCs w:val="21"/>
                      <w:lang w:val="en-US" w:eastAsia="zh-CN" w:bidi="ar"/>
                    </w:rPr>
                    <w:t>14、林虑山风景名胜区内禁止以下行为：略。</w:t>
                  </w:r>
                </w:p>
              </w:tc>
              <w:tc>
                <w:tcPr>
                  <w:tcW w:w="2337" w:type="dxa"/>
                  <w:noWrap w:val="0"/>
                  <w:vAlign w:val="center"/>
                </w:tcPr>
                <w:p w14:paraId="702C3333">
                  <w:pPr>
                    <w:keepNext w:val="0"/>
                    <w:keepLines w:val="0"/>
                    <w:widowControl/>
                    <w:suppressLineNumbers w:val="0"/>
                    <w:adjustRightInd w:val="0"/>
                    <w:snapToGrid w:val="0"/>
                    <w:spacing w:before="0" w:beforeAutospacing="0" w:after="0" w:afterAutospacing="0"/>
                    <w:ind w:left="0" w:leftChars="0" w:right="0" w:rightChars="0"/>
                    <w:jc w:val="both"/>
                    <w:rPr>
                      <w:rFonts w:hint="eastAsia" w:cs="Times New Roman"/>
                      <w:b w:val="0"/>
                      <w:bCs w:val="0"/>
                      <w:color w:val="auto"/>
                      <w:kern w:val="0"/>
                      <w:sz w:val="21"/>
                      <w:szCs w:val="21"/>
                      <w:u w:val="none"/>
                      <w:lang w:val="en-US" w:eastAsia="zh-CN" w:bidi="ar"/>
                    </w:rPr>
                  </w:pPr>
                  <w:r>
                    <w:rPr>
                      <w:rFonts w:hint="eastAsia" w:cs="Times New Roman"/>
                      <w:b w:val="0"/>
                      <w:bCs w:val="0"/>
                      <w:color w:val="auto"/>
                      <w:kern w:val="0"/>
                      <w:sz w:val="21"/>
                      <w:szCs w:val="21"/>
                      <w:u w:val="none"/>
                      <w:lang w:val="en-US" w:eastAsia="zh-CN" w:bidi="ar"/>
                    </w:rPr>
                    <w:t>14、不涉及。</w:t>
                  </w:r>
                </w:p>
              </w:tc>
              <w:tc>
                <w:tcPr>
                  <w:tcW w:w="845" w:type="dxa"/>
                  <w:noWrap w:val="0"/>
                  <w:vAlign w:val="center"/>
                </w:tcPr>
                <w:p w14:paraId="12CD6DF9">
                  <w:pPr>
                    <w:keepNext w:val="0"/>
                    <w:keepLines w:val="0"/>
                    <w:widowControl/>
                    <w:suppressLineNumbers w:val="0"/>
                    <w:adjustRightInd w:val="0"/>
                    <w:snapToGrid w:val="0"/>
                    <w:spacing w:before="0" w:beforeAutospacing="0" w:after="0" w:afterAutospacing="0"/>
                    <w:ind w:left="0" w:leftChars="0" w:right="0" w:rightChars="0"/>
                    <w:jc w:val="center"/>
                    <w:rPr>
                      <w:rFonts w:hint="eastAsia" w:cs="Times New Roman"/>
                      <w:b w:val="0"/>
                      <w:bCs w:val="0"/>
                      <w:color w:val="auto"/>
                      <w:kern w:val="0"/>
                      <w:sz w:val="21"/>
                      <w:szCs w:val="21"/>
                      <w:u w:val="none"/>
                      <w:lang w:val="en-US" w:eastAsia="zh-CN" w:bidi="ar"/>
                    </w:rPr>
                  </w:pPr>
                  <w:r>
                    <w:rPr>
                      <w:rFonts w:hint="eastAsia" w:cs="Times New Roman"/>
                      <w:b w:val="0"/>
                      <w:bCs w:val="0"/>
                      <w:color w:val="auto"/>
                      <w:kern w:val="0"/>
                      <w:sz w:val="21"/>
                      <w:szCs w:val="21"/>
                      <w:u w:val="none"/>
                      <w:lang w:val="en-US" w:eastAsia="zh-CN" w:bidi="ar"/>
                    </w:rPr>
                    <w:t>不涉及</w:t>
                  </w:r>
                </w:p>
              </w:tc>
            </w:tr>
            <w:tr w14:paraId="16FE46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10F6FA32">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4331F734">
                  <w:pPr>
                    <w:pStyle w:val="26"/>
                    <w:keepNext w:val="0"/>
                    <w:keepLines w:val="0"/>
                    <w:widowControl w:val="0"/>
                    <w:suppressLineNumbers w:val="0"/>
                    <w:overflowPunct w:val="0"/>
                    <w:autoSpaceDE w:val="0"/>
                    <w:autoSpaceDN/>
                    <w:adjustRightInd w:val="0"/>
                    <w:snapToGrid w:val="0"/>
                    <w:spacing w:before="0" w:beforeAutospacing="0" w:after="0" w:afterAutospacing="0" w:line="252" w:lineRule="auto"/>
                    <w:ind w:left="0" w:leftChars="0" w:right="0" w:rightChars="0" w:firstLine="0" w:firstLineChars="0"/>
                    <w:jc w:val="both"/>
                    <w:rPr>
                      <w:rFonts w:hint="eastAsia" w:cs="Times New Roman"/>
                      <w:b w:val="0"/>
                      <w:bCs w:val="0"/>
                      <w:color w:val="auto"/>
                      <w:kern w:val="2"/>
                      <w:sz w:val="21"/>
                      <w:szCs w:val="21"/>
                      <w:u w:val="none"/>
                      <w:lang w:val="en-US" w:eastAsia="zh-CN" w:bidi="ar"/>
                    </w:rPr>
                  </w:pPr>
                  <w:r>
                    <w:rPr>
                      <w:rFonts w:hint="eastAsia" w:ascii="Times New Roman" w:hAnsi="Times New Roman" w:eastAsia="宋体" w:cs="Times New Roman"/>
                      <w:b w:val="0"/>
                      <w:bCs/>
                      <w:color w:val="auto"/>
                      <w:kern w:val="0"/>
                      <w:sz w:val="21"/>
                      <w:szCs w:val="21"/>
                      <w:lang w:val="en-US" w:eastAsia="zh-CN" w:bidi="ar"/>
                    </w:rPr>
                    <w:t>15、淇河国家鲫鱼种质资源保护区禁止下列行为：略。</w:t>
                  </w:r>
                </w:p>
              </w:tc>
              <w:tc>
                <w:tcPr>
                  <w:tcW w:w="2337" w:type="dxa"/>
                  <w:noWrap w:val="0"/>
                  <w:vAlign w:val="center"/>
                </w:tcPr>
                <w:p w14:paraId="37A578F4">
                  <w:pPr>
                    <w:keepNext w:val="0"/>
                    <w:keepLines w:val="0"/>
                    <w:widowControl/>
                    <w:suppressLineNumbers w:val="0"/>
                    <w:adjustRightInd w:val="0"/>
                    <w:snapToGrid w:val="0"/>
                    <w:spacing w:before="0" w:beforeAutospacing="0" w:after="0" w:afterAutospacing="0"/>
                    <w:ind w:left="0" w:leftChars="0" w:right="0" w:rightChars="0"/>
                    <w:jc w:val="both"/>
                    <w:rPr>
                      <w:rFonts w:hint="eastAsia" w:cs="Times New Roman"/>
                      <w:b w:val="0"/>
                      <w:bCs w:val="0"/>
                      <w:color w:val="auto"/>
                      <w:kern w:val="0"/>
                      <w:sz w:val="21"/>
                      <w:szCs w:val="21"/>
                      <w:u w:val="none"/>
                      <w:lang w:val="en-US" w:eastAsia="zh-CN" w:bidi="ar"/>
                    </w:rPr>
                  </w:pPr>
                  <w:r>
                    <w:rPr>
                      <w:rFonts w:hint="eastAsia" w:cs="Times New Roman"/>
                      <w:b w:val="0"/>
                      <w:bCs w:val="0"/>
                      <w:color w:val="auto"/>
                      <w:kern w:val="0"/>
                      <w:sz w:val="21"/>
                      <w:szCs w:val="21"/>
                      <w:u w:val="none"/>
                      <w:lang w:val="en-US" w:eastAsia="zh-CN" w:bidi="ar"/>
                    </w:rPr>
                    <w:t>15、不涉及。</w:t>
                  </w:r>
                </w:p>
              </w:tc>
              <w:tc>
                <w:tcPr>
                  <w:tcW w:w="845" w:type="dxa"/>
                  <w:noWrap w:val="0"/>
                  <w:vAlign w:val="center"/>
                </w:tcPr>
                <w:p w14:paraId="4D0E5E2C">
                  <w:pPr>
                    <w:keepNext w:val="0"/>
                    <w:keepLines w:val="0"/>
                    <w:widowControl/>
                    <w:suppressLineNumbers w:val="0"/>
                    <w:adjustRightInd w:val="0"/>
                    <w:snapToGrid w:val="0"/>
                    <w:spacing w:before="0" w:beforeAutospacing="0" w:after="0" w:afterAutospacing="0"/>
                    <w:ind w:left="0" w:leftChars="0" w:right="0" w:rightChars="0"/>
                    <w:jc w:val="center"/>
                    <w:rPr>
                      <w:rFonts w:hint="eastAsia" w:cs="Times New Roman"/>
                      <w:b w:val="0"/>
                      <w:bCs w:val="0"/>
                      <w:color w:val="auto"/>
                      <w:kern w:val="0"/>
                      <w:sz w:val="21"/>
                      <w:szCs w:val="21"/>
                      <w:u w:val="none"/>
                      <w:lang w:val="en-US" w:eastAsia="zh-CN" w:bidi="ar"/>
                    </w:rPr>
                  </w:pPr>
                  <w:r>
                    <w:rPr>
                      <w:rFonts w:hint="eastAsia" w:cs="Times New Roman"/>
                      <w:b w:val="0"/>
                      <w:bCs w:val="0"/>
                      <w:color w:val="auto"/>
                      <w:kern w:val="0"/>
                      <w:sz w:val="21"/>
                      <w:szCs w:val="21"/>
                      <w:u w:val="none"/>
                      <w:lang w:val="en-US" w:eastAsia="zh-CN" w:bidi="ar"/>
                    </w:rPr>
                    <w:t>不涉及</w:t>
                  </w:r>
                </w:p>
              </w:tc>
            </w:tr>
            <w:tr w14:paraId="12CA02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27CA6D54">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45337A0E">
                  <w:pPr>
                    <w:pStyle w:val="26"/>
                    <w:keepNext w:val="0"/>
                    <w:keepLines w:val="0"/>
                    <w:widowControl w:val="0"/>
                    <w:suppressLineNumbers w:val="0"/>
                    <w:overflowPunct w:val="0"/>
                    <w:autoSpaceDE w:val="0"/>
                    <w:autoSpaceDN/>
                    <w:adjustRightInd w:val="0"/>
                    <w:snapToGrid w:val="0"/>
                    <w:spacing w:before="0" w:beforeAutospacing="0" w:after="0" w:afterAutospacing="0" w:line="252" w:lineRule="auto"/>
                    <w:ind w:left="0" w:leftChars="0" w:right="0" w:rightChars="0" w:firstLine="0" w:firstLineChars="0"/>
                    <w:jc w:val="both"/>
                    <w:rPr>
                      <w:rFonts w:hint="eastAsia" w:cs="Times New Roman"/>
                      <w:b w:val="0"/>
                      <w:bCs w:val="0"/>
                      <w:color w:val="auto"/>
                      <w:kern w:val="2"/>
                      <w:sz w:val="21"/>
                      <w:szCs w:val="21"/>
                      <w:u w:val="none"/>
                      <w:lang w:val="en-US" w:eastAsia="zh-CN" w:bidi="ar"/>
                    </w:rPr>
                  </w:pPr>
                  <w:r>
                    <w:rPr>
                      <w:rFonts w:hint="eastAsia" w:ascii="Times New Roman" w:hAnsi="Times New Roman" w:eastAsia="宋体" w:cs="Times New Roman"/>
                      <w:b w:val="0"/>
                      <w:bCs/>
                      <w:color w:val="auto"/>
                      <w:kern w:val="0"/>
                      <w:sz w:val="21"/>
                      <w:szCs w:val="21"/>
                      <w:lang w:val="en-US" w:eastAsia="zh-CN" w:bidi="ar"/>
                    </w:rPr>
                    <w:t>16、淇淅河湿地公园核心区内禁止下列行为：略。</w:t>
                  </w:r>
                </w:p>
              </w:tc>
              <w:tc>
                <w:tcPr>
                  <w:tcW w:w="2337" w:type="dxa"/>
                  <w:noWrap w:val="0"/>
                  <w:vAlign w:val="center"/>
                </w:tcPr>
                <w:p w14:paraId="17A50E11">
                  <w:pPr>
                    <w:keepNext w:val="0"/>
                    <w:keepLines w:val="0"/>
                    <w:widowControl/>
                    <w:suppressLineNumbers w:val="0"/>
                    <w:adjustRightInd w:val="0"/>
                    <w:snapToGrid w:val="0"/>
                    <w:spacing w:before="0" w:beforeAutospacing="0" w:after="0" w:afterAutospacing="0"/>
                    <w:ind w:left="0" w:leftChars="0" w:right="0" w:rightChars="0"/>
                    <w:jc w:val="both"/>
                    <w:rPr>
                      <w:rFonts w:hint="eastAsia" w:cs="Times New Roman"/>
                      <w:b w:val="0"/>
                      <w:bCs w:val="0"/>
                      <w:color w:val="auto"/>
                      <w:kern w:val="0"/>
                      <w:sz w:val="21"/>
                      <w:szCs w:val="21"/>
                      <w:u w:val="none"/>
                      <w:lang w:val="en-US" w:eastAsia="zh-CN" w:bidi="ar"/>
                    </w:rPr>
                  </w:pPr>
                  <w:r>
                    <w:rPr>
                      <w:rFonts w:hint="eastAsia" w:cs="Times New Roman"/>
                      <w:b w:val="0"/>
                      <w:bCs w:val="0"/>
                      <w:color w:val="auto"/>
                      <w:kern w:val="0"/>
                      <w:sz w:val="21"/>
                      <w:szCs w:val="21"/>
                      <w:u w:val="none"/>
                      <w:lang w:val="en-US" w:eastAsia="zh-CN" w:bidi="ar"/>
                    </w:rPr>
                    <w:t>16、不涉及。</w:t>
                  </w:r>
                </w:p>
              </w:tc>
              <w:tc>
                <w:tcPr>
                  <w:tcW w:w="845" w:type="dxa"/>
                  <w:noWrap w:val="0"/>
                  <w:vAlign w:val="center"/>
                </w:tcPr>
                <w:p w14:paraId="1617300F">
                  <w:pPr>
                    <w:keepNext w:val="0"/>
                    <w:keepLines w:val="0"/>
                    <w:widowControl/>
                    <w:suppressLineNumbers w:val="0"/>
                    <w:adjustRightInd w:val="0"/>
                    <w:snapToGrid w:val="0"/>
                    <w:spacing w:before="0" w:beforeAutospacing="0" w:after="0" w:afterAutospacing="0"/>
                    <w:ind w:left="0" w:leftChars="0" w:right="0" w:rightChars="0"/>
                    <w:jc w:val="center"/>
                    <w:rPr>
                      <w:rFonts w:hint="eastAsia" w:cs="Times New Roman"/>
                      <w:b w:val="0"/>
                      <w:bCs w:val="0"/>
                      <w:color w:val="auto"/>
                      <w:kern w:val="0"/>
                      <w:sz w:val="21"/>
                      <w:szCs w:val="21"/>
                      <w:u w:val="none"/>
                      <w:lang w:val="en-US" w:eastAsia="zh-CN" w:bidi="ar"/>
                    </w:rPr>
                  </w:pPr>
                  <w:r>
                    <w:rPr>
                      <w:rFonts w:hint="eastAsia" w:cs="Times New Roman"/>
                      <w:b w:val="0"/>
                      <w:bCs w:val="0"/>
                      <w:color w:val="auto"/>
                      <w:kern w:val="0"/>
                      <w:sz w:val="21"/>
                      <w:szCs w:val="21"/>
                      <w:u w:val="none"/>
                      <w:lang w:val="en-US" w:eastAsia="zh-CN" w:bidi="ar"/>
                    </w:rPr>
                    <w:t>不涉及</w:t>
                  </w:r>
                </w:p>
              </w:tc>
            </w:tr>
            <w:tr w14:paraId="7D09E6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70E653A4">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61DF31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17、汤河国家湿地公园规划区内禁止下列行为：</w:t>
                  </w:r>
                </w:p>
                <w:p w14:paraId="0FFAFA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（一）建设与湿地公园无关的项目；</w:t>
                  </w:r>
                </w:p>
                <w:p w14:paraId="77BEF3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（二）未经达标处理排放废水；倾倒垃圾、粪便及其他废弃物；堆放、存储固体废弃物和其他污染物；</w:t>
                  </w:r>
                </w:p>
                <w:p w14:paraId="259290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（三）使用不符合国家环保标准的高毒高残留农药；</w:t>
                  </w:r>
                </w:p>
                <w:p w14:paraId="42BF5F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（四）在景物上涂写、刻画、张贴等；损坏游览、服务等公共施舍和其他设施；</w:t>
                  </w:r>
                </w:p>
                <w:p w14:paraId="0289F4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（五）洗涤污物、清洗机动车辆和船舶；</w:t>
                  </w:r>
                </w:p>
                <w:p w14:paraId="63513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（六）其他破坏湿地公园生态资源和人文历史风貌资源的行为。</w:t>
                  </w:r>
                </w:p>
              </w:tc>
              <w:tc>
                <w:tcPr>
                  <w:tcW w:w="2337" w:type="dxa"/>
                  <w:noWrap w:val="0"/>
                  <w:vAlign w:val="center"/>
                </w:tcPr>
                <w:p w14:paraId="1D1667DE">
                  <w:pPr>
                    <w:keepNext w:val="0"/>
                    <w:keepLines w:val="0"/>
                    <w:widowControl/>
                    <w:suppressLineNumbers w:val="0"/>
                    <w:adjustRightInd w:val="0"/>
                    <w:snapToGrid w:val="0"/>
                    <w:spacing w:before="0" w:beforeAutospacing="0" w:after="0" w:afterAutospacing="0"/>
                    <w:ind w:left="0" w:leftChars="0" w:right="0" w:rightChars="0"/>
                    <w:jc w:val="both"/>
                    <w:rPr>
                      <w:rFonts w:hint="default" w:ascii="Times New Roman" w:hAnsi="Times New Roman" w:eastAsia="宋体" w:cs="Times New Roman"/>
                      <w:color w:val="auto"/>
                      <w:kern w:val="2"/>
                      <w:sz w:val="21"/>
                      <w:szCs w:val="21"/>
                    </w:rPr>
                  </w:pPr>
                  <w:r>
                    <w:rPr>
                      <w:rFonts w:hint="default" w:ascii="Times New Roman" w:hAnsi="Times New Roman" w:cs="Times New Roman"/>
                      <w:color w:val="auto"/>
                      <w:kern w:val="0"/>
                      <w:sz w:val="21"/>
                      <w:szCs w:val="21"/>
                      <w:lang w:val="en-US" w:eastAsia="zh-CN" w:bidi="ar"/>
                    </w:rPr>
                    <w:t>17</w:t>
                  </w:r>
                  <w:r>
                    <w:rPr>
                      <w:rFonts w:hint="default" w:ascii="Times New Roman" w:hAnsi="Times New Roman" w:eastAsia="宋体" w:cs="Times New Roman"/>
                      <w:color w:val="auto"/>
                      <w:kern w:val="0"/>
                      <w:sz w:val="21"/>
                      <w:szCs w:val="21"/>
                      <w:lang w:val="en-US" w:eastAsia="zh-CN" w:bidi="ar"/>
                    </w:rPr>
                    <w:t>、本项目不涉及汤河国家湿地公园。</w:t>
                  </w:r>
                </w:p>
              </w:tc>
              <w:tc>
                <w:tcPr>
                  <w:tcW w:w="845" w:type="dxa"/>
                  <w:noWrap w:val="0"/>
                  <w:vAlign w:val="center"/>
                </w:tcPr>
                <w:p w14:paraId="3C7D4206">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0"/>
                      <w:sz w:val="21"/>
                      <w:szCs w:val="21"/>
                      <w:lang w:val="en-US" w:eastAsia="zh-CN" w:bidi="ar"/>
                    </w:rPr>
                    <w:t>不涉及</w:t>
                  </w:r>
                </w:p>
              </w:tc>
            </w:tr>
            <w:tr w14:paraId="0CA9AF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383D9D3C">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3F759A88">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u w:val="none"/>
                      <w:lang w:val="en-US" w:eastAsia="zh-CN" w:bidi="ar"/>
                    </w:rPr>
                  </w:pPr>
                  <w:r>
                    <w:rPr>
                      <w:rFonts w:hint="eastAsia" w:ascii="Times New Roman" w:hAnsi="Times New Roman" w:eastAsia="宋体" w:cs="Times New Roman"/>
                      <w:b w:val="0"/>
                      <w:bCs/>
                      <w:color w:val="auto"/>
                      <w:kern w:val="0"/>
                      <w:sz w:val="21"/>
                      <w:szCs w:val="21"/>
                      <w:lang w:val="en-US" w:eastAsia="zh-CN" w:bidi="ar"/>
                    </w:rPr>
                    <w:t>18、漳河峡谷国家湿地公园核心区、一级保护区内禁止下列行为：略。</w:t>
                  </w:r>
                </w:p>
              </w:tc>
              <w:tc>
                <w:tcPr>
                  <w:tcW w:w="2337" w:type="dxa"/>
                  <w:noWrap w:val="0"/>
                  <w:vAlign w:val="center"/>
                </w:tcPr>
                <w:p w14:paraId="48F4E518">
                  <w:pPr>
                    <w:keepNext w:val="0"/>
                    <w:keepLines w:val="0"/>
                    <w:widowControl/>
                    <w:suppressLineNumbers w:val="0"/>
                    <w:spacing w:before="0" w:beforeAutospacing="0" w:after="0" w:afterAutospacing="0"/>
                    <w:ind w:left="0" w:leftChars="0" w:right="0" w:rightChars="0"/>
                    <w:jc w:val="both"/>
                    <w:rPr>
                      <w:rFonts w:hint="eastAsia" w:ascii="Times New Roman" w:hAnsi="Times New Roman" w:eastAsia="宋体" w:cs="Times New Roman"/>
                      <w:b w:val="0"/>
                      <w:bCs w:val="0"/>
                      <w:color w:val="auto"/>
                      <w:kern w:val="2"/>
                      <w:sz w:val="21"/>
                      <w:szCs w:val="21"/>
                      <w:u w:val="none"/>
                      <w:lang w:eastAsia="zh-CN"/>
                    </w:rPr>
                  </w:pPr>
                  <w:r>
                    <w:rPr>
                      <w:rFonts w:hint="eastAsia" w:cs="Times New Roman"/>
                      <w:b w:val="0"/>
                      <w:bCs w:val="0"/>
                      <w:color w:val="auto"/>
                      <w:kern w:val="2"/>
                      <w:sz w:val="21"/>
                      <w:szCs w:val="21"/>
                      <w:u w:val="none"/>
                      <w:lang w:val="en-US" w:eastAsia="zh-CN"/>
                    </w:rPr>
                    <w:t>18、</w:t>
                  </w:r>
                  <w:r>
                    <w:rPr>
                      <w:rFonts w:hint="eastAsia" w:cs="Times New Roman"/>
                      <w:b w:val="0"/>
                      <w:bCs w:val="0"/>
                      <w:color w:val="auto"/>
                      <w:kern w:val="2"/>
                      <w:sz w:val="21"/>
                      <w:szCs w:val="21"/>
                      <w:u w:val="none"/>
                      <w:lang w:eastAsia="zh-CN"/>
                    </w:rPr>
                    <w:t>不涉及</w:t>
                  </w:r>
                </w:p>
              </w:tc>
              <w:tc>
                <w:tcPr>
                  <w:tcW w:w="845" w:type="dxa"/>
                  <w:noWrap w:val="0"/>
                  <w:vAlign w:val="center"/>
                </w:tcPr>
                <w:p w14:paraId="3AE4EC43">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u w:val="none"/>
                      <w:lang w:eastAsia="zh-CN"/>
                    </w:rPr>
                  </w:pPr>
                  <w:r>
                    <w:rPr>
                      <w:rFonts w:hint="default" w:ascii="Times New Roman" w:hAnsi="Times New Roman" w:eastAsia="宋体" w:cs="Times New Roman"/>
                      <w:b w:val="0"/>
                      <w:bCs w:val="0"/>
                      <w:color w:val="auto"/>
                      <w:kern w:val="0"/>
                      <w:sz w:val="21"/>
                      <w:szCs w:val="21"/>
                      <w:u w:val="none"/>
                      <w:lang w:val="en-US" w:eastAsia="zh-CN" w:bidi="ar"/>
                    </w:rPr>
                    <w:t>不涉及</w:t>
                  </w:r>
                </w:p>
              </w:tc>
            </w:tr>
            <w:tr w14:paraId="78053B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75848EFE">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2F8EC63D">
                  <w:pPr>
                    <w:pStyle w:val="20"/>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19、禁燃区内，禁止销售和燃用国家规定的高污染燃料；禁止新建、扩建燃用高污染燃料的设施，已建成的，应当在市、县（市）人民政府规定的期限内改用天然气、液化石油气、电等清洁能源。</w:t>
                  </w:r>
                </w:p>
              </w:tc>
              <w:tc>
                <w:tcPr>
                  <w:tcW w:w="2337" w:type="dxa"/>
                  <w:noWrap w:val="0"/>
                  <w:vAlign w:val="center"/>
                </w:tcPr>
                <w:p w14:paraId="33F0A6A0">
                  <w:pPr>
                    <w:keepNext w:val="0"/>
                    <w:keepLines w:val="0"/>
                    <w:widowControl/>
                    <w:suppressLineNumbers w:val="0"/>
                    <w:spacing w:before="0" w:beforeAutospacing="0" w:after="0" w:afterAutospacing="0"/>
                    <w:ind w:left="0" w:leftChars="0" w:right="0" w:rightChars="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19</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、本项目不涉及销售和燃用国家规定的高污染燃料；本项目不涉及新建、扩建燃用高污染燃料的设施。</w:t>
                  </w:r>
                </w:p>
              </w:tc>
              <w:tc>
                <w:tcPr>
                  <w:tcW w:w="845" w:type="dxa"/>
                  <w:noWrap w:val="0"/>
                  <w:vAlign w:val="center"/>
                </w:tcPr>
                <w:p w14:paraId="665E6E4D">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不涉及</w:t>
                  </w:r>
                </w:p>
              </w:tc>
            </w:tr>
            <w:tr w14:paraId="522ACC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10A11294">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26F2E3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20、禁燃区内，禁止销售和燃用国家规定的高污染燃料；禁止新建、扩建燃用高污染燃料的设施，已建成的，应当在市、县（市）人民政府规定的期限内改用天然气、液化石油气、电等清洁能源。在高污染燃料禁燃区内，禁止新建燃烧煤炭、重油、渣油以及直接燃用生物质的锅炉，其他地区禁止新建每小时三十五蒸吨以下的燃烧煤炭、重油、渣油以及直接燃用生物质的锅炉。现有燃煤锅炉改为燃气锅炉的，应当同步实现低氮改造，氮氧化物排放应当达到本市控制要求。</w:t>
                  </w:r>
                </w:p>
              </w:tc>
              <w:tc>
                <w:tcPr>
                  <w:tcW w:w="2337" w:type="dxa"/>
                  <w:noWrap w:val="0"/>
                  <w:vAlign w:val="center"/>
                </w:tcPr>
                <w:p w14:paraId="69A744A9">
                  <w:pPr>
                    <w:keepNext w:val="0"/>
                    <w:keepLines w:val="0"/>
                    <w:widowControl/>
                    <w:suppressLineNumbers w:val="0"/>
                    <w:spacing w:before="0" w:beforeAutospacing="0" w:after="0" w:afterAutospacing="0"/>
                    <w:ind w:left="0" w:leftChars="0" w:right="0" w:rightChars="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20</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、本项目不涉及煤炭、重油、渣油以及直接燃用生物质的锅炉。</w:t>
                  </w:r>
                </w:p>
              </w:tc>
              <w:tc>
                <w:tcPr>
                  <w:tcW w:w="845" w:type="dxa"/>
                  <w:noWrap w:val="0"/>
                  <w:vAlign w:val="center"/>
                </w:tcPr>
                <w:p w14:paraId="34D21C70">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相符</w:t>
                  </w:r>
                </w:p>
              </w:tc>
            </w:tr>
            <w:tr w14:paraId="12A6C5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33B7046A">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21B87552">
                  <w:pPr>
                    <w:pStyle w:val="20"/>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21、禁止露天焚烧秸秆、落叶、树枝、枯草等产生烟尘污染的物质，以及非法焚烧电子废弃物、油毡、橡胶、塑料、皮革、沥青、垃圾及其他产生有毒有害烟尘、恶臭或者强烈异味气体的物质。禁止在城市建成区的道路及其两侧、广场、住宅小区等公共场所焚烧祭祀用品。任何单位和个人不得在人民政府禁止的区域内露天烧烤食品或者为露天烧烤食品提供场地。</w:t>
                  </w:r>
                </w:p>
              </w:tc>
              <w:tc>
                <w:tcPr>
                  <w:tcW w:w="2337" w:type="dxa"/>
                  <w:noWrap w:val="0"/>
                  <w:vAlign w:val="center"/>
                </w:tcPr>
                <w:p w14:paraId="68DC6B87">
                  <w:pPr>
                    <w:keepNext w:val="0"/>
                    <w:keepLines w:val="0"/>
                    <w:widowControl/>
                    <w:suppressLineNumbers w:val="0"/>
                    <w:spacing w:before="0" w:beforeAutospacing="0" w:after="0" w:afterAutospacing="0"/>
                    <w:ind w:left="0" w:leftChars="0" w:right="0" w:rightChars="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21</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、本项目不涉及露天焚烧；不涉及焚烧祭祀用品不涉及烧烤等内容。</w:t>
                  </w:r>
                </w:p>
              </w:tc>
              <w:tc>
                <w:tcPr>
                  <w:tcW w:w="845" w:type="dxa"/>
                  <w:noWrap w:val="0"/>
                  <w:vAlign w:val="center"/>
                </w:tcPr>
                <w:p w14:paraId="2D1CF566">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不涉及</w:t>
                  </w:r>
                </w:p>
              </w:tc>
            </w:tr>
            <w:tr w14:paraId="74A155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1E24F2A0">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71C7DE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22、禁止在下列场所新建、改建、扩建排放油烟的餐饮服务项目：</w:t>
                  </w:r>
                </w:p>
                <w:p w14:paraId="1EFDB7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（一）居民住宅楼等非商用建筑；</w:t>
                  </w:r>
                </w:p>
                <w:p w14:paraId="640C81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（二）未设立配套规划专用烟道的商住综合楼；</w:t>
                  </w:r>
                </w:p>
                <w:p w14:paraId="5367DD6A">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（三）商住综合楼内与居住层相邻的楼层。</w:t>
                  </w:r>
                </w:p>
              </w:tc>
              <w:tc>
                <w:tcPr>
                  <w:tcW w:w="2337" w:type="dxa"/>
                  <w:noWrap w:val="0"/>
                  <w:vAlign w:val="center"/>
                </w:tcPr>
                <w:p w14:paraId="2FB3ACC9">
                  <w:pPr>
                    <w:keepNext w:val="0"/>
                    <w:keepLines w:val="0"/>
                    <w:widowControl/>
                    <w:suppressLineNumbers w:val="0"/>
                    <w:spacing w:before="0" w:beforeAutospacing="0" w:after="0" w:afterAutospacing="0"/>
                    <w:ind w:left="0" w:leftChars="0" w:right="0" w:rightChars="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22</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、本项目不属于餐饮服务业。</w:t>
                  </w:r>
                </w:p>
              </w:tc>
              <w:tc>
                <w:tcPr>
                  <w:tcW w:w="845" w:type="dxa"/>
                  <w:noWrap w:val="0"/>
                  <w:vAlign w:val="center"/>
                </w:tcPr>
                <w:p w14:paraId="08AC62A6">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不涉及</w:t>
                  </w:r>
                </w:p>
              </w:tc>
            </w:tr>
            <w:tr w14:paraId="7B1561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4F421D43">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6A55F311">
                  <w:pPr>
                    <w:pStyle w:val="20"/>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23、列入建设用地土壤污染风险管控和修复名录的地块，应依法采取风险管控措施，实施土壤修复或风险管控。未达到土壤污染风险评估报告确定的风险管控、修复目标的建设用地地块，禁止开工建设任何与风险管控、修复无关的项目。</w:t>
                  </w:r>
                </w:p>
              </w:tc>
              <w:tc>
                <w:tcPr>
                  <w:tcW w:w="2337" w:type="dxa"/>
                  <w:noWrap w:val="0"/>
                  <w:vAlign w:val="center"/>
                </w:tcPr>
                <w:p w14:paraId="775117FD">
                  <w:pPr>
                    <w:keepNext w:val="0"/>
                    <w:keepLines w:val="0"/>
                    <w:widowControl/>
                    <w:suppressLineNumbers w:val="0"/>
                    <w:spacing w:before="0" w:beforeAutospacing="0" w:after="0" w:afterAutospacing="0"/>
                    <w:ind w:left="0" w:leftChars="0" w:right="0" w:rightChars="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0"/>
                      <w:sz w:val="21"/>
                      <w:szCs w:val="21"/>
                      <w:lang w:val="en-US" w:eastAsia="zh-CN" w:bidi="ar"/>
                      <w14:textFill>
                        <w14:solidFill>
                          <w14:schemeClr w14:val="tx1"/>
                        </w14:solidFill>
                      </w14:textFill>
                    </w:rPr>
                    <w:t>23</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、本项目占地未被列入土壤污染风险管控和修复名录。</w:t>
                  </w:r>
                </w:p>
              </w:tc>
              <w:tc>
                <w:tcPr>
                  <w:tcW w:w="845" w:type="dxa"/>
                  <w:noWrap w:val="0"/>
                  <w:vAlign w:val="center"/>
                </w:tcPr>
                <w:p w14:paraId="32D50800">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ascii="Times New Roman" w:hAnsi="Times New Roman" w:cs="Times New Roman"/>
                      <w:color w:val="000000" w:themeColor="text1"/>
                      <w:kern w:val="2"/>
                      <w:sz w:val="21"/>
                      <w:szCs w:val="21"/>
                      <w:lang w:val="en-US" w:eastAsia="zh-CN"/>
                      <w14:textFill>
                        <w14:solidFill>
                          <w14:schemeClr w14:val="tx1"/>
                        </w14:solidFill>
                      </w14:textFill>
                    </w:rPr>
                    <w:t>相符</w:t>
                  </w:r>
                </w:p>
              </w:tc>
            </w:tr>
            <w:tr w14:paraId="2A4AB3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restart"/>
                  <w:noWrap w:val="0"/>
                  <w:vAlign w:val="center"/>
                </w:tcPr>
                <w:p w14:paraId="5DA0A0FB">
                  <w:pPr>
                    <w:pStyle w:val="20"/>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污染物排放管控</w:t>
                  </w:r>
                </w:p>
              </w:tc>
              <w:tc>
                <w:tcPr>
                  <w:tcW w:w="3825" w:type="dxa"/>
                  <w:noWrap w:val="0"/>
                  <w:vAlign w:val="center"/>
                </w:tcPr>
                <w:p w14:paraId="1B5CA41C">
                  <w:pPr>
                    <w:pStyle w:val="20"/>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2"/>
                      <w:sz w:val="21"/>
                      <w:szCs w:val="21"/>
                      <w14:textFill>
                        <w14:solidFill>
                          <w14:schemeClr w14:val="tx1"/>
                        </w14:solidFill>
                      </w14:textFill>
                    </w:rPr>
                    <w:t>1</w:t>
                  </w:r>
                  <w:r>
                    <w:rPr>
                      <w:rFonts w:hint="default" w:ascii="Times New Roman" w:hAnsi="Times New Roman" w:eastAsia="宋体" w:cs="Times New Roman"/>
                      <w:color w:val="000000" w:themeColor="text1"/>
                      <w:kern w:val="2"/>
                      <w:sz w:val="21"/>
                      <w:szCs w:val="21"/>
                      <w14:textFill>
                        <w14:solidFill>
                          <w14:schemeClr w14:val="tx1"/>
                        </w14:solidFill>
                      </w14:textFill>
                    </w:rPr>
                    <w:t>、新、改、扩建项目主要污染物排放要求满足当地总量减排要求。</w:t>
                  </w:r>
                </w:p>
              </w:tc>
              <w:tc>
                <w:tcPr>
                  <w:tcW w:w="2337" w:type="dxa"/>
                  <w:noWrap w:val="0"/>
                  <w:vAlign w:val="center"/>
                </w:tcPr>
                <w:p w14:paraId="233B7D62">
                  <w:pPr>
                    <w:keepNext w:val="0"/>
                    <w:keepLines w:val="0"/>
                    <w:widowControl/>
                    <w:suppressLineNumbers w:val="0"/>
                    <w:spacing w:before="0" w:beforeAutospacing="0" w:after="0" w:afterAutospacing="0"/>
                    <w:ind w:left="0" w:leftChars="0" w:right="0" w:rightChars="0"/>
                    <w:jc w:val="both"/>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u w:val="none"/>
                      <w:lang w:val="en-US" w:eastAsia="zh-CN" w:bidi="ar"/>
                      <w14:textFill>
                        <w14:solidFill>
                          <w14:schemeClr w14:val="tx1"/>
                        </w14:solidFill>
                      </w14:textFill>
                    </w:rPr>
                    <w:t>1、项目新增污染物排放按照要求进行总量替代，可以满足总量减排要求。</w:t>
                  </w:r>
                </w:p>
              </w:tc>
              <w:tc>
                <w:tcPr>
                  <w:tcW w:w="845" w:type="dxa"/>
                  <w:noWrap w:val="0"/>
                  <w:vAlign w:val="center"/>
                </w:tcPr>
                <w:p w14:paraId="2415E1F9">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相符</w:t>
                  </w:r>
                </w:p>
              </w:tc>
            </w:tr>
            <w:tr w14:paraId="153D92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48B21A10">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7215E4FC">
                  <w:pPr>
                    <w:pStyle w:val="20"/>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2"/>
                      <w:sz w:val="21"/>
                      <w:szCs w:val="21"/>
                      <w14:textFill>
                        <w14:solidFill>
                          <w14:schemeClr w14:val="tx1"/>
                        </w14:solidFill>
                      </w14:textFill>
                    </w:rPr>
                    <w:t>2</w:t>
                  </w:r>
                  <w:r>
                    <w:rPr>
                      <w:rFonts w:hint="default" w:ascii="Times New Roman" w:hAnsi="Times New Roman" w:eastAsia="宋体" w:cs="Times New Roman"/>
                      <w:color w:val="000000" w:themeColor="text1"/>
                      <w:kern w:val="2"/>
                      <w:sz w:val="21"/>
                      <w:szCs w:val="21"/>
                      <w14:textFill>
                        <w14:solidFill>
                          <w14:schemeClr w14:val="tx1"/>
                        </w14:solidFill>
                      </w14:textFill>
                    </w:rPr>
                    <w:t>、到2025年，PM</w:t>
                  </w:r>
                  <w:r>
                    <w:rPr>
                      <w:rFonts w:hint="default" w:ascii="Times New Roman" w:hAnsi="Times New Roman" w:eastAsia="宋体" w:cs="Times New Roman"/>
                      <w:color w:val="000000" w:themeColor="text1"/>
                      <w:kern w:val="2"/>
                      <w:sz w:val="21"/>
                      <w:szCs w:val="21"/>
                      <w:vertAlign w:val="subscript"/>
                      <w14:textFill>
                        <w14:solidFill>
                          <w14:schemeClr w14:val="tx1"/>
                        </w14:solidFill>
                      </w14:textFill>
                    </w:rPr>
                    <w:t>2.5</w:t>
                  </w:r>
                  <w:r>
                    <w:rPr>
                      <w:rFonts w:hint="default" w:ascii="Times New Roman" w:hAnsi="Times New Roman" w:eastAsia="宋体" w:cs="Times New Roman"/>
                      <w:color w:val="000000" w:themeColor="text1"/>
                      <w:kern w:val="2"/>
                      <w:sz w:val="21"/>
                      <w:szCs w:val="21"/>
                      <w14:textFill>
                        <w14:solidFill>
                          <w14:schemeClr w14:val="tx1"/>
                        </w14:solidFill>
                      </w14:textFill>
                    </w:rPr>
                    <w:t>浓度总体下降27%以上，低于45微克/立方米；优良天数65%以上；重污染天数2.2%以下。完成国家、省定的</w:t>
                  </w: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w:t>
                  </w:r>
                  <w:r>
                    <w:rPr>
                      <w:rFonts w:hint="default" w:ascii="Times New Roman" w:hAnsi="Times New Roman" w:eastAsia="宋体" w:cs="Times New Roman"/>
                      <w:color w:val="000000" w:themeColor="text1"/>
                      <w:kern w:val="2"/>
                      <w:sz w:val="21"/>
                      <w:szCs w:val="21"/>
                      <w14:textFill>
                        <w14:solidFill>
                          <w14:schemeClr w14:val="tx1"/>
                        </w14:solidFill>
                      </w14:textFill>
                    </w:rPr>
                    <w:t>十四五</w:t>
                  </w: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w:t>
                  </w:r>
                  <w:r>
                    <w:rPr>
                      <w:rFonts w:hint="default" w:ascii="Times New Roman" w:hAnsi="Times New Roman" w:eastAsia="宋体" w:cs="Times New Roman"/>
                      <w:color w:val="000000" w:themeColor="text1"/>
                      <w:kern w:val="2"/>
                      <w:sz w:val="21"/>
                      <w:szCs w:val="21"/>
                      <w14:textFill>
                        <w14:solidFill>
                          <w14:schemeClr w14:val="tx1"/>
                        </w14:solidFill>
                      </w14:textFill>
                    </w:rPr>
                    <w:t>地表水环境质量和饮用水水质目标，南水北调中线一期工程总干渠安阳辖区取水水质稳定达到Ⅱ类。全市土壤环境质量总体保持稳定，土壤环境风险得到管控，土壤污染防治体系基本完善。土壤安全利用进一步巩固提升，受污染耕地安全利用率实现95%以上，重点建设用地安全利用有效保障。</w:t>
                  </w:r>
                </w:p>
              </w:tc>
              <w:tc>
                <w:tcPr>
                  <w:tcW w:w="2337" w:type="dxa"/>
                  <w:noWrap w:val="0"/>
                  <w:vAlign w:val="center"/>
                </w:tcPr>
                <w:p w14:paraId="256F82F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both"/>
                    <w:textAlignment w:val="auto"/>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本项目涉及排放的污染物</w:t>
                  </w: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为</w:t>
                  </w:r>
                  <w:r>
                    <w:rPr>
                      <w:rFonts w:hint="eastAsia" w:cs="Times New Roman"/>
                      <w:color w:val="000000" w:themeColor="text1"/>
                      <w:kern w:val="0"/>
                      <w:sz w:val="21"/>
                      <w:szCs w:val="21"/>
                      <w:highlight w:val="none"/>
                      <w:lang w:val="en-US" w:eastAsia="zh-CN" w:bidi="ar"/>
                      <w14:textFill>
                        <w14:solidFill>
                          <w14:schemeClr w14:val="tx1"/>
                        </w14:solidFill>
                      </w14:textFill>
                    </w:rPr>
                    <w:t>VOCs</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，经“吸附、脱附+催化燃烧”</w:t>
                  </w:r>
                  <w:r>
                    <w:rPr>
                      <w:rFonts w:hint="eastAsia" w:cs="Times New Roman"/>
                      <w:color w:val="000000" w:themeColor="text1"/>
                      <w:kern w:val="0"/>
                      <w:sz w:val="21"/>
                      <w:szCs w:val="21"/>
                      <w:highlight w:val="none"/>
                      <w:lang w:val="en-US" w:eastAsia="zh-CN" w:bidi="ar"/>
                      <w14:textFill>
                        <w14:solidFill>
                          <w14:schemeClr w14:val="tx1"/>
                        </w14:solidFill>
                      </w14:textFill>
                    </w:rPr>
                    <w:t>设施</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处理</w:t>
                  </w:r>
                  <w:r>
                    <w:rPr>
                      <w:rFonts w:hint="eastAsia" w:cs="Times New Roman"/>
                      <w:color w:val="000000" w:themeColor="text1"/>
                      <w:kern w:val="0"/>
                      <w:sz w:val="21"/>
                      <w:szCs w:val="21"/>
                      <w:highlight w:val="none"/>
                      <w:lang w:val="en-US" w:eastAsia="zh-CN" w:bidi="ar"/>
                      <w14:textFill>
                        <w14:solidFill>
                          <w14:schemeClr w14:val="tx1"/>
                        </w14:solidFill>
                      </w14:textFill>
                    </w:rPr>
                    <w:t>后</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通过一</w:t>
                  </w:r>
                  <w:r>
                    <w:rPr>
                      <w:rFonts w:hint="eastAsia" w:cs="Times New Roman"/>
                      <w:color w:val="000000" w:themeColor="text1"/>
                      <w:kern w:val="0"/>
                      <w:sz w:val="21"/>
                      <w:szCs w:val="21"/>
                      <w:highlight w:val="none"/>
                      <w:lang w:val="en-US" w:eastAsia="zh-CN" w:bidi="ar"/>
                      <w14:textFill>
                        <w14:solidFill>
                          <w14:schemeClr w14:val="tx1"/>
                        </w14:solidFill>
                      </w14:textFill>
                    </w:rPr>
                    <w:t>根</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不低于15m的排气筒（DA001）排</w:t>
                  </w:r>
                  <w:r>
                    <w:rPr>
                      <w:rFonts w:hint="eastAsia" w:cs="Times New Roman"/>
                      <w:color w:val="000000" w:themeColor="text1"/>
                      <w:kern w:val="0"/>
                      <w:sz w:val="21"/>
                      <w:szCs w:val="21"/>
                      <w:highlight w:val="none"/>
                      <w:lang w:val="en-US" w:eastAsia="zh-CN" w:bidi="ar"/>
                      <w14:textFill>
                        <w14:solidFill>
                          <w14:schemeClr w14:val="tx1"/>
                        </w14:solidFill>
                      </w14:textFill>
                    </w:rPr>
                    <w:t>放，食堂油烟经静电油烟净化器处理后达标排放</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；本项目</w:t>
                  </w:r>
                  <w:r>
                    <w:rPr>
                      <w:rFonts w:hint="eastAsia" w:cs="Times New Roman"/>
                      <w:color w:val="000000" w:themeColor="text1"/>
                      <w:kern w:val="2"/>
                      <w:sz w:val="21"/>
                      <w:szCs w:val="21"/>
                      <w:lang w:val="en-US" w:eastAsia="zh-CN" w:bidi="ar"/>
                      <w14:textFill>
                        <w14:solidFill>
                          <w14:schemeClr w14:val="tx1"/>
                        </w14:solidFill>
                      </w14:textFill>
                    </w:rPr>
                    <w:t>食堂污水经隔油池处理后与经化粪池处理后的其他</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生活污水</w:t>
                  </w:r>
                  <w:r>
                    <w:rPr>
                      <w:rFonts w:hint="eastAsia" w:cs="Times New Roman"/>
                      <w:color w:val="000000" w:themeColor="text1"/>
                      <w:kern w:val="2"/>
                      <w:sz w:val="21"/>
                      <w:szCs w:val="21"/>
                      <w:lang w:val="en-US" w:eastAsia="zh-CN" w:bidi="ar"/>
                      <w14:textFill>
                        <w14:solidFill>
                          <w14:schemeClr w14:val="tx1"/>
                        </w14:solidFill>
                      </w14:textFill>
                    </w:rPr>
                    <w:t>一同</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排入</w:t>
                  </w:r>
                  <w:r>
                    <w:rPr>
                      <w:rFonts w:hint="eastAsia" w:cs="Times New Roman"/>
                      <w:color w:val="000000" w:themeColor="text1"/>
                      <w:kern w:val="2"/>
                      <w:sz w:val="21"/>
                      <w:szCs w:val="21"/>
                      <w:lang w:val="en-US" w:eastAsia="zh-CN" w:bidi="ar"/>
                      <w14:textFill>
                        <w14:solidFill>
                          <w14:schemeClr w14:val="tx1"/>
                        </w14:solidFill>
                      </w14:textFill>
                    </w:rPr>
                    <w:t>汤阴天雨污水净化有限公司</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处理</w:t>
                  </w:r>
                  <w:r>
                    <w:rPr>
                      <w:rFonts w:hint="eastAsia"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本项目厂区地面硬化，减少对厂区土壤环境污染，不会对全市土壤环境质量总体保持稳定的目标造成影响。</w:t>
                  </w:r>
                </w:p>
              </w:tc>
              <w:tc>
                <w:tcPr>
                  <w:tcW w:w="845" w:type="dxa"/>
                  <w:noWrap w:val="0"/>
                  <w:vAlign w:val="center"/>
                </w:tcPr>
                <w:p w14:paraId="53E7896A">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相符</w:t>
                  </w:r>
                </w:p>
              </w:tc>
            </w:tr>
            <w:tr w14:paraId="2B0446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0B5DAC1B">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790934AF">
                  <w:pPr>
                    <w:pStyle w:val="20"/>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2"/>
                      <w:sz w:val="21"/>
                      <w:szCs w:val="21"/>
                      <w14:textFill>
                        <w14:solidFill>
                          <w14:schemeClr w14:val="tx1"/>
                        </w14:solidFill>
                      </w14:textFill>
                    </w:rPr>
                    <w:t>3、鼓励现有钢铁、焦化、水泥、铁合金、铸造等重点行业及“两高”行业污染治理水平达到A级企业或引领性企业水平，其他行业污染治理水平达到B级企业水平；新建、扩建项目污染物排放限值、污染治理措施、无组织排放控制水平、运输方式等达到A级绩效水平，改建项目污染物排放限值、污染治理措施、无组织排放控制水平、运输方式等达到B级以上绩效水平。新建及迁建煤炭、矿石、焦炭等大宗货物年运量150万吨以上的物流园区、工矿企业，原则上接入铁路专用线或管道。火电、钢铁、石化、化工、煤炭、焦化、有色等行业大宗货物清洁运输比例达到80%以上。重点区域鼓励高炉—转炉长流程钢铁企业转型为电炉短流程企业。</w:t>
                  </w:r>
                </w:p>
              </w:tc>
              <w:tc>
                <w:tcPr>
                  <w:tcW w:w="2337" w:type="dxa"/>
                  <w:noWrap w:val="0"/>
                  <w:vAlign w:val="center"/>
                </w:tcPr>
                <w:p w14:paraId="113A788A">
                  <w:pPr>
                    <w:keepNext w:val="0"/>
                    <w:keepLines w:val="0"/>
                    <w:widowControl/>
                    <w:suppressLineNumbers w:val="0"/>
                    <w:spacing w:before="0" w:beforeAutospacing="0" w:after="0" w:afterAutospacing="0"/>
                    <w:ind w:left="0" w:leftChars="0" w:right="0" w:rightChars="0"/>
                    <w:jc w:val="both"/>
                    <w:rPr>
                      <w:rFonts w:hint="eastAsia" w:ascii="Times New Roman" w:hAnsi="Times New Roman" w:eastAsia="宋体" w:cs="Times New Roman"/>
                      <w:color w:val="000000" w:themeColor="text1"/>
                      <w:kern w:val="2"/>
                      <w:sz w:val="21"/>
                      <w:szCs w:val="21"/>
                      <w:lang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3、本项目不属于</w:t>
                  </w:r>
                  <w:r>
                    <w:rPr>
                      <w:rFonts w:hint="default" w:ascii="Times New Roman" w:hAnsi="Times New Roman" w:cs="Times New Roman"/>
                      <w:color w:val="000000" w:themeColor="text1"/>
                      <w:kern w:val="2"/>
                      <w:sz w:val="21"/>
                      <w:szCs w:val="21"/>
                      <w14:textFill>
                        <w14:solidFill>
                          <w14:schemeClr w14:val="tx1"/>
                        </w14:solidFill>
                      </w14:textFill>
                    </w:rPr>
                    <w:t>钢铁、焦化、水泥、铁合金、铸造等重点行业</w:t>
                  </w:r>
                  <w:r>
                    <w:rPr>
                      <w:rFonts w:hint="eastAsia" w:ascii="Times New Roman" w:hAnsi="Times New Roman" w:cs="Times New Roman"/>
                      <w:color w:val="000000" w:themeColor="text1"/>
                      <w:kern w:val="2"/>
                      <w:sz w:val="21"/>
                      <w:szCs w:val="21"/>
                      <w:lang w:eastAsia="zh-CN"/>
                      <w14:textFill>
                        <w14:solidFill>
                          <w14:schemeClr w14:val="tx1"/>
                        </w14:solidFill>
                      </w14:textFill>
                    </w:rPr>
                    <w:t>。</w:t>
                  </w:r>
                </w:p>
              </w:tc>
              <w:tc>
                <w:tcPr>
                  <w:tcW w:w="845" w:type="dxa"/>
                  <w:noWrap w:val="0"/>
                  <w:vAlign w:val="center"/>
                </w:tcPr>
                <w:p w14:paraId="7017B0D9">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不涉及</w:t>
                  </w:r>
                </w:p>
              </w:tc>
            </w:tr>
            <w:tr w14:paraId="1B1475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8" w:type="dxa"/>
                  <w:vMerge w:val="continue"/>
                  <w:noWrap w:val="0"/>
                  <w:vAlign w:val="center"/>
                </w:tcPr>
                <w:p w14:paraId="154F5BAB">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1E2585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4、医药、化工、橡胶、包装印刷、家具、金属表面涂装、合成革、制鞋等涉VOCs行业应采取密闭式作业，根据不同行业VOCs排放浓度、成分，选择燃烧、吸附、生物法、冷凝等针对性强、治理效果明显的处理技术或多种技术的组合工艺，提高VOCs治理效率；VOCs物料储存、转移和输送、工艺过程、设备与管线组件VOCs泄漏控制、敞开液面VOCs无组织排放控制，以及VOCs无组织排放废气收集处理系统和企业厂区内及周边污染监控应满足《挥发性有机物无组织排放控制标准（GB37822——2019）》相关要求。</w:t>
                  </w:r>
                </w:p>
              </w:tc>
              <w:tc>
                <w:tcPr>
                  <w:tcW w:w="2337" w:type="dxa"/>
                  <w:noWrap w:val="0"/>
                  <w:vAlign w:val="center"/>
                </w:tcPr>
                <w:p w14:paraId="2B371E3F">
                  <w:pPr>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Autospacing="0"/>
                    <w:ind w:left="0" w:leftChars="0" w:right="0" w:rightChars="0"/>
                    <w:jc w:val="both"/>
                    <w:textAlignment w:val="auto"/>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4、</w:t>
                  </w:r>
                  <w:r>
                    <w:rPr>
                      <w:rFonts w:hint="eastAsia" w:cs="Times New Roman"/>
                      <w:color w:val="000000" w:themeColor="text1"/>
                      <w:sz w:val="21"/>
                      <w:szCs w:val="21"/>
                      <w:highlight w:val="none"/>
                      <w:lang w:val="en-US" w:eastAsia="zh-CN"/>
                      <w14:textFill>
                        <w14:solidFill>
                          <w14:schemeClr w14:val="tx1"/>
                        </w14:solidFill>
                      </w14:textFill>
                    </w:rPr>
                    <w:t>本项目吹膜等涉及VOCs工序在</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密闭</w:t>
                  </w:r>
                  <w:r>
                    <w:rPr>
                      <w:rFonts w:hint="eastAsia" w:cs="Times New Roman"/>
                      <w:color w:val="000000" w:themeColor="text1"/>
                      <w:kern w:val="2"/>
                      <w:sz w:val="21"/>
                      <w:szCs w:val="21"/>
                      <w:lang w:val="en-US" w:eastAsia="zh-CN" w:bidi="ar"/>
                      <w14:textFill>
                        <w14:solidFill>
                          <w14:schemeClr w14:val="tx1"/>
                        </w14:solidFill>
                      </w14:textFill>
                    </w:rPr>
                    <w:t>空间进行</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，并经过“吸附、脱附+催化燃烧”</w:t>
                  </w:r>
                  <w:r>
                    <w:rPr>
                      <w:rFonts w:hint="eastAsia" w:cs="Times New Roman"/>
                      <w:color w:val="000000" w:themeColor="text1"/>
                      <w:kern w:val="2"/>
                      <w:sz w:val="21"/>
                      <w:szCs w:val="21"/>
                      <w:lang w:val="en-US" w:eastAsia="zh-CN" w:bidi="ar"/>
                      <w14:textFill>
                        <w14:solidFill>
                          <w14:schemeClr w14:val="tx1"/>
                        </w14:solidFill>
                      </w14:textFill>
                    </w:rPr>
                    <w:t>设施</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进行处理</w:t>
                  </w:r>
                  <w:r>
                    <w:rPr>
                      <w:rFonts w:hint="eastAsia" w:cs="Times New Roman"/>
                      <w:color w:val="000000" w:themeColor="text1"/>
                      <w:kern w:val="2"/>
                      <w:sz w:val="21"/>
                      <w:szCs w:val="21"/>
                      <w:lang w:val="en-US" w:eastAsia="zh-CN" w:bidi="ar"/>
                      <w14:textFill>
                        <w14:solidFill>
                          <w14:schemeClr w14:val="tx1"/>
                        </w14:solidFill>
                      </w14:textFill>
                    </w:rPr>
                    <w:t>后</w:t>
                  </w: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通过一根不低于15m的排气筒（DA001）排</w:t>
                  </w:r>
                  <w:r>
                    <w:rPr>
                      <w:rFonts w:hint="eastAsia" w:cs="Times New Roman"/>
                      <w:color w:val="000000" w:themeColor="text1"/>
                      <w:kern w:val="2"/>
                      <w:sz w:val="21"/>
                      <w:szCs w:val="21"/>
                      <w:lang w:val="en-US" w:eastAsia="zh-CN" w:bidi="ar"/>
                      <w14:textFill>
                        <w14:solidFill>
                          <w14:schemeClr w14:val="tx1"/>
                        </w14:solidFill>
                      </w14:textFill>
                    </w:rPr>
                    <w:t>放；本项目不涉及VOCs物料储存、转移和输送、设备与管线组件VOCs泄漏控制、敞开液面VOCs无组织排放，挤出（吹膜）等工序产生的VOCs经集气罩收集进入处理系统，厂区VOCs无组织排放满足</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《挥发性有机物无组织排放控制标准（GB37822——2019）》</w:t>
                  </w:r>
                  <w:r>
                    <w:rPr>
                      <w:rFonts w:hint="eastAsia" w:cs="Times New Roman"/>
                      <w:color w:val="000000" w:themeColor="text1"/>
                      <w:kern w:val="2"/>
                      <w:sz w:val="21"/>
                      <w:szCs w:val="21"/>
                      <w:lang w:val="en-US" w:eastAsia="zh-CN" w:bidi="ar"/>
                      <w14:textFill>
                        <w14:solidFill>
                          <w14:schemeClr w14:val="tx1"/>
                        </w14:solidFill>
                      </w14:textFill>
                    </w:rPr>
                    <w:t>要求和</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《合成树脂工业污染物排放标准</w:t>
                  </w:r>
                  <w:r>
                    <w:rPr>
                      <w:rFonts w:hint="eastAsia"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GB 31572—2015</w:t>
                  </w:r>
                  <w:r>
                    <w:rPr>
                      <w:rFonts w:hint="eastAsia"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（含2024年修改单）》相关要求</w:t>
                  </w:r>
                  <w:r>
                    <w:rPr>
                      <w:rFonts w:hint="eastAsia" w:cs="Times New Roman"/>
                      <w:color w:val="000000" w:themeColor="text1"/>
                      <w:kern w:val="2"/>
                      <w:sz w:val="21"/>
                      <w:szCs w:val="21"/>
                      <w:lang w:val="en-US" w:eastAsia="zh-CN" w:bidi="ar"/>
                      <w14:textFill>
                        <w14:solidFill>
                          <w14:schemeClr w14:val="tx1"/>
                        </w14:solidFill>
                      </w14:textFill>
                    </w:rPr>
                    <w:t>。</w:t>
                  </w:r>
                </w:p>
              </w:tc>
              <w:tc>
                <w:tcPr>
                  <w:tcW w:w="845" w:type="dxa"/>
                  <w:noWrap w:val="0"/>
                  <w:vAlign w:val="center"/>
                </w:tcPr>
                <w:p w14:paraId="557A2417">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相符</w:t>
                  </w:r>
                </w:p>
              </w:tc>
            </w:tr>
            <w:tr w14:paraId="3986BB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76A64904">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5C2477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5、向污水集中处理设施排放工业废水的，应当按照国家有关规定进行预处理，达到集中处理设施处理工艺要求后方可排放。</w:t>
                  </w:r>
                </w:p>
              </w:tc>
              <w:tc>
                <w:tcPr>
                  <w:tcW w:w="2337" w:type="dxa"/>
                  <w:noWrap w:val="0"/>
                  <w:vAlign w:val="center"/>
                </w:tcPr>
                <w:p w14:paraId="24393473">
                  <w:pPr>
                    <w:keepNext w:val="0"/>
                    <w:keepLines w:val="0"/>
                    <w:widowControl/>
                    <w:suppressLineNumbers w:val="0"/>
                    <w:adjustRightInd w:val="0"/>
                    <w:snapToGrid w:val="0"/>
                    <w:spacing w:before="0" w:beforeAutospacing="0" w:after="0" w:afterAutospacing="0"/>
                    <w:ind w:left="0" w:leftChars="0" w:right="0" w:rightChars="0"/>
                    <w:jc w:val="both"/>
                    <w:rPr>
                      <w:rFonts w:hint="default" w:ascii="Times New Roman" w:hAnsi="Times New Roman" w:cs="Times New Roman"/>
                      <w:color w:val="000000" w:themeColor="text1"/>
                      <w:kern w:val="2"/>
                      <w:sz w:val="21"/>
                      <w:szCs w:val="21"/>
                      <w14:textFill>
                        <w14:solidFill>
                          <w14:schemeClr w14:val="tx1"/>
                        </w14:solidFill>
                      </w14:textFill>
                    </w:rPr>
                  </w:pPr>
                  <w:r>
                    <w:rPr>
                      <w:rFonts w:hint="eastAsia" w:cs="Times New Roman"/>
                      <w:color w:val="auto"/>
                      <w:sz w:val="21"/>
                      <w:szCs w:val="21"/>
                      <w:highlight w:val="none"/>
                      <w:lang w:val="en-US" w:eastAsia="zh-CN"/>
                    </w:rPr>
                    <w:t>5</w:t>
                  </w:r>
                  <w:r>
                    <w:rPr>
                      <w:rFonts w:hint="eastAsia" w:ascii="Times New Roman" w:hAnsi="Times New Roman" w:eastAsia="宋体" w:cs="Times New Roman"/>
                      <w:color w:val="auto"/>
                      <w:sz w:val="21"/>
                      <w:szCs w:val="21"/>
                      <w:highlight w:val="none"/>
                      <w:lang w:val="en-US" w:eastAsia="zh-CN"/>
                    </w:rPr>
                    <w:t>、本项目</w:t>
                  </w:r>
                  <w:r>
                    <w:rPr>
                      <w:rFonts w:hint="eastAsia" w:cs="Times New Roman"/>
                      <w:color w:val="auto"/>
                      <w:sz w:val="21"/>
                      <w:szCs w:val="21"/>
                      <w:highlight w:val="none"/>
                      <w:lang w:val="en-US" w:eastAsia="zh-CN"/>
                    </w:rPr>
                    <w:t>食堂污水经隔油池处理后与</w:t>
                  </w:r>
                  <w:r>
                    <w:rPr>
                      <w:rFonts w:hint="eastAsia" w:ascii="Times New Roman" w:hAnsi="Times New Roman" w:eastAsia="宋体" w:cs="Times New Roman"/>
                      <w:color w:val="auto"/>
                      <w:sz w:val="21"/>
                      <w:szCs w:val="21"/>
                      <w:highlight w:val="none"/>
                      <w:lang w:val="en-US" w:eastAsia="zh-CN"/>
                    </w:rPr>
                    <w:t>经</w:t>
                  </w:r>
                  <w:r>
                    <w:rPr>
                      <w:rFonts w:hint="eastAsia" w:cs="Times New Roman"/>
                      <w:color w:val="auto"/>
                      <w:sz w:val="21"/>
                      <w:szCs w:val="21"/>
                      <w:highlight w:val="none"/>
                      <w:lang w:val="en-US" w:eastAsia="zh-CN"/>
                    </w:rPr>
                    <w:t>化粪池预处理</w:t>
                  </w:r>
                  <w:r>
                    <w:rPr>
                      <w:rFonts w:hint="eastAsia" w:ascii="Times New Roman" w:hAnsi="Times New Roman" w:eastAsia="宋体" w:cs="Times New Roman"/>
                      <w:color w:val="auto"/>
                      <w:sz w:val="21"/>
                      <w:szCs w:val="21"/>
                      <w:highlight w:val="none"/>
                      <w:lang w:val="en-US" w:eastAsia="zh-CN"/>
                    </w:rPr>
                    <w:t>后</w:t>
                  </w:r>
                  <w:r>
                    <w:rPr>
                      <w:rFonts w:hint="eastAsia" w:cs="Times New Roman"/>
                      <w:color w:val="auto"/>
                      <w:sz w:val="21"/>
                      <w:szCs w:val="21"/>
                      <w:highlight w:val="none"/>
                      <w:lang w:val="en-US" w:eastAsia="zh-CN"/>
                    </w:rPr>
                    <w:t>的其他</w:t>
                  </w:r>
                  <w:r>
                    <w:rPr>
                      <w:rFonts w:hint="eastAsia" w:ascii="Times New Roman" w:hAnsi="Times New Roman" w:eastAsia="宋体" w:cs="Times New Roman"/>
                      <w:color w:val="auto"/>
                      <w:sz w:val="21"/>
                      <w:szCs w:val="21"/>
                      <w:highlight w:val="none"/>
                      <w:lang w:val="en-US" w:eastAsia="zh-CN"/>
                    </w:rPr>
                    <w:t>生活污水排入</w:t>
                  </w:r>
                  <w:r>
                    <w:rPr>
                      <w:rFonts w:hint="eastAsia" w:cs="Times New Roman"/>
                      <w:color w:val="auto"/>
                      <w:sz w:val="21"/>
                      <w:szCs w:val="21"/>
                      <w:highlight w:val="none"/>
                      <w:lang w:val="en-US" w:eastAsia="zh-CN"/>
                    </w:rPr>
                    <w:t>汤阴天雨污水净化有限公司</w:t>
                  </w:r>
                  <w:r>
                    <w:rPr>
                      <w:rFonts w:hint="eastAsia" w:ascii="Times New Roman" w:hAnsi="Times New Roman" w:eastAsia="宋体" w:cs="Times New Roman"/>
                      <w:color w:val="auto"/>
                      <w:sz w:val="21"/>
                      <w:szCs w:val="21"/>
                      <w:highlight w:val="none"/>
                      <w:lang w:val="en-US" w:eastAsia="zh-CN"/>
                    </w:rPr>
                    <w:t>，符合</w:t>
                  </w:r>
                  <w:r>
                    <w:rPr>
                      <w:rFonts w:hint="eastAsia" w:cs="Times New Roman"/>
                      <w:color w:val="auto"/>
                      <w:sz w:val="21"/>
                      <w:szCs w:val="21"/>
                      <w:highlight w:val="none"/>
                      <w:lang w:val="en-US" w:eastAsia="zh-CN"/>
                    </w:rPr>
                    <w:t>汤阴天雨污水净化有限公司接纳标准。</w:t>
                  </w:r>
                </w:p>
              </w:tc>
              <w:tc>
                <w:tcPr>
                  <w:tcW w:w="845" w:type="dxa"/>
                  <w:noWrap w:val="0"/>
                  <w:vAlign w:val="center"/>
                </w:tcPr>
                <w:p w14:paraId="6E33173B">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相符</w:t>
                  </w:r>
                </w:p>
              </w:tc>
            </w:tr>
            <w:tr w14:paraId="2CC3F8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18858FCE">
                  <w:pPr>
                    <w:keepNext w:val="0"/>
                    <w:keepLines w:val="0"/>
                    <w:suppressLineNumbers w:val="0"/>
                    <w:spacing w:before="0" w:beforeAutospacing="0" w:after="0" w:afterAutospacing="0"/>
                    <w:ind w:left="0" w:right="0"/>
                    <w:jc w:val="both"/>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 xml:space="preserve"> </w:t>
                  </w:r>
                </w:p>
              </w:tc>
              <w:tc>
                <w:tcPr>
                  <w:tcW w:w="3825" w:type="dxa"/>
                  <w:noWrap w:val="0"/>
                  <w:vAlign w:val="center"/>
                </w:tcPr>
                <w:p w14:paraId="72285E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6、鼓励和支持无汞催化剂和工艺、限制或禁止的持久性有机污染物替代品和技术。</w:t>
                  </w:r>
                </w:p>
              </w:tc>
              <w:tc>
                <w:tcPr>
                  <w:tcW w:w="2337" w:type="dxa"/>
                  <w:noWrap w:val="0"/>
                  <w:vAlign w:val="center"/>
                </w:tcPr>
                <w:p w14:paraId="7EB2898A">
                  <w:pPr>
                    <w:keepNext w:val="0"/>
                    <w:keepLines w:val="0"/>
                    <w:widowControl/>
                    <w:suppressLineNumbers w:val="0"/>
                    <w:adjustRightInd w:val="0"/>
                    <w:snapToGrid w:val="0"/>
                    <w:spacing w:before="0" w:beforeAutospacing="0" w:after="0" w:afterAutospacing="0"/>
                    <w:ind w:left="0" w:leftChars="0" w:right="0" w:rightChars="0"/>
                    <w:jc w:val="both"/>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6、本项目不涉及。</w:t>
                  </w:r>
                </w:p>
              </w:tc>
              <w:tc>
                <w:tcPr>
                  <w:tcW w:w="845" w:type="dxa"/>
                  <w:noWrap w:val="0"/>
                  <w:vAlign w:val="center"/>
                </w:tcPr>
                <w:p w14:paraId="34E17096">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不涉及</w:t>
                  </w:r>
                </w:p>
              </w:tc>
            </w:tr>
            <w:tr w14:paraId="564B7A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noWrap w:val="0"/>
                  <w:vAlign w:val="center"/>
                </w:tcPr>
                <w:p w14:paraId="1E5338FC">
                  <w:pPr>
                    <w:pStyle w:val="20"/>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环境风险防控</w:t>
                  </w:r>
                </w:p>
              </w:tc>
              <w:tc>
                <w:tcPr>
                  <w:tcW w:w="3825" w:type="dxa"/>
                  <w:noWrap w:val="0"/>
                  <w:vAlign w:val="center"/>
                </w:tcPr>
                <w:p w14:paraId="3EB39FEC">
                  <w:pPr>
                    <w:pStyle w:val="20"/>
                    <w:keepNext w:val="0"/>
                    <w:keepLines w:val="0"/>
                    <w:widowControl/>
                    <w:numPr>
                      <w:ilvl w:val="0"/>
                      <w:numId w:val="4"/>
                    </w:numPr>
                    <w:suppressLineNumbers w:val="0"/>
                    <w:spacing w:before="0" w:beforeAutospacing="0" w:after="0" w:afterAutospacing="0"/>
                    <w:ind w:left="0" w:right="0"/>
                    <w:jc w:val="both"/>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14:textFill>
                        <w14:solidFill>
                          <w14:schemeClr w14:val="tx1"/>
                        </w14:solidFill>
                      </w14:textFill>
                    </w:rPr>
                    <w:t>各级生态环境部门和其他负有生态环境监督管理职责的部门要加强对存在风险场所的日常环境监测，并对可能导致突发环境事件的风险信息加强收集、分析和研判。工业和信息化、公安、自然资源和规划、住房和城乡建设、交通运输、水利、农业农村、商务、卫生健康、应急、气象、地震等有关部门要按照职责分工，及时将可能导致突发环境事件的信息通报同级或事发地生态环境部门。企事业单位和其他生产经营者应当落实环境安全主体责任，定期排查环境安全隐患，开展环境风险评估和环境应急演练，健全风险防控措施。当出现可能导致突发环境事件的情况时，应当立即报告当地生态环境部门。</w:t>
                  </w:r>
                </w:p>
              </w:tc>
              <w:tc>
                <w:tcPr>
                  <w:tcW w:w="2337" w:type="dxa"/>
                  <w:noWrap w:val="0"/>
                  <w:vAlign w:val="center"/>
                </w:tcPr>
                <w:p w14:paraId="7B6B38C9">
                  <w:pPr>
                    <w:keepNext w:val="0"/>
                    <w:keepLines w:val="0"/>
                    <w:widowControl/>
                    <w:suppressLineNumbers w:val="0"/>
                    <w:adjustRightInd w:val="0"/>
                    <w:snapToGrid w:val="0"/>
                    <w:spacing w:before="0" w:beforeAutospacing="0" w:after="0" w:afterAutospacing="0"/>
                    <w:ind w:left="0" w:leftChars="0" w:right="0" w:rightChars="0"/>
                    <w:jc w:val="both"/>
                    <w:rPr>
                      <w:rFonts w:hint="default" w:ascii="Times New Roman" w:hAnsi="Times New Roman" w:cs="Times New Roman"/>
                      <w:color w:val="000000" w:themeColor="text1"/>
                      <w:kern w:val="2"/>
                      <w:sz w:val="21"/>
                      <w:szCs w:val="21"/>
                      <w:lang w:val="en-US"/>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r>
                    <w:rPr>
                      <w:rFonts w:hint="default" w:ascii="Times New Roman" w:hAnsi="Times New Roman" w:eastAsia="宋体" w:cs="Times New Roman"/>
                      <w:b w:val="0"/>
                      <w:bCs/>
                      <w:color w:val="000000" w:themeColor="text1"/>
                      <w:kern w:val="0"/>
                      <w:sz w:val="21"/>
                      <w:szCs w:val="21"/>
                      <w:lang w:val="en-US" w:eastAsia="zh-CN" w:bidi="ar"/>
                      <w14:textFill>
                        <w14:solidFill>
                          <w14:schemeClr w14:val="tx1"/>
                        </w14:solidFill>
                      </w14:textFill>
                    </w:rPr>
                    <w:t>本项目建成后将按照相关法律法规和标准规范的要求，开展突发环境事件风险评估，划分环境风险等级，完善突发环境事件风险防控措施，排查治理环境安全隐患。</w:t>
                  </w:r>
                </w:p>
              </w:tc>
              <w:tc>
                <w:tcPr>
                  <w:tcW w:w="845" w:type="dxa"/>
                  <w:noWrap w:val="0"/>
                  <w:vAlign w:val="center"/>
                </w:tcPr>
                <w:p w14:paraId="693F0CE0">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相符</w:t>
                  </w:r>
                </w:p>
              </w:tc>
            </w:tr>
            <w:tr w14:paraId="5FA72A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restart"/>
                  <w:noWrap w:val="0"/>
                  <w:vAlign w:val="center"/>
                </w:tcPr>
                <w:p w14:paraId="523AD977">
                  <w:pPr>
                    <w:pStyle w:val="20"/>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lang w:eastAsia="zh-CN"/>
                      <w14:textFill>
                        <w14:solidFill>
                          <w14:schemeClr w14:val="tx1"/>
                        </w14:solidFill>
                      </w14:textFill>
                    </w:rPr>
                    <w:t xml:space="preserve"> </w:t>
                  </w:r>
                  <w:r>
                    <w:rPr>
                      <w:rFonts w:hint="eastAsia" w:cs="Times New Roman"/>
                      <w:color w:val="000000" w:themeColor="text1"/>
                      <w:kern w:val="2"/>
                      <w:sz w:val="21"/>
                      <w:szCs w:val="21"/>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1"/>
                      <w:szCs w:val="21"/>
                      <w14:textFill>
                        <w14:solidFill>
                          <w14:schemeClr w14:val="tx1"/>
                        </w14:solidFill>
                      </w14:textFill>
                    </w:rPr>
                    <w:t>资源开发效率要求</w:t>
                  </w:r>
                </w:p>
              </w:tc>
              <w:tc>
                <w:tcPr>
                  <w:tcW w:w="3825" w:type="dxa"/>
                  <w:noWrap w:val="0"/>
                  <w:vAlign w:val="center"/>
                </w:tcPr>
                <w:p w14:paraId="417A210F">
                  <w:pPr>
                    <w:pStyle w:val="20"/>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2"/>
                      <w:sz w:val="21"/>
                      <w:szCs w:val="21"/>
                      <w14:textFill>
                        <w14:solidFill>
                          <w14:schemeClr w14:val="tx1"/>
                        </w14:solidFill>
                      </w14:textFill>
                    </w:rPr>
                    <w:t>1</w:t>
                  </w:r>
                  <w:r>
                    <w:rPr>
                      <w:rFonts w:hint="default" w:ascii="Times New Roman" w:hAnsi="Times New Roman" w:eastAsia="宋体" w:cs="Times New Roman"/>
                      <w:color w:val="000000" w:themeColor="text1"/>
                      <w:kern w:val="2"/>
                      <w:sz w:val="21"/>
                      <w:szCs w:val="21"/>
                      <w14:textFill>
                        <w14:solidFill>
                          <w14:schemeClr w14:val="tx1"/>
                        </w14:solidFill>
                      </w14:textFill>
                    </w:rPr>
                    <w:t>、十四五期间，全市年用水总量控制完成国家、省、市下达目标要求。火电、钢铁、造纸、化工、食品、发酵等高耗水行业、推进企业串联用水、分质用水、一水多用和梯级循环利用，提升工业污水资源化利用效率。</w:t>
                  </w:r>
                </w:p>
              </w:tc>
              <w:tc>
                <w:tcPr>
                  <w:tcW w:w="2337" w:type="dxa"/>
                  <w:noWrap w:val="0"/>
                  <w:vAlign w:val="center"/>
                </w:tcPr>
                <w:p w14:paraId="3B2215F3">
                  <w:pPr>
                    <w:keepNext w:val="0"/>
                    <w:keepLines w:val="0"/>
                    <w:widowControl/>
                    <w:suppressLineNumbers w:val="0"/>
                    <w:adjustRightInd w:val="0"/>
                    <w:snapToGrid w:val="0"/>
                    <w:spacing w:before="0" w:beforeAutospacing="0" w:after="0" w:afterAutospacing="0"/>
                    <w:ind w:left="0" w:leftChars="0" w:right="0" w:rightChars="0"/>
                    <w:jc w:val="both"/>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1、本项目不属于</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火电、钢铁、造纸、化工、食品、发酵等高耗水行业</w:t>
                  </w:r>
                  <w:r>
                    <w:rPr>
                      <w:rFonts w:hint="eastAsia" w:cs="Times New Roman"/>
                      <w:color w:val="000000" w:themeColor="text1"/>
                      <w:kern w:val="2"/>
                      <w:sz w:val="21"/>
                      <w:szCs w:val="21"/>
                      <w:lang w:val="en-US" w:eastAsia="zh-CN" w:bidi="ar"/>
                      <w14:textFill>
                        <w14:solidFill>
                          <w14:schemeClr w14:val="tx1"/>
                        </w14:solidFill>
                      </w14:textFill>
                    </w:rPr>
                    <w:t>。</w:t>
                  </w:r>
                </w:p>
              </w:tc>
              <w:tc>
                <w:tcPr>
                  <w:tcW w:w="845" w:type="dxa"/>
                  <w:noWrap w:val="0"/>
                  <w:vAlign w:val="center"/>
                </w:tcPr>
                <w:p w14:paraId="7AB98745">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相符</w:t>
                  </w:r>
                </w:p>
              </w:tc>
            </w:tr>
            <w:tr w14:paraId="6725B3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8" w:type="dxa"/>
                  <w:vMerge w:val="continue"/>
                  <w:noWrap w:val="0"/>
                  <w:vAlign w:val="center"/>
                </w:tcPr>
                <w:p w14:paraId="3FC721E8">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409D94B0">
                  <w:pPr>
                    <w:pStyle w:val="20"/>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2"/>
                      <w:sz w:val="21"/>
                      <w:szCs w:val="21"/>
                      <w14:textFill>
                        <w14:solidFill>
                          <w14:schemeClr w14:val="tx1"/>
                        </w14:solidFill>
                      </w14:textFill>
                    </w:rPr>
                    <w:t>2</w:t>
                  </w:r>
                  <w:r>
                    <w:rPr>
                      <w:rFonts w:hint="default" w:ascii="Times New Roman" w:hAnsi="Times New Roman" w:eastAsia="宋体" w:cs="Times New Roman"/>
                      <w:color w:val="000000" w:themeColor="text1"/>
                      <w:kern w:val="2"/>
                      <w:sz w:val="21"/>
                      <w:szCs w:val="21"/>
                      <w14:textFill>
                        <w14:solidFill>
                          <w14:schemeClr w14:val="tx1"/>
                        </w14:solidFill>
                      </w14:textFill>
                    </w:rPr>
                    <w:t>、实行严格的耕地保护制度和节约用地制度，提高土地资源利用效率，实现从扩张型发展向内涵式发展的转变。</w:t>
                  </w:r>
                </w:p>
              </w:tc>
              <w:tc>
                <w:tcPr>
                  <w:tcW w:w="2337" w:type="dxa"/>
                  <w:noWrap w:val="0"/>
                  <w:vAlign w:val="center"/>
                </w:tcPr>
                <w:p w14:paraId="5F89CA26">
                  <w:pPr>
                    <w:keepNext w:val="0"/>
                    <w:keepLines w:val="0"/>
                    <w:widowControl/>
                    <w:suppressLineNumbers w:val="0"/>
                    <w:adjustRightInd w:val="0"/>
                    <w:snapToGrid w:val="0"/>
                    <w:spacing w:before="0" w:beforeAutospacing="0" w:after="0" w:afterAutospacing="0"/>
                    <w:ind w:left="0" w:leftChars="0" w:right="0" w:rightChars="0"/>
                    <w:jc w:val="both"/>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2、本项</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目</w:t>
                  </w:r>
                  <w:r>
                    <w:rPr>
                      <w:rFonts w:hint="eastAsia" w:cs="Times New Roman"/>
                      <w:color w:val="000000" w:themeColor="text1"/>
                      <w:kern w:val="0"/>
                      <w:sz w:val="21"/>
                      <w:szCs w:val="21"/>
                      <w:highlight w:val="none"/>
                      <w:lang w:val="en-US" w:eastAsia="zh-CN" w:bidi="ar"/>
                      <w14:textFill>
                        <w14:solidFill>
                          <w14:schemeClr w14:val="tx1"/>
                        </w14:solidFill>
                      </w14:textFill>
                    </w:rPr>
                    <w:t>用地</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为</w:t>
                  </w:r>
                  <w:r>
                    <w:rPr>
                      <w:rFonts w:hint="eastAsia" w:cs="Times New Roman"/>
                      <w:color w:val="000000" w:themeColor="text1"/>
                      <w:kern w:val="0"/>
                      <w:sz w:val="21"/>
                      <w:szCs w:val="21"/>
                      <w:highlight w:val="none"/>
                      <w:lang w:val="en-US" w:eastAsia="zh-CN" w:bidi="ar"/>
                      <w14:textFill>
                        <w14:solidFill>
                          <w14:schemeClr w14:val="tx1"/>
                        </w14:solidFill>
                      </w14:textFill>
                    </w:rPr>
                    <w:t>工业</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用地</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p>
              </w:tc>
              <w:tc>
                <w:tcPr>
                  <w:tcW w:w="845" w:type="dxa"/>
                  <w:noWrap w:val="0"/>
                  <w:vAlign w:val="center"/>
                </w:tcPr>
                <w:p w14:paraId="07F5A0E6">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相符</w:t>
                  </w:r>
                </w:p>
              </w:tc>
            </w:tr>
            <w:tr w14:paraId="075FD8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778" w:type="dxa"/>
                  <w:vMerge w:val="continue"/>
                  <w:noWrap w:val="0"/>
                  <w:vAlign w:val="center"/>
                </w:tcPr>
                <w:p w14:paraId="65AB01EC">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6A259C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仿宋" w:cs="Times New Roman"/>
                      <w:color w:val="000000" w:themeColor="text1"/>
                      <w:sz w:val="21"/>
                      <w:szCs w:val="21"/>
                      <w:lang w:val="en-US" w:eastAsia="zh-CN"/>
                      <w14:textFill>
                        <w14:solidFill>
                          <w14:schemeClr w14:val="tx1"/>
                        </w14:solidFill>
                      </w14:textFill>
                    </w:rPr>
                    <w:t>3</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积极推进“可再生能源+储能”示范项目建设；立足安阳产业基础优势，加快培育人工智能产业、氢能和储能产业和大数据融合创新产业；鼓励生物秸杆资源发电、风力发电、地热能开发用等项目建设，合理开发风能、地热能、煤层气等资源。</w:t>
                  </w:r>
                </w:p>
              </w:tc>
              <w:tc>
                <w:tcPr>
                  <w:tcW w:w="2337" w:type="dxa"/>
                  <w:shd w:val="clear" w:color="auto" w:fill="auto"/>
                  <w:noWrap w:val="0"/>
                  <w:vAlign w:val="center"/>
                </w:tcPr>
                <w:p w14:paraId="221BF3CB">
                  <w:pPr>
                    <w:keepNext w:val="0"/>
                    <w:keepLines w:val="0"/>
                    <w:widowControl/>
                    <w:suppressLineNumbers w:val="0"/>
                    <w:adjustRightInd w:val="0"/>
                    <w:snapToGrid w:val="0"/>
                    <w:spacing w:before="0" w:beforeAutospacing="0" w:after="0" w:afterAutospacing="0"/>
                    <w:ind w:left="0" w:leftChars="0" w:right="0" w:rightChars="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3、本项目不涉及。</w:t>
                  </w:r>
                </w:p>
              </w:tc>
              <w:tc>
                <w:tcPr>
                  <w:tcW w:w="845" w:type="dxa"/>
                  <w:noWrap w:val="0"/>
                  <w:vAlign w:val="center"/>
                </w:tcPr>
                <w:p w14:paraId="59D45AC3">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不涉及</w:t>
                  </w:r>
                </w:p>
              </w:tc>
            </w:tr>
            <w:tr w14:paraId="5FF9BC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778" w:type="dxa"/>
                  <w:vMerge w:val="continue"/>
                  <w:noWrap w:val="0"/>
                  <w:vAlign w:val="center"/>
                </w:tcPr>
                <w:p w14:paraId="4DB7B86E">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62C9EFF5">
                  <w:pPr>
                    <w:pStyle w:val="20"/>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2"/>
                      <w:sz w:val="21"/>
                      <w:szCs w:val="21"/>
                      <w:lang w:val="en-US" w:eastAsia="zh-CN"/>
                      <w14:textFill>
                        <w14:solidFill>
                          <w14:schemeClr w14:val="tx1"/>
                        </w14:solidFill>
                      </w14:textFill>
                    </w:rPr>
                    <w:t>4</w:t>
                  </w:r>
                  <w:r>
                    <w:rPr>
                      <w:rFonts w:hint="default" w:ascii="Times New Roman" w:hAnsi="Times New Roman" w:eastAsia="宋体" w:cs="Times New Roman"/>
                      <w:color w:val="000000" w:themeColor="text1"/>
                      <w:kern w:val="2"/>
                      <w:sz w:val="21"/>
                      <w:szCs w:val="21"/>
                      <w14:textFill>
                        <w14:solidFill>
                          <w14:schemeClr w14:val="tx1"/>
                        </w14:solidFill>
                      </w14:textFill>
                    </w:rPr>
                    <w:t>、新建、改建、扩建耗煤项目实施煤炭消费减量替代。</w:t>
                  </w:r>
                </w:p>
              </w:tc>
              <w:tc>
                <w:tcPr>
                  <w:tcW w:w="2337" w:type="dxa"/>
                  <w:shd w:val="clear" w:color="auto" w:fill="auto"/>
                  <w:noWrap w:val="0"/>
                  <w:vAlign w:val="center"/>
                </w:tcPr>
                <w:p w14:paraId="152E8BDD">
                  <w:pPr>
                    <w:keepNext w:val="0"/>
                    <w:keepLines w:val="0"/>
                    <w:widowControl/>
                    <w:suppressLineNumbers w:val="0"/>
                    <w:adjustRightInd w:val="0"/>
                    <w:snapToGrid w:val="0"/>
                    <w:spacing w:before="0" w:beforeAutospacing="0" w:after="0" w:afterAutospacing="0"/>
                    <w:ind w:left="0" w:leftChars="0" w:right="0" w:rightChars="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4、本项目不涉及煤炭消耗。</w:t>
                  </w:r>
                </w:p>
              </w:tc>
              <w:tc>
                <w:tcPr>
                  <w:tcW w:w="845" w:type="dxa"/>
                  <w:noWrap w:val="0"/>
                  <w:vAlign w:val="center"/>
                </w:tcPr>
                <w:p w14:paraId="2AD71788">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不涉及</w:t>
                  </w:r>
                </w:p>
              </w:tc>
            </w:tr>
            <w:tr w14:paraId="07FE6F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Merge w:val="continue"/>
                  <w:noWrap w:val="0"/>
                  <w:vAlign w:val="center"/>
                </w:tcPr>
                <w:p w14:paraId="5D154965">
                  <w:pPr>
                    <w:keepNext w:val="0"/>
                    <w:keepLines w:val="0"/>
                    <w:suppressLineNumbers w:val="0"/>
                    <w:spacing w:before="0" w:beforeAutospacing="0" w:after="0" w:afterAutospacing="0"/>
                    <w:ind w:left="0" w:right="0"/>
                    <w:jc w:val="both"/>
                    <w:rPr>
                      <w:rFonts w:hint="default" w:ascii="Times New Roman" w:hAnsi="Times New Roman" w:cs="Times New Roman"/>
                      <w:color w:val="000000" w:themeColor="text1"/>
                      <w:sz w:val="21"/>
                      <w:szCs w:val="21"/>
                      <w14:textFill>
                        <w14:solidFill>
                          <w14:schemeClr w14:val="tx1"/>
                        </w14:solidFill>
                      </w14:textFill>
                    </w:rPr>
                  </w:pPr>
                </w:p>
              </w:tc>
              <w:tc>
                <w:tcPr>
                  <w:tcW w:w="3825" w:type="dxa"/>
                  <w:noWrap w:val="0"/>
                  <w:vAlign w:val="center"/>
                </w:tcPr>
                <w:p w14:paraId="33710529">
                  <w:pPr>
                    <w:pStyle w:val="20"/>
                    <w:keepNext w:val="0"/>
                    <w:keepLines w:val="0"/>
                    <w:widowControl/>
                    <w:suppressLineNumbers w:val="0"/>
                    <w:spacing w:before="0" w:beforeAutospacing="0" w:after="0" w:afterAutospacing="0"/>
                    <w:ind w:left="0" w:right="0"/>
                    <w:jc w:val="both"/>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2"/>
                      <w:sz w:val="21"/>
                      <w:szCs w:val="21"/>
                      <w:lang w:val="en-US" w:eastAsia="zh-CN"/>
                      <w14:textFill>
                        <w14:solidFill>
                          <w14:schemeClr w14:val="tx1"/>
                        </w14:solidFill>
                      </w14:textFill>
                    </w:rPr>
                    <w:t>5</w:t>
                  </w:r>
                  <w:r>
                    <w:rPr>
                      <w:rFonts w:hint="default" w:ascii="Times New Roman" w:hAnsi="Times New Roman" w:eastAsia="宋体" w:cs="Times New Roman"/>
                      <w:color w:val="000000" w:themeColor="text1"/>
                      <w:kern w:val="2"/>
                      <w:sz w:val="21"/>
                      <w:szCs w:val="21"/>
                      <w14:textFill>
                        <w14:solidFill>
                          <w14:schemeClr w14:val="tx1"/>
                        </w14:solidFill>
                      </w14:textFill>
                    </w:rPr>
                    <w:t>、</w:t>
                  </w: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w:t>
                  </w:r>
                  <w:r>
                    <w:rPr>
                      <w:rFonts w:hint="default" w:ascii="Times New Roman" w:hAnsi="Times New Roman" w:eastAsia="宋体" w:cs="Times New Roman"/>
                      <w:color w:val="000000" w:themeColor="text1"/>
                      <w:kern w:val="2"/>
                      <w:sz w:val="21"/>
                      <w:szCs w:val="21"/>
                      <w14:textFill>
                        <w14:solidFill>
                          <w14:schemeClr w14:val="tx1"/>
                        </w14:solidFill>
                      </w14:textFill>
                    </w:rPr>
                    <w:t>十四五</w:t>
                  </w: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w:t>
                  </w:r>
                  <w:r>
                    <w:rPr>
                      <w:rFonts w:hint="default" w:ascii="Times New Roman" w:hAnsi="Times New Roman" w:eastAsia="宋体" w:cs="Times New Roman"/>
                      <w:color w:val="000000" w:themeColor="text1"/>
                      <w:kern w:val="2"/>
                      <w:sz w:val="21"/>
                      <w:szCs w:val="21"/>
                      <w14:textFill>
                        <w14:solidFill>
                          <w14:schemeClr w14:val="tx1"/>
                        </w14:solidFill>
                      </w14:textFill>
                    </w:rPr>
                    <w:t>全市万元地区生产总值能耗强度降低18%。</w:t>
                  </w:r>
                </w:p>
              </w:tc>
              <w:tc>
                <w:tcPr>
                  <w:tcW w:w="2337" w:type="dxa"/>
                  <w:noWrap w:val="0"/>
                  <w:vAlign w:val="center"/>
                </w:tcPr>
                <w:p w14:paraId="293964EB">
                  <w:pPr>
                    <w:keepNext w:val="0"/>
                    <w:keepLines w:val="0"/>
                    <w:widowControl/>
                    <w:suppressLineNumbers w:val="0"/>
                    <w:adjustRightInd w:val="0"/>
                    <w:snapToGrid w:val="0"/>
                    <w:spacing w:before="0" w:beforeAutospacing="0" w:after="0" w:afterAutospacing="0"/>
                    <w:ind w:left="0" w:leftChars="0" w:right="0" w:rightChars="0"/>
                    <w:jc w:val="left"/>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本项目不涉及。</w:t>
                  </w:r>
                </w:p>
              </w:tc>
              <w:tc>
                <w:tcPr>
                  <w:tcW w:w="845" w:type="dxa"/>
                  <w:noWrap w:val="0"/>
                  <w:vAlign w:val="center"/>
                </w:tcPr>
                <w:p w14:paraId="4EBE7BA8">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不涉及</w:t>
                  </w:r>
                </w:p>
              </w:tc>
            </w:tr>
          </w:tbl>
          <w:p w14:paraId="1DF79128">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textAlignment w:val="auto"/>
              <w:rPr>
                <w:rFonts w:hint="default" w:ascii="Times New Roman" w:hAnsi="Times New Roman" w:cs="Times New Roman" w:eastAsiaTheme="majorEastAsia"/>
                <w:b/>
                <w:color w:val="000000" w:themeColor="text1"/>
                <w:sz w:val="24"/>
                <w:szCs w:val="24"/>
                <w:highlight w:val="none"/>
                <w14:textFill>
                  <w14:solidFill>
                    <w14:schemeClr w14:val="tx1"/>
                  </w14:solidFill>
                </w14:textFill>
              </w:rPr>
            </w:pPr>
            <w:r>
              <w:rPr>
                <w:rFonts w:hint="default" w:ascii="Times New Roman" w:hAnsi="Times New Roman" w:cs="Times New Roman" w:eastAsiaTheme="majorEastAsia"/>
                <w:bCs/>
                <w:color w:val="000000" w:themeColor="text1"/>
                <w:sz w:val="24"/>
                <w:szCs w:val="24"/>
                <w:highlight w:val="none"/>
                <w14:textFill>
                  <w14:solidFill>
                    <w14:schemeClr w14:val="tx1"/>
                  </w14:solidFill>
                </w14:textFill>
              </w:rPr>
              <w:t>本项目位于</w:t>
            </w:r>
            <w:r>
              <w:rPr>
                <w:rFonts w:hint="eastAsia" w:cs="Times New Roman" w:eastAsiaTheme="majorEastAsia"/>
                <w:bCs/>
                <w:color w:val="000000" w:themeColor="text1"/>
                <w:sz w:val="24"/>
                <w:szCs w:val="24"/>
                <w:highlight w:val="none"/>
                <w:lang w:val="en-US" w:eastAsia="zh-CN"/>
                <w14:textFill>
                  <w14:solidFill>
                    <w14:schemeClr w14:val="tx1"/>
                  </w14:solidFill>
                </w14:textFill>
              </w:rPr>
              <w:t>安阳市汤阴县汤阴县众品大道原色非家具厂院内</w:t>
            </w:r>
            <w:r>
              <w:rPr>
                <w:rFonts w:hint="default" w:ascii="Times New Roman" w:hAnsi="Times New Roman" w:cs="Times New Roman" w:eastAsiaTheme="majorEastAsia"/>
                <w:bCs/>
                <w:color w:val="000000" w:themeColor="text1"/>
                <w:sz w:val="24"/>
                <w:szCs w:val="24"/>
                <w:highlight w:val="none"/>
                <w:lang w:eastAsia="zh-CN"/>
                <w14:textFill>
                  <w14:solidFill>
                    <w14:schemeClr w14:val="tx1"/>
                  </w14:solidFill>
                </w14:textFill>
              </w:rPr>
              <w:t>。经查阅《安阳市汤阴县环境管控单元生态环境准入清单》</w:t>
            </w:r>
            <w:bookmarkStart w:id="10" w:name="OLE_LINK237"/>
            <w:r>
              <w:rPr>
                <w:rFonts w:hint="default" w:ascii="Times New Roman" w:hAnsi="Times New Roman" w:cs="Times New Roman" w:eastAsiaTheme="majorEastAsia"/>
                <w:bCs/>
                <w:color w:val="000000" w:themeColor="text1"/>
                <w:sz w:val="24"/>
                <w:szCs w:val="24"/>
                <w:highlight w:val="none"/>
                <w:lang w:eastAsia="zh-CN"/>
                <w14:textFill>
                  <w14:solidFill>
                    <w14:schemeClr w14:val="tx1"/>
                  </w14:solidFill>
                </w14:textFill>
              </w:rPr>
              <w:t>及“</w:t>
            </w:r>
            <w:r>
              <w:rPr>
                <w:rFonts w:hint="default" w:ascii="Times New Roman" w:hAnsi="Times New Roman" w:cs="Times New Roman" w:eastAsiaTheme="majorEastAsia"/>
                <w:bCs/>
                <w:color w:val="auto"/>
                <w:sz w:val="24"/>
                <w:szCs w:val="24"/>
                <w:highlight w:val="none"/>
                <w:lang w:eastAsia="zh-CN"/>
              </w:rPr>
              <w:t>河南省</w:t>
            </w:r>
            <w:r>
              <w:rPr>
                <w:rFonts w:hint="eastAsia" w:cs="Times New Roman" w:eastAsiaTheme="majorEastAsia"/>
                <w:bCs/>
                <w:color w:val="auto"/>
                <w:sz w:val="24"/>
                <w:szCs w:val="24"/>
                <w:highlight w:val="none"/>
                <w:lang w:eastAsia="zh-CN"/>
              </w:rPr>
              <w:t>生态环境分区管控</w:t>
            </w:r>
            <w:r>
              <w:rPr>
                <w:rFonts w:hint="default" w:ascii="Times New Roman" w:hAnsi="Times New Roman" w:cs="Times New Roman" w:eastAsiaTheme="majorEastAsia"/>
                <w:bCs/>
                <w:color w:val="auto"/>
                <w:sz w:val="24"/>
                <w:szCs w:val="24"/>
                <w:highlight w:val="none"/>
                <w:lang w:eastAsia="zh-CN"/>
              </w:rPr>
              <w:t>应用平台”</w:t>
            </w:r>
            <w:bookmarkEnd w:id="10"/>
            <w:r>
              <w:rPr>
                <w:rFonts w:hint="default" w:ascii="Times New Roman" w:hAnsi="Times New Roman" w:cs="Times New Roman" w:eastAsiaTheme="majorEastAsia"/>
                <w:bCs/>
                <w:color w:val="000000" w:themeColor="text1"/>
                <w:sz w:val="24"/>
                <w:szCs w:val="24"/>
                <w:highlight w:val="none"/>
                <w:lang w:eastAsia="zh-CN"/>
                <w14:textFill>
                  <w14:solidFill>
                    <w14:schemeClr w14:val="tx1"/>
                  </w14:solidFill>
                </w14:textFill>
              </w:rPr>
              <w:t>，</w:t>
            </w:r>
            <w:bookmarkStart w:id="11" w:name="OLE_LINK238"/>
            <w:r>
              <w:rPr>
                <w:rFonts w:hint="default" w:ascii="Times New Roman" w:hAnsi="Times New Roman" w:cs="Times New Roman" w:eastAsiaTheme="majorEastAsia"/>
                <w:bCs/>
                <w:color w:val="000000" w:themeColor="text1"/>
                <w:sz w:val="24"/>
                <w:szCs w:val="24"/>
                <w:highlight w:val="none"/>
                <w:lang w:eastAsia="zh-CN"/>
                <w14:textFill>
                  <w14:solidFill>
                    <w14:schemeClr w14:val="tx1"/>
                  </w14:solidFill>
                </w14:textFill>
              </w:rPr>
              <w:t>项目涉及的管控单元为</w:t>
            </w:r>
            <w:bookmarkEnd w:id="11"/>
            <w:r>
              <w:rPr>
                <w:rFonts w:hint="default" w:ascii="Times New Roman" w:hAnsi="Times New Roman" w:cs="Times New Roman" w:eastAsiaTheme="majorEastAsia"/>
                <w:bCs/>
                <w:color w:val="000000" w:themeColor="text1"/>
                <w:sz w:val="24"/>
                <w:szCs w:val="24"/>
                <w:highlight w:val="none"/>
                <w:lang w:eastAsia="zh-CN"/>
                <w14:textFill>
                  <w14:solidFill>
                    <w14:schemeClr w14:val="tx1"/>
                  </w14:solidFill>
                </w14:textFill>
              </w:rPr>
              <w:t>：</w:t>
            </w:r>
            <w:bookmarkStart w:id="12" w:name="OLE_LINK15"/>
            <w:r>
              <w:rPr>
                <w:rFonts w:hint="default" w:ascii="Times New Roman" w:hAnsi="Times New Roman" w:cs="Times New Roman" w:eastAsiaTheme="majorEastAsia"/>
                <w:bCs/>
                <w:color w:val="000000" w:themeColor="text1"/>
                <w:sz w:val="24"/>
                <w:szCs w:val="24"/>
                <w:highlight w:val="none"/>
                <w:lang w:eastAsia="zh-CN"/>
                <w14:textFill>
                  <w14:solidFill>
                    <w14:schemeClr w14:val="tx1"/>
                  </w14:solidFill>
                </w14:textFill>
              </w:rPr>
              <w:t>汤阴县高新技术产业开发区</w:t>
            </w:r>
            <w:bookmarkEnd w:id="12"/>
            <w:r>
              <w:rPr>
                <w:rFonts w:hint="default" w:ascii="Times New Roman" w:hAnsi="Times New Roman" w:cs="Times New Roman" w:eastAsiaTheme="majorEastAsia"/>
                <w:bCs/>
                <w:color w:val="000000" w:themeColor="text1"/>
                <w:sz w:val="24"/>
                <w:szCs w:val="24"/>
                <w:highlight w:val="none"/>
                <w:lang w:eastAsia="zh-CN"/>
                <w14:textFill>
                  <w14:solidFill>
                    <w14:schemeClr w14:val="tx1"/>
                  </w14:solidFill>
                </w14:textFill>
              </w:rPr>
              <w:t>（环境管控单元编码：ZH4105</w:t>
            </w:r>
            <w:r>
              <w:rPr>
                <w:rFonts w:hint="default" w:ascii="Times New Roman" w:hAnsi="Times New Roman" w:cs="Times New Roman" w:eastAsiaTheme="majorEastAsia"/>
                <w:bCs/>
                <w:color w:val="000000" w:themeColor="text1"/>
                <w:sz w:val="24"/>
                <w:szCs w:val="24"/>
                <w:highlight w:val="none"/>
                <w:lang w:val="en-US" w:eastAsia="zh-CN"/>
                <w14:textFill>
                  <w14:solidFill>
                    <w14:schemeClr w14:val="tx1"/>
                  </w14:solidFill>
                </w14:textFill>
              </w:rPr>
              <w:t>2320001</w:t>
            </w:r>
            <w:r>
              <w:rPr>
                <w:rFonts w:hint="default" w:ascii="Times New Roman" w:hAnsi="Times New Roman" w:cs="Times New Roman" w:eastAsiaTheme="majorEastAsia"/>
                <w:bCs/>
                <w:color w:val="000000" w:themeColor="text1"/>
                <w:sz w:val="24"/>
                <w:szCs w:val="24"/>
                <w:highlight w:val="none"/>
                <w:lang w:eastAsia="zh-CN"/>
                <w14:textFill>
                  <w14:solidFill>
                    <w14:schemeClr w14:val="tx1"/>
                  </w14:solidFill>
                </w14:textFill>
              </w:rPr>
              <w:t>）</w:t>
            </w:r>
            <w:r>
              <w:rPr>
                <w:rFonts w:hint="eastAsia" w:cs="Times New Roman" w:eastAsiaTheme="majorEastAsia"/>
                <w:bCs/>
                <w:color w:val="000000" w:themeColor="text1"/>
                <w:sz w:val="24"/>
                <w:szCs w:val="24"/>
                <w:highlight w:val="none"/>
                <w:lang w:eastAsia="zh-CN"/>
                <w14:textFill>
                  <w14:solidFill>
                    <w14:schemeClr w14:val="tx1"/>
                  </w14:solidFill>
                </w14:textFill>
              </w:rPr>
              <w:t>，属于重点管控单元</w:t>
            </w:r>
            <w:r>
              <w:rPr>
                <w:rFonts w:hint="default" w:ascii="Times New Roman" w:hAnsi="Times New Roman" w:cs="Times New Roman" w:eastAsiaTheme="majorEastAsia"/>
                <w:bCs/>
                <w:color w:val="000000" w:themeColor="text1"/>
                <w:sz w:val="24"/>
                <w:szCs w:val="24"/>
                <w:highlight w:val="none"/>
                <w:lang w:eastAsia="zh-CN"/>
                <w14:textFill>
                  <w14:solidFill>
                    <w14:schemeClr w14:val="tx1"/>
                  </w14:solidFill>
                </w14:textFill>
              </w:rPr>
              <w:t>。本项目与安阳市汤阴县环境管控单元生态环境准入清单相符性分析见下表。</w:t>
            </w:r>
          </w:p>
          <w:p w14:paraId="7BEBFB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Times New Roman" w:cs="Times New Roman"/>
                <w:b/>
                <w:iCs/>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b/>
                <w:iCs/>
                <w:color w:val="000000" w:themeColor="text1"/>
                <w:sz w:val="24"/>
                <w:szCs w:val="24"/>
                <w:highlight w:val="none"/>
                <w14:textFill>
                  <w14:solidFill>
                    <w14:schemeClr w14:val="tx1"/>
                  </w14:solidFill>
                </w14:textFill>
              </w:rPr>
              <w:t>安阳市汤阴县环境管控单元生态环境准入清单</w:t>
            </w:r>
          </w:p>
          <w:tbl>
            <w:tblPr>
              <w:tblStyle w:val="2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10"/>
              <w:gridCol w:w="2934"/>
              <w:gridCol w:w="3232"/>
              <w:gridCol w:w="864"/>
            </w:tblGrid>
            <w:tr w14:paraId="0B6BA2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50" w:hRule="atLeast"/>
                <w:tblHeader/>
              </w:trPr>
              <w:tc>
                <w:tcPr>
                  <w:tcW w:w="2387" w:type="pct"/>
                  <w:gridSpan w:val="2"/>
                  <w:vMerge w:val="restart"/>
                  <w:tcBorders>
                    <w:tl2br w:val="nil"/>
                    <w:tr2bl w:val="nil"/>
                  </w:tcBorders>
                  <w:noWrap w:val="0"/>
                  <w:vAlign w:val="center"/>
                </w:tcPr>
                <w:p w14:paraId="4390AA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管控要求</w:t>
                  </w:r>
                </w:p>
              </w:tc>
              <w:tc>
                <w:tcPr>
                  <w:tcW w:w="2061" w:type="pct"/>
                  <w:vMerge w:val="restart"/>
                  <w:tcBorders>
                    <w:tl2br w:val="nil"/>
                    <w:tr2bl w:val="nil"/>
                  </w:tcBorders>
                  <w:noWrap w:val="0"/>
                  <w:vAlign w:val="center"/>
                </w:tcPr>
                <w:p w14:paraId="4E9D68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val="0"/>
                      <w:color w:val="auto"/>
                      <w:sz w:val="21"/>
                      <w:szCs w:val="21"/>
                      <w:highlight w:val="none"/>
                      <w:lang w:eastAsia="zh-CN"/>
                    </w:rPr>
                  </w:pPr>
                  <w:r>
                    <w:rPr>
                      <w:rFonts w:hint="default" w:ascii="Times New Roman" w:hAnsi="Times New Roman" w:eastAsia="宋体" w:cs="Times New Roman"/>
                      <w:b/>
                      <w:bCs w:val="0"/>
                      <w:color w:val="auto"/>
                      <w:sz w:val="21"/>
                      <w:szCs w:val="21"/>
                      <w:highlight w:val="none"/>
                      <w:lang w:eastAsia="zh-CN"/>
                    </w:rPr>
                    <w:t>建设内容</w:t>
                  </w:r>
                </w:p>
              </w:tc>
              <w:tc>
                <w:tcPr>
                  <w:tcW w:w="551" w:type="pct"/>
                  <w:vMerge w:val="restart"/>
                  <w:tcBorders>
                    <w:tl2br w:val="nil"/>
                    <w:tr2bl w:val="nil"/>
                  </w:tcBorders>
                  <w:noWrap w:val="0"/>
                  <w:vAlign w:val="center"/>
                </w:tcPr>
                <w:p w14:paraId="0DA073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val="0"/>
                      <w:color w:val="auto"/>
                      <w:sz w:val="21"/>
                      <w:szCs w:val="21"/>
                      <w:highlight w:val="none"/>
                      <w:lang w:eastAsia="zh-CN"/>
                    </w:rPr>
                  </w:pPr>
                  <w:r>
                    <w:rPr>
                      <w:rFonts w:hint="default" w:ascii="Times New Roman" w:hAnsi="Times New Roman" w:eastAsia="宋体" w:cs="Times New Roman"/>
                      <w:b/>
                      <w:bCs w:val="0"/>
                      <w:color w:val="auto"/>
                      <w:sz w:val="21"/>
                      <w:szCs w:val="21"/>
                      <w:highlight w:val="none"/>
                      <w:lang w:eastAsia="zh-CN"/>
                    </w:rPr>
                    <w:t>相符性</w:t>
                  </w:r>
                </w:p>
              </w:tc>
            </w:tr>
            <w:tr w14:paraId="0C615A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50" w:hRule="atLeast"/>
                <w:tblHeader/>
              </w:trPr>
              <w:tc>
                <w:tcPr>
                  <w:tcW w:w="2387" w:type="pct"/>
                  <w:gridSpan w:val="2"/>
                  <w:vMerge w:val="continue"/>
                  <w:tcBorders>
                    <w:tl2br w:val="nil"/>
                    <w:tr2bl w:val="nil"/>
                  </w:tcBorders>
                  <w:noWrap w:val="0"/>
                  <w:vAlign w:val="center"/>
                </w:tcPr>
                <w:p w14:paraId="627440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color w:val="auto"/>
                      <w:sz w:val="21"/>
                      <w:szCs w:val="21"/>
                      <w:highlight w:val="none"/>
                    </w:rPr>
                  </w:pPr>
                </w:p>
              </w:tc>
              <w:tc>
                <w:tcPr>
                  <w:tcW w:w="2061" w:type="pct"/>
                  <w:vMerge w:val="continue"/>
                  <w:tcBorders>
                    <w:tl2br w:val="nil"/>
                    <w:tr2bl w:val="nil"/>
                  </w:tcBorders>
                  <w:noWrap w:val="0"/>
                  <w:vAlign w:val="center"/>
                </w:tcPr>
                <w:p w14:paraId="118BB3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color w:val="auto"/>
                      <w:sz w:val="21"/>
                      <w:szCs w:val="21"/>
                      <w:highlight w:val="none"/>
                    </w:rPr>
                  </w:pPr>
                </w:p>
              </w:tc>
              <w:tc>
                <w:tcPr>
                  <w:tcW w:w="551" w:type="pct"/>
                  <w:vMerge w:val="continue"/>
                  <w:tcBorders>
                    <w:tl2br w:val="nil"/>
                    <w:tr2bl w:val="nil"/>
                  </w:tcBorders>
                  <w:noWrap w:val="0"/>
                  <w:vAlign w:val="center"/>
                </w:tcPr>
                <w:p w14:paraId="420662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color w:val="auto"/>
                      <w:sz w:val="21"/>
                      <w:szCs w:val="21"/>
                      <w:highlight w:val="none"/>
                    </w:rPr>
                  </w:pPr>
                </w:p>
              </w:tc>
            </w:tr>
            <w:tr w14:paraId="374608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91" w:hRule="atLeast"/>
              </w:trPr>
              <w:tc>
                <w:tcPr>
                  <w:tcW w:w="516" w:type="pct"/>
                  <w:tcBorders>
                    <w:tl2br w:val="nil"/>
                    <w:tr2bl w:val="nil"/>
                  </w:tcBorders>
                  <w:noWrap w:val="0"/>
                  <w:vAlign w:val="center"/>
                </w:tcPr>
                <w:p w14:paraId="3405B1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空间布局约束</w:t>
                  </w:r>
                </w:p>
              </w:tc>
              <w:tc>
                <w:tcPr>
                  <w:tcW w:w="1871" w:type="pct"/>
                  <w:tcBorders>
                    <w:tl2br w:val="nil"/>
                    <w:tr2bl w:val="nil"/>
                  </w:tcBorders>
                  <w:noWrap w:val="0"/>
                  <w:vAlign w:val="center"/>
                </w:tcPr>
                <w:p w14:paraId="677CD9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1、鼓励发展主导产业，完善产业链条，严格控制非主导产业。</w:t>
                  </w:r>
                </w:p>
                <w:p w14:paraId="2E84A8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2、禁止入驻列入负面清单项目。</w:t>
                  </w:r>
                </w:p>
                <w:p w14:paraId="33902D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3、集聚区禁止引入：煤化工、石油化工、制浆造纸、水泥、陶瓷、农药、制革及毛皮鞣制等高水耗、高能耗、污染排放量大的行业。</w:t>
                  </w:r>
                </w:p>
                <w:p w14:paraId="47C00D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禁止建设区范围：道路两侧的防护绿地；京广铁路客运专线两侧的生态绿地；伏道镇地下水井一级保护区范围；淤泥河和永通河及其两侧的生态绿地；公园绿地；广场用地；消防用地以及规划的城市发展备用地。</w:t>
                  </w:r>
                </w:p>
                <w:p w14:paraId="6C9B87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5、严格落实规划环评及批复文件要求，规划调整修编时应同步开展规划环评。</w:t>
                  </w:r>
                </w:p>
                <w:p w14:paraId="0ED64A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eastAsia="宋体" w:cs="Times New Roman"/>
                      <w:color w:val="auto"/>
                      <w:sz w:val="21"/>
                      <w:szCs w:val="21"/>
                      <w:highlight w:val="none"/>
                    </w:rPr>
                    <w:t>6、新建、改建、扩建“两高”项目须符合生态环境保护法律法规和相关法定规划，满足重点污染物排放总量控制、碳排放达峰目标、生态环境准入清单、相关规划环评和相应行业建设项目环境准入条件、环评文件审批原则要求</w:t>
                  </w:r>
                  <w:r>
                    <w:rPr>
                      <w:rFonts w:hint="eastAsia" w:ascii="Times New Roman" w:hAnsi="Times New Roman" w:eastAsia="宋体" w:cs="Times New Roman"/>
                      <w:color w:val="auto"/>
                      <w:sz w:val="21"/>
                      <w:szCs w:val="21"/>
                      <w:highlight w:val="none"/>
                      <w:lang w:eastAsia="zh-CN"/>
                    </w:rPr>
                    <w:t>。</w:t>
                  </w:r>
                </w:p>
              </w:tc>
              <w:tc>
                <w:tcPr>
                  <w:tcW w:w="2061" w:type="pct"/>
                  <w:tcBorders>
                    <w:tl2br w:val="nil"/>
                    <w:tr2bl w:val="nil"/>
                  </w:tcBorders>
                  <w:noWrap w:val="0"/>
                  <w:vAlign w:val="center"/>
                </w:tcPr>
                <w:p w14:paraId="23A111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1、本项目</w:t>
                  </w:r>
                  <w:r>
                    <w:rPr>
                      <w:rFonts w:hint="eastAsia" w:eastAsia="宋体" w:cs="Times New Roman"/>
                      <w:color w:val="auto"/>
                      <w:sz w:val="21"/>
                      <w:szCs w:val="21"/>
                      <w:highlight w:val="none"/>
                      <w:lang w:val="en-US" w:eastAsia="zh-CN"/>
                    </w:rPr>
                    <w:t>属于塑料制品业，</w:t>
                  </w:r>
                  <w:r>
                    <w:rPr>
                      <w:rFonts w:hint="eastAsia" w:cs="Times New Roman"/>
                      <w:color w:val="auto"/>
                      <w:sz w:val="21"/>
                      <w:szCs w:val="21"/>
                      <w:highlight w:val="none"/>
                      <w:lang w:val="en-US" w:eastAsia="zh-CN"/>
                    </w:rPr>
                    <w:t>不属于开发区禁止入驻项目</w:t>
                  </w:r>
                  <w:r>
                    <w:rPr>
                      <w:rFonts w:hint="eastAsia" w:eastAsia="宋体" w:cs="Times New Roman"/>
                      <w:color w:val="auto"/>
                      <w:sz w:val="21"/>
                      <w:szCs w:val="21"/>
                      <w:highlight w:val="none"/>
                      <w:lang w:val="en-US" w:eastAsia="zh-CN"/>
                    </w:rPr>
                    <w:t>。</w:t>
                  </w:r>
                </w:p>
                <w:p w14:paraId="5D6946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2、本项目不属于列入负面清单项目；</w:t>
                  </w:r>
                </w:p>
                <w:p w14:paraId="742444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3、本项目不属于禁止引入项目；</w:t>
                  </w:r>
                </w:p>
                <w:p w14:paraId="1181F1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4、本项目占地为工业用地，不属于禁止建设区；</w:t>
                  </w:r>
                </w:p>
                <w:p w14:paraId="4A3CCF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5、本项目符合规划环评及批复文件要求；</w:t>
                  </w:r>
                </w:p>
                <w:p w14:paraId="291D52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6、本项目不属于“两高”项目。</w:t>
                  </w:r>
                </w:p>
              </w:tc>
              <w:tc>
                <w:tcPr>
                  <w:tcW w:w="551" w:type="pct"/>
                  <w:tcBorders>
                    <w:tl2br w:val="nil"/>
                    <w:tr2bl w:val="nil"/>
                  </w:tcBorders>
                  <w:noWrap w:val="0"/>
                  <w:vAlign w:val="center"/>
                </w:tcPr>
                <w:p w14:paraId="5C8D77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不涉及</w:t>
                  </w:r>
                </w:p>
              </w:tc>
            </w:tr>
            <w:tr w14:paraId="62A491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457" w:hRule="atLeast"/>
              </w:trPr>
              <w:tc>
                <w:tcPr>
                  <w:tcW w:w="516" w:type="pct"/>
                  <w:tcBorders>
                    <w:tl2br w:val="nil"/>
                    <w:tr2bl w:val="nil"/>
                  </w:tcBorders>
                  <w:noWrap w:val="0"/>
                  <w:vAlign w:val="center"/>
                </w:tcPr>
                <w:p w14:paraId="3ECADC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污染物排放管控</w:t>
                  </w:r>
                </w:p>
              </w:tc>
              <w:tc>
                <w:tcPr>
                  <w:tcW w:w="1871" w:type="pct"/>
                  <w:tcBorders>
                    <w:tl2br w:val="nil"/>
                    <w:tr2bl w:val="nil"/>
                  </w:tcBorders>
                  <w:noWrap w:val="0"/>
                  <w:vAlign w:val="center"/>
                </w:tcPr>
                <w:p w14:paraId="586AFA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1、严格执行污染物排放总量控制制度，采取调整能源结构、加强污染治理等措施，严格控制烟粉尘、二氧化硫、氮氧化物、可挥发性有机物等大气污染物的排放。</w:t>
                  </w:r>
                </w:p>
                <w:p w14:paraId="0D8CC7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2、集聚区内企业要做到稳定达标排放，确保污水处理厂出水执行《城镇污水处理厂污染物排放标准》（GB18918-2002）一级标准的A标准，减少对纳入水体的影响。 </w:t>
                  </w:r>
                </w:p>
                <w:p w14:paraId="3AD0A4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新建“两高”项目应按照《关于加强重点行业建设项目区域削减措施监督管理的通知》要求，依据区域环境质量改善目标，制定配套区域污染物削减方案，采取有效的污染物区域削减措施，腾出足够的环境容量。</w:t>
                  </w:r>
                </w:p>
                <w:p w14:paraId="0391FE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新建耗煤项目应严格按规定采取煤炭消费减量替代措施，不得使用高污染燃料作为煤炭减量替代措施。</w:t>
                  </w:r>
                </w:p>
                <w:p w14:paraId="5E4CE6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eastAsia="宋体" w:cs="Times New Roman"/>
                      <w:color w:val="auto"/>
                      <w:sz w:val="21"/>
                      <w:szCs w:val="21"/>
                      <w:highlight w:val="none"/>
                    </w:rPr>
                    <w:t>5</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已出台超低排放要求的“两高”行业建设项目应满足超低排放要求。</w:t>
                  </w:r>
                </w:p>
              </w:tc>
              <w:tc>
                <w:tcPr>
                  <w:tcW w:w="2061" w:type="pct"/>
                  <w:tcBorders>
                    <w:tl2br w:val="nil"/>
                    <w:tr2bl w:val="nil"/>
                  </w:tcBorders>
                  <w:noWrap w:val="0"/>
                  <w:vAlign w:val="center"/>
                </w:tcPr>
                <w:p w14:paraId="4EF420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color w:val="auto"/>
                      <w:sz w:val="21"/>
                      <w:szCs w:val="21"/>
                      <w:highlight w:val="none"/>
                      <w:lang w:val="en-US" w:eastAsia="zh-CN"/>
                    </w:rPr>
                  </w:pPr>
                  <w:r>
                    <w:rPr>
                      <w:rFonts w:hint="default"/>
                      <w:color w:val="auto"/>
                      <w:lang w:val="en-US" w:eastAsia="zh-CN"/>
                    </w:rPr>
                    <w:t>1</w:t>
                  </w:r>
                  <w:r>
                    <w:rPr>
                      <w:rFonts w:hint="eastAsia" w:ascii="Times New Roman" w:hAnsi="Times New Roman" w:eastAsia="宋体" w:cs="Times New Roman"/>
                      <w:color w:val="auto"/>
                      <w:sz w:val="21"/>
                      <w:szCs w:val="21"/>
                      <w:highlight w:val="none"/>
                      <w:lang w:val="en-US" w:eastAsia="zh-CN"/>
                    </w:rPr>
                    <w:t>、本项目</w:t>
                  </w:r>
                  <w:r>
                    <w:rPr>
                      <w:rFonts w:hint="eastAsia" w:eastAsia="宋体" w:cs="Times New Roman"/>
                      <w:color w:val="auto"/>
                      <w:sz w:val="21"/>
                      <w:szCs w:val="21"/>
                      <w:highlight w:val="none"/>
                      <w:lang w:val="en-US" w:eastAsia="zh-CN"/>
                    </w:rPr>
                    <w:t>废气污染物实行倍量替代，废水污染物实行等量替代，</w:t>
                  </w:r>
                  <w:r>
                    <w:rPr>
                      <w:rFonts w:hint="eastAsia" w:ascii="Times New Roman" w:hAnsi="Times New Roman" w:eastAsia="宋体" w:cs="Times New Roman"/>
                      <w:color w:val="auto"/>
                      <w:sz w:val="21"/>
                      <w:szCs w:val="21"/>
                      <w:highlight w:val="none"/>
                      <w:lang w:val="en-US" w:eastAsia="zh-CN"/>
                    </w:rPr>
                    <w:t>并加强污染治理措施；</w:t>
                  </w:r>
                </w:p>
                <w:p w14:paraId="302E06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color w:val="auto"/>
                      <w:kern w:val="2"/>
                      <w:sz w:val="21"/>
                      <w:szCs w:val="21"/>
                      <w:lang w:eastAsia="zh-CN"/>
                    </w:rPr>
                  </w:pPr>
                  <w:r>
                    <w:rPr>
                      <w:rFonts w:hint="eastAsia" w:ascii="Times New Roman" w:hAnsi="Times New Roman" w:eastAsia="宋体" w:cs="Times New Roman"/>
                      <w:color w:val="auto"/>
                      <w:sz w:val="21"/>
                      <w:szCs w:val="21"/>
                      <w:highlight w:val="none"/>
                      <w:lang w:val="en-US" w:eastAsia="zh-CN"/>
                    </w:rPr>
                    <w:t>2、本项目</w:t>
                  </w:r>
                  <w:r>
                    <w:rPr>
                      <w:rFonts w:hint="eastAsia" w:eastAsia="宋体" w:cs="Times New Roman"/>
                      <w:color w:val="auto"/>
                      <w:sz w:val="21"/>
                      <w:szCs w:val="21"/>
                      <w:highlight w:val="none"/>
                      <w:lang w:val="en-US" w:eastAsia="zh-CN"/>
                    </w:rPr>
                    <w:t>食堂污水经隔油池处理后与经化粪池处理后</w:t>
                  </w:r>
                  <w:r>
                    <w:rPr>
                      <w:rFonts w:hint="eastAsia" w:cs="Times New Roman"/>
                      <w:color w:val="auto"/>
                      <w:sz w:val="21"/>
                      <w:szCs w:val="21"/>
                      <w:highlight w:val="none"/>
                      <w:lang w:val="en-US" w:eastAsia="zh-CN"/>
                    </w:rPr>
                    <w:t>的</w:t>
                  </w:r>
                  <w:r>
                    <w:rPr>
                      <w:rFonts w:hint="eastAsia" w:eastAsia="宋体" w:cs="Times New Roman"/>
                      <w:color w:val="auto"/>
                      <w:sz w:val="21"/>
                      <w:szCs w:val="21"/>
                      <w:highlight w:val="none"/>
                      <w:lang w:val="en-US" w:eastAsia="zh-CN"/>
                    </w:rPr>
                    <w:t>其他生活污水一同排入汤阴天雨污水净化有限公司，废水能够达标排放</w:t>
                  </w:r>
                  <w:r>
                    <w:rPr>
                      <w:rFonts w:hint="eastAsia" w:ascii="Times New Roman" w:hAnsi="Times New Roman" w:eastAsia="宋体" w:cs="Times New Roman"/>
                      <w:color w:val="auto"/>
                      <w:sz w:val="21"/>
                      <w:szCs w:val="21"/>
                      <w:highlight w:val="none"/>
                      <w:lang w:val="en-US" w:eastAsia="zh-CN"/>
                    </w:rPr>
                    <w:t>。</w:t>
                  </w:r>
                </w:p>
                <w:p w14:paraId="333947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2"/>
                      <w:sz w:val="21"/>
                      <w:szCs w:val="21"/>
                      <w:lang w:val="en-US" w:eastAsia="zh-CN"/>
                    </w:rPr>
                    <w:t>3、本项目</w:t>
                  </w:r>
                  <w:r>
                    <w:rPr>
                      <w:rFonts w:hint="eastAsia" w:ascii="Times New Roman" w:hAnsi="Times New Roman" w:eastAsia="宋体" w:cs="Times New Roman"/>
                      <w:color w:val="auto"/>
                      <w:sz w:val="21"/>
                      <w:szCs w:val="21"/>
                      <w:highlight w:val="none"/>
                      <w:lang w:val="en-US" w:eastAsia="zh-CN"/>
                    </w:rPr>
                    <w:t>不属于“两高”项目；</w:t>
                  </w:r>
                </w:p>
                <w:p w14:paraId="37EA02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4、本项目不涉及新增燃用煤炭；</w:t>
                  </w:r>
                </w:p>
                <w:p w14:paraId="67693D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color w:val="auto"/>
                      <w:lang w:val="en-US" w:eastAsia="zh-CN"/>
                    </w:rPr>
                  </w:pPr>
                  <w:r>
                    <w:rPr>
                      <w:rFonts w:hint="eastAsia" w:ascii="Times New Roman" w:hAnsi="Times New Roman" w:eastAsia="宋体" w:cs="Times New Roman"/>
                      <w:color w:val="auto"/>
                      <w:sz w:val="21"/>
                      <w:szCs w:val="21"/>
                      <w:highlight w:val="none"/>
                      <w:lang w:val="en-US" w:eastAsia="zh-CN"/>
                    </w:rPr>
                    <w:t>5、本项目不属于“两高”行业。</w:t>
                  </w:r>
                </w:p>
              </w:tc>
              <w:tc>
                <w:tcPr>
                  <w:tcW w:w="551" w:type="pct"/>
                  <w:tcBorders>
                    <w:tl2br w:val="nil"/>
                    <w:tr2bl w:val="nil"/>
                  </w:tcBorders>
                  <w:noWrap w:val="0"/>
                  <w:vAlign w:val="center"/>
                </w:tcPr>
                <w:p w14:paraId="3F0C35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61C04F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40" w:hRule="atLeast"/>
              </w:trPr>
              <w:tc>
                <w:tcPr>
                  <w:tcW w:w="516" w:type="pct"/>
                  <w:tcBorders>
                    <w:tl2br w:val="nil"/>
                    <w:tr2bl w:val="nil"/>
                  </w:tcBorders>
                  <w:noWrap w:val="0"/>
                  <w:vAlign w:val="center"/>
                </w:tcPr>
                <w:p w14:paraId="783B86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环境风险防控</w:t>
                  </w:r>
                </w:p>
              </w:tc>
              <w:tc>
                <w:tcPr>
                  <w:tcW w:w="1871" w:type="pct"/>
                  <w:tcBorders>
                    <w:tl2br w:val="nil"/>
                    <w:tr2bl w:val="nil"/>
                  </w:tcBorders>
                  <w:noWrap w:val="0"/>
                  <w:vAlign w:val="center"/>
                </w:tcPr>
                <w:p w14:paraId="153897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1、加快环境风险预警体系建设，严格危险化学品管理。</w:t>
                  </w:r>
                </w:p>
                <w:p w14:paraId="4C7471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2、建立完善有效的环境风险防控设施和有效的拦截、降污、导流等措施，防止对地表水环境造成危害。</w:t>
                  </w:r>
                </w:p>
                <w:p w14:paraId="6AEACE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snapToGrid w:val="0"/>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3、制定园区级综合环境应急预案，不断完善各类突发环境事件应急预案，有计划地组织应急培训和演练，全面提升园区风险防控和事故应急处置能力。</w:t>
                  </w:r>
                </w:p>
              </w:tc>
              <w:tc>
                <w:tcPr>
                  <w:tcW w:w="2061" w:type="pct"/>
                  <w:tcBorders>
                    <w:tl2br w:val="nil"/>
                    <w:tr2bl w:val="nil"/>
                  </w:tcBorders>
                  <w:noWrap w:val="0"/>
                  <w:vAlign w:val="center"/>
                </w:tcPr>
                <w:p w14:paraId="35DC41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1、本项目不涉及危险化学品；</w:t>
                  </w:r>
                </w:p>
                <w:p w14:paraId="45CDD3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2、本项目建立完善有效的环境风险防控设施和有效的拦截、降污、导流等措施，防止对地表水环境造成危害。</w:t>
                  </w:r>
                </w:p>
                <w:p w14:paraId="2602F7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3、项目所在园区制定有完善的综合环境应急预案。</w:t>
                  </w:r>
                </w:p>
              </w:tc>
              <w:tc>
                <w:tcPr>
                  <w:tcW w:w="551" w:type="pct"/>
                  <w:tcBorders>
                    <w:tl2br w:val="nil"/>
                    <w:tr2bl w:val="nil"/>
                  </w:tcBorders>
                  <w:noWrap w:val="0"/>
                  <w:vAlign w:val="center"/>
                </w:tcPr>
                <w:p w14:paraId="328CF2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符合</w:t>
                  </w:r>
                </w:p>
              </w:tc>
            </w:tr>
            <w:tr w14:paraId="7F7422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19" w:hRule="atLeast"/>
              </w:trPr>
              <w:tc>
                <w:tcPr>
                  <w:tcW w:w="516" w:type="pct"/>
                  <w:tcBorders>
                    <w:tl2br w:val="nil"/>
                    <w:tr2bl w:val="nil"/>
                  </w:tcBorders>
                  <w:noWrap w:val="0"/>
                  <w:vAlign w:val="center"/>
                </w:tcPr>
                <w:p w14:paraId="1239ED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资源开发效率要求</w:t>
                  </w:r>
                </w:p>
              </w:tc>
              <w:tc>
                <w:tcPr>
                  <w:tcW w:w="1871" w:type="pct"/>
                  <w:tcBorders>
                    <w:tl2br w:val="nil"/>
                    <w:tr2bl w:val="nil"/>
                  </w:tcBorders>
                  <w:noWrap w:val="0"/>
                  <w:vAlign w:val="center"/>
                </w:tcPr>
                <w:p w14:paraId="2D419D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eastAsia="宋体" w:cs="Times New Roman"/>
                      <w:snapToGrid w:val="0"/>
                      <w:color w:val="auto"/>
                      <w:sz w:val="21"/>
                      <w:szCs w:val="21"/>
                      <w:highlight w:val="none"/>
                      <w:lang w:val="en-US" w:eastAsia="zh-CN" w:bidi="ar-SA"/>
                    </w:rPr>
                    <w:t>1、新建项目的单位产品水耗、单位产品污染物排放量等清洁生产指标应达到国内同行业领先或国际先进水平，项目整体清洁生产水平应达到或超过国内清洁生产先进水平；退城入园企业的清洁生产指标应达到国内同行业先进或领先水平。</w:t>
                  </w:r>
                </w:p>
                <w:p w14:paraId="027BBE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napToGrid w:val="0"/>
                      <w:color w:val="auto"/>
                      <w:sz w:val="21"/>
                      <w:szCs w:val="21"/>
                      <w:highlight w:val="none"/>
                      <w:lang w:val="en-US" w:eastAsia="zh-CN" w:bidi="ar-SA"/>
                    </w:rPr>
                  </w:pPr>
                  <w:r>
                    <w:rPr>
                      <w:rFonts w:hint="default" w:ascii="Times New Roman" w:hAnsi="Times New Roman" w:eastAsia="宋体" w:cs="Times New Roman"/>
                      <w:snapToGrid w:val="0"/>
                      <w:color w:val="auto"/>
                      <w:sz w:val="21"/>
                      <w:szCs w:val="21"/>
                      <w:highlight w:val="none"/>
                      <w:lang w:val="en-US" w:eastAsia="zh-CN" w:bidi="ar-SA"/>
                    </w:rPr>
                    <w:t>2、集聚区单位GDP新鲜水耗≤9m</w:t>
                  </w:r>
                  <w:r>
                    <w:rPr>
                      <w:rFonts w:hint="default" w:ascii="Times New Roman" w:hAnsi="Times New Roman" w:eastAsia="宋体" w:cs="Times New Roman"/>
                      <w:snapToGrid w:val="0"/>
                      <w:color w:val="auto"/>
                      <w:sz w:val="21"/>
                      <w:szCs w:val="21"/>
                      <w:highlight w:val="none"/>
                      <w:vertAlign w:val="superscript"/>
                      <w:lang w:val="en-US" w:eastAsia="zh-CN" w:bidi="ar-SA"/>
                    </w:rPr>
                    <w:t>3</w:t>
                  </w:r>
                  <w:r>
                    <w:rPr>
                      <w:rFonts w:hint="default" w:ascii="Times New Roman" w:hAnsi="Times New Roman" w:eastAsia="宋体" w:cs="Times New Roman"/>
                      <w:snapToGrid w:val="0"/>
                      <w:color w:val="auto"/>
                      <w:sz w:val="21"/>
                      <w:szCs w:val="21"/>
                      <w:highlight w:val="none"/>
                      <w:lang w:val="en-US" w:eastAsia="zh-CN" w:bidi="ar-SA"/>
                    </w:rPr>
                    <w:t>/万元。</w:t>
                  </w:r>
                </w:p>
              </w:tc>
              <w:tc>
                <w:tcPr>
                  <w:tcW w:w="2061" w:type="pct"/>
                  <w:tcBorders>
                    <w:tl2br w:val="nil"/>
                    <w:tr2bl w:val="nil"/>
                  </w:tcBorders>
                  <w:noWrap w:val="0"/>
                  <w:vAlign w:val="center"/>
                </w:tcPr>
                <w:p w14:paraId="1A55D5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snapToGrid w:val="0"/>
                      <w:color w:val="auto"/>
                      <w:sz w:val="21"/>
                      <w:szCs w:val="21"/>
                      <w:highlight w:val="none"/>
                      <w:lang w:val="en-US" w:eastAsia="zh-CN" w:bidi="ar-SA"/>
                    </w:rPr>
                  </w:pPr>
                  <w:r>
                    <w:rPr>
                      <w:rFonts w:hint="eastAsia" w:ascii="Times New Roman" w:hAnsi="Times New Roman" w:eastAsia="宋体" w:cs="Times New Roman"/>
                      <w:snapToGrid w:val="0"/>
                      <w:color w:val="auto"/>
                      <w:sz w:val="21"/>
                      <w:szCs w:val="21"/>
                      <w:highlight w:val="none"/>
                      <w:lang w:val="en-US" w:eastAsia="zh-CN" w:bidi="ar-SA"/>
                    </w:rPr>
                    <w:t>1、本项目</w:t>
                  </w:r>
                  <w:r>
                    <w:rPr>
                      <w:rFonts w:hint="default" w:ascii="Times New Roman" w:hAnsi="Times New Roman" w:eastAsia="宋体" w:cs="Times New Roman"/>
                      <w:snapToGrid w:val="0"/>
                      <w:color w:val="auto"/>
                      <w:sz w:val="21"/>
                      <w:szCs w:val="21"/>
                      <w:highlight w:val="none"/>
                      <w:lang w:val="en-US" w:eastAsia="zh-CN" w:bidi="ar-SA"/>
                    </w:rPr>
                    <w:t>单位产品水耗、单位产品污染物排放量等清洁生产指标达到国内同行业领先</w:t>
                  </w:r>
                  <w:r>
                    <w:rPr>
                      <w:rFonts w:hint="eastAsia" w:ascii="Times New Roman" w:hAnsi="Times New Roman" w:eastAsia="宋体" w:cs="Times New Roman"/>
                      <w:snapToGrid w:val="0"/>
                      <w:color w:val="auto"/>
                      <w:sz w:val="21"/>
                      <w:szCs w:val="21"/>
                      <w:highlight w:val="none"/>
                      <w:lang w:val="en-US" w:eastAsia="zh-CN" w:bidi="ar-SA"/>
                    </w:rPr>
                    <w:t>水平，</w:t>
                  </w:r>
                  <w:r>
                    <w:rPr>
                      <w:rFonts w:hint="default" w:ascii="Times New Roman" w:hAnsi="Times New Roman" w:eastAsia="宋体" w:cs="Times New Roman"/>
                      <w:snapToGrid w:val="0"/>
                      <w:color w:val="auto"/>
                      <w:sz w:val="21"/>
                      <w:szCs w:val="21"/>
                      <w:highlight w:val="none"/>
                      <w:lang w:val="en-US" w:eastAsia="zh-CN" w:bidi="ar-SA"/>
                    </w:rPr>
                    <w:t>项目整体清洁生产水平达到国内清洁生产先进水平</w:t>
                  </w:r>
                  <w:r>
                    <w:rPr>
                      <w:rFonts w:hint="eastAsia" w:ascii="Times New Roman" w:hAnsi="Times New Roman" w:eastAsia="宋体" w:cs="Times New Roman"/>
                      <w:snapToGrid w:val="0"/>
                      <w:color w:val="auto"/>
                      <w:sz w:val="21"/>
                      <w:szCs w:val="21"/>
                      <w:highlight w:val="none"/>
                      <w:lang w:val="en-US" w:eastAsia="zh-CN" w:bidi="ar-SA"/>
                    </w:rPr>
                    <w:t>；本项目不属于退城入园企业；</w:t>
                  </w:r>
                </w:p>
                <w:p w14:paraId="049751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napToGrid w:val="0"/>
                      <w:color w:val="auto"/>
                      <w:sz w:val="21"/>
                      <w:szCs w:val="21"/>
                      <w:highlight w:val="none"/>
                      <w:lang w:val="en-US" w:eastAsia="zh-CN" w:bidi="ar-SA"/>
                    </w:rPr>
                  </w:pPr>
                  <w:r>
                    <w:rPr>
                      <w:rFonts w:hint="eastAsia" w:ascii="Times New Roman" w:hAnsi="Times New Roman" w:eastAsia="宋体" w:cs="Times New Roman"/>
                      <w:snapToGrid w:val="0"/>
                      <w:color w:val="auto"/>
                      <w:sz w:val="21"/>
                      <w:szCs w:val="21"/>
                      <w:highlight w:val="none"/>
                      <w:lang w:val="en-US" w:eastAsia="zh-CN" w:bidi="ar-SA"/>
                    </w:rPr>
                    <w:t>2、本项目单位GDP新鲜水耗≤8m</w:t>
                  </w:r>
                  <w:r>
                    <w:rPr>
                      <w:rFonts w:hint="eastAsia" w:ascii="Times New Roman" w:hAnsi="Times New Roman" w:eastAsia="宋体" w:cs="Times New Roman"/>
                      <w:snapToGrid w:val="0"/>
                      <w:color w:val="auto"/>
                      <w:sz w:val="21"/>
                      <w:szCs w:val="21"/>
                      <w:highlight w:val="none"/>
                      <w:vertAlign w:val="superscript"/>
                      <w:lang w:val="en-US" w:eastAsia="zh-CN" w:bidi="ar-SA"/>
                    </w:rPr>
                    <w:t>3</w:t>
                  </w:r>
                  <w:r>
                    <w:rPr>
                      <w:rFonts w:hint="eastAsia" w:ascii="Times New Roman" w:hAnsi="Times New Roman" w:eastAsia="宋体" w:cs="Times New Roman"/>
                      <w:snapToGrid w:val="0"/>
                      <w:color w:val="auto"/>
                      <w:sz w:val="21"/>
                      <w:szCs w:val="21"/>
                      <w:highlight w:val="none"/>
                      <w:lang w:val="en-US" w:eastAsia="zh-CN" w:bidi="ar-SA"/>
                    </w:rPr>
                    <w:t>/万元</w:t>
                  </w:r>
                  <w:r>
                    <w:rPr>
                      <w:rFonts w:hint="default" w:ascii="Times New Roman" w:hAnsi="Times New Roman" w:eastAsia="宋体" w:cs="Times New Roman"/>
                      <w:snapToGrid w:val="0"/>
                      <w:color w:val="auto"/>
                      <w:sz w:val="21"/>
                      <w:szCs w:val="21"/>
                      <w:highlight w:val="none"/>
                      <w:lang w:val="en-US" w:eastAsia="zh-CN" w:bidi="ar-SA"/>
                    </w:rPr>
                    <w:t>。</w:t>
                  </w:r>
                </w:p>
              </w:tc>
              <w:tc>
                <w:tcPr>
                  <w:tcW w:w="551" w:type="pct"/>
                  <w:tcBorders>
                    <w:tl2br w:val="nil"/>
                    <w:tr2bl w:val="nil"/>
                  </w:tcBorders>
                  <w:noWrap w:val="0"/>
                  <w:vAlign w:val="center"/>
                </w:tcPr>
                <w:p w14:paraId="526814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napToGrid w:val="0"/>
                      <w:color w:val="auto"/>
                      <w:sz w:val="21"/>
                      <w:szCs w:val="21"/>
                      <w:highlight w:val="none"/>
                      <w:lang w:val="en-US" w:eastAsia="zh-CN" w:bidi="ar-SA"/>
                    </w:rPr>
                  </w:pPr>
                  <w:r>
                    <w:rPr>
                      <w:rFonts w:hint="eastAsia" w:ascii="Times New Roman" w:hAnsi="Times New Roman" w:eastAsia="宋体" w:cs="Times New Roman"/>
                      <w:snapToGrid w:val="0"/>
                      <w:color w:val="auto"/>
                      <w:sz w:val="21"/>
                      <w:szCs w:val="21"/>
                      <w:highlight w:val="none"/>
                      <w:lang w:val="en-US" w:eastAsia="zh-CN" w:bidi="ar-SA"/>
                    </w:rPr>
                    <w:t>符合</w:t>
                  </w:r>
                </w:p>
              </w:tc>
            </w:tr>
          </w:tbl>
          <w:p w14:paraId="05D53C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Times New Roman" w:cs="Times New Roman"/>
                <w:b w:val="0"/>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Times New Roman" w:cs="Times New Roman"/>
                <w:b w:val="0"/>
                <w:bCs/>
                <w:color w:val="000000" w:themeColor="text1"/>
                <w:sz w:val="24"/>
                <w:szCs w:val="24"/>
                <w:highlight w:val="none"/>
                <w:lang w:val="en-US" w:eastAsia="zh-CN"/>
                <w14:textFill>
                  <w14:solidFill>
                    <w14:schemeClr w14:val="tx1"/>
                  </w14:solidFill>
                </w14:textFill>
              </w:rPr>
              <w:t>综上所述，本项目符合区域环境总体准入要求及环境管控单元要求。</w:t>
            </w:r>
          </w:p>
          <w:p w14:paraId="6D15EE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default" w:ascii="Times New Roman" w:hAnsi="Times New Roman" w:eastAsia="Times New Roman" w:cs="Times New Roman"/>
                <w:b/>
                <w:color w:val="000000" w:themeColor="text1"/>
                <w:sz w:val="24"/>
                <w:szCs w:val="24"/>
                <w:highlight w:val="none"/>
                <w14:textFill>
                  <w14:solidFill>
                    <w14:schemeClr w14:val="tx1"/>
                  </w14:solidFill>
                </w14:textFill>
              </w:rPr>
            </w:pPr>
            <w:r>
              <w:rPr>
                <w:rFonts w:hint="eastAsia" w:ascii="Times New Roman" w:hAnsi="Times New Roman" w:eastAsia="Times New Roman"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eastAsia="Times New Roman" w:cs="Times New Roman"/>
                <w:b/>
                <w:color w:val="000000" w:themeColor="text1"/>
                <w:sz w:val="24"/>
                <w:szCs w:val="24"/>
                <w:highlight w:val="none"/>
                <w14:textFill>
                  <w14:solidFill>
                    <w14:schemeClr w14:val="tx1"/>
                  </w14:solidFill>
                </w14:textFill>
              </w:rPr>
              <w:t>与严重污染（大气）环境淘汰工艺与设备要求符合性分析</w:t>
            </w:r>
          </w:p>
          <w:p w14:paraId="160548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ajorEastAsia"/>
                <w:color w:val="000000" w:themeColor="text1"/>
                <w:sz w:val="24"/>
                <w:szCs w:val="24"/>
                <w:highlight w:val="none"/>
                <w14:textFill>
                  <w14:solidFill>
                    <w14:schemeClr w14:val="tx1"/>
                  </w14:solidFill>
                </w14:textFill>
              </w:rPr>
              <w:t>经查阅《严重污染（大气）环境的淘汰工艺与设备名录》（第一批），项目所涉及的工艺、设备不属于名录中淘汰类，符合环保要求</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w:t>
            </w:r>
          </w:p>
          <w:p w14:paraId="6965CDBC">
            <w:pPr>
              <w:keepNext w:val="0"/>
              <w:keepLines w:val="0"/>
              <w:pageBreakBefore w:val="0"/>
              <w:widowControl w:val="0"/>
              <w:numPr>
                <w:ilvl w:val="0"/>
                <w:numId w:val="0"/>
              </w:numPr>
              <w:suppressLineNumbers w:val="0"/>
              <w:tabs>
                <w:tab w:val="left" w:pos="229"/>
              </w:tabs>
              <w:kinsoku/>
              <w:wordWrap/>
              <w:overflowPunct/>
              <w:topLinePunct w:val="0"/>
              <w:autoSpaceDE/>
              <w:autoSpaceDN/>
              <w:bidi w:val="0"/>
              <w:adjustRightInd w:val="0"/>
              <w:snapToGrid w:val="0"/>
              <w:spacing w:before="0" w:beforeAutospacing="0" w:after="0" w:afterAutospacing="0" w:line="360" w:lineRule="auto"/>
              <w:ind w:left="0" w:leftChars="0" w:right="0" w:rightChars="0"/>
              <w:textAlignment w:val="auto"/>
              <w:rPr>
                <w:rFonts w:hint="default" w:ascii="Times New Roman" w:hAnsi="Times New Roman" w:eastAsia="黑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color w:val="000000" w:themeColor="text1"/>
                <w:sz w:val="24"/>
                <w:szCs w:val="24"/>
                <w:highlight w:val="none"/>
                <w:lang w:val="en-US" w:eastAsia="zh-CN"/>
                <w14:textFill>
                  <w14:solidFill>
                    <w14:schemeClr w14:val="tx1"/>
                  </w14:solidFill>
                </w14:textFill>
              </w:rPr>
              <w:t>4.项目与《安阳市重点行业挥发性有机物（VOCs）控制治理指导意见》（安环攻坚办〔2017〕439号）相符性分析</w:t>
            </w:r>
          </w:p>
          <w:p w14:paraId="5D630254">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b/>
                <w:bCs/>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
                <w14:textFill>
                  <w14:solidFill>
                    <w14:schemeClr w14:val="tx1"/>
                  </w14:solidFill>
                </w14:textFill>
              </w:rPr>
              <w:t>（安环攻坚办〔</w:t>
            </w:r>
            <w:r>
              <w:rPr>
                <w:rFonts w:hint="default" w:ascii="Times New Roman" w:hAnsi="Times New Roman" w:eastAsia="Times New Roman" w:cs="Times New Roman"/>
                <w:b/>
                <w:bCs/>
                <w:color w:val="000000" w:themeColor="text1"/>
                <w:kern w:val="2"/>
                <w:sz w:val="24"/>
                <w:szCs w:val="24"/>
                <w:highlight w:val="none"/>
                <w:lang w:val="en-US" w:eastAsia="zh-CN" w:bidi="ar"/>
                <w14:textFill>
                  <w14:solidFill>
                    <w14:schemeClr w14:val="tx1"/>
                  </w14:solidFill>
                </w14:textFill>
              </w:rPr>
              <w:t>2017</w:t>
            </w:r>
            <w:r>
              <w:rPr>
                <w:rFonts w:hint="default" w:ascii="Times New Roman" w:hAnsi="Times New Roman" w:eastAsia="宋体" w:cs="Times New Roman"/>
                <w:b/>
                <w:bCs/>
                <w:color w:val="000000" w:themeColor="text1"/>
                <w:kern w:val="2"/>
                <w:sz w:val="24"/>
                <w:szCs w:val="24"/>
                <w:highlight w:val="none"/>
                <w:lang w:val="en-US" w:eastAsia="zh-CN" w:bidi="ar"/>
                <w14:textFill>
                  <w14:solidFill>
                    <w14:schemeClr w14:val="tx1"/>
                  </w14:solidFill>
                </w14:textFill>
              </w:rPr>
              <w:t>〕</w:t>
            </w:r>
            <w:r>
              <w:rPr>
                <w:rFonts w:hint="default" w:ascii="Times New Roman" w:hAnsi="Times New Roman" w:eastAsia="Times New Roman" w:cs="Times New Roman"/>
                <w:b/>
                <w:bCs/>
                <w:color w:val="000000" w:themeColor="text1"/>
                <w:kern w:val="2"/>
                <w:sz w:val="24"/>
                <w:szCs w:val="24"/>
                <w:highlight w:val="none"/>
                <w:lang w:val="en-US" w:eastAsia="zh-CN" w:bidi="ar"/>
                <w14:textFill>
                  <w14:solidFill>
                    <w14:schemeClr w14:val="tx1"/>
                  </w14:solidFill>
                </w14:textFill>
              </w:rPr>
              <w:t>439</w:t>
            </w:r>
            <w:r>
              <w:rPr>
                <w:rFonts w:hint="default" w:ascii="Times New Roman" w:hAnsi="Times New Roman" w:eastAsia="宋体" w:cs="Times New Roman"/>
                <w:b/>
                <w:bCs/>
                <w:color w:val="000000" w:themeColor="text1"/>
                <w:kern w:val="2"/>
                <w:sz w:val="24"/>
                <w:szCs w:val="24"/>
                <w:highlight w:val="none"/>
                <w:lang w:val="en-US" w:eastAsia="zh-CN" w:bidi="ar"/>
                <w14:textFill>
                  <w14:solidFill>
                    <w14:schemeClr w14:val="tx1"/>
                  </w14:solidFill>
                </w14:textFill>
              </w:rPr>
              <w:t>号）相符性分析</w:t>
            </w:r>
          </w:p>
          <w:tbl>
            <w:tblPr>
              <w:tblStyle w:val="29"/>
              <w:tblW w:w="4998" w:type="pct"/>
              <w:jc w:val="right"/>
              <w:tblBorders>
                <w:top w:val="single" w:color="auto" w:sz="4" w:space="0"/>
                <w:left w:val="none" w:color="auto" w:sz="6" w:space="0"/>
                <w:bottom w:val="single" w:color="auto" w:sz="4" w:space="0"/>
                <w:right w:val="none" w:color="auto" w:sz="6" w:space="0"/>
                <w:insideH w:val="single" w:color="auto" w:sz="4" w:space="0"/>
                <w:insideV w:val="single" w:color="auto" w:sz="4" w:space="0"/>
              </w:tblBorders>
              <w:tblLayout w:type="fixed"/>
              <w:tblCellMar>
                <w:top w:w="0" w:type="dxa"/>
                <w:left w:w="0" w:type="dxa"/>
                <w:bottom w:w="0" w:type="dxa"/>
                <w:right w:w="0" w:type="dxa"/>
              </w:tblCellMar>
            </w:tblPr>
            <w:tblGrid>
              <w:gridCol w:w="481"/>
              <w:gridCol w:w="4107"/>
              <w:gridCol w:w="2736"/>
              <w:gridCol w:w="516"/>
            </w:tblGrid>
            <w:tr w14:paraId="58DC8E8F">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23" w:hRule="atLeast"/>
                <w:jc w:val="right"/>
              </w:trPr>
              <w:tc>
                <w:tcPr>
                  <w:tcW w:w="307" w:type="pct"/>
                  <w:tcBorders>
                    <w:top w:val="single" w:color="auto" w:sz="4" w:space="0"/>
                    <w:left w:val="nil"/>
                    <w:bottom w:val="single" w:color="auto" w:sz="4" w:space="0"/>
                    <w:right w:val="single" w:color="auto" w:sz="4" w:space="0"/>
                  </w:tcBorders>
                  <w:noWrap w:val="0"/>
                  <w:vAlign w:val="center"/>
                </w:tcPr>
                <w:p w14:paraId="7FEEEF89">
                  <w:pPr>
                    <w:keepNext w:val="0"/>
                    <w:keepLines w:val="0"/>
                    <w:widowControl w:val="0"/>
                    <w:suppressLineNumbers w:val="0"/>
                    <w:autoSpaceDE w:val="0"/>
                    <w:autoSpaceDN/>
                    <w:spacing w:before="0" w:beforeAutospacing="0" w:after="0" w:afterAutospacing="0" w:line="240" w:lineRule="auto"/>
                    <w:ind w:left="0" w:right="0" w:firstLine="0" w:firstLineChars="0"/>
                    <w:jc w:val="center"/>
                    <w:rPr>
                      <w:rFonts w:hint="default" w:ascii="Times New Roman" w:hAnsi="Times New Roman" w:eastAsia="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
                      <w14:textFill>
                        <w14:solidFill>
                          <w14:schemeClr w14:val="tx1"/>
                        </w14:solidFill>
                      </w14:textFill>
                    </w:rPr>
                    <w:t>序号</w:t>
                  </w:r>
                </w:p>
              </w:tc>
              <w:tc>
                <w:tcPr>
                  <w:tcW w:w="2618" w:type="pct"/>
                  <w:tcBorders>
                    <w:top w:val="single" w:color="auto" w:sz="4" w:space="0"/>
                    <w:left w:val="nil"/>
                    <w:bottom w:val="single" w:color="auto" w:sz="4" w:space="0"/>
                    <w:right w:val="single" w:color="auto" w:sz="4" w:space="0"/>
                  </w:tcBorders>
                  <w:noWrap w:val="0"/>
                  <w:vAlign w:val="center"/>
                </w:tcPr>
                <w:p w14:paraId="31C9E7DA">
                  <w:pPr>
                    <w:keepNext w:val="0"/>
                    <w:keepLines w:val="0"/>
                    <w:widowControl w:val="0"/>
                    <w:suppressLineNumbers w:val="0"/>
                    <w:autoSpaceDE w:val="0"/>
                    <w:autoSpaceDN/>
                    <w:spacing w:before="0" w:beforeAutospacing="0" w:after="0" w:afterAutospacing="0" w:line="240" w:lineRule="auto"/>
                    <w:ind w:left="0" w:right="0" w:firstLine="0" w:firstLineChars="0"/>
                    <w:jc w:val="center"/>
                    <w:rPr>
                      <w:rFonts w:hint="default" w:ascii="Times New Roman" w:hAnsi="Times New Roman" w:eastAsia="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
                      <w14:textFill>
                        <w14:solidFill>
                          <w14:schemeClr w14:val="tx1"/>
                        </w14:solidFill>
                      </w14:textFill>
                    </w:rPr>
                    <w:t>文件要求</w:t>
                  </w:r>
                </w:p>
              </w:tc>
              <w:tc>
                <w:tcPr>
                  <w:tcW w:w="1744" w:type="pct"/>
                  <w:tcBorders>
                    <w:top w:val="single" w:color="auto" w:sz="4" w:space="0"/>
                    <w:left w:val="nil"/>
                    <w:bottom w:val="single" w:color="auto" w:sz="4" w:space="0"/>
                    <w:right w:val="single" w:color="auto" w:sz="4" w:space="0"/>
                  </w:tcBorders>
                  <w:noWrap w:val="0"/>
                  <w:vAlign w:val="center"/>
                </w:tcPr>
                <w:p w14:paraId="058D96B3">
                  <w:pPr>
                    <w:keepNext w:val="0"/>
                    <w:keepLines w:val="0"/>
                    <w:widowControl w:val="0"/>
                    <w:suppressLineNumbers w:val="0"/>
                    <w:autoSpaceDE w:val="0"/>
                    <w:autoSpaceDN/>
                    <w:adjustRightInd w:val="0"/>
                    <w:spacing w:before="0" w:beforeAutospacing="0" w:after="0" w:afterAutospacing="0" w:line="240" w:lineRule="auto"/>
                    <w:ind w:left="0" w:right="0" w:firstLine="0" w:firstLineChars="0"/>
                    <w:jc w:val="center"/>
                    <w:rPr>
                      <w:rFonts w:hint="default" w:ascii="Times New Roman" w:hAnsi="Times New Roman" w:eastAsia="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
                      <w14:textFill>
                        <w14:solidFill>
                          <w14:schemeClr w14:val="tx1"/>
                        </w14:solidFill>
                      </w14:textFill>
                    </w:rPr>
                    <w:t>项目情况</w:t>
                  </w:r>
                </w:p>
              </w:tc>
              <w:tc>
                <w:tcPr>
                  <w:tcW w:w="329" w:type="pct"/>
                  <w:tcBorders>
                    <w:top w:val="single" w:color="auto" w:sz="4" w:space="0"/>
                    <w:left w:val="nil"/>
                    <w:bottom w:val="single" w:color="auto" w:sz="4" w:space="0"/>
                    <w:right w:val="nil"/>
                  </w:tcBorders>
                  <w:noWrap w:val="0"/>
                  <w:vAlign w:val="center"/>
                </w:tcPr>
                <w:p w14:paraId="62046810">
                  <w:pPr>
                    <w:keepNext w:val="0"/>
                    <w:keepLines w:val="0"/>
                    <w:widowControl w:val="0"/>
                    <w:suppressLineNumbers w:val="0"/>
                    <w:autoSpaceDE w:val="0"/>
                    <w:autoSpaceDN/>
                    <w:adjustRightInd w:val="0"/>
                    <w:spacing w:before="0" w:beforeAutospacing="0" w:after="0" w:afterAutospacing="0" w:line="240" w:lineRule="auto"/>
                    <w:ind w:left="0" w:right="0" w:firstLine="0" w:firstLineChars="0"/>
                    <w:jc w:val="center"/>
                    <w:rPr>
                      <w:rFonts w:hint="default" w:ascii="Times New Roman" w:hAnsi="Times New Roman" w:eastAsia="Times New Roman" w:cs="Times New Roman"/>
                      <w:b/>
                      <w:bCs/>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
                      <w14:textFill>
                        <w14:solidFill>
                          <w14:schemeClr w14:val="tx1"/>
                        </w14:solidFill>
                      </w14:textFill>
                    </w:rPr>
                    <w:t>相符性</w:t>
                  </w:r>
                </w:p>
              </w:tc>
            </w:tr>
            <w:tr w14:paraId="6BB3B425">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23" w:hRule="atLeast"/>
                <w:jc w:val="right"/>
              </w:trPr>
              <w:tc>
                <w:tcPr>
                  <w:tcW w:w="307" w:type="pct"/>
                  <w:tcBorders>
                    <w:top w:val="single" w:color="auto" w:sz="4" w:space="0"/>
                    <w:left w:val="nil"/>
                    <w:bottom w:val="single" w:color="auto" w:sz="4" w:space="0"/>
                    <w:right w:val="single" w:color="auto" w:sz="4" w:space="0"/>
                  </w:tcBorders>
                  <w:noWrap w:val="0"/>
                  <w:vAlign w:val="center"/>
                </w:tcPr>
                <w:p w14:paraId="15CE8E2A">
                  <w:pPr>
                    <w:keepNext w:val="0"/>
                    <w:keepLines w:val="0"/>
                    <w:widowControl w:val="0"/>
                    <w:suppressLineNumbers w:val="0"/>
                    <w:autoSpaceDE w:val="0"/>
                    <w:autoSpaceDN/>
                    <w:spacing w:before="0" w:beforeAutospacing="0" w:after="0" w:afterAutospacing="0" w:line="240" w:lineRule="auto"/>
                    <w:ind w:left="0" w:right="0" w:firstLine="0" w:firstLineChars="0"/>
                    <w:jc w:val="center"/>
                    <w:rPr>
                      <w:rFonts w:hint="default" w:ascii="Times New Roman" w:hAnsi="Times New Roman" w:eastAsia="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kern w:val="2"/>
                      <w:sz w:val="21"/>
                      <w:szCs w:val="21"/>
                      <w:highlight w:val="none"/>
                      <w:lang w:val="en-US" w:eastAsia="zh-CN" w:bidi="ar"/>
                      <w14:textFill>
                        <w14:solidFill>
                          <w14:schemeClr w14:val="tx1"/>
                        </w14:solidFill>
                      </w14:textFill>
                    </w:rPr>
                    <w:t>1</w:t>
                  </w:r>
                </w:p>
              </w:tc>
              <w:tc>
                <w:tcPr>
                  <w:tcW w:w="2618" w:type="pct"/>
                  <w:tcBorders>
                    <w:top w:val="single" w:color="auto" w:sz="4" w:space="0"/>
                    <w:left w:val="nil"/>
                    <w:bottom w:val="single" w:color="auto" w:sz="4" w:space="0"/>
                    <w:right w:val="single" w:color="auto" w:sz="4" w:space="0"/>
                  </w:tcBorders>
                  <w:noWrap w:val="0"/>
                  <w:vAlign w:val="center"/>
                </w:tcPr>
                <w:p w14:paraId="595CC3A4">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采用塑料原颗粒且未添加任何添加剂的吹膜、吸瓶、制袋等企业或车间可不安装净化设施，不按涉VOC</w:t>
                  </w: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s</w:t>
                  </w: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企业管控。</w:t>
                  </w:r>
                </w:p>
              </w:tc>
              <w:tc>
                <w:tcPr>
                  <w:tcW w:w="1744" w:type="pct"/>
                  <w:vMerge w:val="restart"/>
                  <w:tcBorders>
                    <w:top w:val="nil"/>
                    <w:left w:val="nil"/>
                    <w:bottom w:val="single" w:color="auto" w:sz="4" w:space="0"/>
                    <w:right w:val="single" w:color="auto" w:sz="4" w:space="0"/>
                  </w:tcBorders>
                  <w:noWrap w:val="0"/>
                  <w:vAlign w:val="center"/>
                </w:tcPr>
                <w:p w14:paraId="4EEE2FE7">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项目原辅料为聚乙烯</w:t>
                  </w: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颗粒</w:t>
                  </w: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、聚</w:t>
                  </w:r>
                  <w:r>
                    <w:rPr>
                      <w:rFonts w:hint="eastAsia" w:eastAsia="Times New Roman" w:cs="Times New Roman"/>
                      <w:color w:val="000000" w:themeColor="text1"/>
                      <w:sz w:val="21"/>
                      <w:szCs w:val="21"/>
                      <w:highlight w:val="none"/>
                      <w:lang w:val="en-US" w:eastAsia="zh-CN"/>
                      <w14:textFill>
                        <w14:solidFill>
                          <w14:schemeClr w14:val="tx1"/>
                        </w14:solidFill>
                      </w14:textFill>
                    </w:rPr>
                    <w:t>乙</w:t>
                  </w: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烯</w:t>
                  </w: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丝、丙纶丝、热熔胶颗粒</w:t>
                  </w: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。为降低废气排放带来的污染，项目</w:t>
                  </w: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挤出（吹膜）</w:t>
                  </w:r>
                  <w:r>
                    <w:rPr>
                      <w:rFonts w:hint="eastAsia" w:eastAsia="Times New Roman" w:cs="Times New Roman"/>
                      <w:color w:val="000000" w:themeColor="text1"/>
                      <w:sz w:val="21"/>
                      <w:szCs w:val="21"/>
                      <w:highlight w:val="none"/>
                      <w:lang w:val="en-US" w:eastAsia="zh-CN"/>
                      <w14:textFill>
                        <w14:solidFill>
                          <w14:schemeClr w14:val="tx1"/>
                        </w14:solidFill>
                      </w14:textFill>
                    </w:rPr>
                    <w:t>、喷码等</w:t>
                  </w: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工序产生的</w:t>
                  </w: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VOC</w:t>
                  </w: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s</w:t>
                  </w: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使用“吸附、脱附+催化燃烧”处理后达标排放。</w:t>
                  </w:r>
                </w:p>
              </w:tc>
              <w:tc>
                <w:tcPr>
                  <w:tcW w:w="329" w:type="pct"/>
                  <w:vMerge w:val="restart"/>
                  <w:tcBorders>
                    <w:top w:val="nil"/>
                    <w:left w:val="nil"/>
                    <w:bottom w:val="single" w:color="auto" w:sz="4" w:space="0"/>
                    <w:right w:val="nil"/>
                  </w:tcBorders>
                  <w:noWrap w:val="0"/>
                  <w:vAlign w:val="center"/>
                </w:tcPr>
                <w:p w14:paraId="2652FF24">
                  <w:pPr>
                    <w:keepNext w:val="0"/>
                    <w:keepLines w:val="0"/>
                    <w:widowControl w:val="0"/>
                    <w:suppressLineNumbers w:val="0"/>
                    <w:autoSpaceDE w:val="0"/>
                    <w:autoSpaceDN/>
                    <w:spacing w:before="0" w:beforeAutospacing="0" w:after="0" w:afterAutospacing="0" w:line="240" w:lineRule="auto"/>
                    <w:ind w:left="0" w:right="0" w:firstLine="0" w:firstLineChars="0"/>
                    <w:jc w:val="center"/>
                    <w:rPr>
                      <w:rFonts w:hint="default" w:ascii="Times New Roman" w:hAnsi="Times New Roman" w:eastAsia="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相符</w:t>
                  </w:r>
                </w:p>
              </w:tc>
            </w:tr>
            <w:tr w14:paraId="7EFC9F44">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23" w:hRule="atLeast"/>
                <w:jc w:val="right"/>
              </w:trPr>
              <w:tc>
                <w:tcPr>
                  <w:tcW w:w="307" w:type="pct"/>
                  <w:tcBorders>
                    <w:top w:val="single" w:color="auto" w:sz="4" w:space="0"/>
                    <w:left w:val="nil"/>
                    <w:bottom w:val="single" w:color="auto" w:sz="4" w:space="0"/>
                    <w:right w:val="single" w:color="auto" w:sz="4" w:space="0"/>
                  </w:tcBorders>
                  <w:noWrap w:val="0"/>
                  <w:vAlign w:val="center"/>
                </w:tcPr>
                <w:p w14:paraId="1F424A68">
                  <w:pPr>
                    <w:keepNext w:val="0"/>
                    <w:keepLines w:val="0"/>
                    <w:widowControl w:val="0"/>
                    <w:suppressLineNumbers w:val="0"/>
                    <w:autoSpaceDE w:val="0"/>
                    <w:autoSpaceDN/>
                    <w:spacing w:before="0" w:beforeAutospacing="0" w:after="0" w:afterAutospacing="0" w:line="240" w:lineRule="auto"/>
                    <w:ind w:left="0" w:right="0" w:firstLine="0" w:firstLineChars="0"/>
                    <w:jc w:val="center"/>
                    <w:rPr>
                      <w:rFonts w:hint="default" w:ascii="Times New Roman" w:hAnsi="Times New Roman" w:eastAsia="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kern w:val="2"/>
                      <w:sz w:val="21"/>
                      <w:szCs w:val="21"/>
                      <w:highlight w:val="none"/>
                      <w:lang w:val="en-US" w:eastAsia="zh-CN" w:bidi="ar"/>
                      <w14:textFill>
                        <w14:solidFill>
                          <w14:schemeClr w14:val="tx1"/>
                        </w14:solidFill>
                      </w14:textFill>
                    </w:rPr>
                    <w:t>2</w:t>
                  </w:r>
                </w:p>
              </w:tc>
              <w:tc>
                <w:tcPr>
                  <w:tcW w:w="2618" w:type="pct"/>
                  <w:tcBorders>
                    <w:top w:val="single" w:color="auto" w:sz="4" w:space="0"/>
                    <w:left w:val="nil"/>
                    <w:bottom w:val="single" w:color="auto" w:sz="4" w:space="0"/>
                    <w:right w:val="single" w:color="auto" w:sz="4" w:space="0"/>
                  </w:tcBorders>
                  <w:noWrap w:val="0"/>
                  <w:vAlign w:val="center"/>
                </w:tcPr>
                <w:p w14:paraId="50A6C6F9">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采用塑料原颗粒且使用添加剂的塑料加工企业或车间视使用添加剂的情况确定是否需要安装净化设施。</w:t>
                  </w:r>
                </w:p>
              </w:tc>
              <w:tc>
                <w:tcPr>
                  <w:tcW w:w="1744" w:type="pct"/>
                  <w:vMerge w:val="continue"/>
                  <w:tcBorders>
                    <w:top w:val="nil"/>
                    <w:left w:val="nil"/>
                    <w:bottom w:val="single" w:color="auto" w:sz="4" w:space="0"/>
                    <w:right w:val="single" w:color="auto" w:sz="4" w:space="0"/>
                  </w:tcBorders>
                  <w:noWrap w:val="0"/>
                  <w:vAlign w:val="center"/>
                </w:tcPr>
                <w:p w14:paraId="27E3CA50">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329" w:type="pct"/>
                  <w:vMerge w:val="continue"/>
                  <w:tcBorders>
                    <w:top w:val="nil"/>
                    <w:left w:val="nil"/>
                    <w:bottom w:val="single" w:color="auto" w:sz="4" w:space="0"/>
                    <w:right w:val="nil"/>
                  </w:tcBorders>
                  <w:noWrap w:val="0"/>
                  <w:vAlign w:val="center"/>
                </w:tcPr>
                <w:p w14:paraId="110CB6A2">
                  <w:pPr>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r>
            <w:tr w14:paraId="0E842141">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23" w:hRule="atLeast"/>
                <w:jc w:val="right"/>
              </w:trPr>
              <w:tc>
                <w:tcPr>
                  <w:tcW w:w="307" w:type="pct"/>
                  <w:tcBorders>
                    <w:top w:val="single" w:color="auto" w:sz="4" w:space="0"/>
                    <w:left w:val="nil"/>
                    <w:bottom w:val="single" w:color="auto" w:sz="4" w:space="0"/>
                    <w:right w:val="single" w:color="auto" w:sz="4" w:space="0"/>
                  </w:tcBorders>
                  <w:noWrap w:val="0"/>
                  <w:vAlign w:val="center"/>
                </w:tcPr>
                <w:p w14:paraId="5022F631">
                  <w:pPr>
                    <w:keepNext w:val="0"/>
                    <w:keepLines w:val="0"/>
                    <w:widowControl w:val="0"/>
                    <w:suppressLineNumbers w:val="0"/>
                    <w:autoSpaceDE w:val="0"/>
                    <w:autoSpaceDN/>
                    <w:spacing w:before="0" w:beforeAutospacing="0" w:after="0" w:afterAutospacing="0" w:line="240" w:lineRule="auto"/>
                    <w:ind w:left="0" w:right="0" w:firstLine="0" w:firstLineChars="0"/>
                    <w:jc w:val="center"/>
                    <w:rPr>
                      <w:rFonts w:hint="default" w:ascii="Times New Roman" w:hAnsi="Times New Roman" w:eastAsia="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kern w:val="2"/>
                      <w:sz w:val="21"/>
                      <w:szCs w:val="21"/>
                      <w:highlight w:val="none"/>
                      <w:lang w:val="en-US" w:eastAsia="zh-CN" w:bidi="ar"/>
                      <w14:textFill>
                        <w14:solidFill>
                          <w14:schemeClr w14:val="tx1"/>
                        </w14:solidFill>
                      </w14:textFill>
                    </w:rPr>
                    <w:t>3</w:t>
                  </w:r>
                </w:p>
              </w:tc>
              <w:tc>
                <w:tcPr>
                  <w:tcW w:w="2618" w:type="pct"/>
                  <w:tcBorders>
                    <w:top w:val="single" w:color="auto" w:sz="4" w:space="0"/>
                    <w:left w:val="nil"/>
                    <w:bottom w:val="single" w:color="auto" w:sz="4" w:space="0"/>
                    <w:right w:val="single" w:color="auto" w:sz="4" w:space="0"/>
                  </w:tcBorders>
                  <w:noWrap w:val="0"/>
                  <w:vAlign w:val="center"/>
                </w:tcPr>
                <w:p w14:paraId="31576DB4">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采用塑料再生颗粒进行加工、塑料发泡的企业或车间应安装集气罩或车间封闭，安装净化设施。</w:t>
                  </w:r>
                </w:p>
              </w:tc>
              <w:tc>
                <w:tcPr>
                  <w:tcW w:w="1744" w:type="pct"/>
                  <w:tcBorders>
                    <w:top w:val="single" w:color="auto" w:sz="4" w:space="0"/>
                    <w:left w:val="nil"/>
                    <w:bottom w:val="single" w:color="auto" w:sz="4" w:space="0"/>
                    <w:right w:val="single" w:color="auto" w:sz="4" w:space="0"/>
                  </w:tcBorders>
                  <w:noWrap w:val="0"/>
                  <w:vAlign w:val="center"/>
                </w:tcPr>
                <w:p w14:paraId="2C8C29A4">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不涉及塑料再生颗粒。</w:t>
                  </w:r>
                </w:p>
              </w:tc>
              <w:tc>
                <w:tcPr>
                  <w:tcW w:w="329" w:type="pct"/>
                  <w:tcBorders>
                    <w:top w:val="single" w:color="auto" w:sz="4" w:space="0"/>
                    <w:left w:val="nil"/>
                    <w:bottom w:val="single" w:color="auto" w:sz="4" w:space="0"/>
                    <w:right w:val="nil"/>
                  </w:tcBorders>
                  <w:noWrap w:val="0"/>
                  <w:vAlign w:val="center"/>
                </w:tcPr>
                <w:p w14:paraId="30E32DD4">
                  <w:pPr>
                    <w:keepNext w:val="0"/>
                    <w:keepLines w:val="0"/>
                    <w:widowControl w:val="0"/>
                    <w:suppressLineNumbers w:val="0"/>
                    <w:autoSpaceDE w:val="0"/>
                    <w:autoSpaceDN/>
                    <w:spacing w:before="0" w:beforeAutospacing="0" w:after="0" w:afterAutospacing="0" w:line="240" w:lineRule="auto"/>
                    <w:ind w:left="0" w:right="0" w:firstLine="0" w:firstLineChars="0"/>
                    <w:jc w:val="center"/>
                    <w:rPr>
                      <w:rFonts w:hint="default" w:ascii="Times New Roman" w:hAnsi="Times New Roman" w:eastAsia="Times New Roman" w:cs="Times New Roman"/>
                      <w:color w:val="000000" w:themeColor="text1"/>
                      <w:kern w:val="2"/>
                      <w:sz w:val="21"/>
                      <w:szCs w:val="21"/>
                      <w:highlight w:val="none"/>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w:t>
                  </w:r>
                </w:p>
              </w:tc>
            </w:tr>
            <w:tr w14:paraId="666EB8A2">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0" w:type="dxa"/>
                  <w:bottom w:w="0" w:type="dxa"/>
                  <w:right w:w="0" w:type="dxa"/>
                </w:tblCellMar>
              </w:tblPrEx>
              <w:trPr>
                <w:trHeight w:val="23" w:hRule="atLeast"/>
                <w:jc w:val="right"/>
              </w:trPr>
              <w:tc>
                <w:tcPr>
                  <w:tcW w:w="307" w:type="pct"/>
                  <w:tcBorders>
                    <w:top w:val="single" w:color="auto" w:sz="4" w:space="0"/>
                    <w:left w:val="nil"/>
                    <w:bottom w:val="single" w:color="auto" w:sz="4" w:space="0"/>
                    <w:right w:val="single" w:color="auto" w:sz="4" w:space="0"/>
                  </w:tcBorders>
                  <w:noWrap w:val="0"/>
                  <w:vAlign w:val="center"/>
                </w:tcPr>
                <w:p w14:paraId="36E659D3">
                  <w:pPr>
                    <w:keepNext w:val="0"/>
                    <w:keepLines w:val="0"/>
                    <w:widowControl w:val="0"/>
                    <w:suppressLineNumbers w:val="0"/>
                    <w:autoSpaceDE w:val="0"/>
                    <w:autoSpaceDN/>
                    <w:spacing w:before="0" w:beforeAutospacing="0" w:after="0" w:afterAutospacing="0" w:line="240" w:lineRule="auto"/>
                    <w:ind w:left="0" w:right="0" w:firstLine="0" w:firstLineChars="0"/>
                    <w:jc w:val="center"/>
                    <w:rPr>
                      <w:rFonts w:hint="default" w:ascii="Times New Roman" w:hAnsi="Times New Roman" w:eastAsia="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kern w:val="2"/>
                      <w:sz w:val="21"/>
                      <w:szCs w:val="21"/>
                      <w:highlight w:val="none"/>
                      <w:lang w:val="en-US" w:eastAsia="zh-CN" w:bidi="ar"/>
                      <w14:textFill>
                        <w14:solidFill>
                          <w14:schemeClr w14:val="tx1"/>
                        </w14:solidFill>
                      </w14:textFill>
                    </w:rPr>
                    <w:t>4</w:t>
                  </w:r>
                </w:p>
              </w:tc>
              <w:tc>
                <w:tcPr>
                  <w:tcW w:w="2618" w:type="pct"/>
                  <w:tcBorders>
                    <w:top w:val="single" w:color="auto" w:sz="4" w:space="0"/>
                    <w:left w:val="nil"/>
                    <w:bottom w:val="single" w:color="auto" w:sz="4" w:space="0"/>
                    <w:right w:val="single" w:color="auto" w:sz="4" w:space="0"/>
                  </w:tcBorders>
                  <w:noWrap w:val="0"/>
                  <w:vAlign w:val="center"/>
                </w:tcPr>
                <w:p w14:paraId="3C38FADF">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处理方法：优先考虑采用直接燃烧或催化燃烧处理方法。如果不具备燃烧条件应采用过滤棉+活性炭吸附处理，活性炭装填量不少于0.5吨（1立方）。</w:t>
                  </w:r>
                </w:p>
              </w:tc>
              <w:tc>
                <w:tcPr>
                  <w:tcW w:w="1744" w:type="pct"/>
                  <w:tcBorders>
                    <w:top w:val="single" w:color="auto" w:sz="4" w:space="0"/>
                    <w:left w:val="nil"/>
                    <w:bottom w:val="single" w:color="auto" w:sz="4" w:space="0"/>
                    <w:right w:val="single" w:color="auto" w:sz="4" w:space="0"/>
                  </w:tcBorders>
                  <w:noWrap w:val="0"/>
                  <w:vAlign w:val="center"/>
                </w:tcPr>
                <w:p w14:paraId="2A351792">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项目VOCs使用“吸附、脱附+催化燃烧”装置处理，根据安阳市生态环境局文件《安阳市生态环境局关于规范挥发性有机物活性炭吸附处理设施建设和运行管理的通知》</w:t>
                  </w: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（2025年3月12日发布），该项目</w:t>
                  </w: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活性炭装填量</w:t>
                  </w: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不低于0.5吨</w:t>
                  </w: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w:t>
                  </w:r>
                </w:p>
              </w:tc>
              <w:tc>
                <w:tcPr>
                  <w:tcW w:w="329" w:type="pct"/>
                  <w:tcBorders>
                    <w:top w:val="single" w:color="auto" w:sz="4" w:space="0"/>
                    <w:left w:val="nil"/>
                    <w:bottom w:val="single" w:color="auto" w:sz="4" w:space="0"/>
                    <w:right w:val="nil"/>
                  </w:tcBorders>
                  <w:noWrap w:val="0"/>
                  <w:vAlign w:val="center"/>
                </w:tcPr>
                <w:p w14:paraId="0D86E885">
                  <w:pPr>
                    <w:keepNext w:val="0"/>
                    <w:keepLines w:val="0"/>
                    <w:widowControl w:val="0"/>
                    <w:suppressLineNumbers w:val="0"/>
                    <w:autoSpaceDE w:val="0"/>
                    <w:autoSpaceDN/>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相符</w:t>
                  </w:r>
                </w:p>
              </w:tc>
            </w:tr>
          </w:tbl>
          <w:p w14:paraId="212933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经对比，项目符合《安阳市重点行业挥发性有机物（</w:t>
            </w:r>
            <w:r>
              <w:rPr>
                <w:rFonts w:hint="default" w:ascii="Times New Roman" w:hAnsi="Times New Roman" w:eastAsia="Times New Roman" w:cs="Times New Roman"/>
                <w:color w:val="000000" w:themeColor="text1"/>
                <w:kern w:val="2"/>
                <w:sz w:val="24"/>
                <w:szCs w:val="24"/>
                <w:highlight w:val="none"/>
                <w:lang w:val="en-US" w:eastAsia="zh-CN" w:bidi="ar"/>
                <w14:textFill>
                  <w14:solidFill>
                    <w14:schemeClr w14:val="tx1"/>
                  </w14:solidFill>
                </w14:textFill>
              </w:rPr>
              <w:t>VOCs</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）控制治理指导意见》（安环攻坚办〔</w:t>
            </w:r>
            <w:r>
              <w:rPr>
                <w:rFonts w:hint="default" w:ascii="Times New Roman" w:hAnsi="Times New Roman" w:eastAsia="Times New Roman" w:cs="Times New Roman"/>
                <w:color w:val="000000" w:themeColor="text1"/>
                <w:kern w:val="2"/>
                <w:sz w:val="24"/>
                <w:szCs w:val="24"/>
                <w:highlight w:val="none"/>
                <w:lang w:val="en-US" w:eastAsia="zh-CN" w:bidi="ar"/>
                <w14:textFill>
                  <w14:solidFill>
                    <w14:schemeClr w14:val="tx1"/>
                  </w14:solidFill>
                </w14:textFill>
              </w:rPr>
              <w:t>2017</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w:t>
            </w:r>
            <w:r>
              <w:rPr>
                <w:rFonts w:hint="default" w:ascii="Times New Roman" w:hAnsi="Times New Roman" w:eastAsia="Times New Roman" w:cs="Times New Roman"/>
                <w:color w:val="000000" w:themeColor="text1"/>
                <w:kern w:val="2"/>
                <w:sz w:val="24"/>
                <w:szCs w:val="24"/>
                <w:highlight w:val="none"/>
                <w:lang w:val="en-US" w:eastAsia="zh-CN" w:bidi="ar"/>
                <w14:textFill>
                  <w14:solidFill>
                    <w14:schemeClr w14:val="tx1"/>
                  </w14:solidFill>
                </w14:textFill>
              </w:rPr>
              <w:t>439</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号）中的相关要求。</w:t>
            </w:r>
          </w:p>
          <w:p w14:paraId="224850AA">
            <w:pPr>
              <w:keepNext w:val="0"/>
              <w:keepLines w:val="0"/>
              <w:suppressLineNumbers w:val="0"/>
              <w:spacing w:before="0" w:beforeAutospacing="0" w:after="0" w:afterAutospacing="0" w:line="360" w:lineRule="auto"/>
              <w:ind w:left="0" w:right="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5</w:t>
            </w:r>
            <w:r>
              <w:rPr>
                <w:rFonts w:hint="default" w:ascii="Times New Roman" w:hAnsi="Times New Roman" w:cs="Times New Roman"/>
                <w:b/>
                <w:bCs/>
                <w:color w:val="000000" w:themeColor="text1"/>
                <w:sz w:val="24"/>
                <w:szCs w:val="24"/>
                <w:lang w:val="en-US" w:eastAsia="zh-CN"/>
                <w14:textFill>
                  <w14:solidFill>
                    <w14:schemeClr w14:val="tx1"/>
                  </w14:solidFill>
                </w14:textFill>
              </w:rPr>
              <w:t>.</w:t>
            </w:r>
            <w:r>
              <w:rPr>
                <w:rFonts w:hint="eastAsia" w:cs="Times New Roman"/>
                <w:b/>
                <w:bCs/>
                <w:color w:val="000000" w:themeColor="text1"/>
                <w:sz w:val="24"/>
                <w:szCs w:val="24"/>
                <w:lang w:val="en-US" w:eastAsia="zh-CN"/>
                <w14:textFill>
                  <w14:solidFill>
                    <w14:schemeClr w14:val="tx1"/>
                  </w14:solidFill>
                </w14:textFill>
              </w:rPr>
              <w:t>与</w:t>
            </w:r>
            <w:r>
              <w:rPr>
                <w:rFonts w:hint="default" w:ascii="Times New Roman" w:hAnsi="Times New Roman" w:eastAsia="宋体" w:cs="Times New Roman"/>
                <w:b/>
                <w:bCs/>
                <w:color w:val="000000" w:themeColor="text1"/>
                <w:kern w:val="2"/>
                <w:sz w:val="24"/>
                <w:szCs w:val="24"/>
                <w:lang w:val="en-US" w:eastAsia="zh-CN" w:bidi="ar"/>
                <w14:textFill>
                  <w14:solidFill>
                    <w14:schemeClr w14:val="tx1"/>
                  </w14:solidFill>
                </w14:textFill>
              </w:rPr>
              <w:t>《安阳市环境污染防治攻坚战指挥部办公室关于印发安阳市</w:t>
            </w:r>
            <w:r>
              <w:rPr>
                <w:rFonts w:hint="default" w:ascii="Times New Roman" w:hAnsi="Times New Roman" w:cs="Times New Roman"/>
                <w:b/>
                <w:bCs/>
                <w:color w:val="000000" w:themeColor="text1"/>
                <w:kern w:val="2"/>
                <w:sz w:val="24"/>
                <w:szCs w:val="24"/>
                <w:lang w:val="en-US" w:eastAsia="zh-CN" w:bidi="ar"/>
                <w14:textFill>
                  <w14:solidFill>
                    <w14:schemeClr w14:val="tx1"/>
                  </w14:solidFill>
                </w14:textFill>
              </w:rPr>
              <w:t>2019</w:t>
            </w:r>
            <w:r>
              <w:rPr>
                <w:rFonts w:hint="default" w:ascii="Times New Roman" w:hAnsi="Times New Roman" w:eastAsia="宋体" w:cs="Times New Roman"/>
                <w:b/>
                <w:bCs/>
                <w:color w:val="000000" w:themeColor="text1"/>
                <w:kern w:val="2"/>
                <w:sz w:val="24"/>
                <w:szCs w:val="24"/>
                <w:lang w:val="en-US" w:eastAsia="zh-CN" w:bidi="ar"/>
                <w14:textFill>
                  <w14:solidFill>
                    <w14:schemeClr w14:val="tx1"/>
                  </w14:solidFill>
                </w14:textFill>
              </w:rPr>
              <w:t>年工业大气污染治理</w:t>
            </w:r>
            <w:r>
              <w:rPr>
                <w:rFonts w:hint="default" w:ascii="Times New Roman" w:hAnsi="Times New Roman" w:cs="Times New Roman"/>
                <w:b/>
                <w:bCs/>
                <w:color w:val="000000" w:themeColor="text1"/>
                <w:kern w:val="2"/>
                <w:sz w:val="24"/>
                <w:szCs w:val="24"/>
                <w:lang w:val="en-US" w:eastAsia="zh-CN" w:bidi="ar"/>
                <w14:textFill>
                  <w14:solidFill>
                    <w14:schemeClr w14:val="tx1"/>
                  </w14:solidFill>
                </w14:textFill>
              </w:rPr>
              <w:t>5</w:t>
            </w:r>
            <w:r>
              <w:rPr>
                <w:rFonts w:hint="default" w:ascii="Times New Roman" w:hAnsi="Times New Roman" w:eastAsia="宋体" w:cs="Times New Roman"/>
                <w:b/>
                <w:bCs/>
                <w:color w:val="000000" w:themeColor="text1"/>
                <w:kern w:val="2"/>
                <w:sz w:val="24"/>
                <w:szCs w:val="24"/>
                <w:lang w:val="en-US" w:eastAsia="zh-CN" w:bidi="ar"/>
                <w14:textFill>
                  <w14:solidFill>
                    <w14:schemeClr w14:val="tx1"/>
                  </w14:solidFill>
                </w14:textFill>
              </w:rPr>
              <w:t>个专项实施方案的通知》（安环攻坚办〔</w:t>
            </w:r>
            <w:r>
              <w:rPr>
                <w:rFonts w:hint="default" w:ascii="Times New Roman" w:hAnsi="Times New Roman" w:cs="Times New Roman"/>
                <w:b/>
                <w:bCs/>
                <w:color w:val="000000" w:themeColor="text1"/>
                <w:kern w:val="2"/>
                <w:sz w:val="24"/>
                <w:szCs w:val="24"/>
                <w:lang w:val="en-US" w:eastAsia="zh-CN" w:bidi="ar"/>
                <w14:textFill>
                  <w14:solidFill>
                    <w14:schemeClr w14:val="tx1"/>
                  </w14:solidFill>
                </w14:textFill>
              </w:rPr>
              <w:t>2019</w:t>
            </w:r>
            <w:r>
              <w:rPr>
                <w:rFonts w:hint="default" w:ascii="Times New Roman" w:hAnsi="Times New Roman" w:eastAsia="宋体" w:cs="Times New Roman"/>
                <w:b/>
                <w:bCs/>
                <w:color w:val="000000" w:themeColor="text1"/>
                <w:kern w:val="2"/>
                <w:sz w:val="24"/>
                <w:szCs w:val="24"/>
                <w:lang w:val="en-US" w:eastAsia="zh-CN" w:bidi="ar"/>
                <w14:textFill>
                  <w14:solidFill>
                    <w14:schemeClr w14:val="tx1"/>
                  </w14:solidFill>
                </w14:textFill>
              </w:rPr>
              <w:t>〕</w:t>
            </w:r>
            <w:r>
              <w:rPr>
                <w:rFonts w:hint="default" w:ascii="Times New Roman" w:hAnsi="Times New Roman" w:cs="Times New Roman"/>
                <w:b/>
                <w:bCs/>
                <w:color w:val="000000" w:themeColor="text1"/>
                <w:kern w:val="2"/>
                <w:sz w:val="24"/>
                <w:szCs w:val="24"/>
                <w:lang w:val="en-US" w:eastAsia="zh-CN" w:bidi="ar"/>
                <w14:textFill>
                  <w14:solidFill>
                    <w14:schemeClr w14:val="tx1"/>
                  </w14:solidFill>
                </w14:textFill>
              </w:rPr>
              <w:t>196</w:t>
            </w:r>
            <w:r>
              <w:rPr>
                <w:rFonts w:hint="default" w:ascii="Times New Roman" w:hAnsi="Times New Roman" w:eastAsia="宋体" w:cs="Times New Roman"/>
                <w:b/>
                <w:bCs/>
                <w:color w:val="000000" w:themeColor="text1"/>
                <w:kern w:val="2"/>
                <w:sz w:val="24"/>
                <w:szCs w:val="24"/>
                <w:lang w:val="en-US" w:eastAsia="zh-CN" w:bidi="ar"/>
                <w14:textFill>
                  <w14:solidFill>
                    <w14:schemeClr w14:val="tx1"/>
                  </w14:solidFill>
                </w14:textFill>
              </w:rPr>
              <w:t>号）</w:t>
            </w:r>
            <w:r>
              <w:rPr>
                <w:rFonts w:hint="eastAsia" w:ascii="Times New Roman" w:hAnsi="Times New Roman" w:eastAsia="宋体" w:cs="Times New Roman"/>
                <w:b/>
                <w:color w:val="000000" w:themeColor="text1"/>
                <w:sz w:val="24"/>
                <w:szCs w:val="24"/>
                <w:highlight w:val="none"/>
                <w:lang w:val="en-US" w:eastAsia="zh-CN"/>
                <w14:textFill>
                  <w14:solidFill>
                    <w14:schemeClr w14:val="tx1"/>
                  </w14:solidFill>
                </w14:textFill>
              </w:rPr>
              <w:t>相符性分析</w:t>
            </w:r>
          </w:p>
          <w:p w14:paraId="0A59F835">
            <w:pPr>
              <w:keepNext w:val="0"/>
              <w:keepLines w:val="0"/>
              <w:pageBreakBefore w:val="0"/>
              <w:widowControl w:val="0"/>
              <w:suppressLineNumbers w:val="0"/>
              <w:kinsoku/>
              <w:wordWrap w:val="0"/>
              <w:overflowPunct/>
              <w:topLinePunct w:val="0"/>
              <w:autoSpaceDE w:val="0"/>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000000" w:themeColor="text1"/>
                <w:kern w:val="2"/>
                <w:sz w:val="24"/>
                <w:szCs w:val="24"/>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
                <w14:textFill>
                  <w14:solidFill>
                    <w14:schemeClr w14:val="tx1"/>
                  </w14:solidFill>
                </w14:textFill>
              </w:rPr>
              <w:t>根据《安阳市环境污染防治攻坚战指挥部办公室关于印发安阳市</w:t>
            </w:r>
            <w:r>
              <w:rPr>
                <w:rFonts w:hint="default" w:ascii="Times New Roman" w:hAnsi="Times New Roman" w:cs="Times New Roman"/>
                <w:color w:val="000000" w:themeColor="text1"/>
                <w:kern w:val="2"/>
                <w:sz w:val="24"/>
                <w:szCs w:val="24"/>
                <w:lang w:val="en-US" w:eastAsia="zh-CN" w:bidi="ar"/>
                <w14:textFill>
                  <w14:solidFill>
                    <w14:schemeClr w14:val="tx1"/>
                  </w14:solidFill>
                </w14:textFill>
              </w:rPr>
              <w:t>2019</w:t>
            </w:r>
            <w:r>
              <w:rPr>
                <w:rFonts w:hint="default" w:ascii="Times New Roman" w:hAnsi="Times New Roman" w:eastAsia="宋体" w:cs="Times New Roman"/>
                <w:color w:val="000000" w:themeColor="text1"/>
                <w:kern w:val="2"/>
                <w:sz w:val="24"/>
                <w:szCs w:val="24"/>
                <w:lang w:val="en-US" w:eastAsia="zh-CN" w:bidi="ar"/>
                <w14:textFill>
                  <w14:solidFill>
                    <w14:schemeClr w14:val="tx1"/>
                  </w14:solidFill>
                </w14:textFill>
              </w:rPr>
              <w:t>年工业大气污染治理</w:t>
            </w:r>
            <w:r>
              <w:rPr>
                <w:rFonts w:hint="default" w:ascii="Times New Roman" w:hAnsi="Times New Roman" w:cs="Times New Roman"/>
                <w:color w:val="000000" w:themeColor="text1"/>
                <w:kern w:val="2"/>
                <w:sz w:val="24"/>
                <w:szCs w:val="24"/>
                <w:lang w:val="en-US" w:eastAsia="zh-CN" w:bidi="ar"/>
                <w14:textFill>
                  <w14:solidFill>
                    <w14:schemeClr w14:val="tx1"/>
                  </w14:solidFill>
                </w14:textFill>
              </w:rPr>
              <w:t>5</w:t>
            </w:r>
            <w:r>
              <w:rPr>
                <w:rFonts w:hint="default" w:ascii="Times New Roman" w:hAnsi="Times New Roman" w:eastAsia="宋体" w:cs="Times New Roman"/>
                <w:color w:val="000000" w:themeColor="text1"/>
                <w:kern w:val="2"/>
                <w:sz w:val="24"/>
                <w:szCs w:val="24"/>
                <w:lang w:val="en-US" w:eastAsia="zh-CN" w:bidi="ar"/>
                <w14:textFill>
                  <w14:solidFill>
                    <w14:schemeClr w14:val="tx1"/>
                  </w14:solidFill>
                </w14:textFill>
              </w:rPr>
              <w:t>个专项实施方案的通知》（安环攻坚办〔</w:t>
            </w:r>
            <w:r>
              <w:rPr>
                <w:rFonts w:hint="default" w:ascii="Times New Roman" w:hAnsi="Times New Roman" w:cs="Times New Roman"/>
                <w:color w:val="000000" w:themeColor="text1"/>
                <w:kern w:val="2"/>
                <w:sz w:val="24"/>
                <w:szCs w:val="24"/>
                <w:lang w:val="en-US" w:eastAsia="zh-CN" w:bidi="ar"/>
                <w14:textFill>
                  <w14:solidFill>
                    <w14:schemeClr w14:val="tx1"/>
                  </w14:solidFill>
                </w14:textFill>
              </w:rPr>
              <w:t>2019</w:t>
            </w:r>
            <w:r>
              <w:rPr>
                <w:rFonts w:hint="default" w:ascii="Times New Roman" w:hAnsi="Times New Roman" w:eastAsia="宋体" w:cs="Times New Roman"/>
                <w:color w:val="000000" w:themeColor="text1"/>
                <w:kern w:val="2"/>
                <w:sz w:val="24"/>
                <w:szCs w:val="24"/>
                <w:lang w:val="en-US" w:eastAsia="zh-CN" w:bidi="ar"/>
                <w14:textFill>
                  <w14:solidFill>
                    <w14:schemeClr w14:val="tx1"/>
                  </w14:solidFill>
                </w14:textFill>
              </w:rPr>
              <w:t>〕</w:t>
            </w:r>
            <w:r>
              <w:rPr>
                <w:rFonts w:hint="default" w:ascii="Times New Roman" w:hAnsi="Times New Roman" w:cs="Times New Roman"/>
                <w:color w:val="000000" w:themeColor="text1"/>
                <w:kern w:val="2"/>
                <w:sz w:val="24"/>
                <w:szCs w:val="24"/>
                <w:lang w:val="en-US" w:eastAsia="zh-CN" w:bidi="ar"/>
                <w14:textFill>
                  <w14:solidFill>
                    <w14:schemeClr w14:val="tx1"/>
                  </w14:solidFill>
                </w14:textFill>
              </w:rPr>
              <w:t>196</w:t>
            </w:r>
            <w:r>
              <w:rPr>
                <w:rFonts w:hint="default" w:ascii="Times New Roman" w:hAnsi="Times New Roman" w:eastAsia="宋体" w:cs="Times New Roman"/>
                <w:color w:val="000000" w:themeColor="text1"/>
                <w:kern w:val="2"/>
                <w:sz w:val="24"/>
                <w:szCs w:val="24"/>
                <w:lang w:val="en-US" w:eastAsia="zh-CN" w:bidi="ar"/>
                <w14:textFill>
                  <w14:solidFill>
                    <w14:schemeClr w14:val="tx1"/>
                  </w14:solidFill>
                </w14:textFill>
              </w:rPr>
              <w:t>号），选取“安阳市2019年挥发性有机物污染治理实施方案”及运输车辆要求进行对比分析，具体见下表。</w:t>
            </w:r>
          </w:p>
          <w:p w14:paraId="2A502CC1">
            <w:pPr>
              <w:keepNext w:val="0"/>
              <w:keepLines w:val="0"/>
              <w:widowControl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val="0"/>
                <w:color w:val="000000" w:themeColor="text1"/>
                <w:kern w:val="2"/>
                <w:sz w:val="24"/>
                <w:szCs w:val="24"/>
                <w14:textFill>
                  <w14:solidFill>
                    <w14:schemeClr w14:val="tx1"/>
                  </w14:solidFill>
                </w14:textFill>
              </w:rPr>
            </w:pPr>
            <w:r>
              <w:rPr>
                <w:rFonts w:hint="default" w:ascii="Times New Roman" w:hAnsi="Times New Roman" w:eastAsia="宋体" w:cs="Times New Roman"/>
                <w:b/>
                <w:bCs w:val="0"/>
                <w:color w:val="000000" w:themeColor="text1"/>
                <w:kern w:val="2"/>
                <w:sz w:val="24"/>
                <w:szCs w:val="24"/>
                <w:lang w:val="en-US" w:eastAsia="zh-CN" w:bidi="ar"/>
                <w14:textFill>
                  <w14:solidFill>
                    <w14:schemeClr w14:val="tx1"/>
                  </w14:solidFill>
                </w14:textFill>
              </w:rPr>
              <w:t>安阳市2019年挥发性有机物污染治理实施方案对比分析</w:t>
            </w:r>
          </w:p>
          <w:tbl>
            <w:tblPr>
              <w:tblStyle w:val="29"/>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91"/>
              <w:gridCol w:w="419"/>
              <w:gridCol w:w="819"/>
              <w:gridCol w:w="3150"/>
              <w:gridCol w:w="2383"/>
              <w:gridCol w:w="678"/>
            </w:tblGrid>
            <w:tr w14:paraId="6922F6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50" w:type="pct"/>
                  <w:tcBorders>
                    <w:tl2br w:val="nil"/>
                    <w:tr2bl w:val="nil"/>
                  </w:tcBorders>
                  <w:noWrap w:val="0"/>
                  <w:vAlign w:val="center"/>
                </w:tcPr>
                <w:p w14:paraId="77290214">
                  <w:pPr>
                    <w:keepNext w:val="0"/>
                    <w:keepLines w:val="0"/>
                    <w:pageBreakBefore w:val="0"/>
                    <w:widowControl w:val="0"/>
                    <w:suppressLineNumbers w:val="0"/>
                    <w:kinsoku/>
                    <w:wordWrap w:val="0"/>
                    <w:overflowPunct/>
                    <w:topLinePunct w:val="0"/>
                    <w:autoSpaceDE w:val="0"/>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val="0"/>
                      <w:color w:val="000000" w:themeColor="text1"/>
                      <w:kern w:val="2"/>
                      <w:sz w:val="21"/>
                      <w:szCs w:val="21"/>
                      <w14:textFill>
                        <w14:solidFill>
                          <w14:schemeClr w14:val="tx1"/>
                        </w14:solidFill>
                      </w14:textFill>
                    </w:rPr>
                  </w:pP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序号</w:t>
                  </w:r>
                </w:p>
              </w:tc>
              <w:tc>
                <w:tcPr>
                  <w:tcW w:w="789" w:type="pct"/>
                  <w:gridSpan w:val="2"/>
                  <w:tcBorders>
                    <w:tl2br w:val="nil"/>
                    <w:tr2bl w:val="nil"/>
                  </w:tcBorders>
                  <w:noWrap w:val="0"/>
                  <w:vAlign w:val="center"/>
                </w:tcPr>
                <w:p w14:paraId="7663CDF5">
                  <w:pPr>
                    <w:keepNext w:val="0"/>
                    <w:keepLines w:val="0"/>
                    <w:pageBreakBefore w:val="0"/>
                    <w:widowControl w:val="0"/>
                    <w:suppressLineNumbers w:val="0"/>
                    <w:kinsoku/>
                    <w:wordWrap w:val="0"/>
                    <w:overflowPunct/>
                    <w:topLinePunct w:val="0"/>
                    <w:autoSpaceDE w:val="0"/>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val="0"/>
                      <w:color w:val="000000" w:themeColor="text1"/>
                      <w:kern w:val="2"/>
                      <w:sz w:val="21"/>
                      <w:szCs w:val="21"/>
                      <w14:textFill>
                        <w14:solidFill>
                          <w14:schemeClr w14:val="tx1"/>
                        </w14:solidFill>
                      </w14:textFill>
                    </w:rPr>
                  </w:pP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类别</w:t>
                  </w:r>
                </w:p>
              </w:tc>
              <w:tc>
                <w:tcPr>
                  <w:tcW w:w="2008" w:type="pct"/>
                  <w:tcBorders>
                    <w:tl2br w:val="nil"/>
                    <w:tr2bl w:val="nil"/>
                  </w:tcBorders>
                  <w:noWrap w:val="0"/>
                  <w:vAlign w:val="center"/>
                </w:tcPr>
                <w:p w14:paraId="0B48DBE6">
                  <w:pPr>
                    <w:keepNext w:val="0"/>
                    <w:keepLines w:val="0"/>
                    <w:pageBreakBefore w:val="0"/>
                    <w:widowControl w:val="0"/>
                    <w:suppressLineNumbers w:val="0"/>
                    <w:kinsoku/>
                    <w:wordWrap w:val="0"/>
                    <w:overflowPunct/>
                    <w:topLinePunct w:val="0"/>
                    <w:autoSpaceDE w:val="0"/>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val="0"/>
                      <w:color w:val="000000" w:themeColor="text1"/>
                      <w:kern w:val="2"/>
                      <w:sz w:val="21"/>
                      <w:szCs w:val="21"/>
                      <w14:textFill>
                        <w14:solidFill>
                          <w14:schemeClr w14:val="tx1"/>
                        </w14:solidFill>
                      </w14:textFill>
                    </w:rPr>
                  </w:pP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文件要求</w:t>
                  </w:r>
                </w:p>
              </w:tc>
              <w:tc>
                <w:tcPr>
                  <w:tcW w:w="1519" w:type="pct"/>
                  <w:tcBorders>
                    <w:tl2br w:val="nil"/>
                    <w:tr2bl w:val="nil"/>
                  </w:tcBorders>
                  <w:noWrap w:val="0"/>
                  <w:vAlign w:val="center"/>
                </w:tcPr>
                <w:p w14:paraId="770CCFAC">
                  <w:pPr>
                    <w:keepNext w:val="0"/>
                    <w:keepLines w:val="0"/>
                    <w:pageBreakBefore w:val="0"/>
                    <w:widowControl w:val="0"/>
                    <w:suppressLineNumbers w:val="0"/>
                    <w:kinsoku/>
                    <w:wordWrap w:val="0"/>
                    <w:overflowPunct/>
                    <w:topLinePunct w:val="0"/>
                    <w:autoSpaceDE w:val="0"/>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val="0"/>
                      <w:color w:val="000000" w:themeColor="text1"/>
                      <w:kern w:val="2"/>
                      <w:sz w:val="21"/>
                      <w:szCs w:val="21"/>
                      <w14:textFill>
                        <w14:solidFill>
                          <w14:schemeClr w14:val="tx1"/>
                        </w14:solidFill>
                      </w14:textFill>
                    </w:rPr>
                  </w:pP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项目情况</w:t>
                  </w:r>
                </w:p>
              </w:tc>
              <w:tc>
                <w:tcPr>
                  <w:tcW w:w="432" w:type="pct"/>
                  <w:tcBorders>
                    <w:tl2br w:val="nil"/>
                    <w:tr2bl w:val="nil"/>
                  </w:tcBorders>
                  <w:noWrap w:val="0"/>
                  <w:vAlign w:val="center"/>
                </w:tcPr>
                <w:p w14:paraId="036D1B59">
                  <w:pPr>
                    <w:keepNext w:val="0"/>
                    <w:keepLines w:val="0"/>
                    <w:widowControl w:val="0"/>
                    <w:suppressLineNumbers w:val="0"/>
                    <w:autoSpaceDE w:val="0"/>
                    <w:autoSpaceDN/>
                    <w:adjustRightInd w:val="0"/>
                    <w:spacing w:before="0" w:beforeAutospacing="0" w:after="0" w:afterAutospacing="0" w:line="240" w:lineRule="auto"/>
                    <w:ind w:left="0" w:right="0"/>
                    <w:jc w:val="center"/>
                    <w:rPr>
                      <w:rFonts w:hint="default" w:ascii="Times New Roman" w:hAnsi="Times New Roman" w:cs="Times New Roman"/>
                      <w:b/>
                      <w:bCs w:val="0"/>
                      <w:color w:val="000000" w:themeColor="text1"/>
                      <w:kern w:val="2"/>
                      <w:sz w:val="21"/>
                      <w:szCs w:val="21"/>
                      <w14:textFill>
                        <w14:solidFill>
                          <w14:schemeClr w14:val="tx1"/>
                        </w14:solidFill>
                      </w14:textFill>
                    </w:rPr>
                  </w:pP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相符性</w:t>
                  </w:r>
                </w:p>
              </w:tc>
            </w:tr>
            <w:tr w14:paraId="463D13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250" w:type="pct"/>
                  <w:tcBorders>
                    <w:tl2br w:val="nil"/>
                    <w:tr2bl w:val="nil"/>
                  </w:tcBorders>
                  <w:noWrap w:val="0"/>
                  <w:vAlign w:val="center"/>
                </w:tcPr>
                <w:p w14:paraId="41F28EF4">
                  <w:pPr>
                    <w:keepNext w:val="0"/>
                    <w:keepLines w:val="0"/>
                    <w:pageBreakBefore w:val="0"/>
                    <w:widowControl w:val="0"/>
                    <w:suppressLineNumbers w:val="0"/>
                    <w:kinsoku/>
                    <w:wordWrap w:val="0"/>
                    <w:overflowPunct/>
                    <w:topLinePunct w:val="0"/>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1</w:t>
                  </w:r>
                </w:p>
              </w:tc>
              <w:tc>
                <w:tcPr>
                  <w:tcW w:w="789" w:type="pct"/>
                  <w:gridSpan w:val="2"/>
                  <w:tcBorders>
                    <w:tl2br w:val="nil"/>
                    <w:tr2bl w:val="nil"/>
                  </w:tcBorders>
                  <w:noWrap w:val="0"/>
                  <w:vAlign w:val="center"/>
                </w:tcPr>
                <w:p w14:paraId="19CD946D">
                  <w:pPr>
                    <w:keepNext w:val="0"/>
                    <w:keepLines w:val="0"/>
                    <w:pageBreakBefore w:val="0"/>
                    <w:widowControl w:val="0"/>
                    <w:suppressLineNumbers w:val="0"/>
                    <w:kinsoku/>
                    <w:wordWrap w:val="0"/>
                    <w:overflowPunct/>
                    <w:topLinePunct w:val="0"/>
                    <w:autoSpaceDN/>
                    <w:bidi w:val="0"/>
                    <w:adjustRightInd w:val="0"/>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工作目标</w:t>
                  </w:r>
                </w:p>
              </w:tc>
              <w:tc>
                <w:tcPr>
                  <w:tcW w:w="2008" w:type="pct"/>
                  <w:tcBorders>
                    <w:tl2br w:val="nil"/>
                    <w:tr2bl w:val="nil"/>
                  </w:tcBorders>
                  <w:noWrap w:val="0"/>
                  <w:vAlign w:val="center"/>
                </w:tcPr>
                <w:p w14:paraId="11E01A03">
                  <w:pPr>
                    <w:keepNext w:val="0"/>
                    <w:keepLines w:val="0"/>
                    <w:pageBreakBefore w:val="0"/>
                    <w:widowControl w:val="0"/>
                    <w:suppressLineNumbers w:val="0"/>
                    <w:kinsoku/>
                    <w:wordWrap w:val="0"/>
                    <w:overflowPunct/>
                    <w:topLinePunct w:val="0"/>
                    <w:autoSpaceDE w:val="0"/>
                    <w:autoSpaceDN/>
                    <w:bidi w:val="0"/>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按照源头控制、过程管理、末端治理和强化减排相结合的全方位综合治理原则，大力推进原辅材料源头替代，深入开展涉</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VOCs</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重点行业</w:t>
                  </w:r>
                  <w:r>
                    <w:rPr>
                      <w:rFonts w:hint="eastAsia"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一厂一策</w:t>
                  </w:r>
                  <w:r>
                    <w:rPr>
                      <w:rFonts w:hint="eastAsia"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深度治理改造工作，持续进行</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VOCs</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整治专项执法检查，逐步推广</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VOCs</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在线监测设施建设，工业企业</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VOCs</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排放全面达到《天津市工业企业挥发性有机物排放控制标准》（</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DB12/ 524-2014</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），全面建成</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VOCs</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综合防控体系，大幅减少</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VOCs</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排放总量。</w:t>
                  </w:r>
                </w:p>
              </w:tc>
              <w:tc>
                <w:tcPr>
                  <w:tcW w:w="1519" w:type="pct"/>
                  <w:tcBorders>
                    <w:tl2br w:val="nil"/>
                    <w:tr2bl w:val="nil"/>
                  </w:tcBorders>
                  <w:noWrap w:val="0"/>
                  <w:vAlign w:val="center"/>
                </w:tcPr>
                <w:p w14:paraId="7926B6F3">
                  <w:pPr>
                    <w:keepNext w:val="0"/>
                    <w:keepLines w:val="0"/>
                    <w:pageBreakBefore w:val="0"/>
                    <w:widowControl w:val="0"/>
                    <w:suppressLineNumbers w:val="0"/>
                    <w:kinsoku/>
                    <w:wordWrap w:val="0"/>
                    <w:overflowPunct/>
                    <w:topLinePunct w:val="0"/>
                    <w:autoSpaceDE w:val="0"/>
                    <w:autoSpaceDN/>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经大气环境影响分析，项目</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VOCs</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排放</w:t>
                  </w:r>
                  <w:r>
                    <w:rPr>
                      <w:rFonts w:hint="eastAsia" w:cs="Times New Roman"/>
                      <w:color w:val="000000" w:themeColor="text1"/>
                      <w:kern w:val="2"/>
                      <w:sz w:val="21"/>
                      <w:szCs w:val="21"/>
                      <w:lang w:val="en-US" w:eastAsia="zh-CN" w:bidi="ar"/>
                      <w14:textFill>
                        <w14:solidFill>
                          <w14:schemeClr w14:val="tx1"/>
                        </w14:solidFill>
                      </w14:textFill>
                    </w:rPr>
                    <w:t>浓度</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可以满足《合成树脂工业污染物排放标准（GB31572-2015）（含2024年修改单版本）》中限值要求。同时满足《河南省重污染天气重点行业应急减排措施制定技术指南（2024年版）》中塑料制品行业A级绩效要求。</w:t>
                  </w:r>
                </w:p>
              </w:tc>
              <w:tc>
                <w:tcPr>
                  <w:tcW w:w="432" w:type="pct"/>
                  <w:tcBorders>
                    <w:tl2br w:val="nil"/>
                    <w:tr2bl w:val="nil"/>
                  </w:tcBorders>
                  <w:noWrap w:val="0"/>
                  <w:vAlign w:val="center"/>
                </w:tcPr>
                <w:p w14:paraId="003B2BA3">
                  <w:pPr>
                    <w:keepNext w:val="0"/>
                    <w:keepLines w:val="0"/>
                    <w:widowControl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相符</w:t>
                  </w:r>
                </w:p>
              </w:tc>
            </w:tr>
            <w:tr w14:paraId="738614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50" w:type="pct"/>
                  <w:vMerge w:val="restart"/>
                  <w:tcBorders>
                    <w:tl2br w:val="nil"/>
                    <w:tr2bl w:val="nil"/>
                  </w:tcBorders>
                  <w:noWrap w:val="0"/>
                  <w:vAlign w:val="center"/>
                </w:tcPr>
                <w:p w14:paraId="7072AE26">
                  <w:pPr>
                    <w:keepNext w:val="0"/>
                    <w:keepLines w:val="0"/>
                    <w:pageBreakBefore w:val="0"/>
                    <w:widowControl w:val="0"/>
                    <w:suppressLineNumbers w:val="0"/>
                    <w:kinsoku/>
                    <w:wordWrap w:val="0"/>
                    <w:overflowPunct/>
                    <w:topLinePunct w:val="0"/>
                    <w:autoSpaceDN/>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2</w:t>
                  </w:r>
                </w:p>
              </w:tc>
              <w:tc>
                <w:tcPr>
                  <w:tcW w:w="267" w:type="pct"/>
                  <w:vMerge w:val="restart"/>
                  <w:tcBorders>
                    <w:tl2br w:val="nil"/>
                    <w:tr2bl w:val="nil"/>
                  </w:tcBorders>
                  <w:noWrap w:val="0"/>
                  <w:vAlign w:val="center"/>
                </w:tcPr>
                <w:p w14:paraId="643C4271">
                  <w:pPr>
                    <w:keepNext w:val="0"/>
                    <w:keepLines w:val="0"/>
                    <w:pageBreakBefore w:val="0"/>
                    <w:widowControl w:val="0"/>
                    <w:suppressLineNumbers w:val="0"/>
                    <w:kinsoku/>
                    <w:wordWrap w:val="0"/>
                    <w:overflowPunct/>
                    <w:topLinePunct w:val="0"/>
                    <w:autoSpaceDN/>
                    <w:bidi w:val="0"/>
                    <w:adjustRightInd w:val="0"/>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主要任务</w:t>
                  </w:r>
                </w:p>
              </w:tc>
              <w:tc>
                <w:tcPr>
                  <w:tcW w:w="522" w:type="pct"/>
                  <w:tcBorders>
                    <w:tl2br w:val="nil"/>
                    <w:tr2bl w:val="nil"/>
                  </w:tcBorders>
                  <w:noWrap w:val="0"/>
                  <w:vAlign w:val="center"/>
                </w:tcPr>
                <w:p w14:paraId="51182063">
                  <w:pPr>
                    <w:keepNext w:val="0"/>
                    <w:keepLines w:val="0"/>
                    <w:pageBreakBefore w:val="0"/>
                    <w:widowControl w:val="0"/>
                    <w:suppressLineNumbers w:val="0"/>
                    <w:kinsoku/>
                    <w:wordWrap w:val="0"/>
                    <w:overflowPunct/>
                    <w:topLinePunct w:val="0"/>
                    <w:autoSpaceDN/>
                    <w:bidi w:val="0"/>
                    <w:adjustRightInd w:val="0"/>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严格审批制度，加强源头控制。</w:t>
                  </w:r>
                </w:p>
              </w:tc>
              <w:tc>
                <w:tcPr>
                  <w:tcW w:w="2008" w:type="pct"/>
                  <w:tcBorders>
                    <w:tl2br w:val="nil"/>
                    <w:tr2bl w:val="nil"/>
                  </w:tcBorders>
                  <w:noWrap w:val="0"/>
                  <w:vAlign w:val="center"/>
                </w:tcPr>
                <w:p w14:paraId="3675C6C3">
                  <w:pPr>
                    <w:keepNext w:val="0"/>
                    <w:keepLines w:val="0"/>
                    <w:pageBreakBefore w:val="0"/>
                    <w:widowControl w:val="0"/>
                    <w:suppressLineNumbers w:val="0"/>
                    <w:kinsoku/>
                    <w:wordWrap w:val="0"/>
                    <w:overflowPunct/>
                    <w:topLinePunct w:val="0"/>
                    <w:autoSpaceDE w:val="0"/>
                    <w:autoSpaceDN/>
                    <w:bidi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禁止新（改、扩）建涉高</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VOCs</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含量溶剂型涂料、油墨、胶粘剂等生产和使用的项目。所有新建的涉挥发性有机物（</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VOCS</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）企业必须在产业集聚区或专业园区内建设，不得在园区外审批任何涉挥发性有机物（</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VOC</w:t>
                  </w:r>
                  <w:r>
                    <w:rPr>
                      <w:rFonts w:hint="default" w:ascii="Times New Roman" w:hAnsi="Times New Roman" w:cs="Times New Roman"/>
                      <w:color w:val="000000" w:themeColor="text1"/>
                      <w:kern w:val="2"/>
                      <w:sz w:val="21"/>
                      <w:szCs w:val="21"/>
                      <w:vertAlign w:val="subscript"/>
                      <w:lang w:val="en-US" w:eastAsia="zh-CN" w:bidi="ar"/>
                      <w14:textFill>
                        <w14:solidFill>
                          <w14:schemeClr w14:val="tx1"/>
                        </w14:solidFill>
                      </w14:textFill>
                    </w:rPr>
                    <w:t>S</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）的企业。</w:t>
                  </w:r>
                </w:p>
              </w:tc>
              <w:tc>
                <w:tcPr>
                  <w:tcW w:w="1519" w:type="pct"/>
                  <w:tcBorders>
                    <w:tl2br w:val="nil"/>
                    <w:tr2bl w:val="nil"/>
                  </w:tcBorders>
                  <w:noWrap w:val="0"/>
                  <w:vAlign w:val="center"/>
                </w:tcPr>
                <w:p w14:paraId="17150B4B">
                  <w:pPr>
                    <w:keepNext w:val="0"/>
                    <w:keepLines w:val="0"/>
                    <w:pageBreakBefore w:val="0"/>
                    <w:widowControl w:val="0"/>
                    <w:suppressLineNumbers w:val="0"/>
                    <w:kinsoku/>
                    <w:wordWrap w:val="0"/>
                    <w:overflowPunct/>
                    <w:topLinePunct w:val="0"/>
                    <w:autoSpaceDN/>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项目位于产业园区。项目不涉及高</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 xml:space="preserve">VOCs </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含量溶剂型涂料、油墨、胶粘剂等生产和使用</w:t>
                  </w:r>
                  <w:r>
                    <w:rPr>
                      <w:rFonts w:hint="eastAsia" w:cs="Times New Roman"/>
                      <w:color w:val="000000" w:themeColor="text1"/>
                      <w:kern w:val="2"/>
                      <w:sz w:val="21"/>
                      <w:szCs w:val="21"/>
                      <w:lang w:val="en-US" w:eastAsia="zh-CN" w:bidi="ar"/>
                      <w14:textFill>
                        <w14:solidFill>
                          <w14:schemeClr w14:val="tx1"/>
                        </w14:solidFill>
                      </w14:textFill>
                    </w:rPr>
                    <w:t>。</w:t>
                  </w:r>
                </w:p>
              </w:tc>
              <w:tc>
                <w:tcPr>
                  <w:tcW w:w="432" w:type="pct"/>
                  <w:tcBorders>
                    <w:tl2br w:val="nil"/>
                    <w:tr2bl w:val="nil"/>
                  </w:tcBorders>
                  <w:noWrap w:val="0"/>
                  <w:vAlign w:val="center"/>
                </w:tcPr>
                <w:p w14:paraId="11B21673">
                  <w:pPr>
                    <w:keepNext w:val="0"/>
                    <w:keepLines w:val="0"/>
                    <w:widowControl w:val="0"/>
                    <w:suppressLineNumbers w:val="0"/>
                    <w:adjustRightInd w:val="0"/>
                    <w:spacing w:before="0" w:beforeAutospacing="0" w:after="0" w:afterAutospacing="0" w:line="240" w:lineRule="auto"/>
                    <w:ind w:left="0" w:right="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相符</w:t>
                  </w:r>
                </w:p>
              </w:tc>
            </w:tr>
            <w:tr w14:paraId="3BBC2E9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50" w:type="pct"/>
                  <w:vMerge w:val="continue"/>
                  <w:tcBorders>
                    <w:tl2br w:val="nil"/>
                    <w:tr2bl w:val="nil"/>
                  </w:tcBorders>
                  <w:noWrap w:val="0"/>
                  <w:vAlign w:val="center"/>
                </w:tcPr>
                <w:p w14:paraId="1D0C3C06">
                  <w:pPr>
                    <w:keepNext w:val="0"/>
                    <w:keepLines w:val="0"/>
                    <w:pageBreakBefore w:val="0"/>
                    <w:widowControl w:val="0"/>
                    <w:suppressLineNumbers w:val="0"/>
                    <w:kinsoku/>
                    <w:wordWrap w:val="0"/>
                    <w:overflowPunct/>
                    <w:topLinePunct w:val="0"/>
                    <w:autoSpaceDN/>
                    <w:bidi w:val="0"/>
                    <w:snapToGrid/>
                    <w:spacing w:before="0" w:beforeAutospacing="0" w:after="0" w:afterAutospacing="0" w:line="240" w:lineRule="auto"/>
                    <w:ind w:left="0" w:right="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267" w:type="pct"/>
                  <w:vMerge w:val="continue"/>
                  <w:tcBorders>
                    <w:tl2br w:val="nil"/>
                    <w:tr2bl w:val="nil"/>
                  </w:tcBorders>
                  <w:noWrap w:val="0"/>
                  <w:vAlign w:val="center"/>
                </w:tcPr>
                <w:p w14:paraId="5E8F7E0A">
                  <w:pPr>
                    <w:keepNext w:val="0"/>
                    <w:keepLines w:val="0"/>
                    <w:pageBreakBefore w:val="0"/>
                    <w:widowControl w:val="0"/>
                    <w:suppressLineNumbers w:val="0"/>
                    <w:kinsoku/>
                    <w:wordWrap w:val="0"/>
                    <w:overflowPunct/>
                    <w:topLinePunct w:val="0"/>
                    <w:autoSpaceDN/>
                    <w:bidi w:val="0"/>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522" w:type="pct"/>
                  <w:tcBorders>
                    <w:tl2br w:val="nil"/>
                    <w:tr2bl w:val="nil"/>
                  </w:tcBorders>
                  <w:noWrap w:val="0"/>
                  <w:vAlign w:val="center"/>
                </w:tcPr>
                <w:p w14:paraId="1AAE11EA">
                  <w:pPr>
                    <w:keepNext w:val="0"/>
                    <w:keepLines w:val="0"/>
                    <w:pageBreakBefore w:val="0"/>
                    <w:widowControl w:val="0"/>
                    <w:suppressLineNumbers w:val="0"/>
                    <w:kinsoku/>
                    <w:wordWrap w:val="0"/>
                    <w:overflowPunct/>
                    <w:topLinePunct w:val="0"/>
                    <w:autoSpaceDN/>
                    <w:bidi w:val="0"/>
                    <w:adjustRightInd w:val="0"/>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持续推进重点</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VOCs</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行业深度治理。</w:t>
                  </w:r>
                </w:p>
              </w:tc>
              <w:tc>
                <w:tcPr>
                  <w:tcW w:w="2008" w:type="pct"/>
                  <w:tcBorders>
                    <w:tl2br w:val="nil"/>
                    <w:tr2bl w:val="nil"/>
                  </w:tcBorders>
                  <w:noWrap w:val="0"/>
                  <w:vAlign w:val="center"/>
                </w:tcPr>
                <w:p w14:paraId="13380731">
                  <w:pPr>
                    <w:keepNext w:val="0"/>
                    <w:keepLines w:val="0"/>
                    <w:pageBreakBefore w:val="0"/>
                    <w:widowControl w:val="0"/>
                    <w:suppressLineNumbers w:val="0"/>
                    <w:kinsoku/>
                    <w:wordWrap w:val="0"/>
                    <w:overflowPunct/>
                    <w:topLinePunct w:val="0"/>
                    <w:autoSpaceDN/>
                    <w:bidi w:val="0"/>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各县（市、区）要督促企业按照本方案规定的重点行业治理规范标准完成挥发性有机物深度治理，本方案未规定的，要按照《安阳市重点行业挥发性有机物（</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VOCs</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）控制治理指导意见》（安环攻坚办〔</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2017</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439</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号）完成挥发性有机物深度治理。</w:t>
                  </w:r>
                </w:p>
              </w:tc>
              <w:tc>
                <w:tcPr>
                  <w:tcW w:w="1519" w:type="pct"/>
                  <w:tcBorders>
                    <w:tl2br w:val="nil"/>
                    <w:tr2bl w:val="nil"/>
                  </w:tcBorders>
                  <w:noWrap w:val="0"/>
                  <w:vAlign w:val="center"/>
                </w:tcPr>
                <w:p w14:paraId="2A07F96F">
                  <w:pPr>
                    <w:keepNext w:val="0"/>
                    <w:keepLines w:val="0"/>
                    <w:pageBreakBefore w:val="0"/>
                    <w:widowControl w:val="0"/>
                    <w:suppressLineNumbers w:val="0"/>
                    <w:kinsoku/>
                    <w:wordWrap w:val="0"/>
                    <w:overflowPunct/>
                    <w:topLinePunct w:val="0"/>
                    <w:autoSpaceDN/>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符合《安阳市重点行业挥发性有机物（</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VOCs</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）控制治理指导意见》（安环攻坚办〔</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2017</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w:t>
                  </w:r>
                  <w:r>
                    <w:rPr>
                      <w:rFonts w:hint="default" w:ascii="Times New Roman" w:hAnsi="Times New Roman" w:cs="Times New Roman"/>
                      <w:color w:val="000000" w:themeColor="text1"/>
                      <w:kern w:val="2"/>
                      <w:sz w:val="21"/>
                      <w:szCs w:val="21"/>
                      <w:lang w:val="en-US" w:eastAsia="zh-CN" w:bidi="ar"/>
                      <w14:textFill>
                        <w14:solidFill>
                          <w14:schemeClr w14:val="tx1"/>
                        </w14:solidFill>
                      </w14:textFill>
                    </w:rPr>
                    <w:t>439</w:t>
                  </w: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号）中相关要求。</w:t>
                  </w:r>
                </w:p>
              </w:tc>
              <w:tc>
                <w:tcPr>
                  <w:tcW w:w="432" w:type="pct"/>
                  <w:tcBorders>
                    <w:tl2br w:val="nil"/>
                    <w:tr2bl w:val="nil"/>
                  </w:tcBorders>
                  <w:noWrap w:val="0"/>
                  <w:vAlign w:val="center"/>
                </w:tcPr>
                <w:p w14:paraId="3F774907">
                  <w:pPr>
                    <w:keepNext w:val="0"/>
                    <w:keepLines w:val="0"/>
                    <w:widowControl w:val="0"/>
                    <w:suppressLineNumbers w:val="0"/>
                    <w:adjustRightInd w:val="0"/>
                    <w:spacing w:before="0" w:beforeAutospacing="0" w:after="0" w:afterAutospacing="0" w:line="240" w:lineRule="auto"/>
                    <w:ind w:left="0" w:right="0"/>
                    <w:jc w:val="center"/>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相符</w:t>
                  </w:r>
                </w:p>
              </w:tc>
            </w:tr>
            <w:tr w14:paraId="7829B7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50" w:type="pct"/>
                  <w:vMerge w:val="restart"/>
                  <w:tcBorders>
                    <w:tl2br w:val="nil"/>
                    <w:tr2bl w:val="nil"/>
                  </w:tcBorders>
                  <w:noWrap w:val="0"/>
                  <w:vAlign w:val="center"/>
                </w:tcPr>
                <w:p w14:paraId="73D877AE">
                  <w:pPr>
                    <w:keepNext w:val="0"/>
                    <w:keepLines w:val="0"/>
                    <w:pageBreakBefore w:val="0"/>
                    <w:widowControl w:val="0"/>
                    <w:suppressLineNumbers w:val="0"/>
                    <w:kinsoku/>
                    <w:wordWrap w:val="0"/>
                    <w:overflowPunct/>
                    <w:topLinePunct w:val="0"/>
                    <w:autoSpaceDN/>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3</w:t>
                  </w:r>
                </w:p>
              </w:tc>
              <w:tc>
                <w:tcPr>
                  <w:tcW w:w="789" w:type="pct"/>
                  <w:gridSpan w:val="2"/>
                  <w:vMerge w:val="restart"/>
                  <w:tcBorders>
                    <w:tl2br w:val="nil"/>
                    <w:tr2bl w:val="nil"/>
                  </w:tcBorders>
                  <w:noWrap w:val="0"/>
                  <w:vAlign w:val="center"/>
                </w:tcPr>
                <w:p w14:paraId="52A80F2F">
                  <w:pPr>
                    <w:keepNext w:val="0"/>
                    <w:keepLines w:val="0"/>
                    <w:pageBreakBefore w:val="0"/>
                    <w:widowControl w:val="0"/>
                    <w:suppressLineNumbers w:val="0"/>
                    <w:kinsoku/>
                    <w:wordWrap w:val="0"/>
                    <w:overflowPunct/>
                    <w:topLinePunct w:val="0"/>
                    <w:autoSpaceDN/>
                    <w:bidi w:val="0"/>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运输车辆</w:t>
                  </w:r>
                </w:p>
              </w:tc>
              <w:tc>
                <w:tcPr>
                  <w:tcW w:w="2008" w:type="pct"/>
                  <w:tcBorders>
                    <w:tl2br w:val="nil"/>
                    <w:tr2bl w:val="nil"/>
                  </w:tcBorders>
                  <w:noWrap w:val="0"/>
                  <w:vAlign w:val="center"/>
                </w:tcPr>
                <w:p w14:paraId="0441A312">
                  <w:pPr>
                    <w:keepNext w:val="0"/>
                    <w:keepLines w:val="0"/>
                    <w:pageBreakBefore w:val="0"/>
                    <w:widowControl w:val="0"/>
                    <w:suppressLineNumbers w:val="0"/>
                    <w:kinsoku/>
                    <w:wordWrap w:val="0"/>
                    <w:overflowPunct/>
                    <w:topLinePunct w:val="0"/>
                    <w:autoSpaceDN/>
                    <w:bidi w:val="0"/>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运输车辆采用国五及以上燃气、燃油机动车或新能源车运输；不得使用国三及以下燃油燃气货车运输；新购置运输车辆应符合国六排放标准或新能源车。</w:t>
                  </w:r>
                </w:p>
              </w:tc>
              <w:tc>
                <w:tcPr>
                  <w:tcW w:w="1519" w:type="pct"/>
                  <w:tcBorders>
                    <w:tl2br w:val="nil"/>
                    <w:tr2bl w:val="nil"/>
                  </w:tcBorders>
                  <w:noWrap w:val="0"/>
                  <w:vAlign w:val="center"/>
                </w:tcPr>
                <w:p w14:paraId="68EB16DB">
                  <w:pPr>
                    <w:keepNext w:val="0"/>
                    <w:keepLines w:val="0"/>
                    <w:pageBreakBefore w:val="0"/>
                    <w:widowControl w:val="0"/>
                    <w:suppressLineNumbers w:val="0"/>
                    <w:kinsoku/>
                    <w:wordWrap w:val="0"/>
                    <w:overflowPunct/>
                    <w:topLinePunct w:val="0"/>
                    <w:autoSpaceDN/>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使用符合要求的车辆运输。</w:t>
                  </w:r>
                </w:p>
              </w:tc>
              <w:tc>
                <w:tcPr>
                  <w:tcW w:w="432" w:type="pct"/>
                  <w:tcBorders>
                    <w:tl2br w:val="nil"/>
                    <w:tr2bl w:val="nil"/>
                  </w:tcBorders>
                  <w:noWrap w:val="0"/>
                  <w:vAlign w:val="center"/>
                </w:tcPr>
                <w:p w14:paraId="1A111F5C">
                  <w:pPr>
                    <w:keepNext w:val="0"/>
                    <w:keepLines w:val="0"/>
                    <w:widowControl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相符</w:t>
                  </w:r>
                </w:p>
              </w:tc>
            </w:tr>
            <w:tr w14:paraId="5B3671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50" w:type="pct"/>
                  <w:vMerge w:val="continue"/>
                  <w:tcBorders>
                    <w:tl2br w:val="nil"/>
                    <w:tr2bl w:val="nil"/>
                  </w:tcBorders>
                  <w:noWrap w:val="0"/>
                  <w:vAlign w:val="center"/>
                </w:tcPr>
                <w:p w14:paraId="06F8FE6B">
                  <w:pPr>
                    <w:keepNext w:val="0"/>
                    <w:keepLines w:val="0"/>
                    <w:pageBreakBefore w:val="0"/>
                    <w:widowControl w:val="0"/>
                    <w:suppressLineNumbers w:val="0"/>
                    <w:kinsoku/>
                    <w:wordWrap w:val="0"/>
                    <w:overflowPunct/>
                    <w:topLinePunct w:val="0"/>
                    <w:autoSpaceDN/>
                    <w:bidi w:val="0"/>
                    <w:snapToGrid/>
                    <w:spacing w:before="0" w:beforeAutospacing="0" w:after="0" w:afterAutospacing="0" w:line="240" w:lineRule="auto"/>
                    <w:ind w:left="0" w:right="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789" w:type="pct"/>
                  <w:gridSpan w:val="2"/>
                  <w:vMerge w:val="continue"/>
                  <w:tcBorders>
                    <w:tl2br w:val="nil"/>
                    <w:tr2bl w:val="nil"/>
                  </w:tcBorders>
                  <w:noWrap w:val="0"/>
                  <w:vAlign w:val="center"/>
                </w:tcPr>
                <w:p w14:paraId="7C720CB0">
                  <w:pPr>
                    <w:keepNext w:val="0"/>
                    <w:keepLines w:val="0"/>
                    <w:pageBreakBefore w:val="0"/>
                    <w:widowControl w:val="0"/>
                    <w:suppressLineNumbers w:val="0"/>
                    <w:kinsoku/>
                    <w:wordWrap w:val="0"/>
                    <w:overflowPunct/>
                    <w:topLinePunct w:val="0"/>
                    <w:autoSpaceDN/>
                    <w:bidi w:val="0"/>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2008" w:type="pct"/>
                  <w:tcBorders>
                    <w:tl2br w:val="nil"/>
                    <w:tr2bl w:val="nil"/>
                  </w:tcBorders>
                  <w:noWrap w:val="0"/>
                  <w:vAlign w:val="center"/>
                </w:tcPr>
                <w:p w14:paraId="479AA37B">
                  <w:pPr>
                    <w:keepNext w:val="0"/>
                    <w:keepLines w:val="0"/>
                    <w:pageBreakBefore w:val="0"/>
                    <w:widowControl w:val="0"/>
                    <w:suppressLineNumbers w:val="0"/>
                    <w:kinsoku/>
                    <w:wordWrap w:val="0"/>
                    <w:overflowPunct/>
                    <w:topLinePunct w:val="0"/>
                    <w:autoSpaceDN/>
                    <w:bidi w:val="0"/>
                    <w:snapToGrid/>
                    <w:spacing w:before="0" w:beforeAutospacing="0" w:after="0" w:afterAutospacing="0" w:line="240" w:lineRule="auto"/>
                    <w:ind w:left="0" w:right="0"/>
                    <w:jc w:val="both"/>
                    <w:textAlignment w:val="auto"/>
                    <w:rPr>
                      <w:rFonts w:hint="default" w:ascii="Times New Roman" w:hAnsi="Times New Roman"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燃油非道路移动机械必须符合国家第三阶段排放标准，必须使用国六标准柴油；新增和更换的装卸作业机械要采用清洁能源和新能源。</w:t>
                  </w:r>
                </w:p>
              </w:tc>
              <w:tc>
                <w:tcPr>
                  <w:tcW w:w="1519" w:type="pct"/>
                  <w:tcBorders>
                    <w:tl2br w:val="nil"/>
                    <w:tr2bl w:val="nil"/>
                  </w:tcBorders>
                  <w:noWrap w:val="0"/>
                  <w:vAlign w:val="center"/>
                </w:tcPr>
                <w:p w14:paraId="7FBF3606">
                  <w:pPr>
                    <w:keepNext w:val="0"/>
                    <w:keepLines w:val="0"/>
                    <w:pageBreakBefore w:val="0"/>
                    <w:widowControl w:val="0"/>
                    <w:suppressLineNumbers w:val="0"/>
                    <w:kinsoku/>
                    <w:wordWrap w:val="0"/>
                    <w:overflowPunct/>
                    <w:topLinePunct w:val="0"/>
                    <w:autoSpaceDN/>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使用符合要求的非道路移动机械。</w:t>
                  </w:r>
                </w:p>
              </w:tc>
              <w:tc>
                <w:tcPr>
                  <w:tcW w:w="432" w:type="pct"/>
                  <w:tcBorders>
                    <w:tl2br w:val="nil"/>
                    <w:tr2bl w:val="nil"/>
                  </w:tcBorders>
                  <w:noWrap w:val="0"/>
                  <w:vAlign w:val="center"/>
                </w:tcPr>
                <w:p w14:paraId="149B19A3">
                  <w:pPr>
                    <w:keepNext w:val="0"/>
                    <w:keepLines w:val="0"/>
                    <w:widowControl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相符</w:t>
                  </w:r>
                </w:p>
              </w:tc>
            </w:tr>
          </w:tbl>
          <w:p w14:paraId="2942C3D6">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
                <w:bCs/>
                <w:color w:val="000000" w:themeColor="text1"/>
                <w:kern w:val="2"/>
                <w:sz w:val="24"/>
                <w:szCs w:val="24"/>
                <w:highlight w:val="none"/>
                <w:u w:val="none"/>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
                <w14:textFill>
                  <w14:solidFill>
                    <w14:schemeClr w14:val="tx1"/>
                  </w14:solidFill>
                </w14:textFill>
              </w:rPr>
              <w:t>经对比分析，项目建设符合《安阳市环境污染防治攻坚战指挥部办公室关于印发安阳市</w:t>
            </w:r>
            <w:r>
              <w:rPr>
                <w:rFonts w:hint="default" w:ascii="Times New Roman" w:hAnsi="Times New Roman" w:cs="Times New Roman"/>
                <w:color w:val="000000" w:themeColor="text1"/>
                <w:kern w:val="2"/>
                <w:sz w:val="24"/>
                <w:szCs w:val="24"/>
                <w:lang w:val="en-US" w:eastAsia="zh-CN" w:bidi="ar"/>
                <w14:textFill>
                  <w14:solidFill>
                    <w14:schemeClr w14:val="tx1"/>
                  </w14:solidFill>
                </w14:textFill>
              </w:rPr>
              <w:t>2019</w:t>
            </w:r>
            <w:r>
              <w:rPr>
                <w:rFonts w:hint="default" w:ascii="Times New Roman" w:hAnsi="Times New Roman" w:eastAsia="宋体" w:cs="Times New Roman"/>
                <w:color w:val="000000" w:themeColor="text1"/>
                <w:kern w:val="2"/>
                <w:sz w:val="24"/>
                <w:szCs w:val="24"/>
                <w:lang w:val="en-US" w:eastAsia="zh-CN" w:bidi="ar"/>
                <w14:textFill>
                  <w14:solidFill>
                    <w14:schemeClr w14:val="tx1"/>
                  </w14:solidFill>
                </w14:textFill>
              </w:rPr>
              <w:t>年工业大气污染治理</w:t>
            </w:r>
            <w:r>
              <w:rPr>
                <w:rFonts w:hint="default" w:ascii="Times New Roman" w:hAnsi="Times New Roman" w:cs="Times New Roman"/>
                <w:color w:val="000000" w:themeColor="text1"/>
                <w:kern w:val="2"/>
                <w:sz w:val="24"/>
                <w:szCs w:val="24"/>
                <w:lang w:val="en-US" w:eastAsia="zh-CN" w:bidi="ar"/>
                <w14:textFill>
                  <w14:solidFill>
                    <w14:schemeClr w14:val="tx1"/>
                  </w14:solidFill>
                </w14:textFill>
              </w:rPr>
              <w:t>5</w:t>
            </w:r>
            <w:r>
              <w:rPr>
                <w:rFonts w:hint="default" w:ascii="Times New Roman" w:hAnsi="Times New Roman" w:eastAsia="宋体" w:cs="Times New Roman"/>
                <w:color w:val="000000" w:themeColor="text1"/>
                <w:kern w:val="2"/>
                <w:sz w:val="24"/>
                <w:szCs w:val="24"/>
                <w:lang w:val="en-US" w:eastAsia="zh-CN" w:bidi="ar"/>
                <w14:textFill>
                  <w14:solidFill>
                    <w14:schemeClr w14:val="tx1"/>
                  </w14:solidFill>
                </w14:textFill>
              </w:rPr>
              <w:t>个专项实施方案的通知》（安环攻坚办〔</w:t>
            </w:r>
            <w:r>
              <w:rPr>
                <w:rFonts w:hint="default" w:ascii="Times New Roman" w:hAnsi="Times New Roman" w:cs="Times New Roman"/>
                <w:color w:val="000000" w:themeColor="text1"/>
                <w:kern w:val="2"/>
                <w:sz w:val="24"/>
                <w:szCs w:val="24"/>
                <w:lang w:val="en-US" w:eastAsia="zh-CN" w:bidi="ar"/>
                <w14:textFill>
                  <w14:solidFill>
                    <w14:schemeClr w14:val="tx1"/>
                  </w14:solidFill>
                </w14:textFill>
              </w:rPr>
              <w:t>2019</w:t>
            </w:r>
            <w:r>
              <w:rPr>
                <w:rFonts w:hint="default" w:ascii="Times New Roman" w:hAnsi="Times New Roman" w:eastAsia="宋体" w:cs="Times New Roman"/>
                <w:color w:val="000000" w:themeColor="text1"/>
                <w:kern w:val="2"/>
                <w:sz w:val="24"/>
                <w:szCs w:val="24"/>
                <w:lang w:val="en-US" w:eastAsia="zh-CN" w:bidi="ar"/>
                <w14:textFill>
                  <w14:solidFill>
                    <w14:schemeClr w14:val="tx1"/>
                  </w14:solidFill>
                </w14:textFill>
              </w:rPr>
              <w:t>〕</w:t>
            </w:r>
            <w:r>
              <w:rPr>
                <w:rFonts w:hint="default" w:ascii="Times New Roman" w:hAnsi="Times New Roman" w:cs="Times New Roman"/>
                <w:color w:val="000000" w:themeColor="text1"/>
                <w:kern w:val="2"/>
                <w:sz w:val="24"/>
                <w:szCs w:val="24"/>
                <w:lang w:val="en-US" w:eastAsia="zh-CN" w:bidi="ar"/>
                <w14:textFill>
                  <w14:solidFill>
                    <w14:schemeClr w14:val="tx1"/>
                  </w14:solidFill>
                </w14:textFill>
              </w:rPr>
              <w:t>196</w:t>
            </w:r>
            <w:r>
              <w:rPr>
                <w:rFonts w:hint="default" w:ascii="Times New Roman" w:hAnsi="Times New Roman" w:eastAsia="宋体" w:cs="Times New Roman"/>
                <w:color w:val="000000" w:themeColor="text1"/>
                <w:kern w:val="2"/>
                <w:sz w:val="24"/>
                <w:szCs w:val="24"/>
                <w:lang w:val="en-US" w:eastAsia="zh-CN" w:bidi="ar"/>
                <w14:textFill>
                  <w14:solidFill>
                    <w14:schemeClr w14:val="tx1"/>
                  </w14:solidFill>
                </w14:textFill>
              </w:rPr>
              <w:t>号）中相关要求。</w:t>
            </w:r>
          </w:p>
          <w:p w14:paraId="28B0C715">
            <w:pPr>
              <w:keepNext w:val="0"/>
              <w:keepLines w:val="0"/>
              <w:pageBreakBefore w:val="0"/>
              <w:widowControl w:val="0"/>
              <w:numPr>
                <w:ilvl w:val="0"/>
                <w:numId w:val="0"/>
              </w:numPr>
              <w:suppressLineNumbers w:val="0"/>
              <w:tabs>
                <w:tab w:val="left" w:pos="229"/>
              </w:tabs>
              <w:kinsoku/>
              <w:wordWrap/>
              <w:overflowPunct/>
              <w:topLinePunct w:val="0"/>
              <w:autoSpaceDE/>
              <w:autoSpaceDN/>
              <w:bidi w:val="0"/>
              <w:adjustRightInd w:val="0"/>
              <w:snapToGrid w:val="0"/>
              <w:spacing w:before="0" w:beforeAutospacing="0" w:after="0" w:afterAutospacing="0" w:line="360" w:lineRule="auto"/>
              <w:ind w:left="0" w:leftChars="0" w:right="0" w:rightChars="0"/>
              <w:jc w:val="left"/>
              <w:textAlignment w:val="auto"/>
              <w:rPr>
                <w:rFonts w:hint="default" w:ascii="Times New Roman" w:hAnsi="Times New Roman" w:eastAsia="宋体" w:cs="Times New Roman"/>
                <w:color w:val="000000" w:themeColor="text1"/>
                <w:kern w:val="2"/>
                <w:sz w:val="24"/>
                <w:szCs w:val="24"/>
                <w:highlight w:val="none"/>
                <w:u w:val="none"/>
                <w:lang w:val="en-US" w:eastAsia="zh-CN" w:bidi="ar"/>
                <w14:textFill>
                  <w14:solidFill>
                    <w14:schemeClr w14:val="tx1"/>
                  </w14:solidFill>
                </w14:textFill>
              </w:rPr>
            </w:pPr>
            <w:r>
              <w:rPr>
                <w:rFonts w:hint="eastAsia" w:cs="Times New Roman"/>
                <w:b/>
                <w:color w:val="000000" w:themeColor="text1"/>
                <w:sz w:val="24"/>
                <w:szCs w:val="24"/>
                <w:highlight w:val="none"/>
                <w:lang w:val="en-US" w:eastAsia="zh-CN"/>
                <w14:textFill>
                  <w14:solidFill>
                    <w14:schemeClr w14:val="tx1"/>
                  </w14:solidFill>
                </w14:textFill>
              </w:rPr>
              <w:t>6</w:t>
            </w:r>
            <w:r>
              <w:rPr>
                <w:rFonts w:hint="eastAsia" w:ascii="Times New Roman" w:hAnsi="Times New Roman" w:eastAsia="宋体" w:cs="Times New Roman"/>
                <w:b/>
                <w:color w:val="000000" w:themeColor="text1"/>
                <w:sz w:val="24"/>
                <w:szCs w:val="24"/>
                <w:highlight w:val="none"/>
                <w:lang w:val="en-US" w:eastAsia="zh-CN"/>
                <w14:textFill>
                  <w14:solidFill>
                    <w14:schemeClr w14:val="tx1"/>
                  </w14:solidFill>
                </w14:textFill>
              </w:rPr>
              <w:t>.项目</w:t>
            </w:r>
            <w:r>
              <w:rPr>
                <w:rFonts w:hint="default" w:ascii="Times New Roman" w:hAnsi="Times New Roman" w:eastAsia="宋体" w:cs="Times New Roman"/>
                <w:b/>
                <w:bCs/>
                <w:color w:val="000000" w:themeColor="text1"/>
                <w:kern w:val="0"/>
                <w:sz w:val="24"/>
                <w:szCs w:val="24"/>
                <w:highlight w:val="none"/>
                <w:u w:val="none"/>
                <w:lang w:val="en-US" w:eastAsia="zh-CN" w:bidi="ar"/>
                <w14:textFill>
                  <w14:solidFill>
                    <w14:schemeClr w14:val="tx1"/>
                  </w14:solidFill>
                </w14:textFill>
              </w:rPr>
              <w:t>与生态环境系统安全生产治本攻坚行动方案相符性分析</w:t>
            </w:r>
          </w:p>
          <w:p w14:paraId="7C16402C">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00" w:themeColor="text1"/>
                <w:kern w:val="2"/>
                <w:sz w:val="24"/>
                <w:szCs w:val="24"/>
                <w:highlight w:val="none"/>
                <w:u w:val="single"/>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u w:val="none"/>
                <w:lang w:val="en-US" w:eastAsia="zh-CN" w:bidi="ar"/>
                <w14:textFill>
                  <w14:solidFill>
                    <w14:schemeClr w14:val="tx1"/>
                  </w14:solidFill>
                </w14:textFill>
              </w:rPr>
              <w:t>按照《河南省安全生产治本攻坚三年行动方案</w:t>
            </w:r>
            <w:r>
              <w:rPr>
                <w:rFonts w:hint="eastAsia" w:cs="Times New Roman"/>
                <w:color w:val="000000" w:themeColor="text1"/>
                <w:kern w:val="2"/>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u w:val="none"/>
                <w:lang w:val="en-US" w:eastAsia="zh-CN" w:bidi="ar"/>
                <w14:textFill>
                  <w14:solidFill>
                    <w14:schemeClr w14:val="tx1"/>
                  </w14:solidFill>
                </w14:textFill>
              </w:rPr>
              <w:t>2024-2026年</w:t>
            </w:r>
            <w:r>
              <w:rPr>
                <w:rFonts w:hint="eastAsia" w:cs="Times New Roman"/>
                <w:color w:val="000000" w:themeColor="text1"/>
                <w:kern w:val="2"/>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u w:val="none"/>
                <w:lang w:val="en-US" w:eastAsia="zh-CN" w:bidi="ar"/>
                <w14:textFill>
                  <w14:solidFill>
                    <w14:schemeClr w14:val="tx1"/>
                  </w14:solidFill>
                </w14:textFill>
              </w:rPr>
              <w:t>生态环境系统子方案》、市安委会《安阳市安全生产治本攻坚三年行动实施细则</w:t>
            </w:r>
            <w:r>
              <w:rPr>
                <w:rFonts w:hint="eastAsia" w:cs="Times New Roman"/>
                <w:color w:val="000000" w:themeColor="text1"/>
                <w:kern w:val="2"/>
                <w:sz w:val="24"/>
                <w:szCs w:val="24"/>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u w:val="none"/>
                <w:lang w:val="en-US" w:eastAsia="zh-CN" w:bidi="ar"/>
                <w14:textFill>
                  <w14:solidFill>
                    <w14:schemeClr w14:val="tx1"/>
                  </w14:solidFill>
                </w14:textFill>
              </w:rPr>
              <w:t>2024-2026年)》总体要求，安阳市生态环境局印发了《生态环境系统安全生产治本攻坚三年行动方案</w:t>
            </w:r>
            <w:r>
              <w:rPr>
                <w:rFonts w:hint="eastAsia" w:cs="Times New Roman"/>
                <w:color w:val="000000" w:themeColor="text1"/>
                <w:kern w:val="2"/>
                <w:sz w:val="24"/>
                <w:szCs w:val="24"/>
                <w:highlight w:val="none"/>
                <w:u w:val="none"/>
                <w:lang w:val="en-US" w:eastAsia="zh-CN" w:bidi="ar"/>
                <w14:textFill>
                  <w14:solidFill>
                    <w14:schemeClr w14:val="tx1"/>
                  </w14:solidFill>
                </w14:textFill>
              </w:rPr>
              <w:t>（</w:t>
            </w:r>
            <w:r>
              <w:rPr>
                <w:rFonts w:hint="default" w:ascii="Times New Roman" w:hAnsi="Times New Roman" w:eastAsia="Times New Roman" w:cs="Times New Roman"/>
                <w:color w:val="000000" w:themeColor="text1"/>
                <w:kern w:val="2"/>
                <w:sz w:val="24"/>
                <w:szCs w:val="24"/>
                <w:highlight w:val="none"/>
                <w:u w:val="none"/>
                <w:lang w:val="en-US" w:eastAsia="zh-CN" w:bidi="ar"/>
                <w14:textFill>
                  <w14:solidFill>
                    <w14:schemeClr w14:val="tx1"/>
                  </w14:solidFill>
                </w14:textFill>
              </w:rPr>
              <w:t>2024-2026</w:t>
            </w:r>
            <w:r>
              <w:rPr>
                <w:rFonts w:hint="default" w:ascii="Times New Roman" w:hAnsi="Times New Roman" w:eastAsia="宋体" w:cs="Times New Roman"/>
                <w:color w:val="000000" w:themeColor="text1"/>
                <w:kern w:val="2"/>
                <w:sz w:val="24"/>
                <w:szCs w:val="24"/>
                <w:highlight w:val="none"/>
                <w:u w:val="none"/>
                <w:lang w:val="en-US" w:eastAsia="zh-CN" w:bidi="ar"/>
                <w14:textFill>
                  <w14:solidFill>
                    <w14:schemeClr w14:val="tx1"/>
                  </w14:solidFill>
                </w14:textFill>
              </w:rPr>
              <w:t>年）》（安环文〔2024〕62号），本项目建设内容与攻坚行动内容进行对照，相符性如下：</w:t>
            </w:r>
          </w:p>
          <w:p w14:paraId="0F624860">
            <w:pPr>
              <w:pStyle w:val="26"/>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000000" w:themeColor="text1"/>
                <w:kern w:val="0"/>
                <w:sz w:val="24"/>
                <w:szCs w:val="24"/>
                <w:highlight w:val="none"/>
                <w:u w:val="none"/>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u w:val="none"/>
                <w:lang w:val="en-US" w:eastAsia="zh-CN" w:bidi="ar"/>
                <w14:textFill>
                  <w14:solidFill>
                    <w14:schemeClr w14:val="tx1"/>
                  </w14:solidFill>
                </w14:textFill>
              </w:rPr>
              <w:t>本项目与生态环境系统安全生产治本攻坚行动方案相符性分析</w:t>
            </w:r>
          </w:p>
          <w:tbl>
            <w:tblPr>
              <w:tblStyle w:val="29"/>
              <w:tblW w:w="4999"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5"/>
              <w:gridCol w:w="872"/>
              <w:gridCol w:w="3831"/>
              <w:gridCol w:w="1483"/>
              <w:gridCol w:w="860"/>
            </w:tblGrid>
            <w:tr w14:paraId="7D53EC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3505" w:type="pct"/>
                  <w:gridSpan w:val="3"/>
                  <w:noWrap w:val="0"/>
                  <w:vAlign w:val="center"/>
                </w:tcPr>
                <w:p w14:paraId="531BB53D">
                  <w:pPr>
                    <w:pStyle w:val="26"/>
                    <w:keepNext w:val="0"/>
                    <w:keepLines w:val="0"/>
                    <w:widowControl w:val="0"/>
                    <w:suppressLineNumbers w:val="0"/>
                    <w:autoSpaceDE w:val="0"/>
                    <w:autoSpaceDN/>
                    <w:adjustRightInd w:val="0"/>
                    <w:snapToGrid w:val="0"/>
                    <w:spacing w:before="0" w:beforeAutospacing="0" w:after="0" w:afterAutospacing="0"/>
                    <w:ind w:left="0" w:right="0" w:firstLine="0" w:firstLineChars="0"/>
                    <w:jc w:val="center"/>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攻坚任务</w:t>
                  </w:r>
                </w:p>
              </w:tc>
              <w:tc>
                <w:tcPr>
                  <w:tcW w:w="945" w:type="pct"/>
                  <w:noWrap w:val="0"/>
                  <w:vAlign w:val="center"/>
                </w:tcPr>
                <w:p w14:paraId="6E93230E">
                  <w:pPr>
                    <w:pStyle w:val="26"/>
                    <w:keepNext w:val="0"/>
                    <w:keepLines w:val="0"/>
                    <w:widowControl w:val="0"/>
                    <w:suppressLineNumbers w:val="0"/>
                    <w:autoSpaceDE w:val="0"/>
                    <w:autoSpaceDN/>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本项目</w:t>
                  </w:r>
                </w:p>
              </w:tc>
              <w:tc>
                <w:tcPr>
                  <w:tcW w:w="548" w:type="pct"/>
                  <w:noWrap w:val="0"/>
                  <w:vAlign w:val="center"/>
                </w:tcPr>
                <w:p w14:paraId="21160800">
                  <w:pPr>
                    <w:pStyle w:val="26"/>
                    <w:keepNext w:val="0"/>
                    <w:keepLines w:val="0"/>
                    <w:widowControl w:val="0"/>
                    <w:suppressLineNumbers w:val="0"/>
                    <w:autoSpaceDE w:val="0"/>
                    <w:autoSpaceDN/>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相符性</w:t>
                  </w:r>
                </w:p>
              </w:tc>
            </w:tr>
            <w:tr w14:paraId="11540C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7" w:type="pct"/>
                  <w:noWrap w:val="0"/>
                  <w:vAlign w:val="center"/>
                </w:tcPr>
                <w:p w14:paraId="66422AA7">
                  <w:pPr>
                    <w:pStyle w:val="26"/>
                    <w:keepNext w:val="0"/>
                    <w:keepLines w:val="0"/>
                    <w:widowControl w:val="0"/>
                    <w:suppressLineNumbers w:val="0"/>
                    <w:autoSpaceDE w:val="0"/>
                    <w:autoSpaceDN/>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000000" w:themeColor="text1"/>
                      <w:spacing w:val="0"/>
                      <w:kern w:val="2"/>
                      <w:sz w:val="21"/>
                      <w:szCs w:val="21"/>
                      <w14:textFill>
                        <w14:solidFill>
                          <w14:schemeClr w14:val="tx1"/>
                        </w14:solidFill>
                      </w14:textFill>
                    </w:rPr>
                  </w:pPr>
                  <w:r>
                    <w:rPr>
                      <w:rFonts w:hint="default" w:ascii="Times New Roman" w:hAnsi="Times New Roman" w:eastAsia="宋体" w:cs="Times New Roman"/>
                      <w:color w:val="000000" w:themeColor="text1"/>
                      <w:spacing w:val="0"/>
                      <w:kern w:val="2"/>
                      <w:sz w:val="21"/>
                      <w:szCs w:val="21"/>
                      <w:lang w:val="en-US" w:eastAsia="zh-CN" w:bidi="ar"/>
                      <w14:textFill>
                        <w14:solidFill>
                          <w14:schemeClr w14:val="tx1"/>
                        </w14:solidFill>
                      </w14:textFill>
                    </w:rPr>
                    <w:t>（四）强化重点环保设施设备环境风险监管</w:t>
                  </w:r>
                </w:p>
              </w:tc>
              <w:tc>
                <w:tcPr>
                  <w:tcW w:w="556" w:type="pct"/>
                  <w:noWrap w:val="0"/>
                  <w:vAlign w:val="center"/>
                </w:tcPr>
                <w:p w14:paraId="270740FC">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pacing w:val="0"/>
                      <w:kern w:val="2"/>
                      <w:sz w:val="21"/>
                      <w:szCs w:val="21"/>
                      <w14:textFill>
                        <w14:solidFill>
                          <w14:schemeClr w14:val="tx1"/>
                        </w14:solidFill>
                      </w14:textFill>
                    </w:rPr>
                  </w:pPr>
                  <w:r>
                    <w:rPr>
                      <w:rFonts w:hint="default" w:ascii="Times New Roman" w:hAnsi="Times New Roman" w:eastAsia="宋体" w:cs="Times New Roman"/>
                      <w:color w:val="000000" w:themeColor="text1"/>
                      <w:spacing w:val="0"/>
                      <w:kern w:val="2"/>
                      <w:sz w:val="21"/>
                      <w:szCs w:val="21"/>
                      <w:lang w:val="en-US" w:eastAsia="zh-CN" w:bidi="ar"/>
                      <w14:textFill>
                        <w14:solidFill>
                          <w14:schemeClr w14:val="tx1"/>
                        </w14:solidFill>
                      </w14:textFill>
                    </w:rPr>
                    <w:t>强化重点环保设施、项目环境风险评估和隐患排查工作</w:t>
                  </w:r>
                </w:p>
              </w:tc>
              <w:tc>
                <w:tcPr>
                  <w:tcW w:w="2442" w:type="pct"/>
                  <w:noWrap w:val="0"/>
                  <w:vAlign w:val="center"/>
                </w:tcPr>
                <w:p w14:paraId="65469726">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kern w:val="2"/>
                      <w:sz w:val="21"/>
                      <w:szCs w:val="21"/>
                      <w14:textFill>
                        <w14:solidFill>
                          <w14:schemeClr w14:val="tx1"/>
                        </w14:solidFill>
                      </w14:textFill>
                    </w:rPr>
                  </w:pPr>
                  <w:r>
                    <w:rPr>
                      <w:rFonts w:hint="default" w:ascii="Times New Roman" w:hAnsi="Times New Roman" w:eastAsia="宋体" w:cs="Times New Roman"/>
                      <w:color w:val="auto"/>
                      <w:spacing w:val="0"/>
                      <w:kern w:val="2"/>
                      <w:sz w:val="21"/>
                      <w:szCs w:val="21"/>
                      <w:lang w:val="en-US" w:eastAsia="zh-CN" w:bidi="ar"/>
                    </w:rPr>
                    <w:t>每年4-10月组织开展检查。一是对重点排污单位的脱硫脱硝、煤改气、挥发性有机物回收、污水处理、化工行业污染物治理、粉尘治理、RT</w:t>
                  </w:r>
                  <w:r>
                    <w:rPr>
                      <w:rFonts w:hint="eastAsia" w:cs="Times New Roman"/>
                      <w:color w:val="auto"/>
                      <w:spacing w:val="0"/>
                      <w:kern w:val="2"/>
                      <w:sz w:val="21"/>
                      <w:szCs w:val="21"/>
                      <w:lang w:val="en-US" w:eastAsia="zh-CN" w:bidi="ar"/>
                    </w:rPr>
                    <w:t>O</w:t>
                  </w:r>
                  <w:r>
                    <w:rPr>
                      <w:rFonts w:hint="default" w:ascii="Times New Roman" w:hAnsi="Times New Roman" w:eastAsia="宋体" w:cs="Times New Roman"/>
                      <w:color w:val="auto"/>
                      <w:spacing w:val="0"/>
                      <w:kern w:val="2"/>
                      <w:sz w:val="21"/>
                      <w:szCs w:val="21"/>
                      <w:lang w:val="en-US" w:eastAsia="zh-CN" w:bidi="ar"/>
                    </w:rPr>
                    <w:t>焚烧炉等七类环境治理项目及其配套设施开展日常检查。二是各级生态环境部门帮扶指导辖区内涉及高温、高压、易燃易爆有毒物质等专用设施设备，工业园区污水收集管网及处理设施，危险废物贮存、利用、处置场所等重点排污单位认真做好重点环保设施及项目的安全风险评估和隐患排查治理整改工作，建立台账，对存在问题的跟踪督办，并及时通报应急管理部门。三是帮扶指导重点排污单位对排查出的问题，制定切实可行的整改方案，明确责任人和整改完成时限。</w:t>
                  </w:r>
                </w:p>
              </w:tc>
              <w:tc>
                <w:tcPr>
                  <w:tcW w:w="945" w:type="pct"/>
                  <w:noWrap w:val="0"/>
                  <w:vAlign w:val="center"/>
                </w:tcPr>
                <w:p w14:paraId="1FFB6491">
                  <w:pPr>
                    <w:pStyle w:val="26"/>
                    <w:keepNext w:val="0"/>
                    <w:keepLines w:val="0"/>
                    <w:widowControl w:val="0"/>
                    <w:suppressLineNumbers w:val="0"/>
                    <w:autoSpaceDE w:val="0"/>
                    <w:autoSpaceDN/>
                    <w:adjustRightInd w:val="0"/>
                    <w:snapToGrid w:val="0"/>
                    <w:spacing w:before="0" w:beforeAutospacing="0" w:after="0" w:afterAutospacing="0"/>
                    <w:ind w:left="0" w:right="0" w:firstLine="0" w:firstLineChars="0"/>
                    <w:jc w:val="both"/>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本项目涉及废气、废水排放。项目建成后严格按照相关要求制定废气、废水治理设施及固体废物日常管理及台账管理规范。</w:t>
                  </w:r>
                </w:p>
              </w:tc>
              <w:tc>
                <w:tcPr>
                  <w:tcW w:w="548" w:type="pct"/>
                  <w:noWrap w:val="0"/>
                  <w:vAlign w:val="center"/>
                </w:tcPr>
                <w:p w14:paraId="64F79CB9">
                  <w:pPr>
                    <w:pStyle w:val="26"/>
                    <w:keepNext w:val="0"/>
                    <w:keepLines w:val="0"/>
                    <w:widowControl w:val="0"/>
                    <w:suppressLineNumbers w:val="0"/>
                    <w:autoSpaceDE w:val="0"/>
                    <w:autoSpaceDN/>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相符</w:t>
                  </w:r>
                </w:p>
              </w:tc>
            </w:tr>
            <w:tr w14:paraId="5BBD1B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07" w:type="pct"/>
                  <w:noWrap w:val="0"/>
                  <w:vAlign w:val="center"/>
                </w:tcPr>
                <w:p w14:paraId="21FFE654">
                  <w:pPr>
                    <w:pStyle w:val="26"/>
                    <w:keepNext w:val="0"/>
                    <w:keepLines w:val="0"/>
                    <w:widowControl w:val="0"/>
                    <w:suppressLineNumbers w:val="0"/>
                    <w:autoSpaceDE w:val="0"/>
                    <w:autoSpaceDN/>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000000" w:themeColor="text1"/>
                      <w:spacing w:val="0"/>
                      <w:kern w:val="2"/>
                      <w:sz w:val="21"/>
                      <w:szCs w:val="21"/>
                      <w14:textFill>
                        <w14:solidFill>
                          <w14:schemeClr w14:val="tx1"/>
                        </w14:solidFill>
                      </w14:textFill>
                    </w:rPr>
                  </w:pPr>
                  <w:r>
                    <w:rPr>
                      <w:rFonts w:hint="default" w:ascii="Times New Roman" w:hAnsi="Times New Roman" w:eastAsia="宋体" w:cs="Times New Roman"/>
                      <w:color w:val="000000" w:themeColor="text1"/>
                      <w:spacing w:val="0"/>
                      <w:kern w:val="2"/>
                      <w:sz w:val="21"/>
                      <w:szCs w:val="21"/>
                      <w:lang w:val="en-US" w:eastAsia="zh-CN" w:bidi="ar"/>
                      <w14:textFill>
                        <w14:solidFill>
                          <w14:schemeClr w14:val="tx1"/>
                        </w14:solidFill>
                      </w14:textFill>
                    </w:rPr>
                    <w:t>(五)严格审批，守牢底线</w:t>
                  </w:r>
                </w:p>
              </w:tc>
              <w:tc>
                <w:tcPr>
                  <w:tcW w:w="2998" w:type="pct"/>
                  <w:gridSpan w:val="2"/>
                  <w:noWrap w:val="0"/>
                  <w:vAlign w:val="center"/>
                </w:tcPr>
                <w:p w14:paraId="317A9D07">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spacing w:val="0"/>
                      <w:kern w:val="2"/>
                      <w:sz w:val="21"/>
                      <w:szCs w:val="21"/>
                      <w14:textFill>
                        <w14:solidFill>
                          <w14:schemeClr w14:val="tx1"/>
                        </w14:solidFill>
                      </w14:textFill>
                    </w:rPr>
                  </w:pPr>
                  <w:r>
                    <w:rPr>
                      <w:rFonts w:hint="default" w:ascii="Times New Roman" w:hAnsi="Times New Roman" w:eastAsia="宋体" w:cs="Times New Roman"/>
                      <w:color w:val="000000" w:themeColor="text1"/>
                      <w:spacing w:val="0"/>
                      <w:kern w:val="2"/>
                      <w:sz w:val="21"/>
                      <w:szCs w:val="21"/>
                      <w:lang w:val="en-US" w:eastAsia="zh-CN" w:bidi="ar"/>
                      <w14:textFill>
                        <w14:solidFill>
                          <w14:schemeClr w14:val="tx1"/>
                        </w14:solidFill>
                      </w14:textFill>
                    </w:rPr>
                    <w:t>坚决把严把牢生态环境准入关，推动各类产业园区依法依规开展规划环评，指导督促建设项目环评提出落实环保设施安全生产的工作要求和环境风险防范措施，强化源头防控，防范环境风险。</w:t>
                  </w:r>
                </w:p>
              </w:tc>
              <w:tc>
                <w:tcPr>
                  <w:tcW w:w="945" w:type="pct"/>
                  <w:noWrap w:val="0"/>
                  <w:vAlign w:val="center"/>
                </w:tcPr>
                <w:p w14:paraId="792DA231">
                  <w:pPr>
                    <w:pStyle w:val="26"/>
                    <w:keepNext w:val="0"/>
                    <w:keepLines w:val="0"/>
                    <w:widowControl w:val="0"/>
                    <w:suppressLineNumbers w:val="0"/>
                    <w:autoSpaceDE w:val="0"/>
                    <w:autoSpaceDN/>
                    <w:adjustRightInd w:val="0"/>
                    <w:snapToGrid w:val="0"/>
                    <w:spacing w:before="0" w:beforeAutospacing="0" w:after="0" w:afterAutospacing="0"/>
                    <w:ind w:left="0" w:right="0" w:firstLine="0" w:firstLineChars="0"/>
                    <w:jc w:val="both"/>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本评价要求建设项目建成后制定严格的环保设施管理运行制度，并落实环境风险防范措施</w:t>
                  </w:r>
                </w:p>
              </w:tc>
              <w:tc>
                <w:tcPr>
                  <w:tcW w:w="548" w:type="pct"/>
                  <w:noWrap w:val="0"/>
                  <w:vAlign w:val="center"/>
                </w:tcPr>
                <w:p w14:paraId="1B732B1D">
                  <w:pPr>
                    <w:pStyle w:val="26"/>
                    <w:keepNext w:val="0"/>
                    <w:keepLines w:val="0"/>
                    <w:widowControl w:val="0"/>
                    <w:suppressLineNumbers w:val="0"/>
                    <w:autoSpaceDE w:val="0"/>
                    <w:autoSpaceDN/>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相符</w:t>
                  </w:r>
                </w:p>
              </w:tc>
            </w:tr>
          </w:tbl>
          <w:p w14:paraId="26EF21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u w:val="none"/>
                <w:lang w:val="en-US" w:eastAsia="zh-CN" w:bidi="ar"/>
                <w14:textFill>
                  <w14:solidFill>
                    <w14:schemeClr w14:val="tx1"/>
                  </w14:solidFill>
                </w14:textFill>
              </w:rPr>
              <w:t>本项目建设与《生态环境系统安全生产治本攻坚三年行动方案</w:t>
            </w:r>
            <w:r>
              <w:rPr>
                <w:rFonts w:hint="eastAsia" w:cs="Times New Roman"/>
                <w:color w:val="000000" w:themeColor="text1"/>
                <w:kern w:val="2"/>
                <w:sz w:val="24"/>
                <w:szCs w:val="24"/>
                <w:highlight w:val="none"/>
                <w:u w:val="none"/>
                <w:lang w:val="en-US" w:eastAsia="zh-CN" w:bidi="ar"/>
                <w14:textFill>
                  <w14:solidFill>
                    <w14:schemeClr w14:val="tx1"/>
                  </w14:solidFill>
                </w14:textFill>
              </w:rPr>
              <w:t>（</w:t>
            </w:r>
            <w:r>
              <w:rPr>
                <w:rFonts w:hint="default" w:ascii="Times New Roman" w:hAnsi="Times New Roman" w:eastAsia="Times New Roman" w:cs="Times New Roman"/>
                <w:color w:val="000000" w:themeColor="text1"/>
                <w:kern w:val="2"/>
                <w:sz w:val="24"/>
                <w:szCs w:val="24"/>
                <w:highlight w:val="none"/>
                <w:u w:val="none"/>
                <w:lang w:val="en-US" w:eastAsia="zh-CN" w:bidi="ar"/>
                <w14:textFill>
                  <w14:solidFill>
                    <w14:schemeClr w14:val="tx1"/>
                  </w14:solidFill>
                </w14:textFill>
              </w:rPr>
              <w:t>2024-2026</w:t>
            </w:r>
            <w:r>
              <w:rPr>
                <w:rFonts w:hint="default" w:ascii="Times New Roman" w:hAnsi="Times New Roman" w:eastAsia="宋体" w:cs="Times New Roman"/>
                <w:color w:val="000000" w:themeColor="text1"/>
                <w:kern w:val="2"/>
                <w:sz w:val="24"/>
                <w:szCs w:val="24"/>
                <w:highlight w:val="none"/>
                <w:u w:val="none"/>
                <w:lang w:val="en-US" w:eastAsia="zh-CN" w:bidi="ar"/>
                <w14:textFill>
                  <w14:solidFill>
                    <w14:schemeClr w14:val="tx1"/>
                  </w14:solidFill>
                </w14:textFill>
              </w:rPr>
              <w:t>年）》审批要求及管理要求相符。</w:t>
            </w:r>
          </w:p>
          <w:p w14:paraId="09948E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default" w:ascii="Times New Roman" w:hAnsi="Times New Roman" w:eastAsia="Times New Roman" w:cs="Times New Roman"/>
                <w:b/>
                <w:bCs/>
                <w:color w:val="000000" w:themeColor="text1"/>
                <w:sz w:val="24"/>
                <w:szCs w:val="24"/>
                <w:highlight w:val="none"/>
                <w14:textFill>
                  <w14:solidFill>
                    <w14:schemeClr w14:val="tx1"/>
                  </w14:solidFill>
                </w14:textFill>
              </w:rPr>
            </w:pPr>
            <w:r>
              <w:rPr>
                <w:rFonts w:hint="eastAsia" w:eastAsia="Times New Roman" w:cs="Times New Roman"/>
                <w:b/>
                <w:bCs/>
                <w:color w:val="000000" w:themeColor="text1"/>
                <w:sz w:val="24"/>
                <w:szCs w:val="24"/>
                <w:highlight w:val="none"/>
                <w:lang w:val="en-US" w:eastAsia="zh-CN"/>
                <w14:textFill>
                  <w14:solidFill>
                    <w14:schemeClr w14:val="tx1"/>
                  </w14:solidFill>
                </w14:textFill>
              </w:rPr>
              <w:t>7</w:t>
            </w:r>
            <w:r>
              <w:rPr>
                <w:rFonts w:hint="eastAsia" w:ascii="Times New Roman" w:hAnsi="Times New Roman" w:eastAsia="Times New Roman" w:cs="Times New Roman"/>
                <w:b/>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Times New Roman" w:cs="Times New Roman"/>
                <w:b/>
                <w:bCs/>
                <w:color w:val="000000" w:themeColor="text1"/>
                <w:sz w:val="24"/>
                <w:szCs w:val="24"/>
                <w:highlight w:val="none"/>
                <w14:textFill>
                  <w14:solidFill>
                    <w14:schemeClr w14:val="tx1"/>
                  </w14:solidFill>
                </w14:textFill>
              </w:rPr>
              <w:t>绩效分级水平分析</w:t>
            </w:r>
          </w:p>
          <w:p w14:paraId="433C9F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Times New Roman" w:cs="Times New Roman"/>
                <w:b/>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参照</w:t>
            </w:r>
            <w:r>
              <w:rPr>
                <w:rFonts w:hint="default" w:ascii="Times New Roman" w:hAnsi="Times New Roman" w:eastAsia="Times New Roman" w:cs="Times New Roman"/>
                <w:bCs/>
                <w:color w:val="000000" w:themeColor="text1"/>
                <w:sz w:val="24"/>
                <w:szCs w:val="24"/>
                <w:highlight w:val="none"/>
                <w14:textFill>
                  <w14:solidFill>
                    <w14:schemeClr w14:val="tx1"/>
                  </w14:solidFill>
                </w14:textFill>
              </w:rPr>
              <w:t>《河南省重污染天气</w:t>
            </w: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重点</w:t>
            </w:r>
            <w:r>
              <w:rPr>
                <w:rFonts w:hint="default" w:ascii="Times New Roman" w:hAnsi="Times New Roman" w:eastAsia="Times New Roman" w:cs="Times New Roman"/>
                <w:bCs/>
                <w:color w:val="000000" w:themeColor="text1"/>
                <w:sz w:val="24"/>
                <w:szCs w:val="24"/>
                <w:highlight w:val="none"/>
                <w14:textFill>
                  <w14:solidFill>
                    <w14:schemeClr w14:val="tx1"/>
                  </w14:solidFill>
                </w14:textFill>
              </w:rPr>
              <w:t>行业应急减排措施制定技术指南（202</w:t>
            </w: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4</w:t>
            </w:r>
            <w:r>
              <w:rPr>
                <w:rFonts w:hint="default" w:ascii="Times New Roman" w:hAnsi="Times New Roman" w:eastAsia="Times New Roman" w:cs="Times New Roman"/>
                <w:bCs/>
                <w:color w:val="000000" w:themeColor="text1"/>
                <w:sz w:val="24"/>
                <w:szCs w:val="24"/>
                <w:highlight w:val="none"/>
                <w14:textFill>
                  <w14:solidFill>
                    <w14:schemeClr w14:val="tx1"/>
                  </w14:solidFill>
                </w14:textFill>
              </w:rPr>
              <w:t>年版）》</w:t>
            </w: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中塑料制品行业企业A级指标</w:t>
            </w:r>
            <w:r>
              <w:rPr>
                <w:rFonts w:hint="default" w:ascii="Times New Roman" w:hAnsi="Times New Roman" w:eastAsia="Times New Roman" w:cs="Times New Roman"/>
                <w:bCs/>
                <w:color w:val="000000" w:themeColor="text1"/>
                <w:sz w:val="24"/>
                <w:szCs w:val="24"/>
                <w:highlight w:val="none"/>
                <w14:textFill>
                  <w14:solidFill>
                    <w14:schemeClr w14:val="tx1"/>
                  </w14:solidFill>
                </w14:textFill>
              </w:rPr>
              <w:t>要求</w:t>
            </w:r>
            <w:r>
              <w:rPr>
                <w:rFonts w:hint="default" w:ascii="Times New Roman" w:hAnsi="Times New Roman" w:eastAsia="Times New Roman" w:cs="Times New Roman"/>
                <w:bCs/>
                <w:color w:val="000000" w:themeColor="text1"/>
                <w:sz w:val="24"/>
                <w:szCs w:val="24"/>
                <w:highlight w:val="none"/>
                <w:lang w:eastAsia="zh-CN"/>
                <w14:textFill>
                  <w14:solidFill>
                    <w14:schemeClr w14:val="tx1"/>
                  </w14:solidFill>
                </w14:textFill>
              </w:rPr>
              <w:t>，</w:t>
            </w: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对项目</w:t>
            </w:r>
            <w:r>
              <w:rPr>
                <w:rFonts w:hint="default" w:ascii="Times New Roman" w:hAnsi="Times New Roman" w:eastAsia="Times New Roman" w:cs="Times New Roman"/>
                <w:bCs/>
                <w:color w:val="000000" w:themeColor="text1"/>
                <w:sz w:val="24"/>
                <w:szCs w:val="24"/>
                <w:highlight w:val="none"/>
                <w14:textFill>
                  <w14:solidFill>
                    <w14:schemeClr w14:val="tx1"/>
                  </w14:solidFill>
                </w14:textFill>
              </w:rPr>
              <w:t>进行对比分析</w:t>
            </w:r>
            <w:r>
              <w:rPr>
                <w:rFonts w:hint="default" w:ascii="Times New Roman" w:hAnsi="Times New Roman" w:eastAsia="Times New Roman" w:cs="Times New Roman"/>
                <w:bCs/>
                <w:color w:val="000000" w:themeColor="text1"/>
                <w:sz w:val="24"/>
                <w:szCs w:val="24"/>
                <w:highlight w:val="none"/>
                <w:lang w:eastAsia="zh-CN"/>
                <w14:textFill>
                  <w14:solidFill>
                    <w14:schemeClr w14:val="tx1"/>
                  </w14:solidFill>
                </w14:textFill>
              </w:rPr>
              <w:t>，</w:t>
            </w: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具体见下表</w:t>
            </w:r>
            <w:r>
              <w:rPr>
                <w:rFonts w:hint="default" w:ascii="Times New Roman" w:hAnsi="Times New Roman" w:eastAsia="Times New Roman" w:cs="Times New Roman"/>
                <w:bCs/>
                <w:color w:val="000000" w:themeColor="text1"/>
                <w:sz w:val="24"/>
                <w:szCs w:val="24"/>
                <w:highlight w:val="none"/>
                <w14:textFill>
                  <w14:solidFill>
                    <w14:schemeClr w14:val="tx1"/>
                  </w14:solidFill>
                </w14:textFill>
              </w:rPr>
              <w:t>。</w:t>
            </w:r>
          </w:p>
          <w:p w14:paraId="766CB0D8">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Times New Roman" w:cs="Times New Roman"/>
                <w:b/>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b/>
                <w:color w:val="000000" w:themeColor="text1"/>
                <w:sz w:val="24"/>
                <w:szCs w:val="24"/>
                <w:highlight w:val="none"/>
                <w14:textFill>
                  <w14:solidFill>
                    <w14:schemeClr w14:val="tx1"/>
                  </w14:solidFill>
                </w14:textFill>
              </w:rPr>
              <w:t>塑料制品行业企业</w:t>
            </w:r>
            <w:r>
              <w:rPr>
                <w:rFonts w:hint="default" w:ascii="Times New Roman" w:hAnsi="Times New Roman" w:eastAsia="Times New Roman" w:cs="Times New Roman"/>
                <w:b/>
                <w:color w:val="000000" w:themeColor="text1"/>
                <w:sz w:val="24"/>
                <w:szCs w:val="24"/>
                <w:highlight w:val="none"/>
                <w:lang w:val="en-US" w:eastAsia="zh-CN"/>
                <w14:textFill>
                  <w14:solidFill>
                    <w14:schemeClr w14:val="tx1"/>
                  </w14:solidFill>
                </w14:textFill>
              </w:rPr>
              <w:t>A级指标</w:t>
            </w:r>
            <w:r>
              <w:rPr>
                <w:rFonts w:hint="default" w:ascii="Times New Roman" w:hAnsi="Times New Roman" w:eastAsia="Times New Roman" w:cs="Times New Roman"/>
                <w:b/>
                <w:color w:val="000000" w:themeColor="text1"/>
                <w:sz w:val="24"/>
                <w:szCs w:val="24"/>
                <w:highlight w:val="none"/>
                <w14:textFill>
                  <w14:solidFill>
                    <w14:schemeClr w14:val="tx1"/>
                  </w14:solidFill>
                </w14:textFill>
              </w:rPr>
              <w:t>要求对比分析</w:t>
            </w:r>
          </w:p>
          <w:tbl>
            <w:tblPr>
              <w:tblStyle w:val="29"/>
              <w:tblW w:w="4998" w:type="pct"/>
              <w:jc w:val="center"/>
              <w:tblBorders>
                <w:top w:val="single" w:color="auto" w:sz="4" w:space="0"/>
                <w:left w:val="none" w:color="auto" w:sz="6" w:space="0"/>
                <w:bottom w:val="single" w:color="auto" w:sz="4" w:space="0"/>
                <w:right w:val="non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494"/>
              <w:gridCol w:w="524"/>
              <w:gridCol w:w="3475"/>
              <w:gridCol w:w="2659"/>
              <w:gridCol w:w="688"/>
            </w:tblGrid>
            <w:tr w14:paraId="386F24B5">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tcBorders>
                    <w:top w:val="single" w:color="auto" w:sz="4" w:space="0"/>
                    <w:left w:val="nil"/>
                    <w:bottom w:val="single" w:color="auto" w:sz="4" w:space="0"/>
                    <w:right w:val="single" w:color="auto" w:sz="4" w:space="0"/>
                  </w:tcBorders>
                  <w:noWrap w:val="0"/>
                  <w:vAlign w:val="center"/>
                </w:tcPr>
                <w:p w14:paraId="3869E919">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Times New Roman"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差异化指标</w:t>
                  </w:r>
                </w:p>
              </w:tc>
              <w:tc>
                <w:tcPr>
                  <w:tcW w:w="2216" w:type="pct"/>
                  <w:tcBorders>
                    <w:top w:val="single" w:color="auto" w:sz="4" w:space="0"/>
                    <w:left w:val="single" w:color="auto" w:sz="4" w:space="0"/>
                    <w:bottom w:val="single" w:color="auto" w:sz="4" w:space="0"/>
                    <w:right w:val="single" w:color="auto" w:sz="4" w:space="0"/>
                  </w:tcBorders>
                  <w:noWrap w:val="0"/>
                  <w:vAlign w:val="center"/>
                </w:tcPr>
                <w:p w14:paraId="57D932FF">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Times New Roman"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A级企业要求</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2842C2AA">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Times New Roman"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企业对标情况</w:t>
                  </w:r>
                </w:p>
              </w:tc>
              <w:tc>
                <w:tcPr>
                  <w:tcW w:w="437" w:type="pct"/>
                  <w:tcBorders>
                    <w:top w:val="single" w:color="auto" w:sz="4" w:space="0"/>
                    <w:left w:val="single" w:color="auto" w:sz="4" w:space="0"/>
                    <w:bottom w:val="single" w:color="auto" w:sz="4" w:space="0"/>
                    <w:right w:val="nil"/>
                  </w:tcBorders>
                  <w:noWrap w:val="0"/>
                  <w:vAlign w:val="center"/>
                </w:tcPr>
                <w:p w14:paraId="03362537">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符合性</w:t>
                  </w:r>
                </w:p>
              </w:tc>
            </w:tr>
            <w:tr w14:paraId="1DEBCFB7">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tcBorders>
                    <w:top w:val="nil"/>
                    <w:left w:val="nil"/>
                    <w:bottom w:val="single" w:color="auto" w:sz="4" w:space="0"/>
                    <w:right w:val="single" w:color="auto" w:sz="4" w:space="0"/>
                  </w:tcBorders>
                  <w:noWrap w:val="0"/>
                  <w:vAlign w:val="center"/>
                </w:tcPr>
                <w:p w14:paraId="32C5F36E">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能源类型</w:t>
                  </w:r>
                </w:p>
              </w:tc>
              <w:tc>
                <w:tcPr>
                  <w:tcW w:w="2216" w:type="pct"/>
                  <w:tcBorders>
                    <w:top w:val="single" w:color="auto" w:sz="4" w:space="0"/>
                    <w:left w:val="single" w:color="auto" w:sz="4" w:space="0"/>
                    <w:bottom w:val="single" w:color="auto" w:sz="4" w:space="0"/>
                    <w:right w:val="single" w:color="auto" w:sz="4" w:space="0"/>
                  </w:tcBorders>
                  <w:noWrap w:val="0"/>
                  <w:vAlign w:val="center"/>
                </w:tcPr>
                <w:p w14:paraId="66115A99">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能源使用电、天然气、液化石油气等能源。</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21DAB93C">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能源使用电。</w:t>
                  </w:r>
                </w:p>
              </w:tc>
              <w:tc>
                <w:tcPr>
                  <w:tcW w:w="437" w:type="pct"/>
                  <w:tcBorders>
                    <w:top w:val="single" w:color="auto" w:sz="4" w:space="0"/>
                    <w:left w:val="single" w:color="auto" w:sz="4" w:space="0"/>
                    <w:bottom w:val="single" w:color="auto" w:sz="4" w:space="0"/>
                    <w:right w:val="nil"/>
                  </w:tcBorders>
                  <w:noWrap w:val="0"/>
                  <w:vAlign w:val="center"/>
                </w:tcPr>
                <w:p w14:paraId="0C9D8C57">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08ACDB90">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vMerge w:val="restart"/>
                  <w:tcBorders>
                    <w:top w:val="nil"/>
                    <w:left w:val="nil"/>
                    <w:bottom w:val="single" w:color="auto" w:sz="4" w:space="0"/>
                    <w:right w:val="single" w:color="auto" w:sz="4" w:space="0"/>
                  </w:tcBorders>
                  <w:noWrap w:val="0"/>
                  <w:vAlign w:val="center"/>
                </w:tcPr>
                <w:p w14:paraId="2CBDF769">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生产工艺及装备水平</w:t>
                  </w:r>
                </w:p>
              </w:tc>
              <w:tc>
                <w:tcPr>
                  <w:tcW w:w="2216" w:type="pct"/>
                  <w:tcBorders>
                    <w:top w:val="single" w:color="auto" w:sz="4" w:space="0"/>
                    <w:left w:val="single" w:color="auto" w:sz="4" w:space="0"/>
                    <w:bottom w:val="single" w:color="auto" w:sz="4" w:space="0"/>
                    <w:right w:val="single" w:color="auto" w:sz="4" w:space="0"/>
                  </w:tcBorders>
                  <w:noWrap w:val="0"/>
                  <w:vAlign w:val="center"/>
                </w:tcPr>
                <w:p w14:paraId="13E21645">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lang w:val="en-US"/>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1.属于《产业结构调整指导目录(2024年版)》鼓励类和允许类；</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6BAD1496">
                  <w:pPr>
                    <w:keepNext w:val="0"/>
                    <w:keepLines w:val="0"/>
                    <w:widowControl w:val="0"/>
                    <w:suppressLineNumbers w:val="0"/>
                    <w:snapToGrid w:val="0"/>
                    <w:spacing w:before="0" w:beforeAutospacing="0" w:after="0" w:afterAutospacing="0"/>
                    <w:ind w:left="0" w:right="0"/>
                    <w:jc w:val="both"/>
                    <w:rPr>
                      <w:rFonts w:hint="eastAsia"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eastAsia"/>
                      <w:color w:val="auto"/>
                      <w:kern w:val="0"/>
                      <w:szCs w:val="21"/>
                      <w:lang w:val="en-US" w:eastAsia="zh-CN" w:bidi="ar"/>
                    </w:rPr>
                    <w:t>1.</w:t>
                  </w:r>
                  <w:r>
                    <w:rPr>
                      <w:rFonts w:hint="eastAsia"/>
                      <w:color w:val="auto"/>
                      <w:kern w:val="0"/>
                      <w:szCs w:val="21"/>
                      <w:lang w:bidi="ar"/>
                    </w:rPr>
                    <w:t>根据《产业结构调整</w:t>
                  </w:r>
                  <w:r>
                    <w:rPr>
                      <w:rFonts w:hint="eastAsia"/>
                      <w:color w:val="auto"/>
                      <w:kern w:val="0"/>
                      <w:szCs w:val="21"/>
                      <w:lang w:eastAsia="zh-CN" w:bidi="ar"/>
                    </w:rPr>
                    <w:t>指导</w:t>
                  </w:r>
                  <w:r>
                    <w:rPr>
                      <w:rFonts w:hint="eastAsia"/>
                      <w:color w:val="auto"/>
                      <w:kern w:val="0"/>
                      <w:szCs w:val="21"/>
                      <w:lang w:bidi="ar"/>
                    </w:rPr>
                    <w:t>目录</w:t>
                  </w:r>
                  <w:r>
                    <w:rPr>
                      <w:rFonts w:hint="eastAsia"/>
                      <w:color w:val="auto"/>
                      <w:kern w:val="0"/>
                      <w:szCs w:val="21"/>
                      <w:lang w:eastAsia="zh-CN" w:bidi="ar"/>
                    </w:rPr>
                    <w:t>（</w:t>
                  </w:r>
                  <w:r>
                    <w:rPr>
                      <w:rFonts w:hint="eastAsia"/>
                      <w:color w:val="auto"/>
                      <w:kern w:val="0"/>
                      <w:szCs w:val="21"/>
                      <w:lang w:bidi="ar"/>
                    </w:rPr>
                    <w:t>20</w:t>
                  </w:r>
                  <w:r>
                    <w:rPr>
                      <w:rFonts w:hint="eastAsia"/>
                      <w:color w:val="auto"/>
                      <w:kern w:val="0"/>
                      <w:szCs w:val="21"/>
                      <w:lang w:val="en-US" w:eastAsia="zh-CN" w:bidi="ar"/>
                    </w:rPr>
                    <w:t>24</w:t>
                  </w:r>
                  <w:r>
                    <w:rPr>
                      <w:rFonts w:hint="eastAsia"/>
                      <w:color w:val="auto"/>
                      <w:kern w:val="0"/>
                      <w:szCs w:val="21"/>
                      <w:lang w:bidi="ar"/>
                    </w:rPr>
                    <w:t>年本</w:t>
                  </w:r>
                  <w:r>
                    <w:rPr>
                      <w:rFonts w:hint="eastAsia"/>
                      <w:color w:val="auto"/>
                      <w:kern w:val="0"/>
                      <w:szCs w:val="21"/>
                      <w:lang w:eastAsia="zh-CN" w:bidi="ar"/>
                    </w:rPr>
                    <w:t>）</w:t>
                  </w:r>
                  <w:r>
                    <w:rPr>
                      <w:rFonts w:hint="eastAsia"/>
                      <w:color w:val="auto"/>
                      <w:kern w:val="0"/>
                      <w:szCs w:val="21"/>
                      <w:lang w:bidi="ar"/>
                    </w:rPr>
                    <w:t>》的规定，本项目</w:t>
                  </w:r>
                  <w:r>
                    <w:rPr>
                      <w:rFonts w:hint="eastAsia"/>
                      <w:color w:val="auto"/>
                      <w:kern w:val="0"/>
                      <w:szCs w:val="21"/>
                      <w:lang w:eastAsia="zh-CN" w:bidi="ar"/>
                    </w:rPr>
                    <w:t>不属于淘汰类、限制类、鼓励类，为允许类</w:t>
                  </w:r>
                  <w:r>
                    <w:rPr>
                      <w:rFonts w:hint="eastAsia"/>
                      <w:color w:val="4F81BD" w:themeColor="accent1"/>
                      <w:kern w:val="0"/>
                      <w:szCs w:val="21"/>
                      <w:lang w:eastAsia="zh-CN" w:bidi="ar"/>
                      <w14:textFill>
                        <w14:solidFill>
                          <w14:schemeClr w14:val="accent1"/>
                        </w14:solidFill>
                      </w14:textFill>
                    </w:rPr>
                    <w:t>。</w:t>
                  </w:r>
                </w:p>
              </w:tc>
              <w:tc>
                <w:tcPr>
                  <w:tcW w:w="437" w:type="pct"/>
                  <w:tcBorders>
                    <w:top w:val="single" w:color="auto" w:sz="4" w:space="0"/>
                    <w:left w:val="single" w:color="auto" w:sz="4" w:space="0"/>
                    <w:bottom w:val="single" w:color="auto" w:sz="4" w:space="0"/>
                    <w:right w:val="nil"/>
                  </w:tcBorders>
                  <w:noWrap w:val="0"/>
                  <w:vAlign w:val="center"/>
                </w:tcPr>
                <w:p w14:paraId="10527BE8">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74C092E8">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vMerge w:val="continue"/>
                  <w:tcBorders>
                    <w:top w:val="nil"/>
                    <w:left w:val="nil"/>
                    <w:bottom w:val="single" w:color="auto" w:sz="4" w:space="0"/>
                    <w:right w:val="single" w:color="auto" w:sz="4" w:space="0"/>
                  </w:tcBorders>
                  <w:noWrap w:val="0"/>
                  <w:vAlign w:val="center"/>
                </w:tcPr>
                <w:p w14:paraId="075CE701">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tcBorders>
                    <w:top w:val="single" w:color="auto" w:sz="4" w:space="0"/>
                    <w:left w:val="single" w:color="auto" w:sz="4" w:space="0"/>
                    <w:bottom w:val="single" w:color="auto" w:sz="4" w:space="0"/>
                    <w:right w:val="single" w:color="auto" w:sz="4" w:space="0"/>
                  </w:tcBorders>
                  <w:noWrap w:val="0"/>
                  <w:vAlign w:val="center"/>
                </w:tcPr>
                <w:p w14:paraId="61CA83FB">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2.符合相关行业产业政策；</w:t>
                  </w:r>
                </w:p>
              </w:tc>
              <w:tc>
                <w:tcPr>
                  <w:tcW w:w="169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058EA1F">
                  <w:pPr>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both"/>
                    <w:textAlignment w:val="auto"/>
                    <w:rPr>
                      <w:rFonts w:hint="eastAsia" w:ascii="Times New Roman" w:hAnsi="Times New Roman" w:eastAsia="宋体" w:cs="Times New Roman"/>
                      <w:b w:val="0"/>
                      <w:bCs w:val="0"/>
                      <w:kern w:val="0"/>
                      <w:sz w:val="21"/>
                      <w:szCs w:val="21"/>
                      <w:lang w:val="en-US" w:eastAsia="zh-CN" w:bidi="ar-SA"/>
                    </w:rPr>
                  </w:pPr>
                  <w:r>
                    <w:rPr>
                      <w:rFonts w:hint="eastAsia" w:ascii="Times New Roman" w:hAnsi="Times New Roman" w:eastAsia="宋体" w:cs="Times New Roman"/>
                      <w:b w:val="0"/>
                      <w:bCs w:val="0"/>
                      <w:kern w:val="0"/>
                      <w:szCs w:val="21"/>
                      <w:lang w:val="en-US" w:eastAsia="zh-CN"/>
                    </w:rPr>
                    <w:t>2.</w:t>
                  </w:r>
                  <w:r>
                    <w:rPr>
                      <w:rFonts w:hint="eastAsia"/>
                      <w:b w:val="0"/>
                      <w:bCs w:val="0"/>
                      <w:color w:val="auto"/>
                      <w:lang w:val="en-US" w:eastAsia="zh-CN"/>
                    </w:rPr>
                    <w:t>经对比</w:t>
                  </w:r>
                  <w:r>
                    <w:rPr>
                      <w:rFonts w:hint="eastAsia"/>
                      <w:color w:val="auto"/>
                    </w:rPr>
                    <w:t>《河南省相关塑料制品禁限管理细化标准》</w:t>
                  </w:r>
                  <w:r>
                    <w:rPr>
                      <w:rFonts w:hint="eastAsia"/>
                      <w:color w:val="auto"/>
                      <w:lang w:eastAsia="zh-CN"/>
                    </w:rPr>
                    <w:t>、</w:t>
                  </w:r>
                  <w:r>
                    <w:rPr>
                      <w:rFonts w:hint="eastAsia"/>
                      <w:color w:val="auto"/>
                    </w:rPr>
                    <w:t>《河南省人民政府关于印发河南省禁止和限制不可降解一次性塑料制品名录的通知》</w:t>
                  </w:r>
                  <w:r>
                    <w:rPr>
                      <w:rFonts w:hint="eastAsia"/>
                      <w:color w:val="auto"/>
                      <w:lang w:eastAsia="zh-CN"/>
                    </w:rPr>
                    <w:t>，</w:t>
                  </w:r>
                  <w:r>
                    <w:rPr>
                      <w:rFonts w:hint="eastAsia"/>
                      <w:color w:val="auto"/>
                      <w:lang w:val="en-US" w:eastAsia="zh-CN"/>
                    </w:rPr>
                    <w:t>项目产品不属于</w:t>
                  </w:r>
                  <w:r>
                    <w:rPr>
                      <w:rFonts w:hint="eastAsia"/>
                      <w:color w:val="auto"/>
                    </w:rPr>
                    <w:t>禁限塑料制品</w:t>
                  </w:r>
                  <w:r>
                    <w:rPr>
                      <w:rFonts w:hint="eastAsia"/>
                      <w:color w:val="auto"/>
                      <w:lang w:eastAsia="zh-CN"/>
                    </w:rPr>
                    <w:t>。</w:t>
                  </w:r>
                </w:p>
              </w:tc>
              <w:tc>
                <w:tcPr>
                  <w:tcW w:w="437" w:type="pct"/>
                  <w:tcBorders>
                    <w:top w:val="single" w:color="auto" w:sz="4" w:space="0"/>
                    <w:left w:val="single" w:color="auto" w:sz="4" w:space="0"/>
                    <w:bottom w:val="single" w:color="auto" w:sz="4" w:space="0"/>
                    <w:right w:val="nil"/>
                  </w:tcBorders>
                  <w:noWrap w:val="0"/>
                  <w:vAlign w:val="center"/>
                </w:tcPr>
                <w:p w14:paraId="7249C0D1">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74DFCAA7">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vMerge w:val="continue"/>
                  <w:tcBorders>
                    <w:top w:val="nil"/>
                    <w:left w:val="nil"/>
                    <w:bottom w:val="single" w:color="auto" w:sz="4" w:space="0"/>
                    <w:right w:val="single" w:color="auto" w:sz="4" w:space="0"/>
                  </w:tcBorders>
                  <w:noWrap w:val="0"/>
                  <w:vAlign w:val="center"/>
                </w:tcPr>
                <w:p w14:paraId="1A3CE487">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tcBorders>
                    <w:top w:val="single" w:color="auto" w:sz="4" w:space="0"/>
                    <w:left w:val="single" w:color="auto" w:sz="4" w:space="0"/>
                    <w:bottom w:val="single" w:color="auto" w:sz="4" w:space="0"/>
                    <w:right w:val="single" w:color="auto" w:sz="4" w:space="0"/>
                  </w:tcBorders>
                  <w:noWrap w:val="0"/>
                  <w:vAlign w:val="center"/>
                </w:tcPr>
                <w:p w14:paraId="01B0A7C4">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3.符合河南省相关政策要求；</w:t>
                  </w:r>
                </w:p>
              </w:tc>
              <w:tc>
                <w:tcPr>
                  <w:tcW w:w="169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90804A7">
                  <w:pPr>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both"/>
                    <w:textAlignment w:val="auto"/>
                    <w:rPr>
                      <w:rFonts w:hint="eastAsia" w:ascii="Times New Roman" w:hAnsi="Times New Roman" w:eastAsia="宋体" w:cs="Times New Roman"/>
                      <w:b w:val="0"/>
                      <w:bCs w:val="0"/>
                      <w:kern w:val="0"/>
                      <w:sz w:val="21"/>
                      <w:szCs w:val="21"/>
                      <w:lang w:val="en-US" w:eastAsia="zh-CN" w:bidi="ar-SA"/>
                    </w:rPr>
                  </w:pPr>
                  <w:r>
                    <w:rPr>
                      <w:rFonts w:hint="eastAsia" w:ascii="Times New Roman" w:hAnsi="Times New Roman" w:eastAsia="宋体" w:cs="Times New Roman"/>
                      <w:b w:val="0"/>
                      <w:bCs w:val="0"/>
                      <w:kern w:val="0"/>
                      <w:szCs w:val="21"/>
                      <w:lang w:val="en-US" w:eastAsia="zh-CN"/>
                    </w:rPr>
                    <w:t>3.项目</w:t>
                  </w:r>
                  <w:r>
                    <w:rPr>
                      <w:rFonts w:hint="eastAsia"/>
                      <w:color w:val="auto"/>
                      <w:szCs w:val="21"/>
                    </w:rPr>
                    <w:t>按照河南省“塑料制品企业”A级</w:t>
                  </w:r>
                  <w:r>
                    <w:rPr>
                      <w:rFonts w:hint="eastAsia"/>
                      <w:color w:val="auto"/>
                      <w:szCs w:val="21"/>
                      <w:lang w:val="en-US" w:eastAsia="zh-CN"/>
                    </w:rPr>
                    <w:t>绩效</w:t>
                  </w:r>
                  <w:r>
                    <w:rPr>
                      <w:rFonts w:hint="eastAsia"/>
                      <w:color w:val="auto"/>
                      <w:szCs w:val="21"/>
                    </w:rPr>
                    <w:t>指标要求进行建设</w:t>
                  </w:r>
                  <w:r>
                    <w:rPr>
                      <w:rFonts w:hint="eastAsia"/>
                      <w:color w:val="auto"/>
                      <w:szCs w:val="21"/>
                      <w:lang w:eastAsia="zh-CN"/>
                    </w:rPr>
                    <w:t>。</w:t>
                  </w:r>
                </w:p>
              </w:tc>
              <w:tc>
                <w:tcPr>
                  <w:tcW w:w="437" w:type="pct"/>
                  <w:tcBorders>
                    <w:top w:val="single" w:color="auto" w:sz="4" w:space="0"/>
                    <w:left w:val="single" w:color="auto" w:sz="4" w:space="0"/>
                    <w:bottom w:val="single" w:color="auto" w:sz="4" w:space="0"/>
                    <w:right w:val="nil"/>
                  </w:tcBorders>
                  <w:noWrap w:val="0"/>
                  <w:vAlign w:val="center"/>
                </w:tcPr>
                <w:p w14:paraId="52A554F4">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47F4B5DD">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vMerge w:val="continue"/>
                  <w:tcBorders>
                    <w:top w:val="nil"/>
                    <w:left w:val="nil"/>
                    <w:bottom w:val="single" w:color="auto" w:sz="4" w:space="0"/>
                    <w:right w:val="single" w:color="auto" w:sz="4" w:space="0"/>
                  </w:tcBorders>
                  <w:noWrap w:val="0"/>
                  <w:vAlign w:val="center"/>
                </w:tcPr>
                <w:p w14:paraId="2A0C5FDC">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tcBorders>
                    <w:top w:val="single" w:color="auto" w:sz="4" w:space="0"/>
                    <w:left w:val="single" w:color="auto" w:sz="4" w:space="0"/>
                    <w:bottom w:val="single" w:color="auto" w:sz="4" w:space="0"/>
                    <w:right w:val="single" w:color="auto" w:sz="4" w:space="0"/>
                  </w:tcBorders>
                  <w:noWrap w:val="0"/>
                  <w:vAlign w:val="center"/>
                </w:tcPr>
                <w:p w14:paraId="0B5D0DAA">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4.符合市级规划。</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23D55E98">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eastAsia" w:ascii="Times New Roman" w:hAnsi="Times New Roman" w:eastAsia="宋体" w:cs="Times New Roman"/>
                      <w:b w:val="0"/>
                      <w:bCs w:val="0"/>
                      <w:kern w:val="0"/>
                      <w:szCs w:val="21"/>
                      <w:lang w:val="en-US" w:eastAsia="zh-CN"/>
                    </w:rPr>
                    <w:t>4.</w:t>
                  </w:r>
                  <w:r>
                    <w:rPr>
                      <w:rFonts w:hint="default" w:ascii="Times New Roman" w:hAnsi="Times New Roman" w:eastAsia="宋体" w:cs="Times New Roman"/>
                      <w:b w:val="0"/>
                      <w:bCs w:val="0"/>
                      <w:kern w:val="0"/>
                      <w:szCs w:val="21"/>
                    </w:rPr>
                    <w:t>符合</w:t>
                  </w:r>
                  <w:r>
                    <w:rPr>
                      <w:rFonts w:hint="eastAsia"/>
                      <w:color w:val="auto"/>
                    </w:rPr>
                    <w:t>汤阴县产业集聚区发展规划</w:t>
                  </w:r>
                  <w:r>
                    <w:rPr>
                      <w:rFonts w:hint="eastAsia" w:eastAsia="宋体" w:cs="Times New Roman"/>
                      <w:b w:val="0"/>
                      <w:bCs w:val="0"/>
                      <w:kern w:val="0"/>
                      <w:szCs w:val="21"/>
                      <w:lang w:eastAsia="zh-CN"/>
                    </w:rPr>
                    <w:t>。</w:t>
                  </w:r>
                </w:p>
              </w:tc>
              <w:tc>
                <w:tcPr>
                  <w:tcW w:w="437" w:type="pct"/>
                  <w:tcBorders>
                    <w:top w:val="single" w:color="auto" w:sz="4" w:space="0"/>
                    <w:left w:val="single" w:color="auto" w:sz="4" w:space="0"/>
                    <w:bottom w:val="single" w:color="auto" w:sz="4" w:space="0"/>
                    <w:right w:val="nil"/>
                  </w:tcBorders>
                  <w:noWrap w:val="0"/>
                  <w:vAlign w:val="center"/>
                </w:tcPr>
                <w:p w14:paraId="3828B76B">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40836158">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49" w:type="pct"/>
                  <w:gridSpan w:val="2"/>
                  <w:vMerge w:val="restart"/>
                  <w:tcBorders>
                    <w:top w:val="nil"/>
                    <w:left w:val="nil"/>
                    <w:bottom w:val="single" w:color="auto" w:sz="4" w:space="0"/>
                    <w:right w:val="single" w:color="auto" w:sz="4" w:space="0"/>
                  </w:tcBorders>
                  <w:noWrap w:val="0"/>
                  <w:vAlign w:val="center"/>
                </w:tcPr>
                <w:p w14:paraId="651610EB">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废气收集及处理工艺</w:t>
                  </w:r>
                </w:p>
              </w:tc>
              <w:tc>
                <w:tcPr>
                  <w:tcW w:w="2216" w:type="pct"/>
                  <w:tcBorders>
                    <w:top w:val="single" w:color="auto" w:sz="4" w:space="0"/>
                    <w:left w:val="single" w:color="auto" w:sz="4" w:space="0"/>
                    <w:right w:val="single" w:color="auto" w:sz="4" w:space="0"/>
                  </w:tcBorders>
                  <w:noWrap w:val="0"/>
                  <w:vAlign w:val="center"/>
                </w:tcPr>
                <w:p w14:paraId="5DBF2B47">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1.投料、挤塑、注塑、滚塑、吹塑、挤出、造粒、热定型、冷却、发泡、熟化、干燥、塑炼、压延、涂覆等涉VOCs工序采用密闭设备或在密闭空间内操作，废气有效收集至</w:t>
                  </w:r>
                  <w:r>
                    <w:rPr>
                      <w:rFonts w:hint="eastAsia" w:cs="Times New Roman"/>
                      <w:bCs/>
                      <w:color w:val="000000" w:themeColor="text1"/>
                      <w:kern w:val="2"/>
                      <w:sz w:val="21"/>
                      <w:szCs w:val="21"/>
                      <w:lang w:val="en-US" w:eastAsia="zh-CN" w:bidi="ar"/>
                      <w14:textFill>
                        <w14:solidFill>
                          <w14:schemeClr w14:val="tx1"/>
                        </w14:solidFill>
                      </w14:textFill>
                    </w:rPr>
                    <w:t>VOCs</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处理系统，车间外无异味；采用局部集气罩的，距集气罩开口面最远处的VOCs无组织排放位置，控制风速不低于0.3米/秒；</w:t>
                  </w:r>
                </w:p>
              </w:tc>
              <w:tc>
                <w:tcPr>
                  <w:tcW w:w="1696" w:type="pct"/>
                  <w:tcBorders>
                    <w:top w:val="single" w:color="auto" w:sz="4" w:space="0"/>
                    <w:left w:val="single" w:color="auto" w:sz="4" w:space="0"/>
                    <w:right w:val="single" w:color="auto" w:sz="4" w:space="0"/>
                  </w:tcBorders>
                  <w:noWrap w:val="0"/>
                  <w:vAlign w:val="center"/>
                </w:tcPr>
                <w:p w14:paraId="724F0C74">
                  <w:pPr>
                    <w:keepNext w:val="0"/>
                    <w:keepLines w:val="0"/>
                    <w:widowControl w:val="0"/>
                    <w:suppressLineNumbers w:val="0"/>
                    <w:autoSpaceDE w:val="0"/>
                    <w:autoSpaceDN/>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项目涉</w:t>
                  </w:r>
                  <w:r>
                    <w:rPr>
                      <w:rFonts w:hint="default" w:ascii="Times New Roman" w:hAnsi="Times New Roman" w:eastAsia="Times New Roman" w:cs="Times New Roman"/>
                      <w:bCs/>
                      <w:color w:val="000000" w:themeColor="text1"/>
                      <w:kern w:val="2"/>
                      <w:sz w:val="21"/>
                      <w:szCs w:val="21"/>
                      <w:lang w:val="en-US" w:eastAsia="zh-CN" w:bidi="ar"/>
                      <w14:textFill>
                        <w14:solidFill>
                          <w14:schemeClr w14:val="tx1"/>
                        </w14:solidFill>
                      </w14:textFill>
                    </w:rPr>
                    <w:t>VOCs</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工序主要为</w:t>
                  </w:r>
                  <w:r>
                    <w:rPr>
                      <w:rFonts w:hint="eastAsia" w:cs="Times New Roman"/>
                      <w:bCs/>
                      <w:color w:val="000000" w:themeColor="text1"/>
                      <w:kern w:val="2"/>
                      <w:sz w:val="21"/>
                      <w:szCs w:val="21"/>
                      <w:lang w:val="en-US" w:eastAsia="zh-CN" w:bidi="ar"/>
                      <w14:textFill>
                        <w14:solidFill>
                          <w14:schemeClr w14:val="tx1"/>
                        </w14:solidFill>
                      </w14:textFill>
                    </w:rPr>
                    <w:t>挤出（吹膜）、高频复合、粘合、喷码工序</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w:t>
                  </w:r>
                  <w:r>
                    <w:rPr>
                      <w:rFonts w:hint="eastAsia" w:cs="Times New Roman"/>
                      <w:bCs/>
                      <w:color w:val="000000" w:themeColor="text1"/>
                      <w:kern w:val="2"/>
                      <w:sz w:val="21"/>
                      <w:szCs w:val="21"/>
                      <w:lang w:val="en-US" w:eastAsia="zh-CN" w:bidi="ar"/>
                      <w14:textFill>
                        <w14:solidFill>
                          <w14:schemeClr w14:val="tx1"/>
                        </w14:solidFill>
                      </w14:textFill>
                    </w:rPr>
                    <w:t>涉</w:t>
                  </w:r>
                  <w:r>
                    <w:rPr>
                      <w:rFonts w:hint="default" w:ascii="Times New Roman" w:hAnsi="Times New Roman" w:eastAsia="Times New Roman" w:cs="Times New Roman"/>
                      <w:bCs/>
                      <w:color w:val="000000" w:themeColor="text1"/>
                      <w:kern w:val="2"/>
                      <w:sz w:val="21"/>
                      <w:szCs w:val="21"/>
                      <w:lang w:val="en-US" w:eastAsia="zh-CN" w:bidi="ar"/>
                      <w14:textFill>
                        <w14:solidFill>
                          <w14:schemeClr w14:val="tx1"/>
                        </w14:solidFill>
                      </w14:textFill>
                    </w:rPr>
                    <w:t>VOCs</w:t>
                  </w:r>
                  <w:r>
                    <w:rPr>
                      <w:rFonts w:hint="eastAsia" w:cs="Times New Roman"/>
                      <w:bCs/>
                      <w:color w:val="000000" w:themeColor="text1"/>
                      <w:kern w:val="2"/>
                      <w:sz w:val="21"/>
                      <w:szCs w:val="21"/>
                      <w:lang w:val="en-US" w:eastAsia="zh-CN" w:bidi="ar"/>
                      <w14:textFill>
                        <w14:solidFill>
                          <w14:schemeClr w14:val="tx1"/>
                        </w14:solidFill>
                      </w14:textFill>
                    </w:rPr>
                    <w:t>工序均</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在封闭车间进行，采用集气罩，距集气罩开口面最远处的VOCs无组织排放位置，控制风速不低于0.3米/秒，</w:t>
                  </w:r>
                  <w:r>
                    <w:rPr>
                      <w:rFonts w:hint="eastAsia"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而后</w:t>
                  </w:r>
                  <w:r>
                    <w:rPr>
                      <w:rFonts w:hint="eastAsia" w:cs="Times New Roman"/>
                      <w:b w:val="0"/>
                      <w:bCs/>
                      <w:color w:val="000000" w:themeColor="text1"/>
                      <w:kern w:val="2"/>
                      <w:sz w:val="21"/>
                      <w:szCs w:val="21"/>
                      <w:highlight w:val="none"/>
                      <w:u w:val="none"/>
                      <w:lang w:val="en-US" w:eastAsia="zh-CN" w:bidi="ar"/>
                      <w14:textFill>
                        <w14:solidFill>
                          <w14:schemeClr w14:val="tx1"/>
                        </w14:solidFill>
                      </w14:textFill>
                    </w:rPr>
                    <w:t>经</w:t>
                  </w:r>
                  <w:r>
                    <w:rPr>
                      <w:rFonts w:hint="eastAsia"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“吸</w:t>
                  </w:r>
                  <w:r>
                    <w:rPr>
                      <w:rFonts w:hint="eastAsia" w:ascii="Times New Roman" w:hAnsi="Times New Roman" w:eastAsia="宋体" w:cs="Times New Roman"/>
                      <w:bCs/>
                      <w:color w:val="000000" w:themeColor="text1"/>
                      <w:kern w:val="2"/>
                      <w:sz w:val="21"/>
                      <w:szCs w:val="21"/>
                      <w:lang w:val="en-US" w:eastAsia="zh-CN" w:bidi="ar"/>
                      <w14:textFill>
                        <w14:solidFill>
                          <w14:schemeClr w14:val="tx1"/>
                        </w14:solidFill>
                      </w14:textFill>
                    </w:rPr>
                    <w:t>附、脱附+催化燃烧”设施处理，并经过一根不低于15m的排气筒（DA001）排出，</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废气收集效果符合环保要求。</w:t>
                  </w:r>
                </w:p>
              </w:tc>
              <w:tc>
                <w:tcPr>
                  <w:tcW w:w="437" w:type="pct"/>
                  <w:tcBorders>
                    <w:top w:val="single" w:color="auto" w:sz="4" w:space="0"/>
                    <w:left w:val="single" w:color="auto" w:sz="4" w:space="0"/>
                    <w:bottom w:val="single" w:color="auto" w:sz="4" w:space="0"/>
                    <w:right w:val="nil"/>
                  </w:tcBorders>
                  <w:noWrap w:val="0"/>
                  <w:vAlign w:val="center"/>
                </w:tcPr>
                <w:p w14:paraId="450B797F">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78D85E7D">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9" w:type="pct"/>
                  <w:gridSpan w:val="2"/>
                  <w:vMerge w:val="continue"/>
                  <w:tcBorders>
                    <w:top w:val="nil"/>
                    <w:left w:val="nil"/>
                    <w:bottom w:val="single" w:color="auto" w:sz="4" w:space="0"/>
                    <w:right w:val="single" w:color="auto" w:sz="4" w:space="0"/>
                  </w:tcBorders>
                  <w:noWrap w:val="0"/>
                  <w:vAlign w:val="center"/>
                </w:tcPr>
                <w:p w14:paraId="6F14AAE3">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tcBorders>
                    <w:top w:val="single" w:color="auto" w:sz="4" w:space="0"/>
                    <w:left w:val="single" w:color="auto" w:sz="4" w:space="0"/>
                    <w:bottom w:val="single" w:color="auto" w:sz="4" w:space="0"/>
                    <w:right w:val="single" w:color="auto" w:sz="4" w:space="0"/>
                  </w:tcBorders>
                  <w:noWrap w:val="0"/>
                  <w:vAlign w:val="center"/>
                </w:tcPr>
                <w:p w14:paraId="1487B29F">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2.使用再生料的企业</w:t>
                  </w:r>
                  <w:r>
                    <w:rPr>
                      <w:rFonts w:hint="default" w:ascii="Times New Roman" w:hAnsi="Times New Roman" w:eastAsia="宋体" w:cs="Times New Roman"/>
                      <w:bCs/>
                      <w:color w:val="000000" w:themeColor="text1"/>
                      <w:kern w:val="2"/>
                      <w:sz w:val="21"/>
                      <w:szCs w:val="21"/>
                      <w:vertAlign w:val="superscript"/>
                      <w:lang w:val="en-US" w:eastAsia="zh-CN" w:bidi="ar"/>
                      <w14:textFill>
                        <w14:solidFill>
                          <w14:schemeClr w14:val="tx1"/>
                        </w14:solidFill>
                      </w14:textFill>
                    </w:rPr>
                    <w:t>【1】</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VOCs治理采用燃烧工艺（包括直接燃烧、催化燃烧和蓄热燃烧）；使用原生料的企业VOCs治理采用燃烧工艺或吸附、冷凝、膜分离等工艺处理（其中采用颗粒状活性炭的，柱状活性炭直径≤5mm、碘值≥800mg/g，且填充量与每小时处理废气量体积之比满足1:7000的要求；使用蜂窝状活性炭的，碘值≥650mg/g、比表面积应不低于750m²/g，且填充量与每小时处理废气量体积之比满足1:5000的要求；活性炭吸附设施废气进口处安装有仪器仪表等装置，可实时监测显示并记录湿度、温度等数据，废气温度、颗粒物、相对湿度分别不超过40℃、1mg/m</w:t>
                  </w:r>
                  <w:r>
                    <w:rPr>
                      <w:rFonts w:hint="default" w:ascii="Times New Roman" w:hAnsi="Times New Roman" w:eastAsia="宋体" w:cs="Times New Roman"/>
                      <w:bCs/>
                      <w:color w:val="000000" w:themeColor="text1"/>
                      <w:kern w:val="2"/>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、50%）。废气中含有油烟或颗粒物的，应在VOCs治理设施前端加装除尘设施或油烟净化装置；</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69F490B7">
                  <w:pPr>
                    <w:keepNext w:val="0"/>
                    <w:keepLines w:val="0"/>
                    <w:pageBreakBefore w:val="0"/>
                    <w:widowControl w:val="0"/>
                    <w:suppressLineNumbers w:val="0"/>
                    <w:kinsoku/>
                    <w:wordWrap w:val="0"/>
                    <w:overflowPunct/>
                    <w:topLinePunct w:val="0"/>
                    <w:autoSpaceDE/>
                    <w:autoSpaceDN/>
                    <w:bidi w:val="0"/>
                    <w:adjustRightInd/>
                    <w:snapToGrid w:val="0"/>
                    <w:spacing w:before="0" w:beforeAutospacing="0" w:after="0" w:afterAutospacing="0"/>
                    <w:ind w:left="0" w:right="0"/>
                    <w:jc w:val="both"/>
                    <w:textAlignment w:val="auto"/>
                    <w:rPr>
                      <w:rFonts w:hint="default" w:ascii="Times New Roman" w:hAnsi="Times New Roman" w:eastAsia="宋体" w:cs="Times New Roman"/>
                      <w:bCs/>
                      <w:color w:val="000000" w:themeColor="text1"/>
                      <w:kern w:val="2"/>
                      <w:sz w:val="21"/>
                      <w:szCs w:val="21"/>
                      <w:lang w:val="en-US"/>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本项目使用原料</w:t>
                  </w:r>
                  <w:r>
                    <w:rPr>
                      <w:rFonts w:hint="eastAsia" w:cs="Times New Roman"/>
                      <w:bCs/>
                      <w:color w:val="000000" w:themeColor="text1"/>
                      <w:kern w:val="2"/>
                      <w:sz w:val="21"/>
                      <w:szCs w:val="21"/>
                      <w:lang w:val="en-US" w:eastAsia="zh-CN" w:bidi="ar"/>
                      <w14:textFill>
                        <w14:solidFill>
                          <w14:schemeClr w14:val="tx1"/>
                        </w14:solidFill>
                      </w14:textFill>
                    </w:rPr>
                    <w:t>为非再生料</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，VOCs治理拟用“吸附、脱附+催化燃烧”装置处理。本项目采用的</w:t>
                  </w:r>
                  <w:r>
                    <w:rPr>
                      <w:rFonts w:hint="eastAsia" w:cs="Times New Roman"/>
                      <w:bCs/>
                      <w:color w:val="000000" w:themeColor="text1"/>
                      <w:kern w:val="2"/>
                      <w:sz w:val="21"/>
                      <w:szCs w:val="21"/>
                      <w:lang w:val="en-US" w:eastAsia="zh-CN" w:bidi="ar"/>
                      <w14:textFill>
                        <w14:solidFill>
                          <w14:schemeClr w14:val="tx1"/>
                        </w14:solidFill>
                      </w14:textFill>
                    </w:rPr>
                    <w:t>颗粒状活性炭，</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柱状活性炭直径≤5mm，碘值≥800mg/g，</w:t>
                  </w:r>
                  <w:r>
                    <w:rPr>
                      <w:rFonts w:hint="eastAsia" w:cs="Times New Roman"/>
                      <w:bCs/>
                      <w:color w:val="000000" w:themeColor="text1"/>
                      <w:kern w:val="2"/>
                      <w:sz w:val="21"/>
                      <w:szCs w:val="21"/>
                      <w:lang w:val="en-US" w:eastAsia="zh-CN" w:bidi="ar"/>
                      <w14:textFill>
                        <w14:solidFill>
                          <w14:schemeClr w14:val="tx1"/>
                        </w14:solidFill>
                      </w14:textFill>
                    </w:rPr>
                    <w:t>本项目风量为6000m</w:t>
                  </w:r>
                  <w:r>
                    <w:rPr>
                      <w:rFonts w:hint="eastAsia" w:cs="Times New Roman"/>
                      <w:bCs/>
                      <w:color w:val="000000" w:themeColor="text1"/>
                      <w:kern w:val="2"/>
                      <w:sz w:val="21"/>
                      <w:szCs w:val="21"/>
                      <w:vertAlign w:val="superscript"/>
                      <w:lang w:val="en-US" w:eastAsia="zh-CN" w:bidi="ar"/>
                      <w14:textFill>
                        <w14:solidFill>
                          <w14:schemeClr w14:val="tx1"/>
                        </w14:solidFill>
                      </w14:textFill>
                    </w:rPr>
                    <w:t>3</w:t>
                  </w:r>
                  <w:r>
                    <w:rPr>
                      <w:rFonts w:hint="eastAsia" w:cs="Times New Roman"/>
                      <w:bCs/>
                      <w:color w:val="000000" w:themeColor="text1"/>
                      <w:kern w:val="2"/>
                      <w:sz w:val="21"/>
                      <w:szCs w:val="21"/>
                      <w:lang w:val="en-US" w:eastAsia="zh-CN" w:bidi="ar"/>
                      <w14:textFill>
                        <w14:solidFill>
                          <w14:schemeClr w14:val="tx1"/>
                        </w14:solidFill>
                      </w14:textFill>
                    </w:rPr>
                    <w:t>/h，则活性炭最少填充量为6000/7000=0.8571m</w:t>
                  </w:r>
                  <w:r>
                    <w:rPr>
                      <w:rFonts w:hint="eastAsia" w:cs="Times New Roman"/>
                      <w:bCs/>
                      <w:color w:val="000000" w:themeColor="text1"/>
                      <w:kern w:val="2"/>
                      <w:sz w:val="21"/>
                      <w:szCs w:val="21"/>
                      <w:vertAlign w:val="superscript"/>
                      <w:lang w:val="en-US" w:eastAsia="zh-CN" w:bidi="ar"/>
                      <w14:textFill>
                        <w14:solidFill>
                          <w14:schemeClr w14:val="tx1"/>
                        </w14:solidFill>
                      </w14:textFill>
                    </w:rPr>
                    <w:t>3</w:t>
                  </w:r>
                  <w:r>
                    <w:rPr>
                      <w:rFonts w:hint="eastAsia" w:cs="Times New Roman"/>
                      <w:bCs/>
                      <w:color w:val="000000" w:themeColor="text1"/>
                      <w:kern w:val="2"/>
                      <w:sz w:val="21"/>
                      <w:szCs w:val="21"/>
                      <w:vertAlign w:val="baseline"/>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根据安阳市生态环境局文件《安阳市生态环境局关于规范挥发性有机物活性炭吸附处理设施建设和运行管理的通知》</w:t>
                  </w:r>
                  <w:r>
                    <w:rPr>
                      <w:rFonts w:hint="eastAsia" w:cs="Times New Roman"/>
                      <w:color w:val="000000" w:themeColor="text1"/>
                      <w:kern w:val="2"/>
                      <w:sz w:val="21"/>
                      <w:szCs w:val="21"/>
                      <w:highlight w:val="none"/>
                      <w:lang w:val="en-US" w:eastAsia="zh-CN" w:bidi="ar"/>
                      <w14:textFill>
                        <w14:solidFill>
                          <w14:schemeClr w14:val="tx1"/>
                        </w14:solidFill>
                      </w14:textFill>
                    </w:rPr>
                    <w:t>（2025年3月12日），该项目</w:t>
                  </w: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活性炭装填量</w:t>
                  </w:r>
                  <w:r>
                    <w:rPr>
                      <w:rFonts w:hint="eastAsia" w:cs="Times New Roman"/>
                      <w:color w:val="000000" w:themeColor="text1"/>
                      <w:kern w:val="2"/>
                      <w:sz w:val="21"/>
                      <w:szCs w:val="21"/>
                      <w:highlight w:val="none"/>
                      <w:lang w:val="en-US" w:eastAsia="zh-CN" w:bidi="ar"/>
                      <w14:textFill>
                        <w14:solidFill>
                          <w14:schemeClr w14:val="tx1"/>
                        </w14:solidFill>
                      </w14:textFill>
                    </w:rPr>
                    <w:t>0.5143</w:t>
                  </w: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吨</w:t>
                  </w:r>
                  <w:r>
                    <w:rPr>
                      <w:rFonts w:hint="eastAsia" w:cs="Times New Roman"/>
                      <w:color w:val="000000" w:themeColor="text1"/>
                      <w:kern w:val="2"/>
                      <w:sz w:val="21"/>
                      <w:szCs w:val="21"/>
                      <w:highlight w:val="none"/>
                      <w:lang w:val="en-US" w:eastAsia="zh-CN" w:bidi="ar"/>
                      <w14:textFill>
                        <w14:solidFill>
                          <w14:schemeClr w14:val="tx1"/>
                        </w14:solidFill>
                      </w14:textFill>
                    </w:rPr>
                    <w:t>，此项目满足填充量与每小时处理废气量体积之比</w:t>
                  </w: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活性炭吸附设施废气进口处按要求安装有仪器仪表等装置。废气中不含有油烟或颗粒物。</w:t>
                  </w:r>
                </w:p>
              </w:tc>
              <w:tc>
                <w:tcPr>
                  <w:tcW w:w="437" w:type="pct"/>
                  <w:tcBorders>
                    <w:top w:val="single" w:color="auto" w:sz="4" w:space="0"/>
                    <w:left w:val="single" w:color="auto" w:sz="4" w:space="0"/>
                    <w:bottom w:val="single" w:color="auto" w:sz="4" w:space="0"/>
                    <w:right w:val="nil"/>
                  </w:tcBorders>
                  <w:noWrap w:val="0"/>
                  <w:vAlign w:val="center"/>
                </w:tcPr>
                <w:p w14:paraId="5121D62C">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相符</w:t>
                  </w:r>
                </w:p>
              </w:tc>
            </w:tr>
            <w:tr w14:paraId="4B885664">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9" w:type="pct"/>
                  <w:gridSpan w:val="2"/>
                  <w:vMerge w:val="continue"/>
                  <w:tcBorders>
                    <w:top w:val="nil"/>
                    <w:left w:val="nil"/>
                    <w:bottom w:val="single" w:color="auto" w:sz="4" w:space="0"/>
                    <w:right w:val="single" w:color="auto" w:sz="4" w:space="0"/>
                  </w:tcBorders>
                  <w:noWrap w:val="0"/>
                  <w:vAlign w:val="center"/>
                </w:tcPr>
                <w:p w14:paraId="71CA40C9">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tcBorders>
                    <w:top w:val="single" w:color="auto" w:sz="4" w:space="0"/>
                    <w:left w:val="single" w:color="auto" w:sz="4" w:space="0"/>
                    <w:bottom w:val="single" w:color="auto" w:sz="4" w:space="0"/>
                    <w:right w:val="single" w:color="auto" w:sz="4" w:space="0"/>
                  </w:tcBorders>
                  <w:noWrap w:val="0"/>
                  <w:vAlign w:val="center"/>
                </w:tcPr>
                <w:p w14:paraId="0E6E8CB7">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3.粉状、粒状物料采用自动投料器投加和配混，投加和混配工序在封闭车间内进行，PM有效收集，采用覆膜滤袋、滤筒等除尘技术；</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283EB682">
                  <w:pPr>
                    <w:keepNext w:val="0"/>
                    <w:keepLines w:val="0"/>
                    <w:widowControl w:val="0"/>
                    <w:suppressLineNumbers w:val="0"/>
                    <w:snapToGrid w:val="0"/>
                    <w:spacing w:before="0" w:beforeAutospacing="0" w:after="0" w:afterAutospacing="0"/>
                    <w:ind w:left="0" w:right="0"/>
                    <w:jc w:val="both"/>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t>本项目</w:t>
                  </w:r>
                  <w:r>
                    <w:rPr>
                      <w:rFonts w:hint="eastAsia" w:cs="Times New Roman"/>
                      <w:bCs/>
                      <w:color w:val="000000" w:themeColor="text1"/>
                      <w:kern w:val="2"/>
                      <w:sz w:val="21"/>
                      <w:szCs w:val="21"/>
                      <w:lang w:val="en-US" w:eastAsia="zh-CN"/>
                      <w14:textFill>
                        <w14:solidFill>
                          <w14:schemeClr w14:val="tx1"/>
                        </w14:solidFill>
                      </w14:textFill>
                    </w:rPr>
                    <w:t>原料均为2-5mm粒状，投料过程不</w:t>
                  </w:r>
                  <w: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t>产生粉尘</w:t>
                  </w:r>
                  <w:r>
                    <w:rPr>
                      <w:rFonts w:hint="eastAsia" w:cs="Times New Roman"/>
                      <w:bCs/>
                      <w:color w:val="000000" w:themeColor="text1"/>
                      <w:kern w:val="2"/>
                      <w:sz w:val="21"/>
                      <w:szCs w:val="21"/>
                      <w:lang w:val="en-US" w:eastAsia="zh-CN"/>
                      <w14:textFill>
                        <w14:solidFill>
                          <w14:schemeClr w14:val="tx1"/>
                        </w14:solidFill>
                      </w14:textFill>
                    </w:rPr>
                    <w:t>。</w:t>
                  </w:r>
                </w:p>
              </w:tc>
              <w:tc>
                <w:tcPr>
                  <w:tcW w:w="437" w:type="pct"/>
                  <w:tcBorders>
                    <w:top w:val="single" w:color="auto" w:sz="4" w:space="0"/>
                    <w:left w:val="single" w:color="auto" w:sz="4" w:space="0"/>
                    <w:bottom w:val="single" w:color="auto" w:sz="4" w:space="0"/>
                    <w:right w:val="nil"/>
                  </w:tcBorders>
                  <w:noWrap w:val="0"/>
                  <w:vAlign w:val="center"/>
                </w:tcPr>
                <w:p w14:paraId="0730594A">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eastAsia" w:ascii="Times New Roman" w:hAnsi="Times New Roman" w:eastAsia="Times New Roman" w:cs="Times New Roman"/>
                      <w:bCs/>
                      <w:color w:val="000000" w:themeColor="text1"/>
                      <w:kern w:val="2"/>
                      <w:sz w:val="21"/>
                      <w:szCs w:val="21"/>
                      <w:lang w:val="en-US" w:eastAsia="zh-CN"/>
                      <w14:textFill>
                        <w14:solidFill>
                          <w14:schemeClr w14:val="tx1"/>
                        </w14:solidFill>
                      </w14:textFill>
                    </w:rPr>
                    <w:t>/</w:t>
                  </w:r>
                </w:p>
              </w:tc>
            </w:tr>
            <w:tr w14:paraId="5C6F5EEE">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649" w:type="pct"/>
                  <w:gridSpan w:val="2"/>
                  <w:vMerge w:val="continue"/>
                  <w:tcBorders>
                    <w:top w:val="nil"/>
                    <w:left w:val="nil"/>
                    <w:bottom w:val="single" w:color="auto" w:sz="4" w:space="0"/>
                    <w:right w:val="single" w:color="auto" w:sz="4" w:space="0"/>
                  </w:tcBorders>
                  <w:noWrap w:val="0"/>
                  <w:vAlign w:val="center"/>
                </w:tcPr>
                <w:p w14:paraId="718FD7B4">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tcBorders>
                    <w:top w:val="single" w:color="auto" w:sz="4" w:space="0"/>
                    <w:left w:val="single" w:color="auto" w:sz="4" w:space="0"/>
                    <w:bottom w:val="single" w:color="auto" w:sz="4" w:space="0"/>
                    <w:right w:val="single" w:color="auto" w:sz="4" w:space="0"/>
                  </w:tcBorders>
                  <w:noWrap w:val="0"/>
                  <w:vAlign w:val="center"/>
                </w:tcPr>
                <w:p w14:paraId="2949F699">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4.废吸附剂应密闭的包装袋或容器储存、转运，并建立储存、处置台账；</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576C29F6">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废活性炭</w:t>
                  </w:r>
                  <w:r>
                    <w:rPr>
                      <w:rFonts w:hint="eastAsia" w:cs="Times New Roman"/>
                      <w:bCs/>
                      <w:color w:val="000000" w:themeColor="text1"/>
                      <w:kern w:val="2"/>
                      <w:sz w:val="21"/>
                      <w:szCs w:val="21"/>
                      <w:lang w:val="en-US" w:eastAsia="zh-CN" w:bidi="ar"/>
                      <w14:textFill>
                        <w14:solidFill>
                          <w14:schemeClr w14:val="tx1"/>
                        </w14:solidFill>
                      </w14:textFill>
                    </w:rPr>
                    <w:t>使用</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密闭</w:t>
                  </w:r>
                  <w:r>
                    <w:rPr>
                      <w:rFonts w:hint="eastAsia" w:cs="Times New Roman"/>
                      <w:bCs/>
                      <w:color w:val="000000" w:themeColor="text1"/>
                      <w:kern w:val="2"/>
                      <w:sz w:val="21"/>
                      <w:szCs w:val="21"/>
                      <w:lang w:val="en-US" w:eastAsia="zh-CN" w:bidi="ar"/>
                      <w14:textFill>
                        <w14:solidFill>
                          <w14:schemeClr w14:val="tx1"/>
                        </w14:solidFill>
                      </w14:textFill>
                    </w:rPr>
                    <w:t>塑料袋+纸箱包装</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储存、转运，并建立储存、处置台账。</w:t>
                  </w:r>
                </w:p>
              </w:tc>
              <w:tc>
                <w:tcPr>
                  <w:tcW w:w="437" w:type="pct"/>
                  <w:tcBorders>
                    <w:top w:val="single" w:color="auto" w:sz="4" w:space="0"/>
                    <w:left w:val="single" w:color="auto" w:sz="4" w:space="0"/>
                    <w:bottom w:val="single" w:color="auto" w:sz="4" w:space="0"/>
                    <w:right w:val="nil"/>
                  </w:tcBorders>
                  <w:noWrap w:val="0"/>
                  <w:vAlign w:val="center"/>
                </w:tcPr>
                <w:p w14:paraId="569940F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180CAD50">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vMerge w:val="continue"/>
                  <w:tcBorders>
                    <w:top w:val="nil"/>
                    <w:left w:val="nil"/>
                    <w:bottom w:val="single" w:color="auto" w:sz="4" w:space="0"/>
                    <w:right w:val="single" w:color="auto" w:sz="4" w:space="0"/>
                  </w:tcBorders>
                  <w:noWrap w:val="0"/>
                  <w:vAlign w:val="center"/>
                </w:tcPr>
                <w:p w14:paraId="493B09D5">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tcBorders>
                    <w:top w:val="single" w:color="auto" w:sz="4" w:space="0"/>
                    <w:left w:val="single" w:color="auto" w:sz="4" w:space="0"/>
                    <w:bottom w:val="single" w:color="auto" w:sz="4" w:space="0"/>
                    <w:right w:val="single" w:color="auto" w:sz="4" w:space="0"/>
                  </w:tcBorders>
                  <w:noWrap w:val="0"/>
                  <w:vAlign w:val="center"/>
                </w:tcPr>
                <w:p w14:paraId="51ACF19A">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5.NOx治理采用低氮燃烧、SNCR/SCR等适宜技术。使用氨法脱硝的企业，氨的装卸、储存、输送、制备等过程全程密闭，并采取氨气泄漏检测和收集措施；采用尿素作为还原剂的配备有尿素加热水解制氨系统。</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6992B6D1">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eastAsia" w:cs="Times New Roman"/>
                      <w:bCs/>
                      <w:color w:val="000000" w:themeColor="text1"/>
                      <w:kern w:val="2"/>
                      <w:sz w:val="21"/>
                      <w:szCs w:val="21"/>
                      <w:lang w:val="en-US" w:eastAsia="zh-CN" w:bidi="ar"/>
                      <w14:textFill>
                        <w14:solidFill>
                          <w14:schemeClr w14:val="tx1"/>
                        </w14:solidFill>
                      </w14:textFill>
                    </w:rPr>
                    <w:t>本项目</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不涉及NO</w:t>
                  </w:r>
                  <w:r>
                    <w:rPr>
                      <w:rFonts w:hint="default" w:ascii="Times New Roman" w:hAnsi="Times New Roman" w:eastAsia="宋体" w:cs="Times New Roman"/>
                      <w:bCs/>
                      <w:color w:val="000000" w:themeColor="text1"/>
                      <w:kern w:val="2"/>
                      <w:sz w:val="21"/>
                      <w:szCs w:val="21"/>
                      <w:vertAlign w:val="subscript"/>
                      <w:lang w:val="en-US" w:eastAsia="zh-CN" w:bidi="ar"/>
                      <w14:textFill>
                        <w14:solidFill>
                          <w14:schemeClr w14:val="tx1"/>
                        </w14:solidFill>
                      </w14:textFill>
                    </w:rPr>
                    <w:t>X</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w:t>
                  </w:r>
                </w:p>
              </w:tc>
              <w:tc>
                <w:tcPr>
                  <w:tcW w:w="437" w:type="pct"/>
                  <w:tcBorders>
                    <w:top w:val="single" w:color="auto" w:sz="4" w:space="0"/>
                    <w:left w:val="single" w:color="auto" w:sz="4" w:space="0"/>
                    <w:bottom w:val="single" w:color="auto" w:sz="4" w:space="0"/>
                    <w:right w:val="nil"/>
                  </w:tcBorders>
                  <w:noWrap w:val="0"/>
                  <w:vAlign w:val="center"/>
                </w:tcPr>
                <w:p w14:paraId="41B26FB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无关项</w:t>
                  </w:r>
                </w:p>
              </w:tc>
            </w:tr>
            <w:tr w14:paraId="07E90452">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vMerge w:val="restart"/>
                  <w:tcBorders>
                    <w:top w:val="nil"/>
                    <w:left w:val="nil"/>
                    <w:right w:val="single" w:color="auto" w:sz="4" w:space="0"/>
                  </w:tcBorders>
                  <w:noWrap w:val="0"/>
                  <w:vAlign w:val="center"/>
                </w:tcPr>
                <w:p w14:paraId="59718081">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无组织管控</w:t>
                  </w:r>
                </w:p>
              </w:tc>
              <w:tc>
                <w:tcPr>
                  <w:tcW w:w="2216" w:type="pct"/>
                  <w:tcBorders>
                    <w:top w:val="single" w:color="auto" w:sz="4" w:space="0"/>
                    <w:left w:val="single" w:color="auto" w:sz="4" w:space="0"/>
                    <w:bottom w:val="single" w:color="auto" w:sz="4" w:space="0"/>
                    <w:right w:val="single" w:color="auto" w:sz="4" w:space="0"/>
                  </w:tcBorders>
                  <w:noWrap w:val="0"/>
                  <w:vAlign w:val="center"/>
                </w:tcPr>
                <w:p w14:paraId="79403ADB">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1.VOCs物料存储于密闭的容器、包装袋、储罐、储库、料仓中；盛装VOCs物料的容器或包装袋存放于室内；盛装VOCs物料的容器或包装袋在非取用状态时应加盖、封口，保持密闭；</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348E59B6">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eastAsia" w:cs="Times New Roman"/>
                      <w:bCs/>
                      <w:color w:val="000000" w:themeColor="text1"/>
                      <w:kern w:val="2"/>
                      <w:sz w:val="21"/>
                      <w:szCs w:val="21"/>
                      <w:highlight w:val="none"/>
                      <w:lang w:val="en-US" w:eastAsia="zh-CN" w:bidi="ar"/>
                      <w14:textFill>
                        <w14:solidFill>
                          <w14:schemeClr w14:val="tx1"/>
                        </w14:solidFill>
                      </w14:textFill>
                    </w:rPr>
                    <w:t>本项目粒状物料均为密闭袋装，水性油墨桶装密闭储存，非取用状态加盖、封口密闭</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p>
              </w:tc>
              <w:tc>
                <w:tcPr>
                  <w:tcW w:w="437" w:type="pct"/>
                  <w:tcBorders>
                    <w:top w:val="single" w:color="auto" w:sz="4" w:space="0"/>
                    <w:left w:val="single" w:color="auto" w:sz="4" w:space="0"/>
                    <w:bottom w:val="single" w:color="auto" w:sz="4" w:space="0"/>
                    <w:right w:val="nil"/>
                  </w:tcBorders>
                  <w:noWrap w:val="0"/>
                  <w:vAlign w:val="center"/>
                </w:tcPr>
                <w:p w14:paraId="799080F2">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无关项</w:t>
                  </w:r>
                </w:p>
              </w:tc>
            </w:tr>
            <w:tr w14:paraId="50AE7336">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vMerge w:val="continue"/>
                  <w:tcBorders>
                    <w:left w:val="nil"/>
                    <w:right w:val="single" w:color="auto" w:sz="4" w:space="0"/>
                  </w:tcBorders>
                  <w:noWrap w:val="0"/>
                  <w:vAlign w:val="center"/>
                </w:tcPr>
                <w:p w14:paraId="3A5243B0">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vMerge w:val="restart"/>
                  <w:tcBorders>
                    <w:top w:val="nil"/>
                    <w:left w:val="single" w:color="auto" w:sz="4" w:space="0"/>
                    <w:bottom w:val="single" w:color="auto" w:sz="4" w:space="0"/>
                    <w:right w:val="single" w:color="auto" w:sz="4" w:space="0"/>
                  </w:tcBorders>
                  <w:noWrap w:val="0"/>
                  <w:vAlign w:val="center"/>
                </w:tcPr>
                <w:p w14:paraId="24334A07">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2.粉状物料采用气力输送、管状带式输送机、螺旋输送机等自动化、密闭输送方式；粒状物料采用封闭皮带等自动化、封闭输送方式；液态VOCs物料采用密闭管道输送；</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19358641">
                  <w:pPr>
                    <w:keepNext w:val="0"/>
                    <w:keepLines w:val="0"/>
                    <w:widowControl w:val="0"/>
                    <w:suppressLineNumbers w:val="0"/>
                    <w:snapToGrid w:val="0"/>
                    <w:spacing w:before="0" w:beforeAutospacing="0" w:after="0" w:afterAutospacing="0"/>
                    <w:ind w:left="0" w:leftChars="0" w:right="0" w:rightChars="0"/>
                    <w:jc w:val="both"/>
                    <w:rPr>
                      <w:rFonts w:hint="eastAsia"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不涉及粉状物料</w:t>
                  </w:r>
                  <w:r>
                    <w:rPr>
                      <w:rFonts w:hint="eastAsia" w:cs="Times New Roman"/>
                      <w:bCs/>
                      <w:color w:val="000000" w:themeColor="text1"/>
                      <w:kern w:val="2"/>
                      <w:sz w:val="21"/>
                      <w:szCs w:val="21"/>
                      <w:lang w:val="en-US" w:eastAsia="zh-CN" w:bidi="ar"/>
                      <w14:textFill>
                        <w14:solidFill>
                          <w14:schemeClr w14:val="tx1"/>
                        </w14:solidFill>
                      </w14:textFill>
                    </w:rPr>
                    <w:t>，水性油墨密闭桶装储存，密闭管道输送。</w:t>
                  </w:r>
                </w:p>
              </w:tc>
              <w:tc>
                <w:tcPr>
                  <w:tcW w:w="437" w:type="pct"/>
                  <w:tcBorders>
                    <w:top w:val="single" w:color="auto" w:sz="4" w:space="0"/>
                    <w:left w:val="single" w:color="auto" w:sz="4" w:space="0"/>
                    <w:bottom w:val="single" w:color="auto" w:sz="4" w:space="0"/>
                    <w:right w:val="nil"/>
                  </w:tcBorders>
                  <w:noWrap w:val="0"/>
                  <w:vAlign w:val="center"/>
                </w:tcPr>
                <w:p w14:paraId="0D0FC5A7">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无关项</w:t>
                  </w:r>
                </w:p>
              </w:tc>
            </w:tr>
            <w:tr w14:paraId="43F921B1">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vMerge w:val="continue"/>
                  <w:tcBorders>
                    <w:left w:val="nil"/>
                    <w:right w:val="single" w:color="auto" w:sz="4" w:space="0"/>
                  </w:tcBorders>
                  <w:noWrap w:val="0"/>
                  <w:vAlign w:val="center"/>
                </w:tcPr>
                <w:p w14:paraId="6DC65403">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vMerge w:val="continue"/>
                  <w:tcBorders>
                    <w:top w:val="nil"/>
                    <w:left w:val="single" w:color="auto" w:sz="4" w:space="0"/>
                    <w:bottom w:val="single" w:color="auto" w:sz="4" w:space="0"/>
                    <w:right w:val="single" w:color="auto" w:sz="4" w:space="0"/>
                  </w:tcBorders>
                  <w:noWrap w:val="0"/>
                  <w:vAlign w:val="center"/>
                </w:tcPr>
                <w:p w14:paraId="599C2A03">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1696" w:type="pct"/>
                  <w:tcBorders>
                    <w:top w:val="single" w:color="auto" w:sz="4" w:space="0"/>
                    <w:left w:val="single" w:color="auto" w:sz="4" w:space="0"/>
                    <w:bottom w:val="single" w:color="auto" w:sz="4" w:space="0"/>
                    <w:right w:val="single" w:color="auto" w:sz="4" w:space="0"/>
                  </w:tcBorders>
                  <w:noWrap w:val="0"/>
                  <w:vAlign w:val="center"/>
                </w:tcPr>
                <w:p w14:paraId="6FB6A48E">
                  <w:pPr>
                    <w:keepNext w:val="0"/>
                    <w:keepLines w:val="0"/>
                    <w:widowControl w:val="0"/>
                    <w:suppressLineNumbers w:val="0"/>
                    <w:snapToGrid w:val="0"/>
                    <w:spacing w:before="0" w:beforeAutospacing="0" w:after="0" w:afterAutospacing="0"/>
                    <w:ind w:left="0" w:leftChars="0" w:right="0" w:rightChars="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粒状物料采用密闭的包装袋转移。</w:t>
                  </w:r>
                </w:p>
              </w:tc>
              <w:tc>
                <w:tcPr>
                  <w:tcW w:w="437" w:type="pct"/>
                  <w:tcBorders>
                    <w:top w:val="single" w:color="auto" w:sz="4" w:space="0"/>
                    <w:left w:val="single" w:color="auto" w:sz="4" w:space="0"/>
                    <w:bottom w:val="single" w:color="auto" w:sz="4" w:space="0"/>
                    <w:right w:val="nil"/>
                  </w:tcBorders>
                  <w:noWrap w:val="0"/>
                  <w:vAlign w:val="center"/>
                </w:tcPr>
                <w:p w14:paraId="1ACCC186">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43A602CC">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649" w:type="pct"/>
                  <w:gridSpan w:val="2"/>
                  <w:vMerge w:val="continue"/>
                  <w:tcBorders>
                    <w:left w:val="nil"/>
                    <w:right w:val="single" w:color="auto" w:sz="4" w:space="0"/>
                  </w:tcBorders>
                  <w:noWrap w:val="0"/>
                  <w:vAlign w:val="center"/>
                </w:tcPr>
                <w:p w14:paraId="3C687A3A">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tcBorders>
                    <w:top w:val="single" w:color="auto" w:sz="4" w:space="0"/>
                    <w:left w:val="single" w:color="auto" w:sz="4" w:space="0"/>
                    <w:bottom w:val="single" w:color="auto" w:sz="4" w:space="0"/>
                    <w:right w:val="single" w:color="auto" w:sz="4" w:space="0"/>
                  </w:tcBorders>
                  <w:noWrap w:val="0"/>
                  <w:vAlign w:val="center"/>
                </w:tcPr>
                <w:p w14:paraId="15ED445A">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3.产生VOCs的生产工序和装置应设置有效集气装置并引至VOCs末端处理设施；</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0A257AFE">
                  <w:pPr>
                    <w:keepNext w:val="0"/>
                    <w:keepLines w:val="0"/>
                    <w:widowControl w:val="0"/>
                    <w:suppressLineNumbers w:val="0"/>
                    <w:snapToGrid w:val="0"/>
                    <w:spacing w:before="0" w:beforeAutospacing="0" w:after="0" w:afterAutospacing="0"/>
                    <w:ind w:left="0" w:leftChars="0" w:right="0" w:rightChars="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eastAsia" w:cs="Times New Roman"/>
                      <w:bCs/>
                      <w:color w:val="000000" w:themeColor="text1"/>
                      <w:kern w:val="2"/>
                      <w:sz w:val="21"/>
                      <w:szCs w:val="21"/>
                      <w:lang w:val="en-US" w:eastAsia="zh-CN" w:bidi="ar"/>
                      <w14:textFill>
                        <w14:solidFill>
                          <w14:schemeClr w14:val="tx1"/>
                        </w14:solidFill>
                      </w14:textFill>
                    </w:rPr>
                    <w:t>挤出（吹膜）</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工序</w:t>
                  </w:r>
                  <w:r>
                    <w:rPr>
                      <w:rFonts w:hint="eastAsia" w:cs="Times New Roman"/>
                      <w:bCs/>
                      <w:color w:val="000000" w:themeColor="text1"/>
                      <w:kern w:val="2"/>
                      <w:sz w:val="21"/>
                      <w:szCs w:val="21"/>
                      <w:lang w:val="en-US" w:eastAsia="zh-CN" w:bidi="ar"/>
                      <w14:textFill>
                        <w14:solidFill>
                          <w14:schemeClr w14:val="tx1"/>
                        </w14:solidFill>
                      </w14:textFill>
                    </w:rPr>
                    <w:t>、喷码、高频复合、粘合工序</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设置</w:t>
                  </w:r>
                  <w:r>
                    <w:rPr>
                      <w:rFonts w:hint="eastAsia" w:cs="Times New Roman"/>
                      <w:b w:val="0"/>
                      <w:bCs w:val="0"/>
                      <w:color w:val="000000" w:themeColor="text1"/>
                      <w:kern w:val="0"/>
                      <w:sz w:val="21"/>
                      <w:szCs w:val="21"/>
                      <w:highlight w:val="none"/>
                      <w:lang w:val="en-US" w:eastAsia="zh-CN" w:bidi="ar"/>
                      <w14:textFill>
                        <w14:solidFill>
                          <w14:schemeClr w14:val="tx1"/>
                        </w14:solidFill>
                      </w14:textFill>
                    </w:rPr>
                    <w:t>集气罩经过1</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套“吸附、脱附+催化燃烧”</w:t>
                  </w:r>
                  <w:r>
                    <w:rPr>
                      <w:rFonts w:hint="eastAsia" w:cs="Times New Roman"/>
                      <w:b w:val="0"/>
                      <w:bCs w:val="0"/>
                      <w:color w:val="000000" w:themeColor="text1"/>
                      <w:kern w:val="0"/>
                      <w:sz w:val="21"/>
                      <w:szCs w:val="21"/>
                      <w:highlight w:val="none"/>
                      <w:lang w:val="en-US" w:eastAsia="zh-CN" w:bidi="ar"/>
                      <w14:textFill>
                        <w14:solidFill>
                          <w14:schemeClr w14:val="tx1"/>
                        </w14:solidFill>
                      </w14:textFill>
                    </w:rPr>
                    <w:t>处理后通过</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1根不低于15m高排气筒（DA00</w:t>
                  </w:r>
                  <w:r>
                    <w:rPr>
                      <w:rFonts w:hint="eastAsia"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1</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w:t>
                  </w:r>
                  <w:r>
                    <w:rPr>
                      <w:rFonts w:hint="eastAsia" w:cs="Times New Roman"/>
                      <w:b w:val="0"/>
                      <w:bCs w:val="0"/>
                      <w:color w:val="000000" w:themeColor="text1"/>
                      <w:kern w:val="0"/>
                      <w:sz w:val="21"/>
                      <w:szCs w:val="21"/>
                      <w:highlight w:val="none"/>
                      <w:lang w:val="en-US" w:eastAsia="zh-CN" w:bidi="ar"/>
                      <w14:textFill>
                        <w14:solidFill>
                          <w14:schemeClr w14:val="tx1"/>
                        </w14:solidFill>
                      </w14:textFill>
                    </w:rPr>
                    <w:t>。</w:t>
                  </w:r>
                </w:p>
              </w:tc>
              <w:tc>
                <w:tcPr>
                  <w:tcW w:w="437" w:type="pct"/>
                  <w:tcBorders>
                    <w:top w:val="single" w:color="auto" w:sz="4" w:space="0"/>
                    <w:left w:val="single" w:color="auto" w:sz="4" w:space="0"/>
                    <w:bottom w:val="single" w:color="auto" w:sz="4" w:space="0"/>
                    <w:right w:val="nil"/>
                  </w:tcBorders>
                  <w:noWrap w:val="0"/>
                  <w:vAlign w:val="center"/>
                </w:tcPr>
                <w:p w14:paraId="137DB3F9">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19797DD3">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1533" w:hRule="atLeast"/>
                <w:jc w:val="center"/>
              </w:trPr>
              <w:tc>
                <w:tcPr>
                  <w:tcW w:w="649" w:type="pct"/>
                  <w:gridSpan w:val="2"/>
                  <w:vMerge w:val="continue"/>
                  <w:tcBorders>
                    <w:left w:val="nil"/>
                    <w:right w:val="single" w:color="auto" w:sz="4" w:space="0"/>
                  </w:tcBorders>
                  <w:noWrap w:val="0"/>
                  <w:vAlign w:val="center"/>
                </w:tcPr>
                <w:p w14:paraId="2FE40716">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tcBorders>
                    <w:top w:val="single" w:color="auto" w:sz="4" w:space="0"/>
                    <w:left w:val="single" w:color="auto" w:sz="4" w:space="0"/>
                    <w:bottom w:val="single" w:color="auto" w:sz="4" w:space="0"/>
                    <w:right w:val="single" w:color="auto" w:sz="4" w:space="0"/>
                  </w:tcBorders>
                  <w:noWrap w:val="0"/>
                  <w:vAlign w:val="center"/>
                </w:tcPr>
                <w:p w14:paraId="44E773AF">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4.厂区道路及车间地面硬化，车间地面、墙壁、设备顶部整洁无积尘；厂内地面全部硬化或绿化，无成片裸露土地；</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100B2443">
                  <w:pPr>
                    <w:keepNext w:val="0"/>
                    <w:keepLines w:val="0"/>
                    <w:widowControl w:val="0"/>
                    <w:suppressLineNumbers w:val="0"/>
                    <w:snapToGrid w:val="0"/>
                    <w:spacing w:before="0" w:beforeAutospacing="0" w:after="0" w:afterAutospacing="0"/>
                    <w:ind w:left="0" w:leftChars="0" w:right="0" w:rightChars="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厂区道路及车间地面硬化，车间地面、墙壁、设备顶部整洁无积尘；厂内地面全部硬化或绿化，无成片裸露土地。</w:t>
                  </w:r>
                </w:p>
              </w:tc>
              <w:tc>
                <w:tcPr>
                  <w:tcW w:w="437" w:type="pct"/>
                  <w:tcBorders>
                    <w:top w:val="single" w:color="auto" w:sz="4" w:space="0"/>
                    <w:left w:val="single" w:color="auto" w:sz="4" w:space="0"/>
                    <w:bottom w:val="single" w:color="auto" w:sz="4" w:space="0"/>
                    <w:right w:val="nil"/>
                  </w:tcBorders>
                  <w:noWrap w:val="0"/>
                  <w:vAlign w:val="center"/>
                </w:tcPr>
                <w:p w14:paraId="52B9713E">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343FB787">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1158" w:hRule="atLeast"/>
                <w:jc w:val="center"/>
              </w:trPr>
              <w:tc>
                <w:tcPr>
                  <w:tcW w:w="649" w:type="pct"/>
                  <w:gridSpan w:val="2"/>
                  <w:vMerge w:val="continue"/>
                  <w:tcBorders>
                    <w:left w:val="nil"/>
                    <w:bottom w:val="single" w:color="auto" w:sz="4" w:space="0"/>
                    <w:right w:val="single" w:color="auto" w:sz="4" w:space="0"/>
                  </w:tcBorders>
                  <w:noWrap w:val="0"/>
                  <w:vAlign w:val="center"/>
                </w:tcPr>
                <w:p w14:paraId="58FEA703">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tcBorders>
                    <w:top w:val="single" w:color="auto" w:sz="4" w:space="0"/>
                    <w:left w:val="single" w:color="auto" w:sz="4" w:space="0"/>
                    <w:bottom w:val="single" w:color="auto" w:sz="4" w:space="0"/>
                    <w:right w:val="single" w:color="auto" w:sz="4" w:space="0"/>
                  </w:tcBorders>
                  <w:noWrap w:val="0"/>
                  <w:vAlign w:val="center"/>
                </w:tcPr>
                <w:p w14:paraId="2866BE83">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5.贮存易产生粉尘、VOCs和异味的危险废物贮存库，设有废气收集装置和废气处理设施。废气处理设施的排气筒高度不低于15m。</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21ABB895">
                  <w:pPr>
                    <w:keepNext w:val="0"/>
                    <w:keepLines w:val="0"/>
                    <w:widowControl w:val="0"/>
                    <w:suppressLineNumbers w:val="0"/>
                    <w:snapToGrid w:val="0"/>
                    <w:spacing w:before="0" w:beforeAutospacing="0" w:after="0" w:afterAutospacing="0"/>
                    <w:ind w:left="0" w:leftChars="0" w:right="0" w:rightChars="0"/>
                    <w:jc w:val="both"/>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本项目</w:t>
                  </w:r>
                  <w:r>
                    <w:rPr>
                      <w:rFonts w:hint="default" w:ascii="Times New Roman" w:hAnsi="Times New Roman" w:eastAsia="Times New Roman" w:cs="Times New Roman"/>
                      <w:color w:val="000000" w:themeColor="text1"/>
                      <w:sz w:val="21"/>
                      <w:szCs w:val="21"/>
                      <w:lang w:eastAsia="zh-CN"/>
                      <w14:textFill>
                        <w14:solidFill>
                          <w14:schemeClr w14:val="tx1"/>
                        </w14:solidFill>
                      </w14:textFill>
                    </w:rPr>
                    <w:t>危废储存场所属于《危险废物贮存污染控制标准》（GB18597—2023）中的贮存点，不属于贮存库。</w:t>
                  </w:r>
                </w:p>
              </w:tc>
              <w:tc>
                <w:tcPr>
                  <w:tcW w:w="437" w:type="pct"/>
                  <w:tcBorders>
                    <w:top w:val="single" w:color="auto" w:sz="4" w:space="0"/>
                    <w:left w:val="single" w:color="auto" w:sz="4" w:space="0"/>
                    <w:bottom w:val="single" w:color="auto" w:sz="4" w:space="0"/>
                    <w:right w:val="nil"/>
                  </w:tcBorders>
                  <w:noWrap w:val="0"/>
                  <w:vAlign w:val="center"/>
                </w:tcPr>
                <w:p w14:paraId="33AE229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pPr>
                  <w:r>
                    <w:rPr>
                      <w:rFonts w:hint="eastAsia" w:cs="Times New Roman"/>
                      <w:bCs/>
                      <w:color w:val="000000" w:themeColor="text1"/>
                      <w:kern w:val="2"/>
                      <w:sz w:val="21"/>
                      <w:szCs w:val="21"/>
                      <w:lang w:val="en-US" w:eastAsia="zh-CN" w:bidi="ar"/>
                      <w14:textFill>
                        <w14:solidFill>
                          <w14:schemeClr w14:val="tx1"/>
                        </w14:solidFill>
                      </w14:textFill>
                    </w:rPr>
                    <w:t>无关项</w:t>
                  </w:r>
                </w:p>
              </w:tc>
            </w:tr>
            <w:tr w14:paraId="6545FE97">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vMerge w:val="restart"/>
                  <w:tcBorders>
                    <w:top w:val="nil"/>
                    <w:left w:val="nil"/>
                    <w:bottom w:val="single" w:color="auto" w:sz="4" w:space="0"/>
                    <w:right w:val="single" w:color="auto" w:sz="4" w:space="0"/>
                  </w:tcBorders>
                  <w:noWrap w:val="0"/>
                  <w:vAlign w:val="center"/>
                </w:tcPr>
                <w:p w14:paraId="34E49921">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排放限值</w:t>
                  </w:r>
                </w:p>
              </w:tc>
              <w:tc>
                <w:tcPr>
                  <w:tcW w:w="2216" w:type="pct"/>
                  <w:tcBorders>
                    <w:top w:val="single" w:color="auto" w:sz="4" w:space="0"/>
                    <w:left w:val="single" w:color="auto" w:sz="4" w:space="0"/>
                    <w:bottom w:val="single" w:color="auto" w:sz="4" w:space="0"/>
                    <w:right w:val="single" w:color="auto" w:sz="4" w:space="0"/>
                  </w:tcBorders>
                  <w:noWrap w:val="0"/>
                  <w:vAlign w:val="center"/>
                </w:tcPr>
                <w:p w14:paraId="0F347443">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1.全厂有组织PM、NMHC有组织排放浓度分别不高于10、20mg/m</w:t>
                  </w:r>
                  <w:r>
                    <w:rPr>
                      <w:rFonts w:hint="default" w:ascii="Times New Roman" w:hAnsi="Times New Roman" w:eastAsia="宋体" w:cs="Times New Roman"/>
                      <w:bCs/>
                      <w:color w:val="000000" w:themeColor="text1"/>
                      <w:kern w:val="2"/>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2949C400">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有组织NMHC有组织排放浓度不高于</w:t>
                  </w:r>
                  <w:r>
                    <w:rPr>
                      <w:rFonts w:hint="eastAsia" w:ascii="Times New Roman" w:hAnsi="Times New Roman" w:eastAsia="宋体" w:cs="Times New Roman"/>
                      <w:bCs/>
                      <w:color w:val="000000" w:themeColor="text1"/>
                      <w:kern w:val="2"/>
                      <w:sz w:val="21"/>
                      <w:szCs w:val="21"/>
                      <w:lang w:val="en-US" w:eastAsia="zh-CN" w:bidi="ar"/>
                      <w14:textFill>
                        <w14:solidFill>
                          <w14:schemeClr w14:val="tx1"/>
                        </w14:solidFill>
                      </w14:textFill>
                    </w:rPr>
                    <w:t>20</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mg/m</w:t>
                  </w:r>
                  <w:r>
                    <w:rPr>
                      <w:rFonts w:hint="default" w:ascii="Times New Roman" w:hAnsi="Times New Roman" w:eastAsia="宋体" w:cs="Times New Roman"/>
                      <w:bCs/>
                      <w:color w:val="000000" w:themeColor="text1"/>
                      <w:kern w:val="2"/>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w:t>
                  </w:r>
                </w:p>
              </w:tc>
              <w:tc>
                <w:tcPr>
                  <w:tcW w:w="437" w:type="pct"/>
                  <w:tcBorders>
                    <w:top w:val="single" w:color="auto" w:sz="4" w:space="0"/>
                    <w:left w:val="single" w:color="auto" w:sz="4" w:space="0"/>
                    <w:bottom w:val="single" w:color="auto" w:sz="4" w:space="0"/>
                    <w:right w:val="nil"/>
                  </w:tcBorders>
                  <w:noWrap w:val="0"/>
                  <w:vAlign w:val="center"/>
                </w:tcPr>
                <w:p w14:paraId="32B881C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5B1B8F83">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vMerge w:val="continue"/>
                  <w:tcBorders>
                    <w:top w:val="nil"/>
                    <w:left w:val="nil"/>
                    <w:bottom w:val="single" w:color="auto" w:sz="4" w:space="0"/>
                    <w:right w:val="single" w:color="auto" w:sz="4" w:space="0"/>
                  </w:tcBorders>
                  <w:noWrap w:val="0"/>
                  <w:vAlign w:val="center"/>
                </w:tcPr>
                <w:p w14:paraId="6874AA73">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tcBorders>
                    <w:top w:val="single" w:color="auto" w:sz="4" w:space="0"/>
                    <w:left w:val="single" w:color="auto" w:sz="4" w:space="0"/>
                    <w:bottom w:val="single" w:color="auto" w:sz="4" w:space="0"/>
                    <w:right w:val="single" w:color="auto" w:sz="4" w:space="0"/>
                  </w:tcBorders>
                  <w:noWrap w:val="0"/>
                  <w:vAlign w:val="center"/>
                </w:tcPr>
                <w:p w14:paraId="5E60CF7D">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2.VOCs治理设施去除率达到80%及以上；去除率确实达不到的，生产车间或生产设备的无组织排放监控点NMHC浓度低于4mg/m</w:t>
                  </w:r>
                  <w:r>
                    <w:rPr>
                      <w:rFonts w:hint="default" w:ascii="Times New Roman" w:hAnsi="Times New Roman" w:eastAsia="宋体" w:cs="Times New Roman"/>
                      <w:bCs/>
                      <w:color w:val="000000" w:themeColor="text1"/>
                      <w:kern w:val="2"/>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，企业边界1hNMHC平均浓度低于2mg/m</w:t>
                  </w:r>
                  <w:r>
                    <w:rPr>
                      <w:rFonts w:hint="default" w:ascii="Times New Roman" w:hAnsi="Times New Roman" w:eastAsia="宋体" w:cs="Times New Roman"/>
                      <w:bCs/>
                      <w:color w:val="000000" w:themeColor="text1"/>
                      <w:kern w:val="2"/>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295D0858">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VOCs治理设施同步运行率达到100%，去除率达到</w:t>
                  </w:r>
                  <w:r>
                    <w:rPr>
                      <w:rFonts w:hint="eastAsia" w:cs="Times New Roman"/>
                      <w:b w:val="0"/>
                      <w:bCs/>
                      <w:color w:val="000000" w:themeColor="text1"/>
                      <w:kern w:val="2"/>
                      <w:sz w:val="21"/>
                      <w:szCs w:val="21"/>
                      <w:highlight w:val="none"/>
                      <w:u w:val="none"/>
                      <w:lang w:val="en-US" w:eastAsia="zh-CN" w:bidi="ar"/>
                      <w14:textFill>
                        <w14:solidFill>
                          <w14:schemeClr w14:val="tx1"/>
                        </w14:solidFill>
                      </w14:textFill>
                    </w:rPr>
                    <w:t>94</w:t>
                  </w:r>
                  <w:r>
                    <w:rPr>
                      <w:rFonts w:hint="default" w:ascii="Times New Roman" w:hAnsi="Times New Roman" w:eastAsia="宋体" w:cs="Times New Roman"/>
                      <w:b w:val="0"/>
                      <w:bCs/>
                      <w:color w:val="000000" w:themeColor="text1"/>
                      <w:kern w:val="2"/>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p>
              </w:tc>
              <w:tc>
                <w:tcPr>
                  <w:tcW w:w="437" w:type="pct"/>
                  <w:tcBorders>
                    <w:top w:val="single" w:color="auto" w:sz="4" w:space="0"/>
                    <w:left w:val="single" w:color="auto" w:sz="4" w:space="0"/>
                    <w:bottom w:val="single" w:color="auto" w:sz="4" w:space="0"/>
                    <w:right w:val="nil"/>
                  </w:tcBorders>
                  <w:noWrap w:val="0"/>
                  <w:vAlign w:val="center"/>
                </w:tcPr>
                <w:p w14:paraId="7C08884D">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65DBDB2A">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vMerge w:val="continue"/>
                  <w:tcBorders>
                    <w:top w:val="nil"/>
                    <w:left w:val="nil"/>
                    <w:bottom w:val="single" w:color="auto" w:sz="4" w:space="0"/>
                    <w:right w:val="single" w:color="auto" w:sz="4" w:space="0"/>
                  </w:tcBorders>
                  <w:noWrap w:val="0"/>
                  <w:vAlign w:val="center"/>
                </w:tcPr>
                <w:p w14:paraId="58B14B2B">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tcBorders>
                    <w:top w:val="single" w:color="auto" w:sz="4" w:space="0"/>
                    <w:left w:val="single" w:color="auto" w:sz="4" w:space="0"/>
                    <w:bottom w:val="single" w:color="auto" w:sz="4" w:space="0"/>
                    <w:right w:val="single" w:color="auto" w:sz="4" w:space="0"/>
                  </w:tcBorders>
                  <w:noWrap w:val="0"/>
                  <w:vAlign w:val="center"/>
                </w:tcPr>
                <w:p w14:paraId="1EFDFAA7">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3.锅炉烟气排放限值要求：</w:t>
                  </w:r>
                </w:p>
                <w:p w14:paraId="7540AAA4">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燃气锅炉PM、SO</w:t>
                  </w:r>
                  <w:r>
                    <w:rPr>
                      <w:rFonts w:hint="default" w:ascii="Times New Roman" w:hAnsi="Times New Roman" w:eastAsia="宋体" w:cs="Times New Roman"/>
                      <w:bCs/>
                      <w:color w:val="000000" w:themeColor="text1"/>
                      <w:kern w:val="2"/>
                      <w:sz w:val="21"/>
                      <w:szCs w:val="21"/>
                      <w:vertAlign w:val="subscript"/>
                      <w:lang w:val="en-US" w:eastAsia="zh-CN" w:bidi="ar"/>
                      <w14:textFill>
                        <w14:solidFill>
                          <w14:schemeClr w14:val="tx1"/>
                        </w14:solidFill>
                      </w14:textFill>
                    </w:rPr>
                    <w:t>2</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、NOx排放浓度分别不高于：5、10、50/30</w:t>
                  </w:r>
                  <w:r>
                    <w:rPr>
                      <w:rFonts w:hint="default" w:ascii="Times New Roman" w:hAnsi="Times New Roman" w:eastAsia="宋体" w:cs="Times New Roman"/>
                      <w:bCs/>
                      <w:color w:val="000000" w:themeColor="text1"/>
                      <w:kern w:val="2"/>
                      <w:sz w:val="21"/>
                      <w:szCs w:val="21"/>
                      <w:vertAlign w:val="superscript"/>
                      <w:lang w:val="en-US" w:eastAsia="zh-CN" w:bidi="ar"/>
                      <w14:textFill>
                        <w14:solidFill>
                          <w14:schemeClr w14:val="tx1"/>
                        </w14:solidFill>
                      </w14:textFill>
                    </w:rPr>
                    <w:t>【2】</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mg/m</w:t>
                  </w:r>
                  <w:r>
                    <w:rPr>
                      <w:rFonts w:hint="default" w:ascii="Times New Roman" w:hAnsi="Times New Roman" w:eastAsia="宋体" w:cs="Times New Roman"/>
                      <w:bCs/>
                      <w:color w:val="000000" w:themeColor="text1"/>
                      <w:kern w:val="2"/>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6DCB3180">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项目不涉及锅炉。</w:t>
                  </w:r>
                </w:p>
              </w:tc>
              <w:tc>
                <w:tcPr>
                  <w:tcW w:w="437" w:type="pct"/>
                  <w:tcBorders>
                    <w:top w:val="single" w:color="auto" w:sz="4" w:space="0"/>
                    <w:left w:val="single" w:color="auto" w:sz="4" w:space="0"/>
                    <w:bottom w:val="single" w:color="auto" w:sz="4" w:space="0"/>
                    <w:right w:val="nil"/>
                  </w:tcBorders>
                  <w:noWrap w:val="0"/>
                  <w:vAlign w:val="center"/>
                </w:tcPr>
                <w:p w14:paraId="6BACCE0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eastAsia" w:cs="Times New Roman"/>
                      <w:bCs/>
                      <w:color w:val="000000" w:themeColor="text1"/>
                      <w:kern w:val="2"/>
                      <w:sz w:val="21"/>
                      <w:szCs w:val="21"/>
                      <w:lang w:val="en-US" w:eastAsia="zh-CN" w:bidi="ar"/>
                      <w14:textFill>
                        <w14:solidFill>
                          <w14:schemeClr w14:val="tx1"/>
                        </w14:solidFill>
                      </w14:textFill>
                    </w:rPr>
                    <w:t>/</w:t>
                  </w:r>
                </w:p>
              </w:tc>
            </w:tr>
            <w:tr w14:paraId="7020E0CD">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vMerge w:val="restart"/>
                  <w:tcBorders>
                    <w:top w:val="nil"/>
                    <w:left w:val="nil"/>
                    <w:bottom w:val="single" w:color="auto" w:sz="4" w:space="0"/>
                    <w:right w:val="single" w:color="auto" w:sz="4" w:space="0"/>
                  </w:tcBorders>
                  <w:noWrap w:val="0"/>
                  <w:vAlign w:val="center"/>
                </w:tcPr>
                <w:p w14:paraId="26460D77">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监测监控水平</w:t>
                  </w:r>
                </w:p>
              </w:tc>
              <w:tc>
                <w:tcPr>
                  <w:tcW w:w="2216" w:type="pct"/>
                  <w:tcBorders>
                    <w:top w:val="single" w:color="auto" w:sz="4" w:space="0"/>
                    <w:left w:val="single" w:color="auto" w:sz="4" w:space="0"/>
                    <w:bottom w:val="single" w:color="auto" w:sz="4" w:space="0"/>
                    <w:right w:val="single" w:color="auto" w:sz="4" w:space="0"/>
                  </w:tcBorders>
                  <w:noWrap w:val="0"/>
                  <w:vAlign w:val="center"/>
                </w:tcPr>
                <w:p w14:paraId="7FCA1191">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1.有组织排放口按排污许可、环境影响评价或环境现状评估等要求安装烟气排放自动监控设施（CEMS），并按要求与省厅联网；重点排污单位风量大于10000m</w:t>
                  </w:r>
                  <w:r>
                    <w:rPr>
                      <w:rFonts w:hint="default" w:ascii="Times New Roman" w:hAnsi="Times New Roman" w:eastAsia="Times New Roman" w:cs="Times New Roman"/>
                      <w:color w:val="000000" w:themeColor="text1"/>
                      <w:sz w:val="21"/>
                      <w:szCs w:val="21"/>
                      <w:vertAlign w:val="superscript"/>
                      <w14:textFill>
                        <w14:solidFill>
                          <w14:schemeClr w14:val="tx1"/>
                        </w14:solidFill>
                      </w14:textFill>
                    </w:rPr>
                    <w:t>3</w:t>
                  </w:r>
                  <w:r>
                    <w:rPr>
                      <w:rFonts w:hint="default" w:ascii="Times New Roman" w:hAnsi="Times New Roman" w:eastAsia="Times New Roman" w:cs="Times New Roman"/>
                      <w:color w:val="000000" w:themeColor="text1"/>
                      <w:sz w:val="21"/>
                      <w:szCs w:val="21"/>
                      <w14:textFill>
                        <w14:solidFill>
                          <w14:schemeClr w14:val="tx1"/>
                        </w14:solidFill>
                      </w14:textFill>
                    </w:rPr>
                    <w:t>/h的主要排放口安装NMHC在线监测设施（FID检测器）并按要求与省厅联网；其他企业NMHC初始排放速率大于2kg/h且排放口风量大于20000m</w:t>
                  </w:r>
                  <w:r>
                    <w:rPr>
                      <w:rFonts w:hint="default" w:ascii="Times New Roman" w:hAnsi="Times New Roman" w:eastAsia="Times New Roman" w:cs="Times New Roman"/>
                      <w:color w:val="000000" w:themeColor="text1"/>
                      <w:sz w:val="21"/>
                      <w:szCs w:val="21"/>
                      <w:vertAlign w:val="superscript"/>
                      <w14:textFill>
                        <w14:solidFill>
                          <w14:schemeClr w14:val="tx1"/>
                        </w14:solidFill>
                      </w14:textFill>
                    </w:rPr>
                    <w:t>3</w:t>
                  </w:r>
                  <w:r>
                    <w:rPr>
                      <w:rFonts w:hint="default" w:ascii="Times New Roman" w:hAnsi="Times New Roman" w:eastAsia="Times New Roman" w:cs="Times New Roman"/>
                      <w:color w:val="000000" w:themeColor="text1"/>
                      <w:sz w:val="21"/>
                      <w:szCs w:val="21"/>
                      <w14:textFill>
                        <w14:solidFill>
                          <w14:schemeClr w14:val="tx1"/>
                        </w14:solidFill>
                      </w14:textFill>
                    </w:rPr>
                    <w:t>/h的废气排放口安装NMHC在线监测设施（FID检测器），并按要求与省厅联网；在线监测数据至少保存最近12个月的1分钟均值、36个月的1小时均值及60个月的日均值和月均值。（投产或安装时间不满一年以上的企业，以现有数据为准）；</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3E2BC5BD">
                  <w:pPr>
                    <w:keepNext w:val="0"/>
                    <w:keepLines w:val="0"/>
                    <w:widowControl w:val="0"/>
                    <w:suppressLineNumbers w:val="0"/>
                    <w:snapToGrid w:val="0"/>
                    <w:spacing w:before="0" w:beforeAutospacing="0" w:after="0" w:afterAutospacing="0"/>
                    <w:ind w:left="0" w:leftChars="0" w:right="0" w:rightChars="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本</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项目</w:t>
                  </w:r>
                  <w:r>
                    <w:rPr>
                      <w:rFonts w:hint="eastAsia" w:cs="Times New Roman"/>
                      <w:bCs/>
                      <w:color w:val="000000" w:themeColor="text1"/>
                      <w:kern w:val="2"/>
                      <w:sz w:val="21"/>
                      <w:szCs w:val="21"/>
                      <w:highlight w:val="none"/>
                      <w:lang w:val="en-US" w:eastAsia="zh-CN" w:bidi="ar"/>
                      <w14:textFill>
                        <w14:solidFill>
                          <w14:schemeClr w14:val="tx1"/>
                        </w14:solidFill>
                      </w14:textFill>
                    </w:rPr>
                    <w:t>不属于重点排污单位，</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无需安装自动监控、在线监测设施。</w:t>
                  </w:r>
                </w:p>
              </w:tc>
              <w:tc>
                <w:tcPr>
                  <w:tcW w:w="437" w:type="pct"/>
                  <w:tcBorders>
                    <w:top w:val="single" w:color="auto" w:sz="4" w:space="0"/>
                    <w:left w:val="single" w:color="auto" w:sz="4" w:space="0"/>
                    <w:bottom w:val="single" w:color="auto" w:sz="4" w:space="0"/>
                    <w:right w:val="nil"/>
                  </w:tcBorders>
                  <w:noWrap w:val="0"/>
                  <w:vAlign w:val="center"/>
                </w:tcPr>
                <w:p w14:paraId="604C75D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eastAsia" w:cs="Times New Roman"/>
                      <w:bCs/>
                      <w:color w:val="000000" w:themeColor="text1"/>
                      <w:kern w:val="2"/>
                      <w:sz w:val="21"/>
                      <w:szCs w:val="21"/>
                      <w:lang w:val="en-US" w:eastAsia="zh-CN" w:bidi="ar"/>
                      <w14:textFill>
                        <w14:solidFill>
                          <w14:schemeClr w14:val="tx1"/>
                        </w14:solidFill>
                      </w14:textFill>
                    </w:rPr>
                    <w:t>/</w:t>
                  </w:r>
                </w:p>
              </w:tc>
            </w:tr>
            <w:tr w14:paraId="5DA34DC7">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vMerge w:val="continue"/>
                  <w:tcBorders>
                    <w:top w:val="nil"/>
                    <w:left w:val="nil"/>
                    <w:bottom w:val="single" w:color="auto" w:sz="4" w:space="0"/>
                    <w:right w:val="single" w:color="auto" w:sz="4" w:space="0"/>
                  </w:tcBorders>
                  <w:noWrap w:val="0"/>
                  <w:vAlign w:val="center"/>
                </w:tcPr>
                <w:p w14:paraId="735A4044">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tcBorders>
                    <w:top w:val="single" w:color="auto" w:sz="4" w:space="0"/>
                    <w:left w:val="single" w:color="auto" w:sz="4" w:space="0"/>
                    <w:bottom w:val="single" w:color="auto" w:sz="4" w:space="0"/>
                    <w:right w:val="single" w:color="auto" w:sz="4" w:space="0"/>
                  </w:tcBorders>
                  <w:noWrap w:val="0"/>
                  <w:vAlign w:val="center"/>
                </w:tcPr>
                <w:p w14:paraId="7A9C74F7">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2.按生态环境部门要求规范设置废气排放口标志牌、二维码标识和采样平台、采样孔；各废气排放口按照排污许可要求开展自行监测。</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6DBFB3CA">
                  <w:pPr>
                    <w:keepNext w:val="0"/>
                    <w:keepLines w:val="0"/>
                    <w:widowControl w:val="0"/>
                    <w:suppressLineNumbers w:val="0"/>
                    <w:snapToGrid w:val="0"/>
                    <w:spacing w:before="0" w:beforeAutospacing="0" w:after="0" w:afterAutospacing="0"/>
                    <w:ind w:left="0" w:leftChars="0" w:right="0" w:rightChars="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本项目严格按生态环境部门要求规范设置废气排放口标志牌、二维码标识和采样平台、采样孔；各废气排放口按照排污许可要求开展自行监测。</w:t>
                  </w:r>
                </w:p>
              </w:tc>
              <w:tc>
                <w:tcPr>
                  <w:tcW w:w="437" w:type="pct"/>
                  <w:tcBorders>
                    <w:top w:val="single" w:color="auto" w:sz="4" w:space="0"/>
                    <w:left w:val="single" w:color="auto" w:sz="4" w:space="0"/>
                    <w:bottom w:val="single" w:color="auto" w:sz="4" w:space="0"/>
                    <w:right w:val="nil"/>
                  </w:tcBorders>
                  <w:noWrap w:val="0"/>
                  <w:vAlign w:val="center"/>
                </w:tcPr>
                <w:p w14:paraId="78912AF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0A4B65ED">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5" w:type="pct"/>
                  <w:vMerge w:val="restart"/>
                  <w:tcBorders>
                    <w:top w:val="nil"/>
                    <w:left w:val="nil"/>
                    <w:bottom w:val="single" w:color="auto" w:sz="4" w:space="0"/>
                    <w:right w:val="single" w:color="auto" w:sz="4" w:space="0"/>
                  </w:tcBorders>
                  <w:noWrap w:val="0"/>
                  <w:vAlign w:val="center"/>
                </w:tcPr>
                <w:p w14:paraId="09A39D29">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环境管理水平</w:t>
                  </w:r>
                </w:p>
              </w:tc>
              <w:tc>
                <w:tcPr>
                  <w:tcW w:w="333" w:type="pct"/>
                  <w:tcBorders>
                    <w:top w:val="single" w:color="auto" w:sz="4" w:space="0"/>
                    <w:left w:val="single" w:color="auto" w:sz="4" w:space="0"/>
                    <w:bottom w:val="single" w:color="auto" w:sz="4" w:space="0"/>
                    <w:right w:val="single" w:color="auto" w:sz="4" w:space="0"/>
                  </w:tcBorders>
                  <w:noWrap w:val="0"/>
                  <w:vAlign w:val="center"/>
                </w:tcPr>
                <w:p w14:paraId="026546EC">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环保档案</w:t>
                  </w:r>
                </w:p>
              </w:tc>
              <w:tc>
                <w:tcPr>
                  <w:tcW w:w="2216" w:type="pct"/>
                  <w:tcBorders>
                    <w:top w:val="single" w:color="auto" w:sz="4" w:space="0"/>
                    <w:left w:val="single" w:color="auto" w:sz="4" w:space="0"/>
                    <w:bottom w:val="single" w:color="auto" w:sz="4" w:space="0"/>
                    <w:right w:val="single" w:color="auto" w:sz="4" w:space="0"/>
                  </w:tcBorders>
                  <w:noWrap w:val="0"/>
                  <w:vAlign w:val="center"/>
                </w:tcPr>
                <w:p w14:paraId="79940B3B">
                  <w:pPr>
                    <w:keepNext w:val="0"/>
                    <w:keepLines w:val="0"/>
                    <w:widowControl w:val="0"/>
                    <w:suppressLineNumbers w:val="0"/>
                    <w:autoSpaceDE w:val="0"/>
                    <w:autoSpaceDN/>
                    <w:snapToGrid w:val="0"/>
                    <w:spacing w:before="0" w:beforeAutospacing="0" w:after="0" w:afterAutospacing="0" w:line="260" w:lineRule="exact"/>
                    <w:ind w:left="0" w:right="0"/>
                    <w:jc w:val="both"/>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1.环评批复文件和竣工环保验收文件或环境现状评估备案证明；</w:t>
                  </w:r>
                </w:p>
                <w:p w14:paraId="5321DDF5">
                  <w:pPr>
                    <w:keepNext w:val="0"/>
                    <w:keepLines w:val="0"/>
                    <w:widowControl w:val="0"/>
                    <w:suppressLineNumbers w:val="0"/>
                    <w:autoSpaceDE w:val="0"/>
                    <w:autoSpaceDN/>
                    <w:snapToGrid w:val="0"/>
                    <w:spacing w:before="0" w:beforeAutospacing="0" w:after="0" w:afterAutospacing="0" w:line="260" w:lineRule="exact"/>
                    <w:ind w:left="0" w:right="0"/>
                    <w:jc w:val="both"/>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2.国家版排污许可证；</w:t>
                  </w:r>
                </w:p>
                <w:p w14:paraId="7C1E3E92">
                  <w:pPr>
                    <w:keepNext w:val="0"/>
                    <w:keepLines w:val="0"/>
                    <w:widowControl w:val="0"/>
                    <w:suppressLineNumbers w:val="0"/>
                    <w:autoSpaceDE w:val="0"/>
                    <w:autoSpaceDN/>
                    <w:snapToGrid w:val="0"/>
                    <w:spacing w:before="0" w:beforeAutospacing="0" w:after="0" w:afterAutospacing="0" w:line="260" w:lineRule="exact"/>
                    <w:ind w:left="0" w:right="0"/>
                    <w:jc w:val="both"/>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3.环境管理制度（有组织、无组织排放长效管理机制，主要包括日常操作规程、岗位责任制度、污染物排放公示制度和定期巡查维护制度等）；</w:t>
                  </w:r>
                </w:p>
                <w:p w14:paraId="1F86C074">
                  <w:pPr>
                    <w:keepNext w:val="0"/>
                    <w:keepLines w:val="0"/>
                    <w:widowControl w:val="0"/>
                    <w:suppressLineNumbers w:val="0"/>
                    <w:autoSpaceDE w:val="0"/>
                    <w:autoSpaceDN/>
                    <w:snapToGrid w:val="0"/>
                    <w:spacing w:before="0" w:beforeAutospacing="0" w:after="0" w:afterAutospacing="0" w:line="260" w:lineRule="exact"/>
                    <w:ind w:left="0" w:right="0"/>
                    <w:jc w:val="both"/>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4.废气污染治理设施稳定运行管理规程；</w:t>
                  </w:r>
                </w:p>
                <w:p w14:paraId="5462F31F">
                  <w:pPr>
                    <w:keepNext w:val="0"/>
                    <w:keepLines w:val="0"/>
                    <w:widowControl w:val="0"/>
                    <w:suppressLineNumbers w:val="0"/>
                    <w:autoSpaceDE w:val="0"/>
                    <w:autoSpaceDN/>
                    <w:snapToGrid w:val="0"/>
                    <w:spacing w:before="0" w:beforeAutospacing="0" w:after="0" w:afterAutospacing="0" w:line="260" w:lineRule="exact"/>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5.一年内废气监测报告（符合排污许可证监测项目及频次要求）。</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7C489779">
                  <w:pPr>
                    <w:keepNext w:val="0"/>
                    <w:keepLines w:val="0"/>
                    <w:widowControl w:val="0"/>
                    <w:suppressLineNumbers w:val="0"/>
                    <w:snapToGrid w:val="0"/>
                    <w:spacing w:before="0" w:beforeAutospacing="0" w:after="0" w:afterAutospacing="0"/>
                    <w:ind w:left="0" w:leftChars="0" w:right="0" w:rightChars="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按照要求规范环保档案管理。</w:t>
                  </w:r>
                </w:p>
              </w:tc>
              <w:tc>
                <w:tcPr>
                  <w:tcW w:w="437" w:type="pct"/>
                  <w:tcBorders>
                    <w:top w:val="single" w:color="auto" w:sz="4" w:space="0"/>
                    <w:left w:val="single" w:color="auto" w:sz="4" w:space="0"/>
                    <w:bottom w:val="single" w:color="auto" w:sz="4" w:space="0"/>
                    <w:right w:val="nil"/>
                  </w:tcBorders>
                  <w:noWrap w:val="0"/>
                  <w:vAlign w:val="center"/>
                </w:tcPr>
                <w:p w14:paraId="740599E2">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5BEBA3D0">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5" w:type="pct"/>
                  <w:vMerge w:val="continue"/>
                  <w:tcBorders>
                    <w:top w:val="nil"/>
                    <w:left w:val="nil"/>
                    <w:bottom w:val="single" w:color="auto" w:sz="4" w:space="0"/>
                    <w:right w:val="single" w:color="auto" w:sz="4" w:space="0"/>
                  </w:tcBorders>
                  <w:noWrap w:val="0"/>
                  <w:vAlign w:val="center"/>
                </w:tcPr>
                <w:p w14:paraId="24EDE241">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333" w:type="pct"/>
                  <w:tcBorders>
                    <w:top w:val="single" w:color="auto" w:sz="4" w:space="0"/>
                    <w:left w:val="single" w:color="auto" w:sz="4" w:space="0"/>
                    <w:bottom w:val="single" w:color="auto" w:sz="4" w:space="0"/>
                    <w:right w:val="single" w:color="auto" w:sz="4" w:space="0"/>
                  </w:tcBorders>
                  <w:noWrap w:val="0"/>
                  <w:vAlign w:val="center"/>
                </w:tcPr>
                <w:p w14:paraId="6AD97CD9">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台账记录</w:t>
                  </w:r>
                </w:p>
              </w:tc>
              <w:tc>
                <w:tcPr>
                  <w:tcW w:w="2216" w:type="pct"/>
                  <w:tcBorders>
                    <w:top w:val="single" w:color="auto" w:sz="4" w:space="0"/>
                    <w:left w:val="single" w:color="auto" w:sz="4" w:space="0"/>
                    <w:bottom w:val="single" w:color="auto" w:sz="4" w:space="0"/>
                    <w:right w:val="single" w:color="auto" w:sz="4" w:space="0"/>
                  </w:tcBorders>
                  <w:noWrap w:val="0"/>
                  <w:vAlign w:val="center"/>
                </w:tcPr>
                <w:p w14:paraId="2661C1C0">
                  <w:pPr>
                    <w:keepNext w:val="0"/>
                    <w:keepLines w:val="0"/>
                    <w:widowControl w:val="0"/>
                    <w:suppressLineNumbers w:val="0"/>
                    <w:autoSpaceDE w:val="0"/>
                    <w:autoSpaceDN/>
                    <w:snapToGrid w:val="0"/>
                    <w:spacing w:before="0" w:beforeAutospacing="0" w:after="0" w:afterAutospacing="0" w:line="280" w:lineRule="exact"/>
                    <w:ind w:left="0" w:right="0"/>
                    <w:jc w:val="both"/>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1.生产设施运行管理信息（生产时间、运行负荷、产品产量等）；</w:t>
                  </w:r>
                </w:p>
                <w:p w14:paraId="1421CAB2">
                  <w:pPr>
                    <w:keepNext w:val="0"/>
                    <w:keepLines w:val="0"/>
                    <w:widowControl w:val="0"/>
                    <w:suppressLineNumbers w:val="0"/>
                    <w:autoSpaceDE w:val="0"/>
                    <w:autoSpaceDN/>
                    <w:snapToGrid w:val="0"/>
                    <w:spacing w:before="0" w:beforeAutospacing="0" w:after="0" w:afterAutospacing="0" w:line="280" w:lineRule="exact"/>
                    <w:ind w:left="0" w:right="0"/>
                    <w:jc w:val="both"/>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2.废气污染治理设施运行、维护、管理信息（包括但不限于废气收集系统和污染治理设施的名称规格、设计参数、运行参数、巡检记录、污染治理易耗品与药剂用量（吸附剂、催化剂、脱硫剂、脱硝剂、过滤耗材等）、操作记录以及维护记录、运行要求等）；</w:t>
                  </w:r>
                </w:p>
                <w:p w14:paraId="5EFCED03">
                  <w:pPr>
                    <w:keepNext w:val="0"/>
                    <w:keepLines w:val="0"/>
                    <w:widowControl w:val="0"/>
                    <w:suppressLineNumbers w:val="0"/>
                    <w:autoSpaceDE w:val="0"/>
                    <w:autoSpaceDN/>
                    <w:snapToGrid w:val="0"/>
                    <w:spacing w:before="0" w:beforeAutospacing="0" w:after="0" w:afterAutospacing="0" w:line="280" w:lineRule="exact"/>
                    <w:ind w:left="0" w:right="0"/>
                    <w:jc w:val="both"/>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3.监测记录信息（主要污染排放口废气排放记录等）；</w:t>
                  </w:r>
                </w:p>
                <w:p w14:paraId="3A7EC384">
                  <w:pPr>
                    <w:keepNext w:val="0"/>
                    <w:keepLines w:val="0"/>
                    <w:widowControl w:val="0"/>
                    <w:suppressLineNumbers w:val="0"/>
                    <w:autoSpaceDE w:val="0"/>
                    <w:autoSpaceDN/>
                    <w:snapToGrid w:val="0"/>
                    <w:spacing w:before="0" w:beforeAutospacing="0" w:after="0" w:afterAutospacing="0" w:line="280" w:lineRule="exact"/>
                    <w:ind w:left="0" w:right="0"/>
                    <w:jc w:val="both"/>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4.主要原辅材料消耗记录；</w:t>
                  </w:r>
                </w:p>
                <w:p w14:paraId="3306AE9E">
                  <w:pPr>
                    <w:keepNext w:val="0"/>
                    <w:keepLines w:val="0"/>
                    <w:widowControl w:val="0"/>
                    <w:suppressLineNumbers w:val="0"/>
                    <w:autoSpaceDE w:val="0"/>
                    <w:autoSpaceDN/>
                    <w:snapToGrid w:val="0"/>
                    <w:spacing w:before="0" w:beforeAutospacing="0" w:after="0" w:afterAutospacing="0" w:line="280" w:lineRule="exact"/>
                    <w:ind w:left="0" w:right="0"/>
                    <w:jc w:val="both"/>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5.燃料消耗记录；</w:t>
                  </w:r>
                </w:p>
                <w:p w14:paraId="311850AF">
                  <w:pPr>
                    <w:keepNext w:val="0"/>
                    <w:keepLines w:val="0"/>
                    <w:widowControl w:val="0"/>
                    <w:suppressLineNumbers w:val="0"/>
                    <w:autoSpaceDE w:val="0"/>
                    <w:autoSpaceDN/>
                    <w:snapToGrid w:val="0"/>
                    <w:spacing w:before="0" w:beforeAutospacing="0" w:after="0" w:afterAutospacing="0" w:line="280" w:lineRule="exact"/>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6.固废、危废暂存、处理记录。</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39A453F0">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按照要求规范记录台账信息。</w:t>
                  </w:r>
                </w:p>
              </w:tc>
              <w:tc>
                <w:tcPr>
                  <w:tcW w:w="437" w:type="pct"/>
                  <w:tcBorders>
                    <w:top w:val="single" w:color="auto" w:sz="4" w:space="0"/>
                    <w:left w:val="single" w:color="auto" w:sz="4" w:space="0"/>
                    <w:bottom w:val="single" w:color="auto" w:sz="4" w:space="0"/>
                    <w:right w:val="nil"/>
                  </w:tcBorders>
                  <w:noWrap w:val="0"/>
                  <w:vAlign w:val="center"/>
                </w:tcPr>
                <w:p w14:paraId="127EFDB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44586DF2">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5" w:type="pct"/>
                  <w:vMerge w:val="continue"/>
                  <w:tcBorders>
                    <w:top w:val="nil"/>
                    <w:left w:val="nil"/>
                    <w:bottom w:val="single" w:color="auto" w:sz="4" w:space="0"/>
                    <w:right w:val="single" w:color="auto" w:sz="4" w:space="0"/>
                  </w:tcBorders>
                  <w:noWrap w:val="0"/>
                  <w:vAlign w:val="center"/>
                </w:tcPr>
                <w:p w14:paraId="006BC566">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333" w:type="pct"/>
                  <w:tcBorders>
                    <w:top w:val="single" w:color="auto" w:sz="4" w:space="0"/>
                    <w:left w:val="single" w:color="auto" w:sz="4" w:space="0"/>
                    <w:bottom w:val="single" w:color="auto" w:sz="4" w:space="0"/>
                    <w:right w:val="single" w:color="auto" w:sz="4" w:space="0"/>
                  </w:tcBorders>
                  <w:noWrap w:val="0"/>
                  <w:vAlign w:val="center"/>
                </w:tcPr>
                <w:p w14:paraId="430E56D5">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人员配置</w:t>
                  </w:r>
                </w:p>
              </w:tc>
              <w:tc>
                <w:tcPr>
                  <w:tcW w:w="2216" w:type="pct"/>
                  <w:tcBorders>
                    <w:top w:val="single" w:color="auto" w:sz="4" w:space="0"/>
                    <w:left w:val="single" w:color="auto" w:sz="4" w:space="0"/>
                    <w:bottom w:val="single" w:color="auto" w:sz="4" w:space="0"/>
                    <w:right w:val="single" w:color="auto" w:sz="4" w:space="0"/>
                  </w:tcBorders>
                  <w:noWrap w:val="0"/>
                  <w:vAlign w:val="center"/>
                </w:tcPr>
                <w:p w14:paraId="55FA63D6">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配备专职环保人员，并具备相应的环境管理能力（包括但不限于学历、培训、从业经验等）。</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3046C88B">
                  <w:pPr>
                    <w:keepNext w:val="0"/>
                    <w:keepLines w:val="0"/>
                    <w:widowControl w:val="0"/>
                    <w:suppressLineNumbers w:val="0"/>
                    <w:snapToGrid w:val="0"/>
                    <w:spacing w:before="0" w:beforeAutospacing="0" w:after="0" w:afterAutospacing="0"/>
                    <w:ind w:left="0" w:leftChars="0" w:right="0" w:rightChars="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配备专职环保人员，并具备相应的环境管理能力。</w:t>
                  </w:r>
                </w:p>
              </w:tc>
              <w:tc>
                <w:tcPr>
                  <w:tcW w:w="437" w:type="pct"/>
                  <w:tcBorders>
                    <w:top w:val="single" w:color="auto" w:sz="4" w:space="0"/>
                    <w:left w:val="single" w:color="auto" w:sz="4" w:space="0"/>
                    <w:bottom w:val="single" w:color="auto" w:sz="4" w:space="0"/>
                    <w:right w:val="nil"/>
                  </w:tcBorders>
                  <w:noWrap w:val="0"/>
                  <w:vAlign w:val="center"/>
                </w:tcPr>
                <w:p w14:paraId="26938BB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0C97BA9E">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vMerge w:val="restart"/>
                  <w:tcBorders>
                    <w:top w:val="nil"/>
                    <w:left w:val="nil"/>
                    <w:bottom w:val="single" w:color="auto" w:sz="4" w:space="0"/>
                    <w:right w:val="single" w:color="auto" w:sz="4" w:space="0"/>
                  </w:tcBorders>
                  <w:noWrap w:val="0"/>
                  <w:vAlign w:val="center"/>
                </w:tcPr>
                <w:p w14:paraId="305DDABD">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运输方式</w:t>
                  </w:r>
                </w:p>
              </w:tc>
              <w:tc>
                <w:tcPr>
                  <w:tcW w:w="2216" w:type="pct"/>
                  <w:tcBorders>
                    <w:top w:val="single" w:color="auto" w:sz="4" w:space="0"/>
                    <w:left w:val="single" w:color="auto" w:sz="4" w:space="0"/>
                    <w:bottom w:val="single" w:color="auto" w:sz="4" w:space="0"/>
                    <w:right w:val="single" w:color="auto" w:sz="4" w:space="0"/>
                  </w:tcBorders>
                  <w:noWrap w:val="0"/>
                  <w:vAlign w:val="center"/>
                </w:tcPr>
                <w:p w14:paraId="320D59C2">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1.物料、产品运输全部使用国五及以上排放标准的重型载货车辆（重型燃气车辆达到国六排放标准）或新能源车辆；</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2EA030E8">
                  <w:pPr>
                    <w:keepNext w:val="0"/>
                    <w:keepLines w:val="0"/>
                    <w:widowControl w:val="0"/>
                    <w:suppressLineNumbers w:val="0"/>
                    <w:snapToGrid w:val="0"/>
                    <w:spacing w:before="0" w:beforeAutospacing="0" w:after="0" w:afterAutospacing="0"/>
                    <w:ind w:left="0" w:leftChars="0" w:right="0" w:rightChars="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物料、产品运输全部使用国五及以上排放标准的重型载货车辆（重型燃气车辆达到国六排放标准）或新能源车辆；</w:t>
                  </w:r>
                </w:p>
              </w:tc>
              <w:tc>
                <w:tcPr>
                  <w:tcW w:w="437" w:type="pct"/>
                  <w:tcBorders>
                    <w:top w:val="single" w:color="auto" w:sz="4" w:space="0"/>
                    <w:left w:val="single" w:color="auto" w:sz="4" w:space="0"/>
                    <w:bottom w:val="single" w:color="auto" w:sz="4" w:space="0"/>
                    <w:right w:val="nil"/>
                  </w:tcBorders>
                  <w:noWrap w:val="0"/>
                  <w:vAlign w:val="center"/>
                </w:tcPr>
                <w:p w14:paraId="55B953B2">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2DB85A7D">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vMerge w:val="continue"/>
                  <w:tcBorders>
                    <w:top w:val="nil"/>
                    <w:left w:val="nil"/>
                    <w:bottom w:val="single" w:color="auto" w:sz="4" w:space="0"/>
                    <w:right w:val="single" w:color="auto" w:sz="4" w:space="0"/>
                  </w:tcBorders>
                  <w:noWrap w:val="0"/>
                  <w:vAlign w:val="center"/>
                </w:tcPr>
                <w:p w14:paraId="2F751326">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tcBorders>
                    <w:top w:val="single" w:color="auto" w:sz="4" w:space="0"/>
                    <w:left w:val="single" w:color="auto" w:sz="4" w:space="0"/>
                    <w:bottom w:val="single" w:color="auto" w:sz="4" w:space="0"/>
                    <w:right w:val="single" w:color="auto" w:sz="4" w:space="0"/>
                  </w:tcBorders>
                  <w:noWrap w:val="0"/>
                  <w:vAlign w:val="center"/>
                </w:tcPr>
                <w:p w14:paraId="28B19AEE">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2.厂内车辆全部达到国五及以上排放标准（重型燃气车辆达到国六排放标准）或使用新能源车辆；</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4110A4CD">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14:textFill>
                        <w14:solidFill>
                          <w14:schemeClr w14:val="tx1"/>
                        </w14:solidFill>
                      </w14:textFill>
                    </w:rPr>
                    <w:t>厂内车辆全部达到国五及以上排放标准（重型燃气车辆达到国六排放标准）或使用新能源车辆；</w:t>
                  </w:r>
                </w:p>
              </w:tc>
              <w:tc>
                <w:tcPr>
                  <w:tcW w:w="437" w:type="pct"/>
                  <w:tcBorders>
                    <w:top w:val="single" w:color="auto" w:sz="4" w:space="0"/>
                    <w:left w:val="single" w:color="auto" w:sz="4" w:space="0"/>
                    <w:bottom w:val="single" w:color="auto" w:sz="4" w:space="0"/>
                    <w:right w:val="nil"/>
                  </w:tcBorders>
                  <w:noWrap w:val="0"/>
                  <w:vAlign w:val="center"/>
                </w:tcPr>
                <w:p w14:paraId="1E93CCC5">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pPr>
                  <w:r>
                    <w:rPr>
                      <w:rFonts w:hint="eastAsia" w:cs="Times New Roman"/>
                      <w:bCs/>
                      <w:color w:val="000000" w:themeColor="text1"/>
                      <w:kern w:val="2"/>
                      <w:sz w:val="21"/>
                      <w:szCs w:val="21"/>
                      <w:lang w:val="en-US" w:eastAsia="zh-CN"/>
                      <w14:textFill>
                        <w14:solidFill>
                          <w14:schemeClr w14:val="tx1"/>
                        </w14:solidFill>
                      </w14:textFill>
                    </w:rPr>
                    <w:t>相符</w:t>
                  </w:r>
                </w:p>
              </w:tc>
            </w:tr>
            <w:tr w14:paraId="671817A0">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9" w:type="pct"/>
                  <w:gridSpan w:val="2"/>
                  <w:vMerge w:val="continue"/>
                  <w:tcBorders>
                    <w:top w:val="nil"/>
                    <w:left w:val="nil"/>
                    <w:bottom w:val="single" w:color="auto" w:sz="4" w:space="0"/>
                    <w:right w:val="single" w:color="auto" w:sz="4" w:space="0"/>
                  </w:tcBorders>
                  <w:noWrap w:val="0"/>
                  <w:vAlign w:val="center"/>
                </w:tcPr>
                <w:p w14:paraId="7BE9FB25">
                  <w:pPr>
                    <w:keepNext w:val="0"/>
                    <w:keepLines w:val="0"/>
                    <w:suppressLineNumbers w:val="0"/>
                    <w:spacing w:before="0" w:beforeAutospacing="0" w:after="0" w:afterAutospacing="0"/>
                    <w:ind w:left="0" w:right="0"/>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2216" w:type="pct"/>
                  <w:tcBorders>
                    <w:top w:val="single" w:color="auto" w:sz="4" w:space="0"/>
                    <w:left w:val="single" w:color="auto" w:sz="4" w:space="0"/>
                    <w:bottom w:val="single" w:color="auto" w:sz="4" w:space="0"/>
                    <w:right w:val="single" w:color="auto" w:sz="4" w:space="0"/>
                  </w:tcBorders>
                  <w:noWrap w:val="0"/>
                  <w:vAlign w:val="center"/>
                </w:tcPr>
                <w:p w14:paraId="3C86B4AA">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3.厂内非道路移动机械达到国三及以上排放标准或使用新能源机械。</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70875993">
                  <w:pPr>
                    <w:keepNext w:val="0"/>
                    <w:keepLines w:val="0"/>
                    <w:widowControl w:val="0"/>
                    <w:suppressLineNumbers w:val="0"/>
                    <w:snapToGrid w:val="0"/>
                    <w:spacing w:before="0" w:beforeAutospacing="0" w:after="0" w:afterAutospacing="0"/>
                    <w:ind w:left="0" w:leftChars="0" w:right="0" w:rightChars="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使用符合要求的非道路移动机械。</w:t>
                  </w:r>
                </w:p>
              </w:tc>
              <w:tc>
                <w:tcPr>
                  <w:tcW w:w="437" w:type="pct"/>
                  <w:tcBorders>
                    <w:top w:val="single" w:color="auto" w:sz="4" w:space="0"/>
                    <w:left w:val="single" w:color="auto" w:sz="4" w:space="0"/>
                    <w:bottom w:val="single" w:color="auto" w:sz="4" w:space="0"/>
                    <w:right w:val="nil"/>
                  </w:tcBorders>
                  <w:noWrap w:val="0"/>
                  <w:vAlign w:val="center"/>
                </w:tcPr>
                <w:p w14:paraId="3EA9FBFE">
                  <w:pPr>
                    <w:keepNext w:val="0"/>
                    <w:keepLines w:val="0"/>
                    <w:widowControl w:val="0"/>
                    <w:suppressLineNumbers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02B29D9D">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49" w:type="pct"/>
                  <w:gridSpan w:val="2"/>
                  <w:tcBorders>
                    <w:top w:val="single" w:color="auto" w:sz="4" w:space="0"/>
                    <w:left w:val="nil"/>
                    <w:bottom w:val="single" w:color="auto" w:sz="4" w:space="0"/>
                    <w:right w:val="single" w:color="auto" w:sz="4" w:space="0"/>
                  </w:tcBorders>
                  <w:noWrap w:val="0"/>
                  <w:vAlign w:val="center"/>
                </w:tcPr>
                <w:p w14:paraId="56E549A9">
                  <w:pPr>
                    <w:keepNext w:val="0"/>
                    <w:keepLines w:val="0"/>
                    <w:widowControl w:val="0"/>
                    <w:suppressLineNumbers w:val="0"/>
                    <w:snapToGrid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运输监管</w:t>
                  </w:r>
                </w:p>
              </w:tc>
              <w:tc>
                <w:tcPr>
                  <w:tcW w:w="2216" w:type="pct"/>
                  <w:tcBorders>
                    <w:top w:val="single" w:color="auto" w:sz="4" w:space="0"/>
                    <w:left w:val="single" w:color="auto" w:sz="4" w:space="0"/>
                    <w:bottom w:val="single" w:color="auto" w:sz="4" w:space="0"/>
                    <w:right w:val="single" w:color="auto" w:sz="4" w:space="0"/>
                  </w:tcBorders>
                  <w:noWrap w:val="0"/>
                  <w:vAlign w:val="center"/>
                </w:tcPr>
                <w:p w14:paraId="2FD08D82">
                  <w:pPr>
                    <w:keepNext w:val="0"/>
                    <w:keepLines w:val="0"/>
                    <w:widowControl w:val="0"/>
                    <w:suppressLineNumbers w:val="0"/>
                    <w:snapToGrid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日均进出货物150吨（或载货车辆日进出10辆次）及以上（货物包括原料、辅料、燃料、产品和其他与生产相关物料）的企业，参照《重污染天气重点行业移动源应急管理技术指南》建立门禁视频监控系统和电子台账；其他企业安装车辆运输视频监控（数据能保存6个月），并建立车辆运输手工台账。</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7C524322">
                  <w:pPr>
                    <w:keepNext w:val="0"/>
                    <w:keepLines w:val="0"/>
                    <w:widowControl w:val="0"/>
                    <w:suppressLineNumbers w:val="0"/>
                    <w:snapToGrid w:val="0"/>
                    <w:spacing w:before="0" w:beforeAutospacing="0" w:after="0" w:afterAutospacing="0"/>
                    <w:ind w:left="0" w:leftChars="0" w:right="0" w:rightChars="0"/>
                    <w:jc w:val="both"/>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项目建成后，企业日均进出货物</w:t>
                  </w:r>
                  <w:r>
                    <w:rPr>
                      <w:rFonts w:hint="eastAsia" w:cs="Times New Roman"/>
                      <w:bCs/>
                      <w:color w:val="000000" w:themeColor="text1"/>
                      <w:kern w:val="2"/>
                      <w:sz w:val="21"/>
                      <w:szCs w:val="21"/>
                      <w:highlight w:val="none"/>
                      <w:lang w:val="en-US" w:eastAsia="zh-CN" w:bidi="ar"/>
                      <w14:textFill>
                        <w14:solidFill>
                          <w14:schemeClr w14:val="tx1"/>
                        </w14:solidFill>
                      </w14:textFill>
                    </w:rPr>
                    <w:t>约4.8</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吨</w:t>
                  </w:r>
                  <w:r>
                    <w:rPr>
                      <w:rFonts w:hint="eastAsia" w:cs="Times New Roman"/>
                      <w:bCs/>
                      <w:color w:val="000000" w:themeColor="text1"/>
                      <w:kern w:val="2"/>
                      <w:sz w:val="21"/>
                      <w:szCs w:val="21"/>
                      <w:highlight w:val="none"/>
                      <w:lang w:val="en-US" w:eastAsia="zh-CN" w:bidi="ar"/>
                      <w14:textFill>
                        <w14:solidFill>
                          <w14:schemeClr w14:val="tx1"/>
                        </w14:solidFill>
                      </w14:textFill>
                    </w:rPr>
                    <w:t>，不足150吨</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eastAsia" w:cs="Times New Roman"/>
                      <w:bCs/>
                      <w:color w:val="000000" w:themeColor="text1"/>
                      <w:kern w:val="2"/>
                      <w:sz w:val="21"/>
                      <w:szCs w:val="21"/>
                      <w:highlight w:val="none"/>
                      <w:lang w:val="en-US" w:eastAsia="zh-CN" w:bidi="ar"/>
                      <w14:textFill>
                        <w14:solidFill>
                          <w14:schemeClr w14:val="tx1"/>
                        </w14:solidFill>
                      </w14:textFill>
                    </w:rPr>
                    <w:t>车次不足10次，不需要</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建立门禁视频监控系统</w:t>
                  </w:r>
                  <w:r>
                    <w:rPr>
                      <w:rFonts w:hint="eastAsia" w:cs="Times New Roman"/>
                      <w:bCs/>
                      <w:color w:val="000000" w:themeColor="text1"/>
                      <w:kern w:val="2"/>
                      <w:sz w:val="21"/>
                      <w:szCs w:val="21"/>
                      <w:lang w:val="en-US" w:eastAsia="zh-CN" w:bidi="ar"/>
                      <w14:textFill>
                        <w14:solidFill>
                          <w14:schemeClr w14:val="tx1"/>
                        </w14:solidFill>
                      </w14:textFill>
                    </w:rPr>
                    <w:t>，需安装车辆运输视频监控（数据保存6个月）并建立车辆运输手工台账。</w:t>
                  </w:r>
                </w:p>
              </w:tc>
              <w:tc>
                <w:tcPr>
                  <w:tcW w:w="437" w:type="pct"/>
                  <w:tcBorders>
                    <w:top w:val="single" w:color="auto" w:sz="4" w:space="0"/>
                    <w:left w:val="single" w:color="auto" w:sz="4" w:space="0"/>
                    <w:bottom w:val="single" w:color="auto" w:sz="4" w:space="0"/>
                    <w:right w:val="nil"/>
                  </w:tcBorders>
                  <w:noWrap w:val="0"/>
                  <w:vAlign w:val="center"/>
                </w:tcPr>
                <w:p w14:paraId="5DBB0CE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相符</w:t>
                  </w:r>
                </w:p>
              </w:tc>
            </w:tr>
            <w:tr w14:paraId="248D3ED7">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5000" w:type="pct"/>
                  <w:gridSpan w:val="5"/>
                  <w:tcBorders>
                    <w:top w:val="single" w:color="auto" w:sz="4" w:space="0"/>
                    <w:left w:val="nil"/>
                    <w:bottom w:val="single" w:color="auto" w:sz="4" w:space="0"/>
                    <w:right w:val="nil"/>
                  </w:tcBorders>
                  <w:noWrap w:val="0"/>
                  <w:vAlign w:val="center"/>
                </w:tcPr>
                <w:p w14:paraId="3CC9EA2A">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备注</w:t>
                  </w:r>
                  <w:r>
                    <w:rPr>
                      <w:rFonts w:hint="default" w:ascii="Times New Roman" w:hAnsi="Times New Roman" w:eastAsia="宋体" w:cs="Times New Roman"/>
                      <w:bCs/>
                      <w:color w:val="000000" w:themeColor="text1"/>
                      <w:kern w:val="2"/>
                      <w:sz w:val="21"/>
                      <w:szCs w:val="21"/>
                      <w:vertAlign w:val="superscript"/>
                      <w:lang w:val="en-US" w:eastAsia="zh-CN" w:bidi="ar"/>
                      <w14:textFill>
                        <w14:solidFill>
                          <w14:schemeClr w14:val="tx1"/>
                        </w14:solidFill>
                      </w14:textFill>
                    </w:rPr>
                    <w:t>【1】</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：使用再生料的企业是以再生塑料颗粒或其他企业废旧塑料为原料的企业，其中不包括利用自身边角料进行生产的企业。</w:t>
                  </w:r>
                </w:p>
                <w:p w14:paraId="2B758E62">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备注</w:t>
                  </w:r>
                  <w:r>
                    <w:rPr>
                      <w:rFonts w:hint="default" w:ascii="Times New Roman" w:hAnsi="Times New Roman" w:eastAsia="宋体" w:cs="Times New Roman"/>
                      <w:bCs/>
                      <w:color w:val="000000" w:themeColor="text1"/>
                      <w:kern w:val="2"/>
                      <w:sz w:val="21"/>
                      <w:szCs w:val="21"/>
                      <w:vertAlign w:val="superscript"/>
                      <w:lang w:val="en-US" w:eastAsia="zh-CN" w:bidi="ar"/>
                      <w14:textFill>
                        <w14:solidFill>
                          <w14:schemeClr w14:val="tx1"/>
                        </w14:solidFill>
                      </w14:textFill>
                    </w:rPr>
                    <w:t>【2】</w:t>
                  </w:r>
                  <w:r>
                    <w:rPr>
                      <w:rFonts w:hint="default" w:ascii="Times New Roman" w:hAnsi="Times New Roman" w:eastAsia="宋体" w:cs="Times New Roman"/>
                      <w:bCs/>
                      <w:color w:val="000000" w:themeColor="text1"/>
                      <w:kern w:val="2"/>
                      <w:sz w:val="21"/>
                      <w:szCs w:val="21"/>
                      <w:lang w:val="en-US" w:eastAsia="zh-CN" w:bidi="ar"/>
                      <w14:textFill>
                        <w14:solidFill>
                          <w14:schemeClr w14:val="tx1"/>
                        </w14:solidFill>
                      </w14:textFill>
                    </w:rPr>
                    <w:t>：2021年3月1日后新建的燃气锅炉和需要采取特别保护措施的区域，执行该排放限值。</w:t>
                  </w:r>
                </w:p>
              </w:tc>
            </w:tr>
          </w:tbl>
          <w:p w14:paraId="583FA7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bCs/>
                <w:color w:val="000000" w:themeColor="text1"/>
                <w:sz w:val="24"/>
                <w:szCs w:val="24"/>
                <w:highlight w:val="none"/>
                <w:lang w:eastAsia="zh-CN"/>
                <w14:textFill>
                  <w14:solidFill>
                    <w14:schemeClr w14:val="tx1"/>
                  </w14:solidFill>
                </w14:textFill>
              </w:rPr>
            </w:pPr>
            <w:r>
              <w:rPr>
                <w:rFonts w:hint="default" w:ascii="Times New Roman" w:hAnsi="Times New Roman" w:cs="Times New Roman" w:eastAsiaTheme="minorEastAsia"/>
                <w:bCs/>
                <w:color w:val="000000" w:themeColor="text1"/>
                <w:sz w:val="24"/>
                <w:szCs w:val="24"/>
                <w:highlight w:val="none"/>
                <w:lang w:val="en-US" w:eastAsia="zh-CN"/>
                <w14:textFill>
                  <w14:solidFill>
                    <w14:schemeClr w14:val="tx1"/>
                  </w14:solidFill>
                </w14:textFill>
              </w:rPr>
              <w:t>由上表可知，项目满足</w:t>
            </w:r>
            <w:r>
              <w:rPr>
                <w:rFonts w:hint="default" w:ascii="Times New Roman" w:hAnsi="Times New Roman" w:cs="Times New Roman" w:eastAsiaTheme="minorEastAsia"/>
                <w:bCs/>
                <w:color w:val="000000" w:themeColor="text1"/>
                <w:sz w:val="24"/>
                <w:szCs w:val="24"/>
                <w:highlight w:val="none"/>
                <w14:textFill>
                  <w14:solidFill>
                    <w14:schemeClr w14:val="tx1"/>
                  </w14:solidFill>
                </w14:textFill>
              </w:rPr>
              <w:t>《河南省重污染天气</w:t>
            </w:r>
            <w:r>
              <w:rPr>
                <w:rFonts w:hint="default" w:ascii="Times New Roman" w:hAnsi="Times New Roman" w:cs="Times New Roman" w:eastAsiaTheme="minorEastAsia"/>
                <w:bCs/>
                <w:color w:val="000000" w:themeColor="text1"/>
                <w:sz w:val="24"/>
                <w:szCs w:val="24"/>
                <w:highlight w:val="none"/>
                <w:lang w:val="en-US" w:eastAsia="zh-CN"/>
                <w14:textFill>
                  <w14:solidFill>
                    <w14:schemeClr w14:val="tx1"/>
                  </w14:solidFill>
                </w14:textFill>
              </w:rPr>
              <w:t>重点</w:t>
            </w:r>
            <w:r>
              <w:rPr>
                <w:rFonts w:hint="default" w:ascii="Times New Roman" w:hAnsi="Times New Roman" w:cs="Times New Roman" w:eastAsiaTheme="minorEastAsia"/>
                <w:bCs/>
                <w:color w:val="000000" w:themeColor="text1"/>
                <w:sz w:val="24"/>
                <w:szCs w:val="24"/>
                <w:highlight w:val="none"/>
                <w14:textFill>
                  <w14:solidFill>
                    <w14:schemeClr w14:val="tx1"/>
                  </w14:solidFill>
                </w14:textFill>
              </w:rPr>
              <w:t>行业应急减排措施制定技术指南（202</w:t>
            </w:r>
            <w:r>
              <w:rPr>
                <w:rFonts w:hint="default" w:ascii="Times New Roman" w:hAnsi="Times New Roman" w:cs="Times New Roman" w:eastAsiaTheme="minorEastAsia"/>
                <w:bCs/>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eastAsiaTheme="minorEastAsia"/>
                <w:bCs/>
                <w:color w:val="000000" w:themeColor="text1"/>
                <w:sz w:val="24"/>
                <w:szCs w:val="24"/>
                <w:highlight w:val="none"/>
                <w14:textFill>
                  <w14:solidFill>
                    <w14:schemeClr w14:val="tx1"/>
                  </w14:solidFill>
                </w14:textFill>
              </w:rPr>
              <w:t>年版）》</w:t>
            </w:r>
            <w:r>
              <w:rPr>
                <w:rFonts w:hint="default" w:ascii="Times New Roman" w:hAnsi="Times New Roman" w:cs="Times New Roman" w:eastAsiaTheme="minorEastAsia"/>
                <w:bCs/>
                <w:color w:val="000000" w:themeColor="text1"/>
                <w:sz w:val="24"/>
                <w:szCs w:val="24"/>
                <w:highlight w:val="none"/>
                <w:lang w:val="en-US" w:eastAsia="zh-CN"/>
                <w14:textFill>
                  <w14:solidFill>
                    <w14:schemeClr w14:val="tx1"/>
                  </w14:solidFill>
                </w14:textFill>
              </w:rPr>
              <w:t>中塑料制品行业企业A级指标</w:t>
            </w:r>
            <w:r>
              <w:rPr>
                <w:rFonts w:hint="default" w:ascii="Times New Roman" w:hAnsi="Times New Roman" w:cs="Times New Roman" w:eastAsiaTheme="minorEastAsia"/>
                <w:bCs/>
                <w:color w:val="000000" w:themeColor="text1"/>
                <w:sz w:val="24"/>
                <w:szCs w:val="24"/>
                <w:highlight w:val="none"/>
                <w14:textFill>
                  <w14:solidFill>
                    <w14:schemeClr w14:val="tx1"/>
                  </w14:solidFill>
                </w14:textFill>
              </w:rPr>
              <w:t>要求</w:t>
            </w:r>
            <w:r>
              <w:rPr>
                <w:rFonts w:hint="default" w:ascii="Times New Roman" w:hAnsi="Times New Roman" w:cs="Times New Roman" w:eastAsiaTheme="minorEastAsia"/>
                <w:bCs/>
                <w:color w:val="000000" w:themeColor="text1"/>
                <w:sz w:val="24"/>
                <w:szCs w:val="24"/>
                <w:highlight w:val="none"/>
                <w:lang w:eastAsia="zh-CN"/>
                <w14:textFill>
                  <w14:solidFill>
                    <w14:schemeClr w14:val="tx1"/>
                  </w14:solidFill>
                </w14:textFill>
              </w:rPr>
              <w:t>。</w:t>
            </w:r>
          </w:p>
          <w:p w14:paraId="29968A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default" w:ascii="Times New Roman" w:hAnsi="Times New Roman" w:eastAsia="Times New Roman" w:cs="Times New Roman"/>
                <w:b/>
                <w:color w:val="000000" w:themeColor="text1"/>
                <w:sz w:val="24"/>
                <w:szCs w:val="24"/>
                <w:highlight w:val="none"/>
                <w14:textFill>
                  <w14:solidFill>
                    <w14:schemeClr w14:val="tx1"/>
                  </w14:solidFill>
                </w14:textFill>
              </w:rPr>
            </w:pPr>
            <w:r>
              <w:rPr>
                <w:rFonts w:hint="eastAsia" w:eastAsia="Times New Roman" w:cs="Times New Roman"/>
                <w:b/>
                <w:color w:val="000000" w:themeColor="text1"/>
                <w:sz w:val="24"/>
                <w:szCs w:val="24"/>
                <w:highlight w:val="none"/>
                <w:lang w:val="en-US" w:eastAsia="zh-CN"/>
                <w14:textFill>
                  <w14:solidFill>
                    <w14:schemeClr w14:val="tx1"/>
                  </w14:solidFill>
                </w14:textFill>
              </w:rPr>
              <w:t>8</w:t>
            </w:r>
            <w:r>
              <w:rPr>
                <w:rFonts w:hint="default" w:ascii="Times New Roman" w:hAnsi="Times New Roman" w:eastAsia="Times New Roman" w:cs="Times New Roman"/>
                <w:b/>
                <w:color w:val="000000" w:themeColor="text1"/>
                <w:sz w:val="24"/>
                <w:szCs w:val="24"/>
                <w:highlight w:val="none"/>
                <w:lang w:val="en-US" w:eastAsia="zh-CN"/>
                <w14:textFill>
                  <w14:solidFill>
                    <w14:schemeClr w14:val="tx1"/>
                  </w14:solidFill>
                </w14:textFill>
              </w:rPr>
              <w:t>.</w:t>
            </w:r>
            <w:r>
              <w:rPr>
                <w:rFonts w:hint="default" w:ascii="Times New Roman" w:hAnsi="Times New Roman" w:eastAsia="Times New Roman" w:cs="Times New Roman"/>
                <w:b/>
                <w:color w:val="000000" w:themeColor="text1"/>
                <w:sz w:val="24"/>
                <w:szCs w:val="24"/>
                <w:highlight w:val="none"/>
                <w14:textFill>
                  <w14:solidFill>
                    <w14:schemeClr w14:val="tx1"/>
                  </w14:solidFill>
                </w14:textFill>
              </w:rPr>
              <w:t>饮用水水源保护区</w:t>
            </w:r>
          </w:p>
          <w:p w14:paraId="23349717">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eastAsia="宋体"/>
                <w:color w:val="auto"/>
                <w:kern w:val="2"/>
                <w:sz w:val="24"/>
                <w:szCs w:val="24"/>
                <w:highlight w:val="none"/>
                <w:lang w:eastAsia="zh-CN"/>
              </w:rPr>
              <w:t>（</w:t>
            </w:r>
            <w:r>
              <w:rPr>
                <w:rFonts w:hint="eastAsia" w:ascii="Times New Roman" w:hAnsi="Times New Roman" w:eastAsia="宋体"/>
                <w:color w:val="auto"/>
                <w:kern w:val="2"/>
                <w:sz w:val="24"/>
                <w:szCs w:val="24"/>
                <w:highlight w:val="none"/>
              </w:rPr>
              <w:t>1）汤阴县县级饮用水水源保护区</w:t>
            </w:r>
          </w:p>
          <w:p w14:paraId="6035D229">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汤阴县御前路中段地下水井群</w:t>
            </w:r>
            <w:r>
              <w:rPr>
                <w:rFonts w:hint="eastAsia" w:ascii="Times New Roman" w:hAnsi="Times New Roman" w:eastAsia="宋体"/>
                <w:color w:val="auto"/>
                <w:kern w:val="2"/>
                <w:sz w:val="24"/>
                <w:szCs w:val="24"/>
                <w:highlight w:val="none"/>
                <w:lang w:eastAsia="zh-CN"/>
              </w:rPr>
              <w:t>（</w:t>
            </w:r>
            <w:r>
              <w:rPr>
                <w:rFonts w:hint="eastAsia" w:ascii="Times New Roman" w:hAnsi="Times New Roman" w:eastAsia="宋体"/>
                <w:color w:val="auto"/>
                <w:kern w:val="2"/>
                <w:sz w:val="24"/>
                <w:szCs w:val="24"/>
                <w:highlight w:val="none"/>
              </w:rPr>
              <w:t>共6眼井</w:t>
            </w:r>
            <w:r>
              <w:rPr>
                <w:rFonts w:hint="eastAsia" w:ascii="Times New Roman" w:hAnsi="Times New Roman" w:eastAsia="宋体"/>
                <w:color w:val="auto"/>
                <w:kern w:val="2"/>
                <w:sz w:val="24"/>
                <w:szCs w:val="24"/>
                <w:highlight w:val="none"/>
                <w:lang w:eastAsia="zh-CN"/>
              </w:rPr>
              <w:t>）</w:t>
            </w:r>
            <w:r>
              <w:rPr>
                <w:rFonts w:hint="eastAsia" w:ascii="Times New Roman" w:hAnsi="Times New Roman" w:eastAsia="宋体"/>
                <w:color w:val="auto"/>
                <w:kern w:val="2"/>
                <w:sz w:val="24"/>
                <w:szCs w:val="24"/>
                <w:highlight w:val="none"/>
              </w:rPr>
              <w:t>。</w:t>
            </w:r>
          </w:p>
          <w:p w14:paraId="5CDEF4A8">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一级保护区范围：水厂厂区及外围200米、南至汤河、北至</w:t>
            </w:r>
            <w:r>
              <w:rPr>
                <w:rFonts w:hint="eastAsia" w:ascii="Times New Roman" w:hAnsi="Times New Roman" w:eastAsia="宋体"/>
                <w:color w:val="auto"/>
                <w:kern w:val="2"/>
                <w:sz w:val="24"/>
                <w:szCs w:val="24"/>
                <w:highlight w:val="none"/>
                <w:lang w:eastAsia="zh-CN"/>
              </w:rPr>
              <w:t>人合</w:t>
            </w:r>
            <w:r>
              <w:rPr>
                <w:rFonts w:hint="eastAsia" w:ascii="Times New Roman" w:hAnsi="Times New Roman" w:eastAsia="宋体"/>
                <w:color w:val="auto"/>
                <w:kern w:val="2"/>
                <w:sz w:val="24"/>
                <w:szCs w:val="24"/>
                <w:highlight w:val="none"/>
              </w:rPr>
              <w:t>路的区域。</w:t>
            </w:r>
          </w:p>
          <w:p w14:paraId="76D0E8B2">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经对比，项目不在汤阴县御前路中段地下水井群</w:t>
            </w:r>
            <w:r>
              <w:rPr>
                <w:rFonts w:hint="eastAsia" w:ascii="Times New Roman" w:hAnsi="Times New Roman" w:eastAsia="宋体"/>
                <w:color w:val="auto"/>
                <w:kern w:val="2"/>
                <w:sz w:val="24"/>
                <w:szCs w:val="24"/>
                <w:highlight w:val="none"/>
                <w:lang w:eastAsia="zh-CN"/>
              </w:rPr>
              <w:t>（</w:t>
            </w:r>
            <w:r>
              <w:rPr>
                <w:rFonts w:hint="eastAsia" w:ascii="Times New Roman" w:hAnsi="Times New Roman" w:eastAsia="宋体"/>
                <w:color w:val="auto"/>
                <w:kern w:val="2"/>
                <w:sz w:val="24"/>
                <w:szCs w:val="24"/>
                <w:highlight w:val="none"/>
              </w:rPr>
              <w:t>共6眼井</w:t>
            </w:r>
            <w:r>
              <w:rPr>
                <w:rFonts w:hint="eastAsia" w:ascii="Times New Roman" w:hAnsi="Times New Roman" w:eastAsia="宋体"/>
                <w:color w:val="auto"/>
                <w:kern w:val="2"/>
                <w:sz w:val="24"/>
                <w:szCs w:val="24"/>
                <w:highlight w:val="none"/>
                <w:lang w:eastAsia="zh-CN"/>
              </w:rPr>
              <w:t>）</w:t>
            </w:r>
            <w:r>
              <w:rPr>
                <w:rFonts w:hint="eastAsia" w:ascii="Times New Roman" w:hAnsi="Times New Roman" w:eastAsia="宋体"/>
                <w:color w:val="auto"/>
                <w:kern w:val="2"/>
                <w:sz w:val="24"/>
                <w:szCs w:val="24"/>
                <w:highlight w:val="none"/>
              </w:rPr>
              <w:t>饮用水源保护区范围内。</w:t>
            </w:r>
          </w:p>
          <w:p w14:paraId="1F390CB3">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eastAsia="宋体"/>
                <w:color w:val="auto"/>
                <w:kern w:val="2"/>
                <w:sz w:val="24"/>
                <w:szCs w:val="24"/>
                <w:highlight w:val="none"/>
                <w:lang w:eastAsia="zh-CN"/>
              </w:rPr>
              <w:t>（</w:t>
            </w:r>
            <w:r>
              <w:rPr>
                <w:rFonts w:hint="eastAsia" w:ascii="Times New Roman" w:hAnsi="Times New Roman" w:eastAsia="宋体"/>
                <w:color w:val="auto"/>
                <w:kern w:val="2"/>
                <w:sz w:val="24"/>
                <w:szCs w:val="24"/>
                <w:highlight w:val="none"/>
              </w:rPr>
              <w:t>2）汤阴县乡镇集中式饮用水水源保护区</w:t>
            </w:r>
          </w:p>
          <w:p w14:paraId="02A9217A">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根据《河南省人民政府办公厅关于印发河南省乡镇集中式饮用水水源保护区划的通知》（豫政办</w:t>
            </w:r>
            <w:r>
              <w:rPr>
                <w:rFonts w:hint="eastAsia" w:ascii="Times New Roman" w:hAnsi="Times New Roman" w:eastAsia="宋体" w:cs="Times New Roman"/>
                <w:b w:val="0"/>
                <w:bCs/>
                <w:color w:val="auto"/>
                <w:sz w:val="24"/>
                <w:szCs w:val="24"/>
              </w:rPr>
              <w:t>〔20</w:t>
            </w:r>
            <w:r>
              <w:rPr>
                <w:rFonts w:hint="eastAsia" w:ascii="Times New Roman" w:hAnsi="Times New Roman" w:eastAsia="宋体" w:cs="Times New Roman"/>
                <w:b w:val="0"/>
                <w:bCs/>
                <w:color w:val="auto"/>
                <w:sz w:val="24"/>
                <w:szCs w:val="24"/>
                <w:lang w:val="en-US" w:eastAsia="zh-CN"/>
              </w:rPr>
              <w:t>16</w:t>
            </w:r>
            <w:r>
              <w:rPr>
                <w:rFonts w:hint="eastAsia" w:ascii="Times New Roman" w:hAnsi="Times New Roman" w:eastAsia="宋体" w:cs="Times New Roman"/>
                <w:b w:val="0"/>
                <w:bCs/>
                <w:color w:val="auto"/>
                <w:sz w:val="24"/>
                <w:szCs w:val="24"/>
              </w:rPr>
              <w:t>〕</w:t>
            </w:r>
            <w:r>
              <w:rPr>
                <w:rFonts w:hint="eastAsia" w:ascii="Times New Roman" w:hAnsi="Times New Roman" w:eastAsia="宋体"/>
                <w:color w:val="auto"/>
                <w:kern w:val="2"/>
                <w:sz w:val="24"/>
                <w:szCs w:val="24"/>
                <w:highlight w:val="none"/>
              </w:rPr>
              <w:t>23号）可知，汤阴县乡镇集中式饮用水源保护区如下：</w:t>
            </w:r>
          </w:p>
          <w:p w14:paraId="006C00A7">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①汤阴县古贤乡地下水井（共1眼井）</w:t>
            </w:r>
          </w:p>
          <w:p w14:paraId="795FB95C">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一级保护区范围：水管站内及外围东12米、北60米、西49米、南29米的区域。</w:t>
            </w:r>
          </w:p>
          <w:p w14:paraId="5B9A50C0">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②汤阴县菜园镇地下水井（共1眼井）</w:t>
            </w:r>
          </w:p>
          <w:p w14:paraId="0C624455">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一级保护区范围：水厂厂区及外围东30米、西23米、南32米、北33米的区域。</w:t>
            </w:r>
          </w:p>
          <w:p w14:paraId="5C98097D">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③汤阴县任固镇地下水井群（共2眼井）</w:t>
            </w:r>
          </w:p>
          <w:p w14:paraId="045BCFB4">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一级保护区范围：水厂厂区及外围东10米、西16米、南18米、北11米的区域。</w:t>
            </w:r>
          </w:p>
          <w:p w14:paraId="63EC2797">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④汤阴县五陵镇地下水井（共1眼井）</w:t>
            </w:r>
          </w:p>
          <w:p w14:paraId="448BEA21">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一级保护区范围：水厂厂区及外围西11米、南20米的区域。</w:t>
            </w:r>
          </w:p>
          <w:p w14:paraId="0A5FEABF">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⑤汤阴县瓦岗乡地下水井群（共3眼井）</w:t>
            </w:r>
          </w:p>
          <w:p w14:paraId="2469CFD3">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一级保护区范围：水厂厂区及外围东8米、西60米、南58米的区域。</w:t>
            </w:r>
          </w:p>
          <w:p w14:paraId="3292BD74">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⑥汤阴县伏道镇地下水井（共1眼井）</w:t>
            </w:r>
          </w:p>
          <w:p w14:paraId="2D7EA033">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一级保护区范围：水厂厂区及外围东6米、西24米、南15米的区域。</w:t>
            </w:r>
          </w:p>
          <w:p w14:paraId="1C96BEE1">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⑦</w:t>
            </w:r>
            <w:bookmarkStart w:id="13" w:name="OLE_LINK16"/>
            <w:r>
              <w:rPr>
                <w:rFonts w:hint="eastAsia" w:ascii="Times New Roman" w:hAnsi="Times New Roman" w:eastAsia="宋体"/>
                <w:color w:val="auto"/>
                <w:kern w:val="2"/>
                <w:sz w:val="24"/>
                <w:szCs w:val="24"/>
                <w:highlight w:val="none"/>
              </w:rPr>
              <w:t>汤阴县白营镇地下水井（共1眼井）</w:t>
            </w:r>
            <w:bookmarkEnd w:id="13"/>
          </w:p>
          <w:p w14:paraId="7BC4D951">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一级保护区范围：取水井外围30米的区域。</w:t>
            </w:r>
          </w:p>
          <w:p w14:paraId="4CF73B3E">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二级保护区范围：一级保护区外围300米的区域。</w:t>
            </w:r>
          </w:p>
          <w:p w14:paraId="0F3FBAE2">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⑧汤阴县宜沟镇地下水井群（共2眼井）</w:t>
            </w:r>
          </w:p>
          <w:p w14:paraId="11CF91F3">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一级保护区范围：井群外包线内及外围30米的区域。</w:t>
            </w:r>
          </w:p>
          <w:p w14:paraId="46FA388B">
            <w:pPr>
              <w:pStyle w:val="9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olor w:val="auto"/>
                <w:kern w:val="2"/>
                <w:sz w:val="24"/>
                <w:szCs w:val="24"/>
                <w:highlight w:val="none"/>
              </w:rPr>
            </w:pPr>
            <w:r>
              <w:rPr>
                <w:rFonts w:hint="eastAsia" w:ascii="Times New Roman" w:hAnsi="Times New Roman" w:eastAsia="宋体"/>
                <w:color w:val="auto"/>
                <w:kern w:val="2"/>
                <w:sz w:val="24"/>
                <w:szCs w:val="24"/>
                <w:highlight w:val="none"/>
              </w:rPr>
              <w:t>二级保护区范围：一级保护区外围300米的区域。</w:t>
            </w:r>
          </w:p>
          <w:p w14:paraId="51B4D264">
            <w:pPr>
              <w:keepNext w:val="0"/>
              <w:keepLines w:val="0"/>
              <w:suppressLineNumbers w:val="0"/>
              <w:tabs>
                <w:tab w:val="left" w:pos="720"/>
              </w:tabs>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距离项目最近的乡镇集中式饮用水水源</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为</w:t>
            </w:r>
            <w:r>
              <w:rPr>
                <w:rFonts w:hint="eastAsia" w:eastAsia="Times New Roman" w:cs="Times New Roman"/>
                <w:color w:val="000000" w:themeColor="text1"/>
                <w:sz w:val="24"/>
                <w:szCs w:val="24"/>
                <w:highlight w:val="none"/>
                <w:lang w:eastAsia="zh-CN"/>
                <w14:textFill>
                  <w14:solidFill>
                    <w14:schemeClr w14:val="tx1"/>
                  </w14:solidFill>
                </w14:textFill>
              </w:rPr>
              <w:t>西南</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侧</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的</w:t>
            </w:r>
            <w:r>
              <w:rPr>
                <w:rFonts w:hint="eastAsia" w:eastAsia="Times New Roman" w:cs="Times New Roman"/>
                <w:color w:val="000000" w:themeColor="text1"/>
                <w:sz w:val="24"/>
                <w:szCs w:val="24"/>
                <w:highlight w:val="none"/>
                <w:lang w:eastAsia="zh-CN"/>
                <w14:textFill>
                  <w14:solidFill>
                    <w14:schemeClr w14:val="tx1"/>
                  </w14:solidFill>
                </w14:textFill>
              </w:rPr>
              <w:t>汤阴伏道镇地下水</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饮用水</w:t>
            </w:r>
            <w:r>
              <w:rPr>
                <w:rFonts w:hint="eastAsia" w:eastAsia="Times New Roman" w:cs="Times New Roman"/>
                <w:color w:val="000000" w:themeColor="text1"/>
                <w:sz w:val="24"/>
                <w:szCs w:val="24"/>
                <w:highlight w:val="none"/>
                <w:lang w:eastAsia="zh-CN"/>
                <w14:textFill>
                  <w14:solidFill>
                    <w14:schemeClr w14:val="tx1"/>
                  </w14:solidFill>
                </w14:textFill>
              </w:rPr>
              <w:t>井</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，距离</w:t>
            </w:r>
            <w:r>
              <w:rPr>
                <w:rFonts w:hint="default" w:ascii="Times New Roman" w:hAnsi="Times New Roman" w:eastAsia="Times New Roman" w:cs="Times New Roman"/>
                <w:bCs/>
                <w:color w:val="000000" w:themeColor="text1"/>
                <w:sz w:val="24"/>
                <w:szCs w:val="24"/>
                <w:highlight w:val="none"/>
                <w14:textFill>
                  <w14:solidFill>
                    <w14:schemeClr w14:val="tx1"/>
                  </w14:solidFill>
                </w14:textFill>
              </w:rPr>
              <w:t>约</w:t>
            </w:r>
            <w:r>
              <w:rPr>
                <w:rFonts w:hint="eastAsia"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1</w:t>
            </w:r>
            <w:r>
              <w:rPr>
                <w:rFonts w:hint="eastAsia" w:eastAsia="Times New Roman" w:cs="Times New Roman"/>
                <w:bCs/>
                <w:color w:val="000000" w:themeColor="text1"/>
                <w:sz w:val="24"/>
                <w:szCs w:val="24"/>
                <w:highlight w:val="none"/>
                <w:lang w:val="en-US" w:eastAsia="zh-CN"/>
                <w14:textFill>
                  <w14:solidFill>
                    <w14:schemeClr w14:val="tx1"/>
                  </w14:solidFill>
                </w14:textFill>
              </w:rPr>
              <w:t>218</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米，不在其饮用水保护区范围内。</w:t>
            </w:r>
          </w:p>
          <w:p w14:paraId="67A28241">
            <w:pPr>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b w:val="0"/>
                <w:bCs w:val="0"/>
                <w:color w:val="auto"/>
                <w:sz w:val="24"/>
                <w:szCs w:val="24"/>
                <w:highlight w:val="none"/>
              </w:rPr>
            </w:pPr>
            <w:r>
              <w:rPr>
                <w:rFonts w:hint="eastAsia" w:eastAsia="宋体"/>
                <w:b w:val="0"/>
                <w:bCs w:val="0"/>
                <w:color w:val="auto"/>
                <w:kern w:val="2"/>
                <w:sz w:val="24"/>
                <w:szCs w:val="24"/>
                <w:highlight w:val="none"/>
                <w:lang w:eastAsia="zh-CN"/>
              </w:rPr>
              <w:t>（</w:t>
            </w:r>
            <w:r>
              <w:rPr>
                <w:rFonts w:hint="eastAsia" w:eastAsia="宋体"/>
                <w:b w:val="0"/>
                <w:bCs w:val="0"/>
                <w:color w:val="auto"/>
                <w:kern w:val="2"/>
                <w:sz w:val="24"/>
                <w:szCs w:val="24"/>
                <w:highlight w:val="none"/>
                <w:lang w:val="en-US" w:eastAsia="zh-CN"/>
              </w:rPr>
              <w:t>3</w:t>
            </w:r>
            <w:r>
              <w:rPr>
                <w:rFonts w:hint="eastAsia" w:ascii="Times New Roman" w:hAnsi="Times New Roman" w:eastAsia="宋体"/>
                <w:b w:val="0"/>
                <w:bCs w:val="0"/>
                <w:color w:val="auto"/>
                <w:kern w:val="2"/>
                <w:sz w:val="24"/>
                <w:szCs w:val="24"/>
                <w:highlight w:val="none"/>
              </w:rPr>
              <w:t>）</w:t>
            </w:r>
            <w:r>
              <w:rPr>
                <w:rFonts w:hint="default" w:ascii="Times New Roman" w:hAnsi="Times New Roman" w:eastAsia="Times New Roman" w:cs="Times New Roman"/>
                <w:b w:val="0"/>
                <w:bCs w:val="0"/>
                <w:color w:val="auto"/>
                <w:sz w:val="24"/>
                <w:szCs w:val="24"/>
                <w:highlight w:val="none"/>
              </w:rPr>
              <w:t>南水北调饮用水水源保护区</w:t>
            </w:r>
          </w:p>
          <w:p w14:paraId="56AEBF1F">
            <w:pPr>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根据《河南省南水北调中线工程建设领导小组办公室 河南省环境保护厅 河南省水利厅 河南省国土资源厅关于印发南水北调中线一期工程总干渠（河南段）两侧饮用水水源保护区划定的通知》（豫调办</w:t>
            </w:r>
            <w:r>
              <w:rPr>
                <w:rFonts w:hint="eastAsia"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2018</w:t>
            </w:r>
            <w:r>
              <w:rPr>
                <w:rFonts w:hint="eastAsia"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56号），南水北调中线一期工程总干渠在河南省境内的工程类型分为建筑物段和总干渠明渠段。</w:t>
            </w:r>
          </w:p>
          <w:p w14:paraId="6D993A1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（一）建筑物段（渡槽、倒虹吸、暗涵、涵洞）</w:t>
            </w:r>
          </w:p>
          <w:p w14:paraId="1A1B2BD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一级保护区范围自总干渠管理范围边线（防护栏网）外延50米，不设二级保护区。</w:t>
            </w:r>
          </w:p>
          <w:p w14:paraId="2596D92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（二）总干渠明渠段</w:t>
            </w:r>
          </w:p>
          <w:p w14:paraId="40C81D4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根据地下水水位与总干渠渠底高程的关系，分为以下几种类型：</w:t>
            </w:r>
          </w:p>
          <w:p w14:paraId="1D7FC14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1、地下水水位低于总干渠渠底的渠段</w:t>
            </w:r>
          </w:p>
          <w:p w14:paraId="450B6B9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一级保护区范围自总干渠管理范围边线（防护栏网）外延50米；二级保护区范围自一级保护区边线外延150米。</w:t>
            </w:r>
          </w:p>
          <w:p w14:paraId="5BD593B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2、地下水水位高于总干渠渠底的渠段</w:t>
            </w:r>
          </w:p>
          <w:p w14:paraId="290F41D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eastAsia" w:eastAsia="宋体" w:cs="Times New Roman"/>
                <w:color w:val="000000" w:themeColor="text1"/>
                <w:sz w:val="24"/>
                <w:szCs w:val="24"/>
                <w:highlight w:val="none"/>
                <w:lang w:eastAsia="zh-CN"/>
                <w14:textFill>
                  <w14:solidFill>
                    <w14:schemeClr w14:val="tx1"/>
                  </w14:solidFill>
                </w14:textFill>
              </w:rPr>
              <w:t>（</w:t>
            </w:r>
            <w:r>
              <w:rPr>
                <w:rFonts w:hint="eastAsia" w:eastAsia="宋体" w:cs="Times New Roman"/>
                <w:color w:val="000000" w:themeColor="text1"/>
                <w:sz w:val="24"/>
                <w:szCs w:val="24"/>
                <w:highlight w:val="none"/>
                <w:lang w:val="en-US" w:eastAsia="zh-CN"/>
                <w14:textFill>
                  <w14:solidFill>
                    <w14:schemeClr w14:val="tx1"/>
                  </w14:solidFill>
                </w14:textFill>
              </w:rPr>
              <w:t>1</w:t>
            </w:r>
            <w:r>
              <w:rPr>
                <w:rFonts w:hint="eastAsia"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微~弱透水性地层</w:t>
            </w:r>
          </w:p>
          <w:p w14:paraId="64BF728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一级保护区范围自总干渠管理范围边线（防护栏网）外延50米；二级保护区范围自一级保护区边线外延500米。</w:t>
            </w:r>
          </w:p>
          <w:p w14:paraId="71D1DB7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eastAsia" w:eastAsia="宋体" w:cs="Times New Roman"/>
                <w:color w:val="000000" w:themeColor="text1"/>
                <w:sz w:val="24"/>
                <w:szCs w:val="24"/>
                <w:highlight w:val="none"/>
                <w:lang w:eastAsia="zh-CN"/>
                <w14:textFill>
                  <w14:solidFill>
                    <w14:schemeClr w14:val="tx1"/>
                  </w14:solidFill>
                </w14:textFill>
              </w:rPr>
              <w:t>（</w:t>
            </w:r>
            <w:r>
              <w:rPr>
                <w:rFonts w:hint="eastAsia" w:eastAsia="宋体" w:cs="Times New Roman"/>
                <w:color w:val="000000" w:themeColor="text1"/>
                <w:sz w:val="24"/>
                <w:szCs w:val="24"/>
                <w:highlight w:val="none"/>
                <w:lang w:val="en-US" w:eastAsia="zh-CN"/>
                <w14:textFill>
                  <w14:solidFill>
                    <w14:schemeClr w14:val="tx1"/>
                  </w14:solidFill>
                </w14:textFill>
              </w:rPr>
              <w:t>2</w:t>
            </w:r>
            <w:r>
              <w:rPr>
                <w:rFonts w:hint="eastAsia"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弱~中透水性地层</w:t>
            </w:r>
          </w:p>
          <w:p w14:paraId="3903E09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一级保护区范围自总干渠管理范围边线（防护栏网）外延100米；二级保护区范围自一级保护区边线外延1000米。</w:t>
            </w:r>
          </w:p>
          <w:p w14:paraId="254AA9D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eastAsia" w:eastAsia="宋体" w:cs="Times New Roman"/>
                <w:color w:val="000000" w:themeColor="text1"/>
                <w:sz w:val="24"/>
                <w:szCs w:val="24"/>
                <w:highlight w:val="none"/>
                <w:lang w:eastAsia="zh-CN"/>
                <w14:textFill>
                  <w14:solidFill>
                    <w14:schemeClr w14:val="tx1"/>
                  </w14:solidFill>
                </w14:textFill>
              </w:rPr>
              <w:t>（</w:t>
            </w:r>
            <w:r>
              <w:rPr>
                <w:rFonts w:hint="eastAsia" w:eastAsia="宋体" w:cs="Times New Roman"/>
                <w:color w:val="000000" w:themeColor="text1"/>
                <w:sz w:val="24"/>
                <w:szCs w:val="24"/>
                <w:highlight w:val="none"/>
                <w:lang w:val="en-US" w:eastAsia="zh-CN"/>
                <w14:textFill>
                  <w14:solidFill>
                    <w14:schemeClr w14:val="tx1"/>
                  </w14:solidFill>
                </w14:textFill>
              </w:rPr>
              <w:t>3</w:t>
            </w:r>
            <w:r>
              <w:rPr>
                <w:rFonts w:hint="eastAsia"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强透水性地层</w:t>
            </w:r>
          </w:p>
          <w:p w14:paraId="34C1A098">
            <w:pPr>
              <w:keepNext w:val="0"/>
              <w:keepLines w:val="0"/>
              <w:suppressLineNumbers w:val="0"/>
              <w:tabs>
                <w:tab w:val="left" w:pos="720"/>
              </w:tabs>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一级保护区范围自总干渠管理范围边线（防护栏网）外延200米；二级保护区范围自一级保护区边线外延2000米、1500米。</w:t>
            </w:r>
          </w:p>
          <w:p w14:paraId="4BB0A7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0" w:firstLineChars="200"/>
              <w:textAlignment w:val="auto"/>
              <w:rPr>
                <w:rFonts w:hint="default" w:ascii="Times New Roman" w:hAnsi="Times New Roman" w:eastAsia="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eastAsia="Times New Roman" w:cs="Times New Roman"/>
                <w:color w:val="auto"/>
                <w:kern w:val="0"/>
                <w:sz w:val="24"/>
                <w:szCs w:val="24"/>
                <w:highlight w:val="none"/>
              </w:rPr>
              <w:t>本项目位于汤阴县</w:t>
            </w:r>
            <w:r>
              <w:rPr>
                <w:rFonts w:hint="eastAsia" w:eastAsia="宋体" w:cs="Times New Roman"/>
                <w:color w:val="auto"/>
                <w:kern w:val="0"/>
                <w:sz w:val="24"/>
                <w:szCs w:val="24"/>
                <w:highlight w:val="none"/>
                <w:lang w:eastAsia="zh-CN"/>
              </w:rPr>
              <w:t>高新技术产业开发区内</w:t>
            </w:r>
            <w:r>
              <w:rPr>
                <w:rFonts w:hint="default" w:ascii="Times New Roman" w:hAnsi="Times New Roman" w:eastAsia="Times New Roman" w:cs="Times New Roman"/>
                <w:color w:val="auto"/>
                <w:kern w:val="0"/>
                <w:sz w:val="24"/>
                <w:szCs w:val="24"/>
                <w:highlight w:val="none"/>
              </w:rPr>
              <w:t>，</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向西距离南水北调中线工程</w:t>
            </w:r>
            <w:r>
              <w:rPr>
                <w:rFonts w:hint="eastAsia" w:eastAsia="宋体" w:cs="Times New Roman"/>
                <w:color w:val="000000" w:themeColor="text1"/>
                <w:sz w:val="24"/>
                <w:szCs w:val="24"/>
                <w:highlight w:val="none"/>
                <w:lang w:eastAsia="zh-CN"/>
                <w14:textFill>
                  <w14:solidFill>
                    <w14:schemeClr w14:val="tx1"/>
                  </w14:solidFill>
                </w14:textFill>
              </w:rPr>
              <w:t>约</w:t>
            </w:r>
            <w:r>
              <w:rPr>
                <w:rFonts w:hint="eastAsia" w:cs="Times New Roman"/>
                <w:color w:val="000000" w:themeColor="text1"/>
                <w:sz w:val="24"/>
                <w:szCs w:val="24"/>
                <w:highlight w:val="none"/>
                <w:lang w:val="en-US" w:eastAsia="zh-CN"/>
                <w14:textFill>
                  <w14:solidFill>
                    <w14:schemeClr w14:val="tx1"/>
                  </w14:solidFill>
                </w14:textFill>
              </w:rPr>
              <w:t>8.3</w:t>
            </w:r>
            <w:r>
              <w:rPr>
                <w:rFonts w:hint="eastAsia" w:eastAsia="Times New Roman" w:cs="Times New Roman"/>
                <w:b w:val="0"/>
                <w:bCs w:val="0"/>
                <w:color w:val="000000" w:themeColor="text1"/>
                <w:sz w:val="24"/>
                <w:szCs w:val="24"/>
                <w:highlight w:val="none"/>
                <w:u w:val="none"/>
                <w:lang w:val="en-US" w:eastAsia="zh-CN"/>
                <w14:textFill>
                  <w14:solidFill>
                    <w14:schemeClr w14:val="tx1"/>
                  </w14:solidFill>
                </w14:textFill>
              </w:rPr>
              <w:t>k</w:t>
            </w:r>
            <w:r>
              <w:rPr>
                <w:rFonts w:hint="default" w:ascii="Times New Roman" w:hAnsi="Times New Roman" w:eastAsia="Times New Roman" w:cs="Times New Roman"/>
                <w:b w:val="0"/>
                <w:bCs w:val="0"/>
                <w:color w:val="000000" w:themeColor="text1"/>
                <w:sz w:val="24"/>
                <w:szCs w:val="24"/>
                <w:highlight w:val="none"/>
                <w:u w:val="none"/>
                <w14:textFill>
                  <w14:solidFill>
                    <w14:schemeClr w14:val="tx1"/>
                  </w14:solidFill>
                </w14:textFill>
              </w:rPr>
              <w:t>m</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，不在其一级保护区和二级保护区范围内。</w:t>
            </w:r>
          </w:p>
          <w:p w14:paraId="77AF52A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jc w:val="both"/>
              <w:textAlignment w:val="auto"/>
              <w:rPr>
                <w:rFonts w:hint="default" w:ascii="Times New Roman" w:hAnsi="Times New Roman" w:eastAsia="宋体" w:cs="Times New Roman"/>
                <w:b/>
                <w:bCs/>
                <w:color w:val="auto"/>
                <w:kern w:val="2"/>
                <w:sz w:val="24"/>
                <w:szCs w:val="24"/>
                <w:highlight w:val="none"/>
              </w:rPr>
            </w:pPr>
            <w:r>
              <w:rPr>
                <w:rFonts w:hint="eastAsia" w:cs="Times New Roman"/>
                <w:b/>
                <w:bCs/>
                <w:color w:val="000000" w:themeColor="text1"/>
                <w:kern w:val="0"/>
                <w:sz w:val="24"/>
                <w:szCs w:val="24"/>
                <w:lang w:val="en-US" w:eastAsia="zh-CN" w:bidi="ar"/>
                <w14:textFill>
                  <w14:solidFill>
                    <w14:schemeClr w14:val="tx1"/>
                  </w14:solidFill>
                </w14:textFill>
              </w:rPr>
              <w:t>9</w:t>
            </w:r>
            <w:r>
              <w:rPr>
                <w:rFonts w:hint="eastAsia" w:ascii="Times New Roman" w:hAnsi="Times New Roman" w:eastAsia="宋体" w:cs="Times New Roman"/>
                <w:b/>
                <w:bCs/>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b/>
                <w:bCs/>
                <w:color w:val="auto"/>
                <w:kern w:val="2"/>
                <w:sz w:val="24"/>
                <w:szCs w:val="24"/>
                <w:highlight w:val="none"/>
                <w:lang w:val="en-US" w:eastAsia="zh-CN" w:bidi="ar"/>
              </w:rPr>
              <w:t>本项目与安环委〔202</w:t>
            </w:r>
            <w:r>
              <w:rPr>
                <w:rFonts w:hint="eastAsia" w:ascii="Times New Roman" w:hAnsi="Times New Roman" w:eastAsia="宋体" w:cs="Times New Roman"/>
                <w:b/>
                <w:bCs/>
                <w:color w:val="auto"/>
                <w:kern w:val="2"/>
                <w:sz w:val="24"/>
                <w:szCs w:val="24"/>
                <w:highlight w:val="none"/>
                <w:lang w:val="en-US" w:eastAsia="zh-CN" w:bidi="ar"/>
              </w:rPr>
              <w:t>6</w:t>
            </w:r>
            <w:r>
              <w:rPr>
                <w:rFonts w:hint="default" w:ascii="Times New Roman" w:hAnsi="Times New Roman" w:eastAsia="宋体" w:cs="Times New Roman"/>
                <w:b/>
                <w:bCs/>
                <w:color w:val="auto"/>
                <w:kern w:val="2"/>
                <w:sz w:val="24"/>
                <w:szCs w:val="24"/>
                <w:highlight w:val="none"/>
                <w:lang w:val="en-US" w:eastAsia="zh-CN" w:bidi="ar"/>
              </w:rPr>
              <w:t>〕</w:t>
            </w:r>
            <w:r>
              <w:rPr>
                <w:rFonts w:hint="eastAsia" w:ascii="Times New Roman" w:hAnsi="Times New Roman" w:eastAsia="宋体" w:cs="Times New Roman"/>
                <w:b/>
                <w:bCs/>
                <w:color w:val="auto"/>
                <w:kern w:val="2"/>
                <w:sz w:val="24"/>
                <w:szCs w:val="24"/>
                <w:highlight w:val="none"/>
                <w:lang w:val="en-US" w:eastAsia="zh-CN" w:bidi="ar"/>
              </w:rPr>
              <w:t>1</w:t>
            </w:r>
            <w:r>
              <w:rPr>
                <w:rFonts w:hint="default" w:ascii="Times New Roman" w:hAnsi="Times New Roman" w:eastAsia="宋体" w:cs="Times New Roman"/>
                <w:b/>
                <w:bCs/>
                <w:color w:val="auto"/>
                <w:kern w:val="2"/>
                <w:sz w:val="24"/>
                <w:szCs w:val="24"/>
                <w:highlight w:val="none"/>
                <w:lang w:val="en-US" w:eastAsia="zh-CN" w:bidi="ar"/>
              </w:rPr>
              <w:t>号符合性分析</w:t>
            </w:r>
          </w:p>
          <w:p w14:paraId="25C210A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lang w:val="en-US" w:eastAsia="zh-CN" w:bidi="ar"/>
              </w:rPr>
              <w:t>2026年4月20日，安阳市生态环境保护委员会印发了安阳市生态环境保护委员会关于印发《安阳市2026年大气污染防治攻坚行动方案》《安阳市2026年碧水保卫战实施方案》《安阳市2026年净土保卫战实施方案》《安阳市2026年柴油货车污染治理攻坚战实施方案》的通知（安环委〔2026〕1号），本项目与其相符性分析如下表：</w:t>
            </w:r>
          </w:p>
          <w:p w14:paraId="7118C2F2">
            <w:pPr>
              <w:pStyle w:val="9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textAlignment w:val="auto"/>
              <w:rPr>
                <w:rFonts w:hint="default" w:ascii="Times New Roman" w:hAnsi="Times New Roman" w:eastAsia="宋体" w:cs="Times New Roman"/>
                <w:b/>
                <w:color w:val="auto"/>
                <w:sz w:val="21"/>
                <w:highlight w:val="none"/>
                <w:lang w:val="en-US" w:eastAsia="zh-CN"/>
              </w:rPr>
            </w:pPr>
            <w:r>
              <w:rPr>
                <w:rFonts w:hint="default" w:ascii="Times New Roman" w:hAnsi="Times New Roman" w:eastAsia="宋体" w:cs="Times New Roman"/>
                <w:b/>
                <w:color w:val="auto"/>
                <w:sz w:val="21"/>
                <w:highlight w:val="none"/>
                <w:lang w:val="en-US" w:eastAsia="zh-CN"/>
              </w:rPr>
              <w:t>本项目与安环委〔202</w:t>
            </w:r>
            <w:r>
              <w:rPr>
                <w:rFonts w:hint="eastAsia" w:ascii="Times New Roman" w:hAnsi="Times New Roman" w:cs="Times New Roman"/>
                <w:b/>
                <w:color w:val="auto"/>
                <w:sz w:val="21"/>
                <w:highlight w:val="none"/>
                <w:lang w:val="en-US" w:eastAsia="zh-CN"/>
              </w:rPr>
              <w:t>6</w:t>
            </w:r>
            <w:r>
              <w:rPr>
                <w:rFonts w:hint="default" w:ascii="Times New Roman" w:hAnsi="Times New Roman" w:eastAsia="宋体" w:cs="Times New Roman"/>
                <w:b/>
                <w:color w:val="auto"/>
                <w:sz w:val="21"/>
                <w:highlight w:val="none"/>
                <w:lang w:val="en-US" w:eastAsia="zh-CN"/>
              </w:rPr>
              <w:t>〕</w:t>
            </w:r>
            <w:r>
              <w:rPr>
                <w:rFonts w:hint="eastAsia" w:ascii="Times New Roman" w:hAnsi="Times New Roman" w:cs="Times New Roman"/>
                <w:b/>
                <w:color w:val="auto"/>
                <w:sz w:val="21"/>
                <w:highlight w:val="none"/>
                <w:lang w:val="en-US" w:eastAsia="zh-CN"/>
              </w:rPr>
              <w:t>1</w:t>
            </w:r>
            <w:r>
              <w:rPr>
                <w:rFonts w:hint="default" w:ascii="Times New Roman" w:hAnsi="Times New Roman" w:eastAsia="宋体" w:cs="Times New Roman"/>
                <w:b/>
                <w:color w:val="auto"/>
                <w:sz w:val="21"/>
                <w:highlight w:val="none"/>
                <w:lang w:val="en-US" w:eastAsia="zh-CN"/>
              </w:rPr>
              <w:t>号符合性分析</w:t>
            </w:r>
          </w:p>
          <w:tbl>
            <w:tblPr>
              <w:tblStyle w:val="29"/>
              <w:tblW w:w="4996" w:type="pct"/>
              <w:jc w:val="center"/>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Layout w:type="fixed"/>
              <w:tblCellMar>
                <w:top w:w="0" w:type="dxa"/>
                <w:left w:w="68" w:type="dxa"/>
                <w:bottom w:w="0" w:type="dxa"/>
                <w:right w:w="68" w:type="dxa"/>
              </w:tblCellMar>
            </w:tblPr>
            <w:tblGrid>
              <w:gridCol w:w="1141"/>
              <w:gridCol w:w="4194"/>
              <w:gridCol w:w="1757"/>
              <w:gridCol w:w="745"/>
            </w:tblGrid>
            <w:tr w14:paraId="0D86511A">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68" w:type="dxa"/>
                  <w:bottom w:w="0" w:type="dxa"/>
                  <w:right w:w="68" w:type="dxa"/>
                </w:tblCellMar>
              </w:tblPrEx>
              <w:trPr>
                <w:trHeight w:val="614" w:hRule="atLeast"/>
                <w:jc w:val="center"/>
              </w:trPr>
              <w:tc>
                <w:tcPr>
                  <w:tcW w:w="728" w:type="pct"/>
                  <w:tcBorders>
                    <w:top w:val="single" w:color="auto" w:sz="12" w:space="0"/>
                    <w:left w:val="nil"/>
                    <w:bottom w:val="single" w:color="auto" w:sz="4" w:space="0"/>
                    <w:right w:val="single" w:color="auto" w:sz="4" w:space="0"/>
                  </w:tcBorders>
                  <w:noWrap w:val="0"/>
                  <w:vAlign w:val="center"/>
                </w:tcPr>
                <w:p w14:paraId="5143FDFE">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eastAsia="宋体" w:cs="Times New Roman"/>
                      <w:b/>
                      <w:bCs/>
                      <w:color w:val="000000"/>
                      <w:kern w:val="0"/>
                      <w:sz w:val="21"/>
                      <w:szCs w:val="21"/>
                    </w:rPr>
                  </w:pPr>
                  <w:r>
                    <w:rPr>
                      <w:rFonts w:hint="default" w:ascii="Times New Roman" w:hAnsi="Times New Roman" w:eastAsia="宋体" w:cs="Times New Roman"/>
                      <w:b/>
                      <w:bCs/>
                      <w:color w:val="000000"/>
                      <w:kern w:val="0"/>
                      <w:sz w:val="21"/>
                      <w:szCs w:val="21"/>
                      <w:lang w:val="en-US" w:eastAsia="zh-CN" w:bidi="ar"/>
                    </w:rPr>
                    <w:t>类别</w:t>
                  </w:r>
                </w:p>
              </w:tc>
              <w:tc>
                <w:tcPr>
                  <w:tcW w:w="2674" w:type="pct"/>
                  <w:tcBorders>
                    <w:top w:val="single" w:color="auto" w:sz="12" w:space="0"/>
                    <w:left w:val="nil"/>
                    <w:bottom w:val="single" w:color="auto" w:sz="4" w:space="0"/>
                    <w:right w:val="single" w:color="auto" w:sz="4" w:space="0"/>
                  </w:tcBorders>
                  <w:noWrap w:val="0"/>
                  <w:vAlign w:val="center"/>
                </w:tcPr>
                <w:p w14:paraId="3A36B389">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cs="Times New Roman"/>
                      <w:b/>
                      <w:bCs/>
                      <w:color w:val="000000"/>
                      <w:kern w:val="0"/>
                      <w:sz w:val="21"/>
                      <w:szCs w:val="21"/>
                    </w:rPr>
                  </w:pPr>
                  <w:r>
                    <w:rPr>
                      <w:rFonts w:hint="default" w:ascii="Times New Roman" w:hAnsi="Times New Roman" w:eastAsia="宋体" w:cs="Times New Roman"/>
                      <w:b/>
                      <w:bCs/>
                      <w:color w:val="000000"/>
                      <w:kern w:val="0"/>
                      <w:sz w:val="21"/>
                      <w:szCs w:val="21"/>
                      <w:lang w:val="en-US" w:eastAsia="zh-CN" w:bidi="ar"/>
                    </w:rPr>
                    <w:t>详细要求</w:t>
                  </w:r>
                </w:p>
              </w:tc>
              <w:tc>
                <w:tcPr>
                  <w:tcW w:w="1120" w:type="pct"/>
                  <w:tcBorders>
                    <w:top w:val="single" w:color="auto" w:sz="12" w:space="0"/>
                    <w:left w:val="nil"/>
                    <w:bottom w:val="single" w:color="auto" w:sz="4" w:space="0"/>
                    <w:right w:val="single" w:color="auto" w:sz="4" w:space="0"/>
                  </w:tcBorders>
                  <w:noWrap w:val="0"/>
                  <w:vAlign w:val="center"/>
                </w:tcPr>
                <w:p w14:paraId="4760F488">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cs="Times New Roman"/>
                      <w:b/>
                      <w:bCs/>
                      <w:color w:val="000000"/>
                      <w:kern w:val="0"/>
                      <w:sz w:val="21"/>
                      <w:szCs w:val="21"/>
                    </w:rPr>
                  </w:pPr>
                  <w:r>
                    <w:rPr>
                      <w:rFonts w:hint="default" w:ascii="Times New Roman" w:hAnsi="Times New Roman" w:eastAsia="宋体" w:cs="Times New Roman"/>
                      <w:b/>
                      <w:bCs/>
                      <w:color w:val="000000"/>
                      <w:kern w:val="0"/>
                      <w:sz w:val="21"/>
                      <w:szCs w:val="21"/>
                      <w:lang w:val="en-US" w:eastAsia="zh-CN" w:bidi="ar"/>
                    </w:rPr>
                    <w:t>本项目情况</w:t>
                  </w:r>
                </w:p>
              </w:tc>
              <w:tc>
                <w:tcPr>
                  <w:tcW w:w="475" w:type="pct"/>
                  <w:tcBorders>
                    <w:top w:val="single" w:color="auto" w:sz="12" w:space="0"/>
                    <w:left w:val="nil"/>
                    <w:bottom w:val="single" w:color="auto" w:sz="4" w:space="0"/>
                    <w:right w:val="nil"/>
                  </w:tcBorders>
                  <w:noWrap w:val="0"/>
                  <w:vAlign w:val="center"/>
                </w:tcPr>
                <w:p w14:paraId="569621CC">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cs="Times New Roman"/>
                      <w:b/>
                      <w:bCs/>
                      <w:color w:val="000000"/>
                      <w:kern w:val="0"/>
                      <w:sz w:val="21"/>
                      <w:szCs w:val="21"/>
                    </w:rPr>
                  </w:pPr>
                  <w:r>
                    <w:rPr>
                      <w:rFonts w:hint="default" w:ascii="Times New Roman" w:hAnsi="Times New Roman" w:eastAsia="宋体" w:cs="Times New Roman"/>
                      <w:b/>
                      <w:bCs/>
                      <w:color w:val="000000"/>
                      <w:kern w:val="0"/>
                      <w:sz w:val="21"/>
                      <w:szCs w:val="21"/>
                      <w:lang w:val="en-US" w:eastAsia="zh-CN" w:bidi="ar"/>
                    </w:rPr>
                    <w:t>相符性</w:t>
                  </w:r>
                </w:p>
              </w:tc>
            </w:tr>
            <w:tr w14:paraId="55795215">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68" w:type="dxa"/>
                  <w:bottom w:w="0" w:type="dxa"/>
                  <w:right w:w="68" w:type="dxa"/>
                </w:tblCellMar>
              </w:tblPrEx>
              <w:trPr>
                <w:jc w:val="center"/>
              </w:trPr>
              <w:tc>
                <w:tcPr>
                  <w:tcW w:w="728" w:type="pct"/>
                  <w:vMerge w:val="restart"/>
                  <w:tcBorders>
                    <w:top w:val="nil"/>
                    <w:left w:val="nil"/>
                    <w:bottom w:val="single" w:color="auto" w:sz="4" w:space="0"/>
                    <w:right w:val="single" w:color="auto" w:sz="4" w:space="0"/>
                  </w:tcBorders>
                  <w:noWrap w:val="0"/>
                  <w:vAlign w:val="center"/>
                </w:tcPr>
                <w:p w14:paraId="0D4874AD">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lang w:val="en-US" w:eastAsia="zh-CN" w:bidi="ar"/>
                    </w:rPr>
                    <w:t>安阳市202</w:t>
                  </w:r>
                  <w:r>
                    <w:rPr>
                      <w:rFonts w:hint="eastAsia" w:ascii="Times New Roman" w:hAnsi="Times New Roman" w:cs="Times New Roman"/>
                      <w:color w:val="000000"/>
                      <w:kern w:val="0"/>
                      <w:sz w:val="21"/>
                      <w:szCs w:val="21"/>
                      <w:lang w:val="en-US" w:eastAsia="zh-CN" w:bidi="ar"/>
                    </w:rPr>
                    <w:t>6</w:t>
                  </w:r>
                  <w:r>
                    <w:rPr>
                      <w:rFonts w:hint="default" w:ascii="Times New Roman" w:hAnsi="Times New Roman" w:eastAsia="宋体" w:cs="Times New Roman"/>
                      <w:color w:val="000000"/>
                      <w:kern w:val="0"/>
                      <w:sz w:val="21"/>
                      <w:szCs w:val="21"/>
                      <w:lang w:val="en-US" w:eastAsia="zh-CN" w:bidi="ar"/>
                    </w:rPr>
                    <w:t>年大气污染防治攻坚行动方案</w:t>
                  </w:r>
                </w:p>
              </w:tc>
              <w:tc>
                <w:tcPr>
                  <w:tcW w:w="2674" w:type="pct"/>
                  <w:tcBorders>
                    <w:top w:val="single" w:color="auto" w:sz="4" w:space="0"/>
                    <w:left w:val="nil"/>
                    <w:bottom w:val="single" w:color="auto" w:sz="4" w:space="0"/>
                    <w:right w:val="single" w:color="auto" w:sz="4" w:space="0"/>
                  </w:tcBorders>
                  <w:noWrap w:val="0"/>
                  <w:vAlign w:val="center"/>
                </w:tcPr>
                <w:p w14:paraId="30C10977">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default" w:ascii="Times New Roman" w:hAnsi="Times New Roman" w:cs="Times New Roman"/>
                      <w:color w:val="000000"/>
                      <w:kern w:val="0"/>
                      <w:sz w:val="21"/>
                      <w:szCs w:val="21"/>
                    </w:rPr>
                  </w:pPr>
                  <w:r>
                    <w:rPr>
                      <w:rFonts w:hint="eastAsia" w:ascii="Times New Roman" w:hAnsi="Times New Roman" w:eastAsia="宋体" w:cs="Times New Roman"/>
                      <w:b w:val="0"/>
                      <w:bCs w:val="0"/>
                      <w:color w:val="000000"/>
                      <w:kern w:val="0"/>
                      <w:sz w:val="21"/>
                      <w:szCs w:val="21"/>
                      <w:lang w:val="en-US" w:eastAsia="zh-CN" w:bidi="ar"/>
                    </w:rPr>
                    <w:t>9</w:t>
                  </w:r>
                  <w:r>
                    <w:rPr>
                      <w:rFonts w:hint="eastAsia" w:ascii="Times New Roman" w:hAnsi="Times New Roman" w:cs="Times New Roman"/>
                      <w:b w:val="0"/>
                      <w:bCs w:val="0"/>
                      <w:color w:val="000000"/>
                      <w:kern w:val="0"/>
                      <w:sz w:val="21"/>
                      <w:szCs w:val="21"/>
                      <w:lang w:val="en-US" w:eastAsia="zh-CN" w:bidi="ar"/>
                    </w:rPr>
                    <w:t>、</w:t>
                  </w:r>
                  <w:r>
                    <w:rPr>
                      <w:rFonts w:hint="eastAsia" w:ascii="Times New Roman" w:hAnsi="Times New Roman" w:eastAsia="宋体" w:cs="Times New Roman"/>
                      <w:b w:val="0"/>
                      <w:bCs w:val="0"/>
                      <w:color w:val="000000"/>
                      <w:kern w:val="0"/>
                      <w:sz w:val="21"/>
                      <w:szCs w:val="21"/>
                      <w:lang w:val="en-US" w:eastAsia="zh-CN" w:bidi="ar"/>
                    </w:rPr>
                    <w:t>提升重点行业清洁运输比例。推动重点行业大宗货物长距离运输优先使用铁路、管道，短距离运输使用封闭皮带通廊、新能源车等清洁运输方式</w:t>
                  </w:r>
                  <w:r>
                    <w:rPr>
                      <w:rFonts w:hint="eastAsia" w:ascii="Times New Roman" w:hAnsi="Times New Roman" w:cs="Times New Roman"/>
                      <w:b w:val="0"/>
                      <w:bCs w:val="0"/>
                      <w:color w:val="000000"/>
                      <w:kern w:val="0"/>
                      <w:sz w:val="21"/>
                      <w:szCs w:val="21"/>
                      <w:lang w:val="en-US" w:eastAsia="zh-CN" w:bidi="ar"/>
                    </w:rPr>
                    <w:t>；</w:t>
                  </w:r>
                  <w:r>
                    <w:rPr>
                      <w:rFonts w:hint="eastAsia" w:ascii="Times New Roman" w:hAnsi="Times New Roman" w:eastAsia="宋体" w:cs="Times New Roman"/>
                      <w:b w:val="0"/>
                      <w:bCs w:val="0"/>
                      <w:color w:val="000000"/>
                      <w:kern w:val="0"/>
                      <w:sz w:val="21"/>
                      <w:szCs w:val="21"/>
                      <w:lang w:val="en-US" w:eastAsia="zh-CN" w:bidi="ar"/>
                    </w:rPr>
                    <w:t>新、改、扩建项目原则上采用清洁运输方式。建立重点行业企业清洁运输比例提升清单台账，2026年全市火电、钢铁、煤炭、焦化、有色、水泥、化工、砂石骨料等行业大宗货物清洁运输比例稳定达到85%以上。货运车辆禁行区内的安钢股份、大唐安阳、沙钢永兴、安钢永通、鑫源铸业、城发环保(安阳)、岷山环能、安彩光热、安彩光伏、安阳卷烟厂、安钢冷轧等重点企业清洁运输比例力争达到90%。全市A级、B级、绩效引领企业清洁运输比例力争达到90%以上。</w:t>
                  </w:r>
                </w:p>
              </w:tc>
              <w:tc>
                <w:tcPr>
                  <w:tcW w:w="1120" w:type="pct"/>
                  <w:tcBorders>
                    <w:top w:val="single" w:color="auto" w:sz="4" w:space="0"/>
                    <w:left w:val="nil"/>
                    <w:bottom w:val="single" w:color="auto" w:sz="4" w:space="0"/>
                    <w:right w:val="single" w:color="auto" w:sz="4" w:space="0"/>
                  </w:tcBorders>
                  <w:noWrap w:val="0"/>
                  <w:vAlign w:val="center"/>
                </w:tcPr>
                <w:p w14:paraId="62C05BF9">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eastAsia" w:ascii="Times New Roman" w:hAnsi="Times New Roman" w:eastAsia="宋体" w:cs="Times New Roman"/>
                      <w:color w:val="000000"/>
                      <w:kern w:val="0"/>
                      <w:sz w:val="21"/>
                      <w:szCs w:val="21"/>
                      <w:lang w:eastAsia="zh-CN"/>
                    </w:rPr>
                  </w:pPr>
                  <w:r>
                    <w:rPr>
                      <w:rFonts w:hint="eastAsia" w:ascii="Times New Roman" w:hAnsi="Times New Roman" w:cs="Times New Roman"/>
                      <w:color w:val="000000"/>
                      <w:kern w:val="0"/>
                      <w:sz w:val="21"/>
                      <w:szCs w:val="21"/>
                      <w:lang w:eastAsia="zh-CN"/>
                    </w:rPr>
                    <w:t>本项目不属于重点行业，原则上采用清洁运输方式。</w:t>
                  </w:r>
                </w:p>
              </w:tc>
              <w:tc>
                <w:tcPr>
                  <w:tcW w:w="475" w:type="pct"/>
                  <w:tcBorders>
                    <w:top w:val="single" w:color="auto" w:sz="4" w:space="0"/>
                    <w:left w:val="nil"/>
                    <w:bottom w:val="single" w:color="auto" w:sz="4" w:space="0"/>
                    <w:right w:val="nil"/>
                  </w:tcBorders>
                  <w:noWrap w:val="0"/>
                  <w:vAlign w:val="center"/>
                </w:tcPr>
                <w:p w14:paraId="5E2F6CBC">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lang w:val="en-US" w:eastAsia="zh-CN" w:bidi="ar"/>
                    </w:rPr>
                    <w:t>相符</w:t>
                  </w:r>
                </w:p>
              </w:tc>
            </w:tr>
            <w:tr w14:paraId="4686963E">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68" w:type="dxa"/>
                  <w:bottom w:w="0" w:type="dxa"/>
                  <w:right w:w="68" w:type="dxa"/>
                </w:tblCellMar>
              </w:tblPrEx>
              <w:trPr>
                <w:jc w:val="center"/>
              </w:trPr>
              <w:tc>
                <w:tcPr>
                  <w:tcW w:w="728" w:type="pct"/>
                  <w:vMerge w:val="continue"/>
                  <w:tcBorders>
                    <w:left w:val="nil"/>
                    <w:right w:val="single" w:color="auto" w:sz="4" w:space="0"/>
                  </w:tcBorders>
                  <w:noWrap w:val="0"/>
                  <w:vAlign w:val="center"/>
                </w:tcPr>
                <w:p w14:paraId="565C7D0E">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eastAsia="宋体" w:cs="Times New Roman"/>
                      <w:color w:val="000000"/>
                      <w:kern w:val="0"/>
                      <w:sz w:val="21"/>
                      <w:szCs w:val="21"/>
                      <w:lang w:val="en-US" w:eastAsia="zh-CN" w:bidi="ar"/>
                    </w:rPr>
                  </w:pPr>
                </w:p>
              </w:tc>
              <w:tc>
                <w:tcPr>
                  <w:tcW w:w="2674" w:type="pct"/>
                  <w:tcBorders>
                    <w:top w:val="single" w:color="auto" w:sz="4" w:space="0"/>
                    <w:left w:val="nil"/>
                    <w:bottom w:val="single" w:color="auto" w:sz="4" w:space="0"/>
                    <w:right w:val="single" w:color="auto" w:sz="4" w:space="0"/>
                  </w:tcBorders>
                  <w:noWrap w:val="0"/>
                  <w:vAlign w:val="center"/>
                </w:tcPr>
                <w:p w14:paraId="6E6FB690">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eastAsia" w:ascii="Times New Roman" w:hAnsi="Times New Roman" w:eastAsia="宋体" w:cs="Times New Roman"/>
                      <w:b w:val="0"/>
                      <w:bCs w:val="0"/>
                      <w:color w:val="000000"/>
                      <w:kern w:val="0"/>
                      <w:sz w:val="21"/>
                      <w:szCs w:val="21"/>
                      <w:lang w:val="en-US" w:eastAsia="zh-CN" w:bidi="ar"/>
                    </w:rPr>
                  </w:pPr>
                  <w:r>
                    <w:rPr>
                      <w:rFonts w:hint="eastAsia" w:ascii="Times New Roman" w:hAnsi="Times New Roman" w:eastAsia="宋体" w:cs="Times New Roman"/>
                      <w:b w:val="0"/>
                      <w:bCs w:val="0"/>
                      <w:color w:val="000000"/>
                      <w:kern w:val="0"/>
                      <w:sz w:val="21"/>
                      <w:szCs w:val="21"/>
                      <w:lang w:val="en-US" w:eastAsia="zh-CN" w:bidi="ar"/>
                    </w:rPr>
                    <w:t>11.加快淘汰老旧车辆。加快淘汰国四及以下排放标准货车。严格执行机动车强制报废标准规定，符合强制报废情形的交报废机动车回收企业按规定回收拆解。对企业内部货运车辆全面排查，严禁使用应强制报废、未通过定期排放检验、无号牌的高排放燃油燃气车辆。</w:t>
                  </w:r>
                </w:p>
              </w:tc>
              <w:tc>
                <w:tcPr>
                  <w:tcW w:w="1120" w:type="pct"/>
                  <w:tcBorders>
                    <w:top w:val="single" w:color="auto" w:sz="4" w:space="0"/>
                    <w:left w:val="nil"/>
                    <w:bottom w:val="single" w:color="auto" w:sz="4" w:space="0"/>
                    <w:right w:val="single" w:color="auto" w:sz="4" w:space="0"/>
                  </w:tcBorders>
                  <w:noWrap w:val="0"/>
                  <w:vAlign w:val="center"/>
                </w:tcPr>
                <w:p w14:paraId="3CA77FF4">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default" w:ascii="Times New Roman" w:hAnsi="Times New Roman" w:cs="Times New Roman"/>
                      <w:color w:val="000000"/>
                      <w:kern w:val="0"/>
                      <w:sz w:val="21"/>
                      <w:szCs w:val="21"/>
                      <w:lang w:val="en-US" w:eastAsia="zh-CN"/>
                    </w:rPr>
                  </w:pPr>
                  <w:r>
                    <w:rPr>
                      <w:rFonts w:hint="eastAsia" w:ascii="Times New Roman" w:hAnsi="Times New Roman" w:cs="Times New Roman"/>
                      <w:color w:val="000000"/>
                      <w:kern w:val="0"/>
                      <w:sz w:val="21"/>
                      <w:szCs w:val="21"/>
                      <w:lang w:val="en-US" w:eastAsia="zh-CN"/>
                    </w:rPr>
                    <w:t>本项目不使用报废、未通过定期排放检验、无号牌的高排放燃油燃气车辆。</w:t>
                  </w:r>
                </w:p>
              </w:tc>
              <w:tc>
                <w:tcPr>
                  <w:tcW w:w="475" w:type="pct"/>
                  <w:tcBorders>
                    <w:top w:val="single" w:color="auto" w:sz="4" w:space="0"/>
                    <w:left w:val="nil"/>
                    <w:bottom w:val="single" w:color="auto" w:sz="4" w:space="0"/>
                    <w:right w:val="nil"/>
                  </w:tcBorders>
                  <w:noWrap w:val="0"/>
                  <w:vAlign w:val="center"/>
                </w:tcPr>
                <w:p w14:paraId="60165EBA">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eastAsia="宋体" w:cs="Times New Roman"/>
                      <w:color w:val="000000"/>
                      <w:kern w:val="0"/>
                      <w:sz w:val="21"/>
                      <w:szCs w:val="21"/>
                      <w:lang w:val="en-US" w:eastAsia="zh-CN" w:bidi="ar"/>
                    </w:rPr>
                  </w:pPr>
                  <w:r>
                    <w:rPr>
                      <w:rFonts w:hint="eastAsia"/>
                      <w:color w:val="auto"/>
                      <w:lang w:val="en-US" w:eastAsia="zh-CN"/>
                    </w:rPr>
                    <w:t>相符</w:t>
                  </w:r>
                </w:p>
              </w:tc>
            </w:tr>
            <w:tr w14:paraId="2E763900">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68" w:type="dxa"/>
                  <w:bottom w:w="0" w:type="dxa"/>
                  <w:right w:w="68" w:type="dxa"/>
                </w:tblCellMar>
              </w:tblPrEx>
              <w:trPr>
                <w:jc w:val="center"/>
              </w:trPr>
              <w:tc>
                <w:tcPr>
                  <w:tcW w:w="728" w:type="pct"/>
                  <w:vMerge w:val="continue"/>
                  <w:tcBorders>
                    <w:top w:val="nil"/>
                    <w:left w:val="nil"/>
                    <w:bottom w:val="single" w:color="auto" w:sz="4" w:space="0"/>
                    <w:right w:val="single" w:color="auto" w:sz="4" w:space="0"/>
                  </w:tcBorders>
                  <w:noWrap w:val="0"/>
                  <w:vAlign w:val="center"/>
                </w:tcPr>
                <w:p w14:paraId="6DDC2B22">
                  <w:pPr>
                    <w:keepNext w:val="0"/>
                    <w:keepLines w:val="0"/>
                    <w:pageBreakBefore w:val="0"/>
                    <w:suppressLineNumbers w:val="0"/>
                    <w:kinsoku/>
                    <w:wordWrap/>
                    <w:overflowPunct/>
                    <w:topLinePunct w:val="0"/>
                    <w:bidi w:val="0"/>
                    <w:spacing w:before="0" w:beforeAutospacing="0" w:after="0" w:afterAutospacing="0" w:line="240" w:lineRule="auto"/>
                    <w:ind w:left="0" w:right="0"/>
                    <w:textAlignment w:val="auto"/>
                    <w:rPr>
                      <w:rFonts w:hint="default" w:ascii="Times New Roman" w:hAnsi="Times New Roman" w:eastAsia="宋体" w:cs="Times New Roman"/>
                      <w:color w:val="000000"/>
                      <w:kern w:val="2"/>
                      <w:sz w:val="21"/>
                      <w:szCs w:val="21"/>
                    </w:rPr>
                  </w:pPr>
                </w:p>
              </w:tc>
              <w:tc>
                <w:tcPr>
                  <w:tcW w:w="2674" w:type="pct"/>
                  <w:tcBorders>
                    <w:top w:val="single" w:color="auto" w:sz="4" w:space="0"/>
                    <w:left w:val="nil"/>
                    <w:bottom w:val="single" w:color="auto" w:sz="4" w:space="0"/>
                    <w:right w:val="single" w:color="auto" w:sz="4" w:space="0"/>
                  </w:tcBorders>
                  <w:noWrap w:val="0"/>
                  <w:vAlign w:val="center"/>
                </w:tcPr>
                <w:p w14:paraId="20B240EA">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14</w:t>
                  </w:r>
                  <w:r>
                    <w:rPr>
                      <w:rFonts w:hint="eastAsia" w:ascii="Times New Roman" w:hAnsi="Times New Roman" w:cs="Times New Roman"/>
                      <w:color w:val="000000"/>
                      <w:kern w:val="0"/>
                      <w:sz w:val="21"/>
                      <w:szCs w:val="21"/>
                      <w:lang w:eastAsia="zh-CN"/>
                    </w:rPr>
                    <w:t>、</w:t>
                  </w:r>
                  <w:r>
                    <w:rPr>
                      <w:rFonts w:hint="default" w:ascii="Times New Roman" w:hAnsi="Times New Roman" w:cs="Times New Roman"/>
                      <w:color w:val="000000"/>
                      <w:kern w:val="0"/>
                      <w:sz w:val="21"/>
                      <w:szCs w:val="21"/>
                    </w:rPr>
                    <w:t>实施重点行业绩效提升行动。聚焦火电、垃圾发电、钢铁、焦化、水泥熟料、平板玻璃、煤制氮肥、汽车整车制造、铸造等重点行业，建立全口径创A企业清单，编制“一企一策”提升方案，从项目审批、税费减免、资金奖补、差别化电价等方面给予政策激励，建立常态化的指导帮扶和动态调整机制。2026年年底前，力争创建100家A、B级和绩效引领性企业</w:t>
                  </w:r>
                  <w:r>
                    <w:rPr>
                      <w:rFonts w:hint="eastAsia" w:ascii="Times New Roman" w:hAnsi="Times New Roman" w:cs="Times New Roman"/>
                      <w:color w:val="000000"/>
                      <w:kern w:val="0"/>
                      <w:sz w:val="21"/>
                      <w:szCs w:val="21"/>
                      <w:lang w:eastAsia="zh-CN"/>
                    </w:rPr>
                    <w:t>（</w:t>
                  </w:r>
                  <w:r>
                    <w:rPr>
                      <w:rFonts w:hint="default" w:ascii="Times New Roman" w:hAnsi="Times New Roman" w:cs="Times New Roman"/>
                      <w:color w:val="000000"/>
                      <w:kern w:val="0"/>
                      <w:sz w:val="21"/>
                      <w:szCs w:val="21"/>
                    </w:rPr>
                    <w:t>含省定任务15家A级企业</w:t>
                  </w:r>
                  <w:r>
                    <w:rPr>
                      <w:rFonts w:hint="eastAsia" w:ascii="Times New Roman" w:hAnsi="Times New Roman" w:cs="Times New Roman"/>
                      <w:color w:val="000000"/>
                      <w:kern w:val="0"/>
                      <w:sz w:val="21"/>
                      <w:szCs w:val="21"/>
                      <w:lang w:eastAsia="zh-CN"/>
                    </w:rPr>
                    <w:t>）</w:t>
                  </w:r>
                  <w:r>
                    <w:rPr>
                      <w:rFonts w:hint="default" w:ascii="Times New Roman" w:hAnsi="Times New Roman" w:cs="Times New Roman"/>
                      <w:color w:val="000000"/>
                      <w:kern w:val="0"/>
                      <w:sz w:val="21"/>
                      <w:szCs w:val="21"/>
                    </w:rPr>
                    <w:t>。全市A级、B级、绩效引领企业清洁运输比例达到80%以上。</w:t>
                  </w:r>
                </w:p>
              </w:tc>
              <w:tc>
                <w:tcPr>
                  <w:tcW w:w="1120" w:type="pct"/>
                  <w:tcBorders>
                    <w:top w:val="single" w:color="auto" w:sz="4" w:space="0"/>
                    <w:left w:val="nil"/>
                    <w:bottom w:val="single" w:color="auto" w:sz="4" w:space="0"/>
                    <w:right w:val="single" w:color="auto" w:sz="4" w:space="0"/>
                  </w:tcBorders>
                  <w:noWrap w:val="0"/>
                  <w:vAlign w:val="center"/>
                </w:tcPr>
                <w:p w14:paraId="652F6F60">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default" w:ascii="Times New Roman" w:hAnsi="Times New Roman" w:eastAsia="宋体" w:cs="Times New Roman"/>
                      <w:color w:val="000000"/>
                      <w:kern w:val="0"/>
                      <w:sz w:val="21"/>
                      <w:szCs w:val="21"/>
                    </w:rPr>
                  </w:pPr>
                  <w:r>
                    <w:rPr>
                      <w:rFonts w:hint="eastAsia" w:ascii="Times New Roman" w:hAnsi="Times New Roman" w:eastAsia="Times New Roman" w:cs="Times New Roman"/>
                      <w:bCs/>
                      <w:color w:val="000000"/>
                      <w:sz w:val="21"/>
                      <w:szCs w:val="21"/>
                      <w:highlight w:val="none"/>
                      <w:lang w:val="en-US" w:eastAsia="zh-CN"/>
                    </w:rPr>
                    <w:t>本项目</w:t>
                  </w:r>
                  <w:r>
                    <w:rPr>
                      <w:rFonts w:hint="default" w:ascii="Times New Roman" w:hAnsi="Times New Roman" w:eastAsia="Times New Roman" w:cs="Times New Roman"/>
                      <w:bCs/>
                      <w:color w:val="000000"/>
                      <w:sz w:val="21"/>
                      <w:szCs w:val="21"/>
                      <w:highlight w:val="none"/>
                      <w:lang w:val="en-US" w:eastAsia="zh-CN"/>
                    </w:rPr>
                    <w:t>参照《河南省重污染天气重点行业应急减排措施制定技术指南（2024年版）》中塑料制品行业企业A级指标要求</w:t>
                  </w:r>
                  <w:r>
                    <w:rPr>
                      <w:rFonts w:hint="eastAsia" w:ascii="Times New Roman" w:hAnsi="Times New Roman" w:eastAsia="宋体" w:cs="Times New Roman"/>
                      <w:bCs/>
                      <w:color w:val="000000"/>
                      <w:sz w:val="21"/>
                      <w:szCs w:val="21"/>
                      <w:highlight w:val="none"/>
                      <w:lang w:val="en-US" w:eastAsia="zh-CN"/>
                    </w:rPr>
                    <w:t>设计、</w:t>
                  </w:r>
                  <w:r>
                    <w:rPr>
                      <w:rFonts w:hint="eastAsia" w:ascii="Times New Roman" w:hAnsi="Times New Roman" w:eastAsia="宋体" w:cs="Times New Roman"/>
                      <w:bCs/>
                      <w:color w:val="000000"/>
                      <w:sz w:val="21"/>
                      <w:szCs w:val="21"/>
                      <w:highlight w:val="none"/>
                      <w:lang w:eastAsia="zh-CN"/>
                    </w:rPr>
                    <w:t>建设。</w:t>
                  </w:r>
                </w:p>
              </w:tc>
              <w:tc>
                <w:tcPr>
                  <w:tcW w:w="475" w:type="pct"/>
                  <w:tcBorders>
                    <w:top w:val="single" w:color="auto" w:sz="4" w:space="0"/>
                    <w:left w:val="nil"/>
                    <w:bottom w:val="single" w:color="auto" w:sz="4" w:space="0"/>
                    <w:right w:val="nil"/>
                  </w:tcBorders>
                  <w:noWrap w:val="0"/>
                  <w:vAlign w:val="center"/>
                </w:tcPr>
                <w:p w14:paraId="6AD9964B">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lang w:val="en-US" w:eastAsia="zh-CN" w:bidi="ar"/>
                    </w:rPr>
                    <w:t>相符</w:t>
                  </w:r>
                </w:p>
              </w:tc>
            </w:tr>
            <w:tr w14:paraId="7393A47C">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68" w:type="dxa"/>
                  <w:bottom w:w="0" w:type="dxa"/>
                  <w:right w:w="68" w:type="dxa"/>
                </w:tblCellMar>
              </w:tblPrEx>
              <w:trPr>
                <w:jc w:val="center"/>
              </w:trPr>
              <w:tc>
                <w:tcPr>
                  <w:tcW w:w="728" w:type="pct"/>
                  <w:vMerge w:val="continue"/>
                  <w:tcBorders>
                    <w:top w:val="nil"/>
                    <w:left w:val="nil"/>
                    <w:bottom w:val="single" w:color="auto" w:sz="4" w:space="0"/>
                    <w:right w:val="single" w:color="auto" w:sz="4" w:space="0"/>
                  </w:tcBorders>
                  <w:noWrap w:val="0"/>
                  <w:vAlign w:val="center"/>
                </w:tcPr>
                <w:p w14:paraId="09EC7B81">
                  <w:pPr>
                    <w:keepNext w:val="0"/>
                    <w:keepLines w:val="0"/>
                    <w:pageBreakBefore w:val="0"/>
                    <w:suppressLineNumbers w:val="0"/>
                    <w:kinsoku/>
                    <w:wordWrap/>
                    <w:overflowPunct/>
                    <w:topLinePunct w:val="0"/>
                    <w:bidi w:val="0"/>
                    <w:spacing w:before="0" w:beforeAutospacing="0" w:after="0" w:afterAutospacing="0" w:line="240" w:lineRule="auto"/>
                    <w:ind w:left="0" w:right="0"/>
                    <w:textAlignment w:val="auto"/>
                    <w:rPr>
                      <w:rFonts w:hint="default" w:ascii="Times New Roman" w:hAnsi="Times New Roman" w:eastAsia="宋体" w:cs="Times New Roman"/>
                      <w:color w:val="000000"/>
                      <w:kern w:val="2"/>
                      <w:sz w:val="21"/>
                      <w:szCs w:val="21"/>
                    </w:rPr>
                  </w:pPr>
                </w:p>
              </w:tc>
              <w:tc>
                <w:tcPr>
                  <w:tcW w:w="2674" w:type="pct"/>
                  <w:tcBorders>
                    <w:top w:val="single" w:color="auto" w:sz="4" w:space="0"/>
                    <w:left w:val="nil"/>
                    <w:bottom w:val="single" w:color="auto" w:sz="4" w:space="0"/>
                    <w:right w:val="single" w:color="auto" w:sz="4" w:space="0"/>
                  </w:tcBorders>
                  <w:noWrap w:val="0"/>
                  <w:vAlign w:val="center"/>
                </w:tcPr>
                <w:p w14:paraId="5F95174D">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eastAsia" w:ascii="Times New Roman" w:hAnsi="Times New Roman" w:cs="Times New Roman"/>
                      <w:b/>
                      <w:bCs/>
                      <w:color w:val="000000"/>
                      <w:kern w:val="0"/>
                      <w:sz w:val="21"/>
                      <w:szCs w:val="21"/>
                      <w:lang w:val="en-US" w:eastAsia="zh-CN" w:bidi="ar"/>
                    </w:rPr>
                  </w:pPr>
                  <w:r>
                    <w:rPr>
                      <w:rFonts w:hint="eastAsia" w:ascii="Times New Roman" w:hAnsi="Times New Roman" w:cs="Times New Roman"/>
                      <w:b w:val="0"/>
                      <w:bCs w:val="0"/>
                      <w:color w:val="000000"/>
                      <w:kern w:val="0"/>
                      <w:sz w:val="21"/>
                      <w:szCs w:val="21"/>
                      <w:lang w:val="en-US" w:eastAsia="zh-CN" w:bidi="ar"/>
                    </w:rPr>
                    <w:t>17、实施VOCs综合治理。按照“可替尽替、应代尽代”原则，加大工业涂装、包装印刷、家具制造、电子制造等重点行业VOCs含量原辅材料替代力度，采用符合有关VOCs含量限值标准的涂料、油墨、胶粘剂、清洗剂。完善活性炭“码上换”管理制度，高标准完成活性炭更换工作。持续开展VOCs治理突出问题排查整治，加强污染治理设施运行维护，强化无组织和非正常工况废气排放管控，提高废气收集效率。焦化、化工、医药等重点行业企业按规范开展泄漏检测与修复(LDAR)。2026年9月底前，废水逸散的高浓度VOCs废气实现单独收集治理，挥发性有机液体储罐使用低泄漏的储罐呼吸阀、紧急泄压阀，汽车罐车使用自封式快速接头。</w:t>
                  </w:r>
                </w:p>
              </w:tc>
              <w:tc>
                <w:tcPr>
                  <w:tcW w:w="1120" w:type="pct"/>
                  <w:tcBorders>
                    <w:top w:val="single" w:color="auto" w:sz="4" w:space="0"/>
                    <w:left w:val="nil"/>
                    <w:bottom w:val="single" w:color="auto" w:sz="4" w:space="0"/>
                    <w:right w:val="single" w:color="auto" w:sz="4" w:space="0"/>
                  </w:tcBorders>
                  <w:noWrap w:val="0"/>
                  <w:vAlign w:val="center"/>
                </w:tcPr>
                <w:p w14:paraId="13CA488A">
                  <w:pPr>
                    <w:pStyle w:val="95"/>
                    <w:keepNext w:val="0"/>
                    <w:keepLines w:val="0"/>
                    <w:pageBreakBefore w:val="0"/>
                    <w:widowControl w:val="0"/>
                    <w:suppressLineNumbers w:val="0"/>
                    <w:kinsoku/>
                    <w:wordWrap w:val="0"/>
                    <w:overflowPunct/>
                    <w:topLinePunct w:val="0"/>
                    <w:autoSpaceDE w:val="0"/>
                    <w:autoSpaceDN w:val="0"/>
                    <w:bidi w:val="0"/>
                    <w:adjustRightInd/>
                    <w:snapToGrid/>
                    <w:spacing w:before="0" w:beforeAutospacing="0" w:after="0" w:afterAutospacing="0"/>
                    <w:ind w:left="0" w:right="0" w:firstLine="0" w:firstLineChars="0"/>
                    <w:jc w:val="both"/>
                    <w:textAlignment w:val="baseline"/>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本项目在挤出工序</w:t>
                  </w:r>
                  <w:r>
                    <w:rPr>
                      <w:rFonts w:hint="eastAsia" w:cs="Times New Roman"/>
                      <w:color w:val="auto"/>
                      <w:kern w:val="0"/>
                      <w:sz w:val="21"/>
                      <w:szCs w:val="21"/>
                      <w:lang w:val="en-US" w:eastAsia="zh-CN" w:bidi="ar"/>
                    </w:rPr>
                    <w:t>、喷码工序、高压复合工序、粘合工序</w:t>
                  </w:r>
                  <w:r>
                    <w:rPr>
                      <w:rFonts w:hint="eastAsia" w:ascii="Times New Roman" w:hAnsi="Times New Roman" w:eastAsia="宋体" w:cs="Times New Roman"/>
                      <w:color w:val="auto"/>
                      <w:kern w:val="0"/>
                      <w:sz w:val="21"/>
                      <w:szCs w:val="21"/>
                      <w:lang w:val="en-US" w:eastAsia="zh-CN" w:bidi="ar"/>
                    </w:rPr>
                    <w:t>上方设置集气设施，产生的VOCs通过“活性炭吸附、脱附+催化燃烧”处理后通过15m高排气筒排放，使用的油墨符合《油墨中可挥发性有机物（VOCs）含量的限值》（GB38507-202</w:t>
                  </w:r>
                  <w:r>
                    <w:rPr>
                      <w:rFonts w:hint="eastAsia" w:cs="Times New Roman"/>
                      <w:color w:val="auto"/>
                      <w:kern w:val="0"/>
                      <w:sz w:val="21"/>
                      <w:szCs w:val="21"/>
                      <w:lang w:val="en-US" w:eastAsia="zh-CN" w:bidi="ar"/>
                    </w:rPr>
                    <w:t>0</w:t>
                  </w:r>
                  <w:r>
                    <w:rPr>
                      <w:rFonts w:hint="eastAsia" w:ascii="Times New Roman" w:hAnsi="Times New Roman" w:eastAsia="宋体" w:cs="Times New Roman"/>
                      <w:color w:val="auto"/>
                      <w:kern w:val="0"/>
                      <w:sz w:val="21"/>
                      <w:szCs w:val="21"/>
                      <w:lang w:val="en-US" w:eastAsia="zh-CN" w:bidi="ar"/>
                    </w:rPr>
                    <w:t>）中要求。</w:t>
                  </w:r>
                </w:p>
              </w:tc>
              <w:tc>
                <w:tcPr>
                  <w:tcW w:w="475" w:type="pct"/>
                  <w:tcBorders>
                    <w:top w:val="single" w:color="auto" w:sz="4" w:space="0"/>
                    <w:left w:val="nil"/>
                    <w:bottom w:val="single" w:color="auto" w:sz="4" w:space="0"/>
                    <w:right w:val="nil"/>
                  </w:tcBorders>
                  <w:noWrap w:val="0"/>
                  <w:vAlign w:val="center"/>
                </w:tcPr>
                <w:p w14:paraId="6F173965">
                  <w:pPr>
                    <w:pStyle w:val="95"/>
                    <w:keepNext w:val="0"/>
                    <w:keepLines w:val="0"/>
                    <w:suppressLineNumbers w:val="0"/>
                    <w:bidi w:val="0"/>
                    <w:spacing w:before="0" w:beforeAutospacing="0" w:after="0" w:afterAutospacing="0"/>
                    <w:ind w:left="0" w:right="0" w:firstLine="0" w:firstLineChars="0"/>
                    <w:rPr>
                      <w:rFonts w:hint="default" w:ascii="Times New Roman" w:hAnsi="Times New Roman" w:eastAsia="宋体" w:cs="Times New Roman"/>
                      <w:color w:val="000000"/>
                      <w:kern w:val="0"/>
                      <w:sz w:val="21"/>
                      <w:szCs w:val="21"/>
                      <w:lang w:val="en-US" w:eastAsia="zh-CN" w:bidi="ar"/>
                    </w:rPr>
                  </w:pPr>
                  <w:r>
                    <w:rPr>
                      <w:rFonts w:hint="eastAsia"/>
                      <w:color w:val="auto"/>
                      <w:lang w:val="en-US" w:eastAsia="zh-CN"/>
                    </w:rPr>
                    <w:t>相符</w:t>
                  </w:r>
                </w:p>
              </w:tc>
            </w:tr>
            <w:tr w14:paraId="044C7DAF">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68" w:type="dxa"/>
                  <w:bottom w:w="0" w:type="dxa"/>
                  <w:right w:w="68" w:type="dxa"/>
                </w:tblCellMar>
              </w:tblPrEx>
              <w:trPr>
                <w:jc w:val="center"/>
              </w:trPr>
              <w:tc>
                <w:tcPr>
                  <w:tcW w:w="728" w:type="pct"/>
                  <w:vMerge w:val="continue"/>
                  <w:tcBorders>
                    <w:top w:val="nil"/>
                    <w:left w:val="nil"/>
                    <w:bottom w:val="single" w:color="auto" w:sz="4" w:space="0"/>
                    <w:right w:val="single" w:color="auto" w:sz="4" w:space="0"/>
                  </w:tcBorders>
                  <w:noWrap w:val="0"/>
                  <w:vAlign w:val="center"/>
                </w:tcPr>
                <w:p w14:paraId="02488A4E">
                  <w:pPr>
                    <w:keepNext w:val="0"/>
                    <w:keepLines w:val="0"/>
                    <w:pageBreakBefore w:val="0"/>
                    <w:suppressLineNumbers w:val="0"/>
                    <w:kinsoku/>
                    <w:wordWrap/>
                    <w:overflowPunct/>
                    <w:topLinePunct w:val="0"/>
                    <w:bidi w:val="0"/>
                    <w:spacing w:before="0" w:beforeAutospacing="0" w:after="0" w:afterAutospacing="0" w:line="240" w:lineRule="auto"/>
                    <w:ind w:left="0" w:right="0"/>
                    <w:textAlignment w:val="auto"/>
                    <w:rPr>
                      <w:rFonts w:hint="default" w:ascii="Times New Roman" w:hAnsi="Times New Roman" w:eastAsia="宋体" w:cs="Times New Roman"/>
                      <w:color w:val="000000"/>
                      <w:kern w:val="2"/>
                      <w:sz w:val="21"/>
                      <w:szCs w:val="21"/>
                    </w:rPr>
                  </w:pPr>
                </w:p>
              </w:tc>
              <w:tc>
                <w:tcPr>
                  <w:tcW w:w="2674" w:type="pct"/>
                  <w:tcBorders>
                    <w:top w:val="single" w:color="auto" w:sz="4" w:space="0"/>
                    <w:left w:val="nil"/>
                    <w:bottom w:val="single" w:color="auto" w:sz="4" w:space="0"/>
                    <w:right w:val="single" w:color="auto" w:sz="4" w:space="0"/>
                  </w:tcBorders>
                  <w:noWrap w:val="0"/>
                  <w:vAlign w:val="center"/>
                </w:tcPr>
                <w:p w14:paraId="13F8D725">
                  <w:pPr>
                    <w:pStyle w:val="18"/>
                    <w:keepNext w:val="0"/>
                    <w:keepLines w:val="0"/>
                    <w:numPr>
                      <w:ilvl w:val="0"/>
                      <w:numId w:val="5"/>
                    </w:numPr>
                    <w:suppressLineNumbers w:val="0"/>
                    <w:tabs>
                      <w:tab w:val="right" w:leader="dot" w:pos="8296"/>
                    </w:tabs>
                    <w:bidi w:val="0"/>
                    <w:spacing w:before="0" w:beforeAutospacing="0" w:after="0" w:afterAutospacing="0"/>
                    <w:ind w:right="0"/>
                    <w:jc w:val="both"/>
                    <w:rPr>
                      <w:rFonts w:hint="eastAsia"/>
                      <w:lang w:val="en-US" w:eastAsia="zh-CN"/>
                    </w:rPr>
                  </w:pPr>
                  <w:r>
                    <w:rPr>
                      <w:rFonts w:hint="eastAsia" w:ascii="Times New Roman" w:hAnsi="Times New Roman" w:cs="Times New Roman"/>
                      <w:b w:val="0"/>
                      <w:bCs w:val="0"/>
                      <w:color w:val="000000"/>
                      <w:kern w:val="0"/>
                      <w:szCs w:val="21"/>
                      <w:lang w:val="en-US" w:eastAsia="zh-CN" w:bidi="ar"/>
                    </w:rPr>
                    <w:t>深化扬尘污染综合治理。全面落实施工扬尘防治“六个百分百”标准规定，持续提升扬尘治理精细化水平，重点区域1公里范围施工项目建成扬尘治理差异化评价 A 级工地，否则不得施工。城区施工工地推广基坑气膜、装配式建筑、</w:t>
                  </w:r>
                  <w:r>
                    <w:rPr>
                      <w:rFonts w:hint="eastAsia"/>
                      <w:lang w:val="en-US" w:eastAsia="zh-CN"/>
                    </w:rPr>
                    <w:t>全封闭钢板网等新技术。</w:t>
                  </w:r>
                </w:p>
                <w:p w14:paraId="0CFA21A7">
                  <w:pPr>
                    <w:pStyle w:val="18"/>
                    <w:keepNext w:val="0"/>
                    <w:keepLines w:val="0"/>
                    <w:numPr>
                      <w:ilvl w:val="0"/>
                      <w:numId w:val="0"/>
                    </w:numPr>
                    <w:suppressLineNumbers w:val="0"/>
                    <w:tabs>
                      <w:tab w:val="right" w:leader="dot" w:pos="8296"/>
                    </w:tabs>
                    <w:bidi w:val="0"/>
                    <w:spacing w:before="0" w:beforeAutospacing="0" w:after="0" w:afterAutospacing="0"/>
                    <w:ind w:leftChars="0" w:right="0"/>
                    <w:jc w:val="both"/>
                    <w:rPr>
                      <w:rFonts w:hint="eastAsia" w:ascii="Times New Roman" w:hAnsi="Times New Roman" w:cs="Times New Roman"/>
                      <w:b w:val="0"/>
                      <w:bCs w:val="0"/>
                      <w:color w:val="000000"/>
                      <w:kern w:val="0"/>
                      <w:szCs w:val="21"/>
                      <w:lang w:val="en-US" w:eastAsia="zh-CN" w:bidi="ar"/>
                    </w:rPr>
                  </w:pPr>
                  <w:r>
                    <w:rPr>
                      <w:rFonts w:hint="eastAsia"/>
                      <w:lang w:val="en-US" w:eastAsia="zh-CN"/>
                    </w:rPr>
                    <w:t>全市规模以上房屋市政建筑工地全部接入扬尘污染防治智慧化监控平台，实现线上监管全覆盖。</w:t>
                  </w:r>
                </w:p>
              </w:tc>
              <w:tc>
                <w:tcPr>
                  <w:tcW w:w="1120" w:type="pct"/>
                  <w:tcBorders>
                    <w:top w:val="single" w:color="auto" w:sz="4" w:space="0"/>
                    <w:left w:val="nil"/>
                    <w:bottom w:val="single" w:color="auto" w:sz="4" w:space="0"/>
                    <w:right w:val="single" w:color="auto" w:sz="4" w:space="0"/>
                  </w:tcBorders>
                  <w:noWrap w:val="0"/>
                  <w:vAlign w:val="center"/>
                </w:tcPr>
                <w:p w14:paraId="07ECCD18">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本项目租赁已经建好的厂房，不涉及施工扬尘。</w:t>
                  </w:r>
                </w:p>
              </w:tc>
              <w:tc>
                <w:tcPr>
                  <w:tcW w:w="475" w:type="pct"/>
                  <w:tcBorders>
                    <w:top w:val="single" w:color="auto" w:sz="4" w:space="0"/>
                    <w:left w:val="nil"/>
                    <w:bottom w:val="single" w:color="auto" w:sz="4" w:space="0"/>
                    <w:right w:val="nil"/>
                  </w:tcBorders>
                  <w:noWrap w:val="0"/>
                  <w:vAlign w:val="center"/>
                </w:tcPr>
                <w:p w14:paraId="593C72E9">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不涉及</w:t>
                  </w:r>
                </w:p>
              </w:tc>
            </w:tr>
            <w:tr w14:paraId="2DA4F462">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68" w:type="dxa"/>
                  <w:bottom w:w="0" w:type="dxa"/>
                  <w:right w:w="68" w:type="dxa"/>
                </w:tblCellMar>
              </w:tblPrEx>
              <w:trPr>
                <w:jc w:val="center"/>
              </w:trPr>
              <w:tc>
                <w:tcPr>
                  <w:tcW w:w="728" w:type="pct"/>
                  <w:vMerge w:val="continue"/>
                  <w:tcBorders>
                    <w:top w:val="nil"/>
                    <w:left w:val="nil"/>
                    <w:bottom w:val="single" w:color="auto" w:sz="4" w:space="0"/>
                    <w:right w:val="single" w:color="auto" w:sz="4" w:space="0"/>
                  </w:tcBorders>
                  <w:noWrap w:val="0"/>
                  <w:vAlign w:val="center"/>
                </w:tcPr>
                <w:p w14:paraId="30921AC8">
                  <w:pPr>
                    <w:keepNext w:val="0"/>
                    <w:keepLines w:val="0"/>
                    <w:pageBreakBefore w:val="0"/>
                    <w:suppressLineNumbers w:val="0"/>
                    <w:kinsoku/>
                    <w:wordWrap/>
                    <w:overflowPunct/>
                    <w:topLinePunct w:val="0"/>
                    <w:bidi w:val="0"/>
                    <w:spacing w:before="0" w:beforeAutospacing="0" w:after="0" w:afterAutospacing="0" w:line="240" w:lineRule="auto"/>
                    <w:ind w:left="0" w:right="0"/>
                    <w:textAlignment w:val="auto"/>
                    <w:rPr>
                      <w:rFonts w:hint="default" w:ascii="Times New Roman" w:hAnsi="Times New Roman" w:eastAsia="宋体" w:cs="Times New Roman"/>
                      <w:color w:val="000000"/>
                      <w:kern w:val="2"/>
                      <w:sz w:val="21"/>
                      <w:szCs w:val="21"/>
                    </w:rPr>
                  </w:pPr>
                </w:p>
              </w:tc>
              <w:tc>
                <w:tcPr>
                  <w:tcW w:w="2674" w:type="pct"/>
                  <w:tcBorders>
                    <w:top w:val="single" w:color="auto" w:sz="4" w:space="0"/>
                    <w:left w:val="nil"/>
                    <w:bottom w:val="single" w:color="auto" w:sz="4" w:space="0"/>
                    <w:right w:val="single" w:color="auto" w:sz="4" w:space="0"/>
                  </w:tcBorders>
                  <w:noWrap w:val="0"/>
                  <w:vAlign w:val="center"/>
                </w:tcPr>
                <w:p w14:paraId="00D910B2">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eastAsia" w:ascii="Times New Roman" w:hAnsi="Times New Roman" w:cs="Times New Roman"/>
                      <w:b/>
                      <w:bCs/>
                      <w:color w:val="000000"/>
                      <w:kern w:val="0"/>
                      <w:sz w:val="21"/>
                      <w:szCs w:val="21"/>
                      <w:lang w:val="en-US" w:eastAsia="zh-CN" w:bidi="ar"/>
                    </w:rPr>
                  </w:pPr>
                  <w:r>
                    <w:rPr>
                      <w:rFonts w:hint="eastAsia" w:ascii="Times New Roman" w:hAnsi="Times New Roman" w:cs="Times New Roman"/>
                      <w:b w:val="0"/>
                      <w:bCs w:val="0"/>
                      <w:color w:val="000000"/>
                      <w:kern w:val="0"/>
                      <w:sz w:val="21"/>
                      <w:szCs w:val="21"/>
                      <w:lang w:val="en-US" w:eastAsia="zh-CN" w:bidi="ar"/>
                    </w:rPr>
                    <w:t>23、有效应对重污染天气。完善应急减排清单与排污许可等数据对接机制，动态调整应急减排清单，实现涉气企业全覆盖。强化区域联防联控，综合运用卫星遥感、用电监管、自动监控、门禁系统、视频监控、AI识别等科技手段，建立健全快速响应、排查、整改、反馈的闭环管理机制，及时清除高值热点，全面提升重污染天气应对管控成效。</w:t>
                  </w:r>
                </w:p>
              </w:tc>
              <w:tc>
                <w:tcPr>
                  <w:tcW w:w="1120" w:type="pct"/>
                  <w:tcBorders>
                    <w:top w:val="single" w:color="auto" w:sz="4" w:space="0"/>
                    <w:left w:val="nil"/>
                    <w:bottom w:val="single" w:color="auto" w:sz="4" w:space="0"/>
                    <w:right w:val="single" w:color="auto" w:sz="4" w:space="0"/>
                  </w:tcBorders>
                  <w:noWrap w:val="0"/>
                  <w:vAlign w:val="center"/>
                </w:tcPr>
                <w:p w14:paraId="14CAA727">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cs="Times New Roman"/>
                      <w:color w:val="000000"/>
                      <w:kern w:val="0"/>
                      <w:sz w:val="21"/>
                      <w:szCs w:val="21"/>
                      <w:lang w:val="en-US" w:eastAsia="zh-CN" w:bidi="ar"/>
                    </w:rPr>
                    <w:t>本项目建成后将完善应急减排清单和排污许可等数据对接机制。</w:t>
                  </w:r>
                </w:p>
              </w:tc>
              <w:tc>
                <w:tcPr>
                  <w:tcW w:w="475" w:type="pct"/>
                  <w:tcBorders>
                    <w:top w:val="single" w:color="auto" w:sz="4" w:space="0"/>
                    <w:left w:val="nil"/>
                    <w:bottom w:val="single" w:color="auto" w:sz="4" w:space="0"/>
                    <w:right w:val="nil"/>
                  </w:tcBorders>
                  <w:noWrap w:val="0"/>
                  <w:vAlign w:val="center"/>
                </w:tcPr>
                <w:p w14:paraId="0F342752">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eastAsia"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不涉及</w:t>
                  </w:r>
                </w:p>
              </w:tc>
            </w:tr>
            <w:tr w14:paraId="0AC39D9D">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68" w:type="dxa"/>
                  <w:bottom w:w="0" w:type="dxa"/>
                  <w:right w:w="68" w:type="dxa"/>
                </w:tblCellMar>
              </w:tblPrEx>
              <w:trPr>
                <w:jc w:val="center"/>
              </w:trPr>
              <w:tc>
                <w:tcPr>
                  <w:tcW w:w="728" w:type="pct"/>
                  <w:vMerge w:val="restart"/>
                  <w:tcBorders>
                    <w:top w:val="nil"/>
                    <w:left w:val="nil"/>
                    <w:right w:val="single" w:color="auto" w:sz="4" w:space="0"/>
                  </w:tcBorders>
                  <w:noWrap w:val="0"/>
                  <w:vAlign w:val="center"/>
                </w:tcPr>
                <w:p w14:paraId="015A0E74">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eastAsia="宋体" w:cs="Times New Roman"/>
                      <w:color w:val="000000"/>
                      <w:kern w:val="0"/>
                      <w:sz w:val="21"/>
                      <w:szCs w:val="21"/>
                      <w:lang w:val="en-US" w:eastAsia="zh-CN" w:bidi="ar"/>
                    </w:rPr>
                    <w:t>安阳市202</w:t>
                  </w:r>
                  <w:r>
                    <w:rPr>
                      <w:rFonts w:hint="eastAsia" w:ascii="Times New Roman" w:hAnsi="Times New Roman" w:cs="Times New Roman"/>
                      <w:color w:val="000000"/>
                      <w:kern w:val="0"/>
                      <w:sz w:val="21"/>
                      <w:szCs w:val="21"/>
                      <w:lang w:val="en-US" w:eastAsia="zh-CN" w:bidi="ar"/>
                    </w:rPr>
                    <w:t>6</w:t>
                  </w:r>
                  <w:r>
                    <w:rPr>
                      <w:rFonts w:hint="default" w:ascii="Times New Roman" w:hAnsi="Times New Roman" w:eastAsia="宋体" w:cs="Times New Roman"/>
                      <w:color w:val="000000"/>
                      <w:kern w:val="0"/>
                      <w:sz w:val="21"/>
                      <w:szCs w:val="21"/>
                      <w:lang w:val="en-US" w:eastAsia="zh-CN" w:bidi="ar"/>
                    </w:rPr>
                    <w:t>年碧水保卫战实施方案</w:t>
                  </w:r>
                </w:p>
              </w:tc>
              <w:tc>
                <w:tcPr>
                  <w:tcW w:w="2674" w:type="pct"/>
                  <w:tcBorders>
                    <w:top w:val="single" w:color="auto" w:sz="4" w:space="0"/>
                    <w:left w:val="nil"/>
                    <w:bottom w:val="single" w:color="auto" w:sz="4" w:space="0"/>
                    <w:right w:val="single" w:color="auto" w:sz="4" w:space="0"/>
                  </w:tcBorders>
                  <w:noWrap w:val="0"/>
                  <w:vAlign w:val="center"/>
                </w:tcPr>
                <w:p w14:paraId="46B910A5">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b w:val="0"/>
                      <w:bCs w:val="0"/>
                      <w:color w:val="000000"/>
                      <w:kern w:val="0"/>
                      <w:sz w:val="21"/>
                      <w:szCs w:val="21"/>
                      <w:lang w:val="en-US" w:eastAsia="zh-CN" w:bidi="ar"/>
                    </w:rPr>
                    <w:t>5</w:t>
                  </w:r>
                  <w:r>
                    <w:rPr>
                      <w:rFonts w:hint="eastAsia" w:ascii="Times New Roman" w:hAnsi="Times New Roman" w:cs="Times New Roman"/>
                      <w:b w:val="0"/>
                      <w:bCs w:val="0"/>
                      <w:color w:val="000000"/>
                      <w:kern w:val="0"/>
                      <w:sz w:val="21"/>
                      <w:szCs w:val="21"/>
                      <w:lang w:val="en-US" w:eastAsia="zh-CN" w:bidi="ar"/>
                    </w:rPr>
                    <w:t>、</w:t>
                  </w:r>
                  <w:r>
                    <w:rPr>
                      <w:rFonts w:hint="default" w:ascii="Times New Roman" w:hAnsi="Times New Roman" w:eastAsia="宋体" w:cs="Times New Roman"/>
                      <w:b w:val="0"/>
                      <w:bCs w:val="0"/>
                      <w:color w:val="000000"/>
                      <w:kern w:val="0"/>
                      <w:sz w:val="21"/>
                      <w:szCs w:val="21"/>
                      <w:lang w:val="en-US" w:eastAsia="zh-CN" w:bidi="ar"/>
                    </w:rPr>
                    <w:t>持续加强饮用水水源地保护。依法科学划定、调整、取消饮用水水源保护区</w:t>
                  </w:r>
                  <w:r>
                    <w:rPr>
                      <w:rFonts w:hint="eastAsia" w:ascii="Times New Roman" w:hAnsi="Times New Roman" w:cs="Times New Roman"/>
                      <w:b w:val="0"/>
                      <w:bCs w:val="0"/>
                      <w:color w:val="000000"/>
                      <w:kern w:val="0"/>
                      <w:sz w:val="21"/>
                      <w:szCs w:val="21"/>
                      <w:lang w:val="en-US" w:eastAsia="zh-CN" w:bidi="ar"/>
                    </w:rPr>
                    <w:t>（</w:t>
                  </w:r>
                  <w:r>
                    <w:rPr>
                      <w:rFonts w:hint="default" w:ascii="Times New Roman" w:hAnsi="Times New Roman" w:eastAsia="宋体" w:cs="Times New Roman"/>
                      <w:b w:val="0"/>
                      <w:bCs w:val="0"/>
                      <w:color w:val="000000"/>
                      <w:kern w:val="0"/>
                      <w:sz w:val="21"/>
                      <w:szCs w:val="21"/>
                      <w:lang w:val="en-US" w:eastAsia="zh-CN" w:bidi="ar"/>
                    </w:rPr>
                    <w:t>范围</w:t>
                  </w:r>
                  <w:r>
                    <w:rPr>
                      <w:rFonts w:hint="eastAsia" w:ascii="Times New Roman" w:hAnsi="Times New Roman" w:cs="Times New Roman"/>
                      <w:b w:val="0"/>
                      <w:bCs w:val="0"/>
                      <w:color w:val="000000"/>
                      <w:kern w:val="0"/>
                      <w:sz w:val="21"/>
                      <w:szCs w:val="21"/>
                      <w:lang w:val="en-US" w:eastAsia="zh-CN" w:bidi="ar"/>
                    </w:rPr>
                    <w:t>）；</w:t>
                  </w:r>
                  <w:r>
                    <w:rPr>
                      <w:rFonts w:hint="default" w:ascii="Times New Roman" w:hAnsi="Times New Roman" w:eastAsia="宋体" w:cs="Times New Roman"/>
                      <w:b w:val="0"/>
                      <w:bCs w:val="0"/>
                      <w:color w:val="000000"/>
                      <w:kern w:val="0"/>
                      <w:sz w:val="21"/>
                      <w:szCs w:val="21"/>
                      <w:lang w:val="en-US" w:eastAsia="zh-CN" w:bidi="ar"/>
                    </w:rPr>
                    <w:t>9月底前完成乡镇级及以下水源地基础信息调查和农村重点集中式饮用水水源地水质专项调查</w:t>
                  </w:r>
                  <w:r>
                    <w:rPr>
                      <w:rFonts w:hint="eastAsia" w:ascii="Times New Roman" w:hAnsi="Times New Roman" w:cs="Times New Roman"/>
                      <w:b w:val="0"/>
                      <w:bCs w:val="0"/>
                      <w:color w:val="000000"/>
                      <w:kern w:val="0"/>
                      <w:sz w:val="21"/>
                      <w:szCs w:val="21"/>
                      <w:lang w:val="en-US" w:eastAsia="zh-CN" w:bidi="ar"/>
                    </w:rPr>
                    <w:t>；</w:t>
                  </w:r>
                  <w:r>
                    <w:rPr>
                      <w:rFonts w:hint="default" w:ascii="Times New Roman" w:hAnsi="Times New Roman" w:eastAsia="宋体" w:cs="Times New Roman"/>
                      <w:b w:val="0"/>
                      <w:bCs w:val="0"/>
                      <w:color w:val="000000"/>
                      <w:kern w:val="0"/>
                      <w:sz w:val="21"/>
                      <w:szCs w:val="21"/>
                      <w:lang w:val="en-US" w:eastAsia="zh-CN" w:bidi="ar"/>
                    </w:rPr>
                    <w:t>持续推进饮用水水源地规范化建设，深入开展饮用水水源地保护区内环境风险排查整治，巩固水源地整治效果，切实保障饮水安全。</w:t>
                  </w:r>
                </w:p>
              </w:tc>
              <w:tc>
                <w:tcPr>
                  <w:tcW w:w="1120" w:type="pct"/>
                  <w:tcBorders>
                    <w:top w:val="single" w:color="auto" w:sz="4" w:space="0"/>
                    <w:left w:val="nil"/>
                    <w:bottom w:val="single" w:color="auto" w:sz="4" w:space="0"/>
                    <w:right w:val="single" w:color="auto" w:sz="4" w:space="0"/>
                  </w:tcBorders>
                  <w:noWrap w:val="0"/>
                  <w:vAlign w:val="center"/>
                </w:tcPr>
                <w:p w14:paraId="7DF378EF">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lang w:val="en-US" w:eastAsia="zh-CN" w:bidi="ar"/>
                    </w:rPr>
                    <w:t>本项目距离</w:t>
                  </w:r>
                  <w:r>
                    <w:rPr>
                      <w:rFonts w:hint="eastAsia" w:ascii="Times New Roman" w:hAnsi="Times New Roman" w:cs="Times New Roman"/>
                      <w:color w:val="000000"/>
                      <w:kern w:val="0"/>
                      <w:sz w:val="21"/>
                      <w:szCs w:val="21"/>
                      <w:lang w:val="en-US" w:eastAsia="zh-CN" w:bidi="ar"/>
                    </w:rPr>
                    <w:t>伏道镇水源</w:t>
                  </w:r>
                  <w:r>
                    <w:rPr>
                      <w:rFonts w:hint="default" w:ascii="Times New Roman" w:hAnsi="Times New Roman" w:eastAsia="宋体" w:cs="Times New Roman"/>
                      <w:color w:val="000000"/>
                      <w:kern w:val="0"/>
                      <w:sz w:val="21"/>
                      <w:szCs w:val="21"/>
                      <w:lang w:val="en-US" w:eastAsia="zh-CN" w:bidi="ar"/>
                    </w:rPr>
                    <w:t>保护地</w:t>
                  </w:r>
                  <w:r>
                    <w:rPr>
                      <w:rFonts w:hint="eastAsia" w:ascii="Times New Roman" w:hAnsi="Times New Roman" w:cs="Times New Roman"/>
                      <w:color w:val="000000"/>
                      <w:kern w:val="0"/>
                      <w:sz w:val="21"/>
                      <w:szCs w:val="21"/>
                      <w:lang w:val="en-US" w:eastAsia="zh-CN" w:bidi="ar"/>
                    </w:rPr>
                    <w:t>1218</w:t>
                  </w:r>
                  <w:r>
                    <w:rPr>
                      <w:rFonts w:hint="default" w:ascii="Times New Roman" w:hAnsi="Times New Roman" w:eastAsia="宋体" w:cs="Times New Roman"/>
                      <w:color w:val="000000"/>
                      <w:kern w:val="0"/>
                      <w:sz w:val="21"/>
                      <w:szCs w:val="21"/>
                      <w:lang w:val="en-US" w:eastAsia="zh-CN" w:bidi="ar"/>
                    </w:rPr>
                    <w:t>m，未在饮用水水源一级、二级保护区及准保护区范围内。</w:t>
                  </w:r>
                </w:p>
              </w:tc>
              <w:tc>
                <w:tcPr>
                  <w:tcW w:w="475" w:type="pct"/>
                  <w:tcBorders>
                    <w:top w:val="single" w:color="auto" w:sz="4" w:space="0"/>
                    <w:left w:val="nil"/>
                    <w:bottom w:val="single" w:color="auto" w:sz="4" w:space="0"/>
                    <w:right w:val="nil"/>
                  </w:tcBorders>
                  <w:noWrap w:val="0"/>
                  <w:vAlign w:val="center"/>
                </w:tcPr>
                <w:p w14:paraId="37BA5EB8">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lang w:val="en-US" w:eastAsia="zh-CN" w:bidi="ar"/>
                    </w:rPr>
                    <w:t>相符</w:t>
                  </w:r>
                </w:p>
              </w:tc>
            </w:tr>
            <w:tr w14:paraId="48C28202">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68" w:type="dxa"/>
                  <w:bottom w:w="0" w:type="dxa"/>
                  <w:right w:w="68" w:type="dxa"/>
                </w:tblCellMar>
              </w:tblPrEx>
              <w:trPr>
                <w:jc w:val="center"/>
              </w:trPr>
              <w:tc>
                <w:tcPr>
                  <w:tcW w:w="728" w:type="pct"/>
                  <w:vMerge w:val="continue"/>
                  <w:tcBorders>
                    <w:left w:val="nil"/>
                    <w:right w:val="single" w:color="auto" w:sz="4" w:space="0"/>
                  </w:tcBorders>
                  <w:noWrap w:val="0"/>
                  <w:vAlign w:val="center"/>
                </w:tcPr>
                <w:p w14:paraId="30DABDAB">
                  <w:pPr>
                    <w:keepNext w:val="0"/>
                    <w:keepLines w:val="0"/>
                    <w:pageBreakBefore w:val="0"/>
                    <w:suppressLineNumbers w:val="0"/>
                    <w:kinsoku/>
                    <w:wordWrap/>
                    <w:overflowPunct/>
                    <w:topLinePunct w:val="0"/>
                    <w:bidi w:val="0"/>
                    <w:spacing w:before="0" w:beforeAutospacing="0" w:after="0" w:afterAutospacing="0" w:line="240" w:lineRule="auto"/>
                    <w:ind w:left="0" w:right="0"/>
                    <w:textAlignment w:val="auto"/>
                    <w:rPr>
                      <w:rFonts w:hint="default" w:ascii="Times New Roman" w:hAnsi="Times New Roman" w:eastAsia="宋体" w:cs="Times New Roman"/>
                      <w:color w:val="000000"/>
                      <w:kern w:val="2"/>
                      <w:sz w:val="21"/>
                      <w:szCs w:val="21"/>
                    </w:rPr>
                  </w:pPr>
                </w:p>
              </w:tc>
              <w:tc>
                <w:tcPr>
                  <w:tcW w:w="2674" w:type="pct"/>
                  <w:tcBorders>
                    <w:top w:val="single" w:color="auto" w:sz="4" w:space="0"/>
                    <w:left w:val="nil"/>
                    <w:bottom w:val="single" w:color="auto" w:sz="4" w:space="0"/>
                    <w:right w:val="single" w:color="auto" w:sz="4" w:space="0"/>
                  </w:tcBorders>
                  <w:noWrap w:val="0"/>
                  <w:vAlign w:val="center"/>
                </w:tcPr>
                <w:p w14:paraId="15490A1F">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left"/>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b w:val="0"/>
                      <w:bCs w:val="0"/>
                      <w:color w:val="000000"/>
                      <w:kern w:val="0"/>
                      <w:sz w:val="21"/>
                      <w:szCs w:val="21"/>
                      <w:lang w:val="en-US" w:eastAsia="zh-CN" w:bidi="ar"/>
                    </w:rPr>
                    <w:t>7</w:t>
                  </w:r>
                  <w:r>
                    <w:rPr>
                      <w:rFonts w:hint="eastAsia" w:ascii="Times New Roman" w:hAnsi="Times New Roman" w:cs="Times New Roman"/>
                      <w:b w:val="0"/>
                      <w:bCs w:val="0"/>
                      <w:color w:val="000000"/>
                      <w:kern w:val="0"/>
                      <w:sz w:val="21"/>
                      <w:szCs w:val="21"/>
                      <w:lang w:val="en-US" w:eastAsia="zh-CN" w:bidi="ar"/>
                    </w:rPr>
                    <w:t>、</w:t>
                  </w:r>
                  <w:r>
                    <w:rPr>
                      <w:rFonts w:hint="default" w:ascii="Times New Roman" w:hAnsi="Times New Roman" w:eastAsia="宋体" w:cs="Times New Roman"/>
                      <w:b w:val="0"/>
                      <w:bCs w:val="0"/>
                      <w:color w:val="000000"/>
                      <w:kern w:val="0"/>
                      <w:sz w:val="21"/>
                      <w:szCs w:val="21"/>
                      <w:lang w:val="en-US" w:eastAsia="zh-CN" w:bidi="ar"/>
                    </w:rPr>
                    <w:t>强力推进重点涉水企业深度治理和工业园区污水收集处理能力提升。组织对城镇污水处理厂和重点涉水工业企业开展“一厂一策”排查诊治，指导其开展深度治理，确保废水处理设施正常稳定运行，依法打击环境违法行为，有效提升治污水平和精细化管理水平。深入开展工业园区和化工园区水污染问题排查整治，12月底前，完成安阳新型化工产业园区铜冶片区污水处理厂深度处理项目建设和汤阴县工业废水处理减污降碳协同增效省级试点建设，积极推进汤阴县天雨污水处理厂提标改造。</w:t>
                  </w:r>
                </w:p>
              </w:tc>
              <w:tc>
                <w:tcPr>
                  <w:tcW w:w="1120" w:type="pct"/>
                  <w:tcBorders>
                    <w:top w:val="single" w:color="auto" w:sz="4" w:space="0"/>
                    <w:left w:val="nil"/>
                    <w:bottom w:val="single" w:color="auto" w:sz="4" w:space="0"/>
                    <w:right w:val="single" w:color="auto" w:sz="4" w:space="0"/>
                  </w:tcBorders>
                  <w:noWrap w:val="0"/>
                  <w:vAlign w:val="center"/>
                </w:tcPr>
                <w:p w14:paraId="51754924">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eastAsia" w:ascii="Times New Roman" w:hAnsi="Times New Roman" w:eastAsia="宋体" w:cs="Times New Roman"/>
                      <w:color w:val="000000"/>
                      <w:kern w:val="0"/>
                      <w:sz w:val="21"/>
                      <w:szCs w:val="21"/>
                      <w:lang w:eastAsia="zh-CN"/>
                    </w:rPr>
                  </w:pPr>
                  <w:r>
                    <w:rPr>
                      <w:rFonts w:hint="eastAsia" w:ascii="Times New Roman" w:hAnsi="Times New Roman" w:eastAsia="宋体" w:cs="Times New Roman"/>
                      <w:color w:val="000000"/>
                      <w:kern w:val="0"/>
                      <w:sz w:val="21"/>
                      <w:szCs w:val="21"/>
                      <w:lang w:eastAsia="zh-CN"/>
                    </w:rPr>
                    <w:t>本项目</w:t>
                  </w:r>
                  <w:r>
                    <w:rPr>
                      <w:rFonts w:hint="eastAsia" w:ascii="Times New Roman" w:hAnsi="Times New Roman" w:cs="Times New Roman"/>
                      <w:color w:val="000000"/>
                      <w:kern w:val="0"/>
                      <w:sz w:val="21"/>
                      <w:szCs w:val="21"/>
                      <w:lang w:eastAsia="zh-CN"/>
                    </w:rPr>
                    <w:t>食堂污水经隔油池处理后与经化粪池</w:t>
                  </w:r>
                  <w:r>
                    <w:rPr>
                      <w:rFonts w:hint="eastAsia" w:ascii="Times New Roman" w:hAnsi="Times New Roman" w:eastAsia="宋体" w:cs="Times New Roman"/>
                      <w:color w:val="000000"/>
                      <w:kern w:val="0"/>
                      <w:sz w:val="21"/>
                      <w:szCs w:val="21"/>
                      <w:lang w:eastAsia="zh-CN"/>
                    </w:rPr>
                    <w:t>处理后</w:t>
                  </w:r>
                  <w:r>
                    <w:rPr>
                      <w:rFonts w:hint="eastAsia" w:ascii="Times New Roman" w:hAnsi="Times New Roman" w:cs="Times New Roman"/>
                      <w:color w:val="000000"/>
                      <w:kern w:val="0"/>
                      <w:sz w:val="21"/>
                      <w:szCs w:val="21"/>
                      <w:lang w:eastAsia="zh-CN"/>
                    </w:rPr>
                    <w:t>的其他生活污水一同</w:t>
                  </w:r>
                  <w:r>
                    <w:rPr>
                      <w:rFonts w:hint="eastAsia" w:ascii="Times New Roman" w:hAnsi="Times New Roman" w:eastAsia="宋体" w:cs="Times New Roman"/>
                      <w:color w:val="000000"/>
                      <w:kern w:val="0"/>
                      <w:sz w:val="21"/>
                      <w:szCs w:val="21"/>
                      <w:lang w:eastAsia="zh-CN"/>
                    </w:rPr>
                    <w:t>经市政管网排入</w:t>
                  </w:r>
                  <w:r>
                    <w:rPr>
                      <w:rFonts w:hint="eastAsia" w:ascii="Times New Roman" w:hAnsi="Times New Roman" w:cs="Times New Roman"/>
                      <w:color w:val="000000"/>
                      <w:kern w:val="0"/>
                      <w:sz w:val="21"/>
                      <w:szCs w:val="21"/>
                      <w:lang w:eastAsia="zh-CN"/>
                    </w:rPr>
                    <w:t>汤阴天雨污水净化有限公司</w:t>
                  </w:r>
                  <w:r>
                    <w:rPr>
                      <w:rFonts w:hint="eastAsia" w:ascii="Times New Roman" w:hAnsi="Times New Roman" w:eastAsia="宋体" w:cs="Times New Roman"/>
                      <w:color w:val="000000"/>
                      <w:kern w:val="0"/>
                      <w:sz w:val="21"/>
                      <w:szCs w:val="21"/>
                      <w:lang w:eastAsia="zh-CN"/>
                    </w:rPr>
                    <w:t>深度处理后达标排放。</w:t>
                  </w:r>
                </w:p>
              </w:tc>
              <w:tc>
                <w:tcPr>
                  <w:tcW w:w="475" w:type="pct"/>
                  <w:tcBorders>
                    <w:top w:val="single" w:color="auto" w:sz="4" w:space="0"/>
                    <w:left w:val="nil"/>
                    <w:bottom w:val="single" w:color="auto" w:sz="4" w:space="0"/>
                    <w:right w:val="nil"/>
                  </w:tcBorders>
                  <w:noWrap w:val="0"/>
                  <w:vAlign w:val="center"/>
                </w:tcPr>
                <w:p w14:paraId="7D3D0D58">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lang w:val="en-US" w:eastAsia="zh-CN" w:bidi="ar"/>
                    </w:rPr>
                    <w:t>相符</w:t>
                  </w:r>
                </w:p>
              </w:tc>
            </w:tr>
            <w:tr w14:paraId="4340D993">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68" w:type="dxa"/>
                  <w:bottom w:w="0" w:type="dxa"/>
                  <w:right w:w="68" w:type="dxa"/>
                </w:tblCellMar>
              </w:tblPrEx>
              <w:trPr>
                <w:jc w:val="center"/>
              </w:trPr>
              <w:tc>
                <w:tcPr>
                  <w:tcW w:w="728" w:type="pct"/>
                  <w:vMerge w:val="continue"/>
                  <w:tcBorders>
                    <w:left w:val="nil"/>
                    <w:bottom w:val="single" w:color="auto" w:sz="4" w:space="0"/>
                    <w:right w:val="single" w:color="auto" w:sz="4" w:space="0"/>
                  </w:tcBorders>
                  <w:noWrap w:val="0"/>
                  <w:vAlign w:val="center"/>
                </w:tcPr>
                <w:p w14:paraId="56D2A9C2">
                  <w:pPr>
                    <w:keepNext w:val="0"/>
                    <w:keepLines w:val="0"/>
                    <w:pageBreakBefore w:val="0"/>
                    <w:suppressLineNumbers w:val="0"/>
                    <w:kinsoku/>
                    <w:wordWrap/>
                    <w:overflowPunct/>
                    <w:topLinePunct w:val="0"/>
                    <w:bidi w:val="0"/>
                    <w:spacing w:before="0" w:beforeAutospacing="0" w:after="0" w:afterAutospacing="0" w:line="240" w:lineRule="auto"/>
                    <w:ind w:left="0" w:right="0"/>
                    <w:textAlignment w:val="auto"/>
                    <w:rPr>
                      <w:rFonts w:hint="default" w:ascii="Times New Roman" w:hAnsi="Times New Roman" w:eastAsia="宋体" w:cs="Times New Roman"/>
                      <w:color w:val="000000"/>
                      <w:kern w:val="2"/>
                      <w:sz w:val="21"/>
                      <w:szCs w:val="21"/>
                    </w:rPr>
                  </w:pPr>
                </w:p>
              </w:tc>
              <w:tc>
                <w:tcPr>
                  <w:tcW w:w="2674" w:type="pct"/>
                  <w:tcBorders>
                    <w:top w:val="single" w:color="auto" w:sz="4" w:space="0"/>
                    <w:left w:val="nil"/>
                    <w:bottom w:val="single" w:color="auto" w:sz="4" w:space="0"/>
                    <w:right w:val="single" w:color="auto" w:sz="4" w:space="0"/>
                  </w:tcBorders>
                  <w:noWrap w:val="0"/>
                  <w:vAlign w:val="center"/>
                </w:tcPr>
                <w:p w14:paraId="39EAC2A4">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left"/>
                    <w:textAlignment w:val="auto"/>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13</w:t>
                  </w:r>
                  <w:r>
                    <w:rPr>
                      <w:rFonts w:hint="eastAsia" w:ascii="Times New Roman" w:hAnsi="Times New Roman" w:cs="Times New Roman"/>
                      <w:b w:val="0"/>
                      <w:bCs w:val="0"/>
                      <w:color w:val="000000"/>
                      <w:kern w:val="0"/>
                      <w:sz w:val="21"/>
                      <w:szCs w:val="21"/>
                      <w:lang w:val="en-US" w:eastAsia="zh-CN" w:bidi="ar"/>
                    </w:rPr>
                    <w:t>、</w:t>
                  </w:r>
                  <w:r>
                    <w:rPr>
                      <w:rFonts w:hint="default" w:ascii="Times New Roman" w:hAnsi="Times New Roman" w:eastAsia="宋体" w:cs="Times New Roman"/>
                      <w:b w:val="0"/>
                      <w:bCs w:val="0"/>
                      <w:color w:val="000000"/>
                      <w:kern w:val="0"/>
                      <w:sz w:val="21"/>
                      <w:szCs w:val="21"/>
                      <w:lang w:val="en-US" w:eastAsia="zh-CN" w:bidi="ar"/>
                    </w:rPr>
                    <w:t>强化水资源节约集约利用。推动落实水资源刚性约束制度，严格用水总量与强度双控管理，分解下达区域年度用水计划并严格执行;推进农业节水增效，持续加强高标准农田建设及管护运行。加快再生水利用城市建设，确保按期实现再生水利用目标;拓展再生水利用途径与模式创新，推进资源能源标杆再生水厂建设，推广再生水厂余热用于集中供冷供热。持续开展水效“领跑者”遴选工作和水效对标达标活动，进一步推动工业企业参加工业废水循环利用标杆企业和园区遴选，提升我市工业领域水资源节约集约利用水平。</w:t>
                  </w:r>
                </w:p>
              </w:tc>
              <w:tc>
                <w:tcPr>
                  <w:tcW w:w="1120" w:type="pct"/>
                  <w:tcBorders>
                    <w:top w:val="single" w:color="auto" w:sz="4" w:space="0"/>
                    <w:left w:val="nil"/>
                    <w:bottom w:val="single" w:color="auto" w:sz="4" w:space="0"/>
                    <w:right w:val="single" w:color="auto" w:sz="4" w:space="0"/>
                  </w:tcBorders>
                  <w:noWrap w:val="0"/>
                  <w:vAlign w:val="center"/>
                </w:tcPr>
                <w:p w14:paraId="506E2A35">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default" w:ascii="Times New Roman" w:hAnsi="Times New Roman" w:cs="Times New Roman"/>
                      <w:color w:val="000000"/>
                      <w:kern w:val="0"/>
                      <w:sz w:val="21"/>
                      <w:szCs w:val="21"/>
                      <w:lang w:val="en-US" w:eastAsia="zh-CN"/>
                    </w:rPr>
                  </w:pPr>
                  <w:r>
                    <w:rPr>
                      <w:rFonts w:hint="eastAsia" w:ascii="Times New Roman" w:hAnsi="Times New Roman" w:cs="Times New Roman"/>
                      <w:color w:val="000000"/>
                      <w:kern w:val="0"/>
                      <w:sz w:val="21"/>
                      <w:szCs w:val="21"/>
                      <w:lang w:eastAsia="zh-CN"/>
                    </w:rPr>
                    <w:t>本项目用水量为</w:t>
                  </w:r>
                  <w:r>
                    <w:rPr>
                      <w:rFonts w:hint="eastAsia" w:ascii="Times New Roman" w:hAnsi="Times New Roman" w:cs="Times New Roman"/>
                      <w:color w:val="000000"/>
                      <w:kern w:val="0"/>
                      <w:sz w:val="21"/>
                      <w:szCs w:val="21"/>
                      <w:lang w:val="en-US" w:eastAsia="zh-CN"/>
                    </w:rPr>
                    <w:t>916.7m</w:t>
                  </w:r>
                  <w:r>
                    <w:rPr>
                      <w:rFonts w:hint="eastAsia" w:ascii="Times New Roman" w:hAnsi="Times New Roman" w:cs="Times New Roman"/>
                      <w:color w:val="000000"/>
                      <w:kern w:val="0"/>
                      <w:sz w:val="21"/>
                      <w:szCs w:val="21"/>
                      <w:vertAlign w:val="superscript"/>
                      <w:lang w:val="en-US" w:eastAsia="zh-CN"/>
                    </w:rPr>
                    <w:t>3</w:t>
                  </w:r>
                  <w:r>
                    <w:rPr>
                      <w:rFonts w:hint="eastAsia" w:ascii="Times New Roman" w:hAnsi="Times New Roman" w:cs="Times New Roman"/>
                      <w:color w:val="000000"/>
                      <w:kern w:val="0"/>
                      <w:sz w:val="21"/>
                      <w:szCs w:val="21"/>
                      <w:lang w:val="en-US" w:eastAsia="zh-CN"/>
                    </w:rPr>
                    <w:t>/a，用水量很小。</w:t>
                  </w:r>
                </w:p>
              </w:tc>
              <w:tc>
                <w:tcPr>
                  <w:tcW w:w="475" w:type="pct"/>
                  <w:tcBorders>
                    <w:top w:val="single" w:color="auto" w:sz="4" w:space="0"/>
                    <w:left w:val="nil"/>
                    <w:bottom w:val="single" w:color="auto" w:sz="4" w:space="0"/>
                    <w:right w:val="nil"/>
                  </w:tcBorders>
                  <w:noWrap w:val="0"/>
                  <w:vAlign w:val="center"/>
                </w:tcPr>
                <w:p w14:paraId="11DA0201">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相符</w:t>
                  </w:r>
                </w:p>
              </w:tc>
            </w:tr>
            <w:tr w14:paraId="4F6AE4C8">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68" w:type="dxa"/>
                  <w:bottom w:w="0" w:type="dxa"/>
                  <w:right w:w="68" w:type="dxa"/>
                </w:tblCellMar>
              </w:tblPrEx>
              <w:trPr>
                <w:jc w:val="center"/>
              </w:trPr>
              <w:tc>
                <w:tcPr>
                  <w:tcW w:w="728" w:type="pct"/>
                  <w:tcBorders>
                    <w:top w:val="single" w:color="auto" w:sz="4" w:space="0"/>
                    <w:left w:val="nil"/>
                    <w:bottom w:val="single" w:color="auto" w:sz="4" w:space="0"/>
                    <w:right w:val="single" w:color="auto" w:sz="4" w:space="0"/>
                  </w:tcBorders>
                  <w:noWrap w:val="0"/>
                  <w:vAlign w:val="center"/>
                </w:tcPr>
                <w:p w14:paraId="125F09E7">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cs="Times New Roman"/>
                      <w:color w:val="000000"/>
                      <w:kern w:val="0"/>
                      <w:sz w:val="21"/>
                      <w:szCs w:val="21"/>
                    </w:rPr>
                  </w:pPr>
                  <w:r>
                    <w:rPr>
                      <w:rFonts w:hint="default" w:ascii="Times New Roman" w:hAnsi="Times New Roman" w:eastAsia="宋体" w:cs="Times New Roman"/>
                      <w:color w:val="000000"/>
                      <w:kern w:val="0"/>
                      <w:sz w:val="21"/>
                      <w:szCs w:val="21"/>
                      <w:lang w:val="en-US" w:eastAsia="zh-CN" w:bidi="ar"/>
                    </w:rPr>
                    <w:t>安阳市202</w:t>
                  </w:r>
                  <w:r>
                    <w:rPr>
                      <w:rFonts w:hint="eastAsia" w:ascii="Times New Roman" w:hAnsi="Times New Roman" w:cs="Times New Roman"/>
                      <w:color w:val="000000"/>
                      <w:kern w:val="0"/>
                      <w:sz w:val="21"/>
                      <w:szCs w:val="21"/>
                      <w:lang w:val="en-US" w:eastAsia="zh-CN" w:bidi="ar"/>
                    </w:rPr>
                    <w:t>6</w:t>
                  </w:r>
                  <w:r>
                    <w:rPr>
                      <w:rFonts w:hint="default" w:ascii="Times New Roman" w:hAnsi="Times New Roman" w:eastAsia="宋体" w:cs="Times New Roman"/>
                      <w:color w:val="000000"/>
                      <w:kern w:val="0"/>
                      <w:sz w:val="21"/>
                      <w:szCs w:val="21"/>
                      <w:lang w:val="en-US" w:eastAsia="zh-CN" w:bidi="ar"/>
                    </w:rPr>
                    <w:t>年净土保卫战实施方案</w:t>
                  </w:r>
                </w:p>
              </w:tc>
              <w:tc>
                <w:tcPr>
                  <w:tcW w:w="2674" w:type="pct"/>
                  <w:tcBorders>
                    <w:top w:val="single" w:color="auto" w:sz="4" w:space="0"/>
                    <w:left w:val="nil"/>
                    <w:bottom w:val="single" w:color="auto" w:sz="4" w:space="0"/>
                    <w:right w:val="single" w:color="auto" w:sz="4" w:space="0"/>
                  </w:tcBorders>
                  <w:noWrap w:val="0"/>
                  <w:vAlign w:val="center"/>
                </w:tcPr>
                <w:p w14:paraId="4889E9AA">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w:t>
                  </w:r>
                  <w:r>
                    <w:rPr>
                      <w:rFonts w:hint="eastAsia" w:ascii="Times New Roman" w:hAnsi="Times New Roman" w:cs="Times New Roman"/>
                      <w:color w:val="000000"/>
                      <w:kern w:val="0"/>
                      <w:sz w:val="21"/>
                      <w:szCs w:val="21"/>
                      <w:lang w:eastAsia="zh-CN"/>
                    </w:rPr>
                    <w:t>、</w:t>
                  </w:r>
                  <w:r>
                    <w:rPr>
                      <w:rFonts w:hint="default" w:ascii="Times New Roman" w:hAnsi="Times New Roman" w:eastAsia="宋体" w:cs="Times New Roman"/>
                      <w:color w:val="000000"/>
                      <w:kern w:val="0"/>
                      <w:sz w:val="21"/>
                      <w:szCs w:val="21"/>
                    </w:rPr>
                    <w:t>强化土壤污染源头防控。持续落实《安阳土壤污染源头防控行动实施方案》，严格保护未污染土壤，推动污染防治关口前移。开展土壤污染重点监管单位隐患排查抽查整治行动，强化对重点监管单位监督管理，督促指导其按照排污许可证规定和标准规范落实控制有毒有害物质排放、土壤污染隐患排查、自行监测等要求，将隐患排查报告及相关材料上传至重点监管单位土壤和地下水环境管理信息系统，推动突出环境问题整改;完成土壤污染重点监管单位名录更新，并向社会公开。依法督促涉镉等重金属的大气、水环境重点排污单位对排放口和周边环境进行定期监测，评估对周边农用地土壤重金属累积性风险，并采取有效措施防范环境风险。</w:t>
                  </w:r>
                </w:p>
              </w:tc>
              <w:tc>
                <w:tcPr>
                  <w:tcW w:w="1120" w:type="pct"/>
                  <w:tcBorders>
                    <w:top w:val="single" w:color="auto" w:sz="4" w:space="0"/>
                    <w:left w:val="nil"/>
                    <w:bottom w:val="single" w:color="auto" w:sz="4" w:space="0"/>
                    <w:right w:val="single" w:color="auto" w:sz="4" w:space="0"/>
                  </w:tcBorders>
                  <w:noWrap w:val="0"/>
                  <w:vAlign w:val="center"/>
                </w:tcPr>
                <w:p w14:paraId="0DB7EC04">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default" w:ascii="Times New Roman" w:hAnsi="Times New Roman" w:eastAsia="宋体" w:cs="Times New Roman"/>
                      <w:color w:val="000000"/>
                      <w:kern w:val="0"/>
                      <w:sz w:val="21"/>
                      <w:szCs w:val="21"/>
                    </w:rPr>
                  </w:pPr>
                  <w:r>
                    <w:rPr>
                      <w:rFonts w:hint="eastAsia" w:ascii="Times New Roman" w:hAnsi="Times New Roman" w:cs="Times New Roman"/>
                      <w:color w:val="000000"/>
                      <w:kern w:val="0"/>
                      <w:sz w:val="21"/>
                      <w:szCs w:val="21"/>
                      <w:lang w:val="en-US" w:eastAsia="zh-CN" w:bidi="ar"/>
                    </w:rPr>
                    <w:t>安阳三琪农业科技有限公司</w:t>
                  </w:r>
                  <w:r>
                    <w:rPr>
                      <w:rFonts w:hint="default" w:ascii="Times New Roman" w:hAnsi="Times New Roman" w:eastAsia="宋体" w:cs="Times New Roman"/>
                      <w:color w:val="000000"/>
                      <w:kern w:val="0"/>
                      <w:sz w:val="21"/>
                      <w:szCs w:val="21"/>
                      <w:lang w:val="en-US" w:eastAsia="zh-CN" w:bidi="ar"/>
                    </w:rPr>
                    <w:t>未列入土壤污染重点监管单位名录，生产车间地面进行防渗硬化，生产过程对土壤的影响很小。</w:t>
                  </w:r>
                </w:p>
              </w:tc>
              <w:tc>
                <w:tcPr>
                  <w:tcW w:w="475" w:type="pct"/>
                  <w:tcBorders>
                    <w:top w:val="single" w:color="auto" w:sz="4" w:space="0"/>
                    <w:left w:val="nil"/>
                    <w:bottom w:val="single" w:color="auto" w:sz="4" w:space="0"/>
                    <w:right w:val="nil"/>
                  </w:tcBorders>
                  <w:noWrap w:val="0"/>
                  <w:vAlign w:val="center"/>
                </w:tcPr>
                <w:p w14:paraId="33BE7959">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lang w:val="en-US" w:eastAsia="zh-CN" w:bidi="ar"/>
                    </w:rPr>
                    <w:t>相符</w:t>
                  </w:r>
                </w:p>
              </w:tc>
            </w:tr>
            <w:tr w14:paraId="06BF8740">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68" w:type="dxa"/>
                  <w:bottom w:w="0" w:type="dxa"/>
                  <w:right w:w="68" w:type="dxa"/>
                </w:tblCellMar>
              </w:tblPrEx>
              <w:trPr>
                <w:trHeight w:val="1361" w:hRule="atLeast"/>
                <w:jc w:val="center"/>
              </w:trPr>
              <w:tc>
                <w:tcPr>
                  <w:tcW w:w="728" w:type="pct"/>
                  <w:vMerge w:val="restart"/>
                  <w:tcBorders>
                    <w:top w:val="nil"/>
                    <w:left w:val="nil"/>
                    <w:right w:val="single" w:color="auto" w:sz="4" w:space="0"/>
                  </w:tcBorders>
                  <w:noWrap w:val="0"/>
                  <w:vAlign w:val="center"/>
                </w:tcPr>
                <w:p w14:paraId="505415F5">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lang w:val="en-US" w:eastAsia="zh-CN" w:bidi="ar"/>
                    </w:rPr>
                    <w:t>安阳市202</w:t>
                  </w:r>
                  <w:r>
                    <w:rPr>
                      <w:rFonts w:hint="eastAsia" w:ascii="Times New Roman" w:hAnsi="Times New Roman" w:cs="Times New Roman"/>
                      <w:color w:val="000000"/>
                      <w:kern w:val="0"/>
                      <w:sz w:val="21"/>
                      <w:szCs w:val="21"/>
                      <w:lang w:val="en-US" w:eastAsia="zh-CN" w:bidi="ar"/>
                    </w:rPr>
                    <w:t>6</w:t>
                  </w:r>
                  <w:r>
                    <w:rPr>
                      <w:rFonts w:hint="default" w:ascii="Times New Roman" w:hAnsi="Times New Roman" w:eastAsia="宋体" w:cs="Times New Roman"/>
                      <w:color w:val="000000"/>
                      <w:kern w:val="0"/>
                      <w:sz w:val="21"/>
                      <w:szCs w:val="21"/>
                      <w:lang w:val="en-US" w:eastAsia="zh-CN" w:bidi="ar"/>
                    </w:rPr>
                    <w:t>年柴油货车污染治理攻坚战实施方案</w:t>
                  </w:r>
                </w:p>
              </w:tc>
              <w:tc>
                <w:tcPr>
                  <w:tcW w:w="2674" w:type="pct"/>
                  <w:tcBorders>
                    <w:top w:val="single" w:color="auto" w:sz="4" w:space="0"/>
                    <w:left w:val="nil"/>
                    <w:bottom w:val="single" w:color="auto" w:sz="4" w:space="0"/>
                    <w:right w:val="single" w:color="auto" w:sz="4" w:space="0"/>
                  </w:tcBorders>
                  <w:noWrap w:val="0"/>
                  <w:vAlign w:val="center"/>
                </w:tcPr>
                <w:p w14:paraId="6207B59B">
                  <w:pPr>
                    <w:pStyle w:val="18"/>
                    <w:keepNext w:val="0"/>
                    <w:keepLines w:val="0"/>
                    <w:suppressLineNumbers w:val="0"/>
                    <w:tabs>
                      <w:tab w:val="right" w:leader="dot" w:pos="8296"/>
                    </w:tabs>
                    <w:bidi w:val="0"/>
                    <w:spacing w:before="0" w:beforeAutospacing="0" w:after="0" w:afterAutospacing="0"/>
                    <w:ind w:right="0"/>
                    <w:jc w:val="left"/>
                    <w:rPr>
                      <w:rFonts w:hint="eastAsia" w:eastAsia="宋体"/>
                      <w:lang w:eastAsia="zh-CN"/>
                    </w:rPr>
                  </w:pPr>
                  <w:r>
                    <w:rPr>
                      <w:rFonts w:hint="default"/>
                    </w:rPr>
                    <w:t>2.提升重点行业清洁运输比例。推动重点行业大宗货物长距离运输优先使用铁路、管道，短距离运输使用封闭皮带通廊、新能源车等清洁运输方式；新、改、扩建项目原则上采用清洁运输方式。建立重点行业企业清洁运输比例提升清单台账</w:t>
                  </w:r>
                  <w:r>
                    <w:rPr>
                      <w:rFonts w:hint="eastAsia"/>
                      <w:lang w:eastAsia="zh-CN"/>
                    </w:rPr>
                    <w:t>。</w:t>
                  </w:r>
                </w:p>
              </w:tc>
              <w:tc>
                <w:tcPr>
                  <w:tcW w:w="1120" w:type="pct"/>
                  <w:tcBorders>
                    <w:top w:val="single" w:color="auto" w:sz="4" w:space="0"/>
                    <w:left w:val="nil"/>
                    <w:bottom w:val="single" w:color="auto" w:sz="4" w:space="0"/>
                    <w:right w:val="single" w:color="auto" w:sz="4" w:space="0"/>
                  </w:tcBorders>
                  <w:noWrap w:val="0"/>
                  <w:vAlign w:val="center"/>
                </w:tcPr>
                <w:p w14:paraId="12E1B277">
                  <w:pPr>
                    <w:pStyle w:val="18"/>
                    <w:keepNext w:val="0"/>
                    <w:keepLines w:val="0"/>
                    <w:suppressLineNumbers w:val="0"/>
                    <w:tabs>
                      <w:tab w:val="right" w:leader="dot" w:pos="8296"/>
                    </w:tabs>
                    <w:bidi w:val="0"/>
                    <w:spacing w:before="0" w:beforeAutospacing="0" w:after="0" w:afterAutospacing="0"/>
                    <w:ind w:right="0"/>
                    <w:jc w:val="both"/>
                    <w:rPr>
                      <w:rFonts w:hint="default" w:eastAsia="宋体"/>
                      <w:lang w:val="en-US" w:eastAsia="zh-CN"/>
                    </w:rPr>
                  </w:pPr>
                  <w:r>
                    <w:rPr>
                      <w:rFonts w:hint="eastAsia"/>
                      <w:lang w:val="en-US" w:eastAsia="zh-CN"/>
                    </w:rPr>
                    <w:t>本项目不属于重点行业，短距离运输采用新能源车的运输方式。</w:t>
                  </w:r>
                </w:p>
              </w:tc>
              <w:tc>
                <w:tcPr>
                  <w:tcW w:w="475" w:type="pct"/>
                  <w:tcBorders>
                    <w:top w:val="single" w:color="auto" w:sz="4" w:space="0"/>
                    <w:left w:val="nil"/>
                    <w:bottom w:val="single" w:color="auto" w:sz="4" w:space="0"/>
                    <w:right w:val="nil"/>
                  </w:tcBorders>
                  <w:noWrap w:val="0"/>
                  <w:vAlign w:val="center"/>
                </w:tcPr>
                <w:p w14:paraId="14A8700C">
                  <w:pPr>
                    <w:pStyle w:val="18"/>
                    <w:keepNext w:val="0"/>
                    <w:keepLines w:val="0"/>
                    <w:suppressLineNumbers w:val="0"/>
                    <w:tabs>
                      <w:tab w:val="right" w:leader="dot" w:pos="8296"/>
                    </w:tabs>
                    <w:bidi w:val="0"/>
                    <w:spacing w:before="0" w:beforeAutospacing="0" w:after="0" w:afterAutospacing="0"/>
                    <w:ind w:right="0"/>
                    <w:rPr>
                      <w:rFonts w:hint="eastAsia" w:eastAsia="宋体"/>
                      <w:lang w:val="en-US" w:eastAsia="zh-CN"/>
                    </w:rPr>
                  </w:pPr>
                  <w:r>
                    <w:rPr>
                      <w:rFonts w:hint="eastAsia"/>
                      <w:lang w:val="en-US" w:eastAsia="zh-CN"/>
                    </w:rPr>
                    <w:t>相符</w:t>
                  </w:r>
                </w:p>
              </w:tc>
            </w:tr>
            <w:tr w14:paraId="5A89CED2">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68" w:type="dxa"/>
                  <w:bottom w:w="0" w:type="dxa"/>
                  <w:right w:w="68" w:type="dxa"/>
                </w:tblCellMar>
              </w:tblPrEx>
              <w:trPr>
                <w:trHeight w:val="1361" w:hRule="atLeast"/>
                <w:jc w:val="center"/>
              </w:trPr>
              <w:tc>
                <w:tcPr>
                  <w:tcW w:w="728" w:type="pct"/>
                  <w:vMerge w:val="continue"/>
                  <w:tcBorders>
                    <w:left w:val="nil"/>
                    <w:bottom w:val="single" w:color="auto" w:sz="4" w:space="0"/>
                    <w:right w:val="single" w:color="auto" w:sz="4" w:space="0"/>
                  </w:tcBorders>
                  <w:noWrap w:val="0"/>
                  <w:vAlign w:val="center"/>
                </w:tcPr>
                <w:p w14:paraId="7D51975E">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center"/>
                    <w:textAlignment w:val="auto"/>
                    <w:rPr>
                      <w:rFonts w:hint="default"/>
                    </w:rPr>
                  </w:pPr>
                </w:p>
              </w:tc>
              <w:tc>
                <w:tcPr>
                  <w:tcW w:w="2674" w:type="pct"/>
                  <w:tcBorders>
                    <w:top w:val="single" w:color="auto" w:sz="4" w:space="0"/>
                    <w:left w:val="nil"/>
                    <w:bottom w:val="single" w:color="auto" w:sz="4" w:space="0"/>
                    <w:right w:val="single" w:color="auto" w:sz="4" w:space="0"/>
                  </w:tcBorders>
                  <w:noWrap w:val="0"/>
                  <w:vAlign w:val="center"/>
                </w:tcPr>
                <w:p w14:paraId="14FD293B">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leftChars="0" w:right="0" w:rightChars="0" w:firstLine="0" w:firstLineChars="0"/>
                    <w:jc w:val="both"/>
                    <w:textAlignment w:val="auto"/>
                    <w:rPr>
                      <w:rFonts w:hint="default" w:ascii="Times New Roman" w:hAnsi="Times New Roman" w:eastAsia="宋体" w:cs="Times New Roman"/>
                      <w:b w:val="0"/>
                      <w:bCs w:val="0"/>
                      <w:color w:val="000000"/>
                      <w:kern w:val="0"/>
                      <w:sz w:val="21"/>
                      <w:szCs w:val="21"/>
                    </w:rPr>
                  </w:pPr>
                  <w:r>
                    <w:rPr>
                      <w:rFonts w:hint="default" w:ascii="Times New Roman" w:hAnsi="Times New Roman" w:eastAsia="宋体" w:cs="Times New Roman"/>
                      <w:b w:val="0"/>
                      <w:bCs w:val="0"/>
                      <w:color w:val="000000"/>
                      <w:kern w:val="0"/>
                      <w:sz w:val="21"/>
                      <w:szCs w:val="21"/>
                    </w:rPr>
                    <w:t>11</w:t>
                  </w:r>
                  <w:r>
                    <w:rPr>
                      <w:rFonts w:hint="eastAsia" w:ascii="Times New Roman" w:hAnsi="Times New Roman" w:cs="Times New Roman"/>
                      <w:b w:val="0"/>
                      <w:bCs w:val="0"/>
                      <w:color w:val="000000"/>
                      <w:kern w:val="0"/>
                      <w:sz w:val="21"/>
                      <w:szCs w:val="21"/>
                      <w:lang w:eastAsia="zh-CN"/>
                    </w:rPr>
                    <w:t>、</w:t>
                  </w:r>
                  <w:r>
                    <w:rPr>
                      <w:rFonts w:hint="default" w:ascii="Times New Roman" w:hAnsi="Times New Roman" w:eastAsia="宋体" w:cs="Times New Roman"/>
                      <w:b w:val="0"/>
                      <w:bCs w:val="0"/>
                      <w:color w:val="000000"/>
                      <w:kern w:val="0"/>
                      <w:sz w:val="21"/>
                      <w:szCs w:val="21"/>
                    </w:rPr>
                    <w:t>强化高排放非道路移动机械禁用区监管。根据国家、省最新政策要求，更新划定高排放非道路移动机械禁用区，2026年5月底前发布公告，全域禁止使用国一及以下排放标准的非道路移动机械。高排放非道路移动机械禁用区内禁止使用未挂牌、国二及以下排放标准、尾气排放不达标、定位失效的机械。市区高排放非道路移动机械核心禁用区内叉车、铲车应全部使用新能源，其他非道路移动机械应为新能源或国四排放标准机械。加大执法检查力度，依法查处违反禁用区规定的行为并公开处罚信息。</w:t>
                  </w:r>
                </w:p>
              </w:tc>
              <w:tc>
                <w:tcPr>
                  <w:tcW w:w="1120" w:type="pct"/>
                  <w:tcBorders>
                    <w:top w:val="single" w:color="auto" w:sz="4" w:space="0"/>
                    <w:left w:val="nil"/>
                    <w:bottom w:val="single" w:color="auto" w:sz="4" w:space="0"/>
                    <w:right w:val="single" w:color="auto" w:sz="4" w:space="0"/>
                  </w:tcBorders>
                  <w:noWrap w:val="0"/>
                  <w:vAlign w:val="center"/>
                </w:tcPr>
                <w:p w14:paraId="419035B0">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leftChars="0" w:right="0" w:rightChars="0" w:firstLine="0" w:firstLineChars="0"/>
                    <w:jc w:val="both"/>
                    <w:textAlignment w:val="auto"/>
                    <w:rPr>
                      <w:rFonts w:hint="default" w:ascii="Times New Roman" w:hAnsi="Times New Roman" w:eastAsia="宋体" w:cs="Times New Roman"/>
                      <w:b w:val="0"/>
                      <w:bCs w:val="0"/>
                      <w:color w:val="000000"/>
                      <w:kern w:val="0"/>
                      <w:sz w:val="21"/>
                      <w:szCs w:val="21"/>
                    </w:rPr>
                  </w:pPr>
                  <w:r>
                    <w:rPr>
                      <w:rFonts w:hint="default" w:ascii="Times New Roman" w:hAnsi="Times New Roman" w:eastAsia="宋体" w:cs="Times New Roman"/>
                      <w:color w:val="000000"/>
                      <w:kern w:val="0"/>
                      <w:sz w:val="21"/>
                      <w:szCs w:val="21"/>
                      <w:lang w:val="en-US" w:eastAsia="zh-CN" w:bidi="ar"/>
                    </w:rPr>
                    <w:t>厂内非道路移动机械使用国三及以上排放标准，新增或更新的非道路移动机械全部采用新能源，并按照要求规范非道路移动机械编码登记。</w:t>
                  </w:r>
                </w:p>
              </w:tc>
              <w:tc>
                <w:tcPr>
                  <w:tcW w:w="475" w:type="pct"/>
                  <w:tcBorders>
                    <w:top w:val="single" w:color="auto" w:sz="4" w:space="0"/>
                    <w:left w:val="nil"/>
                    <w:bottom w:val="single" w:color="auto" w:sz="4" w:space="0"/>
                    <w:right w:val="nil"/>
                  </w:tcBorders>
                  <w:noWrap w:val="0"/>
                  <w:vAlign w:val="center"/>
                </w:tcPr>
                <w:p w14:paraId="3B053058">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kern w:val="0"/>
                      <w:sz w:val="21"/>
                      <w:szCs w:val="21"/>
                    </w:rPr>
                  </w:pPr>
                  <w:r>
                    <w:rPr>
                      <w:rFonts w:hint="default" w:ascii="Times New Roman" w:hAnsi="Times New Roman" w:eastAsia="宋体" w:cs="Times New Roman"/>
                      <w:color w:val="000000"/>
                      <w:kern w:val="0"/>
                      <w:sz w:val="21"/>
                      <w:szCs w:val="21"/>
                      <w:lang w:val="en-US" w:eastAsia="zh-CN" w:bidi="ar"/>
                    </w:rPr>
                    <w:t>相符</w:t>
                  </w:r>
                </w:p>
              </w:tc>
            </w:tr>
            <w:tr w14:paraId="12993D8C">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68" w:type="dxa"/>
                  <w:bottom w:w="0" w:type="dxa"/>
                  <w:right w:w="68" w:type="dxa"/>
                </w:tblCellMar>
              </w:tblPrEx>
              <w:trPr>
                <w:trHeight w:val="0" w:hRule="atLeast"/>
                <w:jc w:val="center"/>
              </w:trPr>
              <w:tc>
                <w:tcPr>
                  <w:tcW w:w="728" w:type="pct"/>
                  <w:vMerge w:val="continue"/>
                  <w:tcBorders>
                    <w:top w:val="nil"/>
                    <w:left w:val="nil"/>
                    <w:bottom w:val="nil"/>
                    <w:right w:val="single" w:color="auto" w:sz="4" w:space="0"/>
                  </w:tcBorders>
                  <w:noWrap w:val="0"/>
                  <w:vAlign w:val="center"/>
                </w:tcPr>
                <w:p w14:paraId="05A3DE16">
                  <w:pPr>
                    <w:keepNext w:val="0"/>
                    <w:keepLines w:val="0"/>
                    <w:pageBreakBefore w:val="0"/>
                    <w:suppressLineNumbers w:val="0"/>
                    <w:kinsoku/>
                    <w:wordWrap/>
                    <w:overflowPunct/>
                    <w:topLinePunct w:val="0"/>
                    <w:bidi w:val="0"/>
                    <w:spacing w:before="0" w:beforeAutospacing="0" w:after="0" w:afterAutospacing="0" w:line="240" w:lineRule="auto"/>
                    <w:ind w:left="0" w:right="0"/>
                    <w:textAlignment w:val="auto"/>
                    <w:rPr>
                      <w:rFonts w:hint="default" w:ascii="Times New Roman" w:hAnsi="Times New Roman" w:eastAsia="宋体" w:cs="Times New Roman"/>
                      <w:color w:val="000000"/>
                      <w:kern w:val="2"/>
                      <w:sz w:val="21"/>
                      <w:szCs w:val="21"/>
                    </w:rPr>
                  </w:pPr>
                </w:p>
              </w:tc>
              <w:tc>
                <w:tcPr>
                  <w:tcW w:w="2674" w:type="pct"/>
                  <w:tcBorders>
                    <w:top w:val="single" w:color="auto" w:sz="4" w:space="0"/>
                    <w:left w:val="nil"/>
                    <w:bottom w:val="single" w:color="auto" w:sz="4" w:space="0"/>
                    <w:right w:val="single" w:color="auto" w:sz="4" w:space="0"/>
                  </w:tcBorders>
                  <w:noWrap w:val="0"/>
                  <w:vAlign w:val="center"/>
                </w:tcPr>
                <w:p w14:paraId="2223D17C">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17</w:t>
                  </w:r>
                  <w:r>
                    <w:rPr>
                      <w:rFonts w:hint="eastAsia" w:ascii="Times New Roman" w:hAnsi="Times New Roman" w:cs="Times New Roman"/>
                      <w:color w:val="000000"/>
                      <w:kern w:val="0"/>
                      <w:sz w:val="21"/>
                      <w:szCs w:val="21"/>
                      <w:lang w:eastAsia="zh-CN"/>
                    </w:rPr>
                    <w:t>、</w:t>
                  </w:r>
                  <w:r>
                    <w:rPr>
                      <w:rFonts w:hint="default" w:ascii="Times New Roman" w:hAnsi="Times New Roman" w:eastAsia="宋体" w:cs="Times New Roman"/>
                      <w:color w:val="000000"/>
                      <w:kern w:val="0"/>
                      <w:sz w:val="21"/>
                      <w:szCs w:val="21"/>
                    </w:rPr>
                    <w:t>强化门禁系统监管。持续推动门禁及视频监控系统建设联网，年度日均载货车辆进出20辆次及日运输量150吨以上的用车单位，以及环境绩效A级、B级、绩效引领企业做到应装尽装、应联尽联。规范门禁系统管理，完善运输车辆、厂内车辆及非道路移动机械电子台账，严查长期抬杆、违规手工抬杆、旁门豁口、异常离线等行为</w:t>
                  </w:r>
                  <w:r>
                    <w:rPr>
                      <w:rFonts w:hint="eastAsia" w:ascii="Times New Roman" w:hAnsi="Times New Roman" w:cs="Times New Roman"/>
                      <w:color w:val="000000"/>
                      <w:kern w:val="0"/>
                      <w:sz w:val="21"/>
                      <w:szCs w:val="21"/>
                      <w:lang w:eastAsia="zh-CN"/>
                    </w:rPr>
                    <w:t>；</w:t>
                  </w:r>
                  <w:r>
                    <w:rPr>
                      <w:rFonts w:hint="default" w:ascii="Times New Roman" w:hAnsi="Times New Roman" w:eastAsia="宋体" w:cs="Times New Roman"/>
                      <w:color w:val="000000"/>
                      <w:kern w:val="0"/>
                      <w:sz w:val="21"/>
                      <w:szCs w:val="21"/>
                    </w:rPr>
                    <w:t>对不规范使用门禁、达不到运输监管要求的绩效企业，实施动态管理。</w:t>
                  </w:r>
                </w:p>
              </w:tc>
              <w:tc>
                <w:tcPr>
                  <w:tcW w:w="1120" w:type="pct"/>
                  <w:tcBorders>
                    <w:top w:val="single" w:color="auto" w:sz="4" w:space="0"/>
                    <w:left w:val="nil"/>
                    <w:bottom w:val="single" w:color="auto" w:sz="4" w:space="0"/>
                    <w:right w:val="single" w:color="auto" w:sz="4" w:space="0"/>
                  </w:tcBorders>
                  <w:noWrap w:val="0"/>
                  <w:vAlign w:val="center"/>
                </w:tcPr>
                <w:p w14:paraId="5CF69D8A">
                  <w:pPr>
                    <w:pStyle w:val="26"/>
                    <w:keepNext w:val="0"/>
                    <w:keepLines w:val="0"/>
                    <w:pageBreakBefore w:val="0"/>
                    <w:widowControl w:val="0"/>
                    <w:suppressLineNumbers w:val="0"/>
                    <w:kinsoku/>
                    <w:wordWrap w:val="0"/>
                    <w:overflowPunct/>
                    <w:topLinePunct w:val="0"/>
                    <w:autoSpaceDE/>
                    <w:autoSpaceDN/>
                    <w:bidi w:val="0"/>
                    <w:adjustRightInd/>
                    <w:snapToGrid/>
                    <w:spacing w:before="100" w:beforeAutospacing="1" w:after="100" w:afterAutospacing="1" w:line="240" w:lineRule="auto"/>
                    <w:ind w:left="0" w:leftChars="0" w:right="0" w:firstLine="0" w:firstLineChars="0"/>
                    <w:jc w:val="both"/>
                    <w:textAlignment w:val="auto"/>
                    <w:rPr>
                      <w:rFonts w:hint="eastAsia" w:ascii="Times New Roman" w:hAnsi="Times New Roman" w:eastAsia="宋体" w:cs="Times New Roman"/>
                      <w:color w:val="000000"/>
                      <w:kern w:val="0"/>
                      <w:sz w:val="21"/>
                      <w:szCs w:val="21"/>
                      <w:lang w:eastAsia="zh-CN"/>
                    </w:rPr>
                  </w:pPr>
                  <w:r>
                    <w:rPr>
                      <w:rFonts w:hint="eastAsia" w:ascii="Times New Roman" w:hAnsi="Times New Roman" w:eastAsia="宋体" w:cs="Times New Roman"/>
                      <w:color w:val="000000"/>
                      <w:kern w:val="0"/>
                      <w:sz w:val="21"/>
                      <w:szCs w:val="21"/>
                      <w:lang w:val="en-US" w:eastAsia="zh-CN"/>
                    </w:rPr>
                    <w:t>厂区</w:t>
                  </w:r>
                  <w:r>
                    <w:rPr>
                      <w:rFonts w:hint="eastAsia" w:ascii="Times New Roman" w:hAnsi="Times New Roman" w:eastAsia="宋体" w:cs="Times New Roman"/>
                      <w:color w:val="000000"/>
                      <w:kern w:val="0"/>
                      <w:sz w:val="21"/>
                      <w:szCs w:val="21"/>
                      <w:lang w:eastAsia="zh-CN"/>
                    </w:rPr>
                    <w:t>按要求</w:t>
                  </w:r>
                  <w:r>
                    <w:rPr>
                      <w:rFonts w:hint="default" w:ascii="Times New Roman" w:hAnsi="Times New Roman" w:eastAsia="宋体" w:cs="Times New Roman"/>
                      <w:color w:val="000000"/>
                      <w:kern w:val="0"/>
                      <w:sz w:val="21"/>
                      <w:szCs w:val="21"/>
                    </w:rPr>
                    <w:t>规范门禁系统管理，完善运输车辆、厂内车辆及非道路移动机械电子台账</w:t>
                  </w:r>
                  <w:r>
                    <w:rPr>
                      <w:rFonts w:hint="eastAsia" w:ascii="Times New Roman" w:hAnsi="Times New Roman" w:eastAsia="宋体" w:cs="Times New Roman"/>
                      <w:color w:val="000000"/>
                      <w:kern w:val="0"/>
                      <w:sz w:val="21"/>
                      <w:szCs w:val="21"/>
                      <w:lang w:eastAsia="zh-CN"/>
                    </w:rPr>
                    <w:t>。</w:t>
                  </w:r>
                </w:p>
              </w:tc>
              <w:tc>
                <w:tcPr>
                  <w:tcW w:w="475" w:type="pct"/>
                  <w:tcBorders>
                    <w:top w:val="single" w:color="auto" w:sz="4" w:space="0"/>
                    <w:left w:val="nil"/>
                    <w:bottom w:val="single" w:color="auto" w:sz="4" w:space="0"/>
                    <w:right w:val="nil"/>
                  </w:tcBorders>
                  <w:noWrap w:val="0"/>
                  <w:vAlign w:val="center"/>
                </w:tcPr>
                <w:p w14:paraId="13DF393C">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leftChars="0" w:right="0" w:firstLine="0" w:firstLineChars="0"/>
                    <w:jc w:val="center"/>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lang w:val="en-US" w:eastAsia="zh-CN" w:bidi="ar"/>
                    </w:rPr>
                    <w:t>相符</w:t>
                  </w:r>
                </w:p>
              </w:tc>
            </w:tr>
            <w:tr w14:paraId="46850D29">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68" w:type="dxa"/>
                  <w:bottom w:w="0" w:type="dxa"/>
                  <w:right w:w="68" w:type="dxa"/>
                </w:tblCellMar>
              </w:tblPrEx>
              <w:trPr>
                <w:trHeight w:val="664" w:hRule="atLeast"/>
                <w:jc w:val="center"/>
              </w:trPr>
              <w:tc>
                <w:tcPr>
                  <w:tcW w:w="728" w:type="pct"/>
                  <w:tcBorders>
                    <w:top w:val="nil"/>
                    <w:left w:val="nil"/>
                    <w:bottom w:val="single" w:color="auto" w:sz="4" w:space="0"/>
                    <w:right w:val="single" w:color="auto" w:sz="4" w:space="0"/>
                  </w:tcBorders>
                  <w:noWrap w:val="0"/>
                  <w:vAlign w:val="center"/>
                </w:tcPr>
                <w:p w14:paraId="442C8411">
                  <w:pPr>
                    <w:keepNext w:val="0"/>
                    <w:keepLines w:val="0"/>
                    <w:pageBreakBefore w:val="0"/>
                    <w:suppressLineNumbers w:val="0"/>
                    <w:kinsoku/>
                    <w:wordWrap/>
                    <w:overflowPunct/>
                    <w:topLinePunct w:val="0"/>
                    <w:bidi w:val="0"/>
                    <w:spacing w:before="0" w:beforeAutospacing="0" w:after="0" w:afterAutospacing="0" w:line="240" w:lineRule="auto"/>
                    <w:ind w:left="0" w:right="0"/>
                    <w:textAlignment w:val="auto"/>
                    <w:rPr>
                      <w:rFonts w:hint="default" w:ascii="Times New Roman" w:hAnsi="Times New Roman" w:eastAsia="宋体" w:cs="Times New Roman"/>
                      <w:color w:val="000000"/>
                      <w:kern w:val="2"/>
                      <w:sz w:val="21"/>
                      <w:szCs w:val="21"/>
                    </w:rPr>
                  </w:pPr>
                </w:p>
              </w:tc>
              <w:tc>
                <w:tcPr>
                  <w:tcW w:w="2674" w:type="pct"/>
                  <w:tcBorders>
                    <w:top w:val="single" w:color="auto" w:sz="4" w:space="0"/>
                    <w:left w:val="nil"/>
                    <w:bottom w:val="single" w:color="auto" w:sz="12" w:space="0"/>
                    <w:right w:val="single" w:color="auto" w:sz="4" w:space="0"/>
                  </w:tcBorders>
                  <w:noWrap w:val="0"/>
                  <w:vAlign w:val="center"/>
                </w:tcPr>
                <w:p w14:paraId="240230CE">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right="0" w:firstLine="0" w:firstLineChars="0"/>
                    <w:jc w:val="both"/>
                    <w:textAlignment w:val="auto"/>
                    <w:rPr>
                      <w:rFonts w:hint="default" w:ascii="Times New Roman" w:hAnsi="Times New Roman" w:eastAsia="宋体" w:cs="Times New Roman"/>
                      <w:color w:val="000000"/>
                      <w:kern w:val="0"/>
                      <w:sz w:val="21"/>
                      <w:szCs w:val="21"/>
                    </w:rPr>
                  </w:pPr>
                  <w:r>
                    <w:rPr>
                      <w:rFonts w:hint="default" w:ascii="Times New Roman" w:hAnsi="Times New Roman" w:eastAsia="宋体" w:cs="Times New Roman"/>
                      <w:color w:val="000000"/>
                      <w:kern w:val="0"/>
                      <w:sz w:val="21"/>
                      <w:szCs w:val="21"/>
                    </w:rPr>
                    <w:t>18</w:t>
                  </w:r>
                  <w:r>
                    <w:rPr>
                      <w:rFonts w:hint="eastAsia" w:ascii="Times New Roman" w:hAnsi="Times New Roman" w:cs="Times New Roman"/>
                      <w:color w:val="000000"/>
                      <w:kern w:val="0"/>
                      <w:sz w:val="21"/>
                      <w:szCs w:val="21"/>
                      <w:lang w:eastAsia="zh-CN"/>
                    </w:rPr>
                    <w:t>、</w:t>
                  </w:r>
                  <w:r>
                    <w:rPr>
                      <w:rFonts w:hint="default" w:ascii="Times New Roman" w:hAnsi="Times New Roman" w:eastAsia="宋体" w:cs="Times New Roman"/>
                      <w:color w:val="000000"/>
                      <w:kern w:val="0"/>
                      <w:sz w:val="21"/>
                      <w:szCs w:val="21"/>
                    </w:rPr>
                    <w:t>严格落实重污染天气移动源管控。2026年9月底前，更新完善用车大户清单和货车白名单，实现动态管理。重污染天气预警期间，停止使用国五及以下重型货车和国三及以下非道路移动机械，纳入重点民生保障的建设项目应使用新能源运输车辆和机械。指导大宗物料运输企业合理安排运力，提前做好生产物资储备。</w:t>
                  </w:r>
                </w:p>
              </w:tc>
              <w:tc>
                <w:tcPr>
                  <w:tcW w:w="1120" w:type="pct"/>
                  <w:tcBorders>
                    <w:top w:val="single" w:color="auto" w:sz="4" w:space="0"/>
                    <w:left w:val="nil"/>
                    <w:bottom w:val="single" w:color="auto" w:sz="12" w:space="0"/>
                    <w:right w:val="single" w:color="auto" w:sz="4" w:space="0"/>
                  </w:tcBorders>
                  <w:noWrap w:val="0"/>
                  <w:vAlign w:val="center"/>
                </w:tcPr>
                <w:p w14:paraId="37138811">
                  <w:pPr>
                    <w:pStyle w:val="26"/>
                    <w:keepNext w:val="0"/>
                    <w:keepLines w:val="0"/>
                    <w:pageBreakBefore w:val="0"/>
                    <w:widowControl w:val="0"/>
                    <w:suppressLineNumbers w:val="0"/>
                    <w:kinsoku/>
                    <w:wordWrap w:val="0"/>
                    <w:overflowPunct/>
                    <w:topLinePunct w:val="0"/>
                    <w:autoSpaceDE/>
                    <w:autoSpaceDN/>
                    <w:bidi w:val="0"/>
                    <w:adjustRightInd/>
                    <w:snapToGrid/>
                    <w:spacing w:before="100" w:beforeAutospacing="1" w:after="100" w:afterAutospacing="1" w:line="240" w:lineRule="auto"/>
                    <w:ind w:left="0" w:leftChars="0" w:right="0" w:firstLine="0" w:firstLineChars="0"/>
                    <w:jc w:val="both"/>
                    <w:textAlignment w:val="auto"/>
                    <w:rPr>
                      <w:rFonts w:hint="eastAsia" w:ascii="Times New Roman" w:hAnsi="Times New Roman" w:eastAsia="宋体" w:cs="Times New Roman"/>
                      <w:color w:val="000000"/>
                      <w:kern w:val="0"/>
                      <w:sz w:val="21"/>
                      <w:szCs w:val="21"/>
                      <w:lang w:eastAsia="zh-CN"/>
                    </w:rPr>
                  </w:pPr>
                  <w:r>
                    <w:rPr>
                      <w:rFonts w:hint="eastAsia" w:ascii="Times New Roman" w:hAnsi="Times New Roman" w:cs="Times New Roman"/>
                      <w:color w:val="auto"/>
                      <w:kern w:val="0"/>
                      <w:sz w:val="21"/>
                      <w:szCs w:val="21"/>
                      <w:lang w:eastAsia="zh-CN"/>
                    </w:rPr>
                    <w:t>重污染天气预警期间，</w:t>
                  </w:r>
                  <w:r>
                    <w:rPr>
                      <w:rFonts w:hint="eastAsia" w:ascii="Times New Roman" w:hAnsi="Times New Roman" w:eastAsia="宋体" w:cs="Times New Roman"/>
                      <w:color w:val="auto"/>
                      <w:kern w:val="0"/>
                      <w:sz w:val="21"/>
                      <w:szCs w:val="21"/>
                      <w:lang w:eastAsia="zh-CN"/>
                    </w:rPr>
                    <w:t>本项目不使用</w:t>
                  </w:r>
                  <w:r>
                    <w:rPr>
                      <w:rFonts w:hint="default" w:ascii="Times New Roman" w:hAnsi="Times New Roman" w:eastAsia="宋体" w:cs="Times New Roman"/>
                      <w:color w:val="auto"/>
                      <w:kern w:val="0"/>
                      <w:sz w:val="21"/>
                      <w:szCs w:val="21"/>
                    </w:rPr>
                    <w:t>国五及以下重型货车和国三及以下非道路移动机械</w:t>
                  </w:r>
                  <w:r>
                    <w:rPr>
                      <w:rFonts w:hint="eastAsia" w:ascii="Times New Roman" w:hAnsi="Times New Roman" w:eastAsia="宋体" w:cs="Times New Roman"/>
                      <w:color w:val="auto"/>
                      <w:kern w:val="0"/>
                      <w:sz w:val="21"/>
                      <w:szCs w:val="21"/>
                      <w:lang w:eastAsia="zh-CN"/>
                    </w:rPr>
                    <w:t>。</w:t>
                  </w:r>
                </w:p>
              </w:tc>
              <w:tc>
                <w:tcPr>
                  <w:tcW w:w="475" w:type="pct"/>
                  <w:tcBorders>
                    <w:top w:val="single" w:color="auto" w:sz="4" w:space="0"/>
                    <w:left w:val="nil"/>
                    <w:bottom w:val="single" w:color="auto" w:sz="12" w:space="0"/>
                    <w:right w:val="nil"/>
                  </w:tcBorders>
                  <w:noWrap w:val="0"/>
                  <w:vAlign w:val="center"/>
                </w:tcPr>
                <w:p w14:paraId="082233A3">
                  <w:pPr>
                    <w:pStyle w:val="26"/>
                    <w:keepNext w:val="0"/>
                    <w:keepLines w:val="0"/>
                    <w:pageBreakBefore w:val="0"/>
                    <w:widowControl w:val="0"/>
                    <w:suppressLineNumbers w:val="0"/>
                    <w:kinsoku/>
                    <w:wordWrap/>
                    <w:overflowPunct/>
                    <w:topLinePunct w:val="0"/>
                    <w:bidi w:val="0"/>
                    <w:spacing w:before="100" w:beforeAutospacing="1" w:after="100" w:afterAutospacing="1" w:line="240" w:lineRule="auto"/>
                    <w:ind w:left="0" w:leftChars="0" w:right="0" w:firstLine="0" w:firstLineChars="0"/>
                    <w:jc w:val="center"/>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相符</w:t>
                  </w:r>
                </w:p>
              </w:tc>
            </w:tr>
          </w:tbl>
          <w:p w14:paraId="5FF9D5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kern w:val="2"/>
                <w:sz w:val="24"/>
                <w:szCs w:val="24"/>
                <w:lang w:val="en-US" w:eastAsia="zh-CN" w:bidi="ar"/>
                <w14:textFill>
                  <w14:solidFill>
                    <w14:schemeClr w14:val="tx1"/>
                  </w14:solidFill>
                </w14:textFill>
              </w:rPr>
            </w:pPr>
            <w:r>
              <w:rPr>
                <w:rFonts w:hint="eastAsia" w:ascii="Times New Roman" w:hAnsi="Times New Roman" w:eastAsia="宋体" w:cs="Times New Roman"/>
                <w:b w:val="0"/>
                <w:bCs w:val="0"/>
                <w:color w:val="auto"/>
                <w:kern w:val="2"/>
                <w:sz w:val="24"/>
                <w:szCs w:val="24"/>
                <w:highlight w:val="none"/>
                <w:lang w:val="en-US" w:eastAsia="zh-CN" w:bidi="ar"/>
              </w:rPr>
              <w:t>由上表可知，项目符合</w:t>
            </w:r>
            <w:r>
              <w:rPr>
                <w:rFonts w:hint="default" w:ascii="Times New Roman" w:hAnsi="Times New Roman" w:eastAsia="宋体" w:cs="Times New Roman"/>
                <w:b w:val="0"/>
                <w:bCs w:val="0"/>
                <w:color w:val="auto"/>
                <w:kern w:val="2"/>
                <w:sz w:val="24"/>
                <w:szCs w:val="24"/>
                <w:highlight w:val="none"/>
                <w:lang w:val="en-US" w:eastAsia="zh-CN" w:bidi="ar"/>
              </w:rPr>
              <w:t>安环委〔202</w:t>
            </w:r>
            <w:r>
              <w:rPr>
                <w:rFonts w:hint="eastAsia" w:ascii="Times New Roman" w:hAnsi="Times New Roman" w:eastAsia="宋体" w:cs="Times New Roman"/>
                <w:b w:val="0"/>
                <w:bCs w:val="0"/>
                <w:color w:val="auto"/>
                <w:kern w:val="2"/>
                <w:sz w:val="24"/>
                <w:szCs w:val="24"/>
                <w:highlight w:val="none"/>
                <w:lang w:val="en-US" w:eastAsia="zh-CN" w:bidi="ar"/>
              </w:rPr>
              <w:t>6</w:t>
            </w:r>
            <w:r>
              <w:rPr>
                <w:rFonts w:hint="default" w:ascii="Times New Roman" w:hAnsi="Times New Roman" w:eastAsia="宋体" w:cs="Times New Roman"/>
                <w:b w:val="0"/>
                <w:bCs w:val="0"/>
                <w:color w:val="auto"/>
                <w:kern w:val="2"/>
                <w:sz w:val="24"/>
                <w:szCs w:val="24"/>
                <w:highlight w:val="none"/>
                <w:lang w:val="en-US" w:eastAsia="zh-CN" w:bidi="ar"/>
              </w:rPr>
              <w:t>〕</w:t>
            </w:r>
            <w:r>
              <w:rPr>
                <w:rFonts w:hint="eastAsia" w:ascii="Times New Roman" w:hAnsi="Times New Roman" w:eastAsia="宋体" w:cs="Times New Roman"/>
                <w:b w:val="0"/>
                <w:bCs w:val="0"/>
                <w:color w:val="auto"/>
                <w:kern w:val="2"/>
                <w:sz w:val="24"/>
                <w:szCs w:val="24"/>
                <w:highlight w:val="none"/>
                <w:lang w:val="en-US" w:eastAsia="zh-CN" w:bidi="ar"/>
              </w:rPr>
              <w:t>1</w:t>
            </w:r>
            <w:r>
              <w:rPr>
                <w:rFonts w:hint="default" w:ascii="Times New Roman" w:hAnsi="Times New Roman" w:eastAsia="宋体" w:cs="Times New Roman"/>
                <w:b w:val="0"/>
                <w:bCs w:val="0"/>
                <w:color w:val="auto"/>
                <w:kern w:val="2"/>
                <w:sz w:val="24"/>
                <w:szCs w:val="24"/>
                <w:highlight w:val="none"/>
                <w:lang w:val="en-US" w:eastAsia="zh-CN" w:bidi="ar"/>
              </w:rPr>
              <w:t>号</w:t>
            </w:r>
            <w:r>
              <w:rPr>
                <w:rFonts w:hint="eastAsia" w:ascii="Times New Roman" w:hAnsi="Times New Roman" w:eastAsia="宋体" w:cs="Times New Roman"/>
                <w:b w:val="0"/>
                <w:bCs w:val="0"/>
                <w:color w:val="auto"/>
                <w:kern w:val="2"/>
                <w:sz w:val="24"/>
                <w:szCs w:val="24"/>
                <w:highlight w:val="none"/>
                <w:lang w:val="en-US" w:eastAsia="zh-CN" w:bidi="ar"/>
              </w:rPr>
              <w:t>中相关要求。</w:t>
            </w:r>
          </w:p>
          <w:p w14:paraId="54C1A5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u w:val="none"/>
                <w:lang w:val="en-US" w:eastAsia="zh-CN" w:bidi="ar"/>
                <w14:textFill>
                  <w14:solidFill>
                    <w14:schemeClr w14:val="tx1"/>
                  </w14:solidFill>
                </w14:textFill>
              </w:rPr>
              <w:t>10.</w:t>
            </w:r>
            <w:r>
              <w:rPr>
                <w:rFonts w:hint="default" w:ascii="Times New Roman" w:hAnsi="Times New Roman" w:eastAsia="宋体" w:cs="Times New Roman"/>
                <w:b/>
                <w:bCs/>
                <w:color w:val="000000" w:themeColor="text1"/>
                <w:kern w:val="0"/>
                <w:sz w:val="24"/>
                <w:szCs w:val="24"/>
                <w:highlight w:val="none"/>
                <w:u w:val="none"/>
                <w:lang w:val="en-US" w:eastAsia="zh-CN" w:bidi="ar"/>
                <w14:textFill>
                  <w14:solidFill>
                    <w14:schemeClr w14:val="tx1"/>
                  </w14:solidFill>
                </w14:textFill>
              </w:rPr>
              <w:t>本项目与备案证明相符性分析见下表</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w:t>
            </w:r>
          </w:p>
          <w:p w14:paraId="68CF630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b/>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b/>
                <w:color w:val="000000" w:themeColor="text1"/>
                <w:sz w:val="24"/>
                <w:szCs w:val="24"/>
                <w:highlight w:val="none"/>
                <w14:textFill>
                  <w14:solidFill>
                    <w14:schemeClr w14:val="tx1"/>
                  </w14:solidFill>
                </w14:textFill>
              </w:rPr>
              <w:t>项目与备案证明相符性分析</w:t>
            </w:r>
          </w:p>
          <w:tbl>
            <w:tblPr>
              <w:tblStyle w:val="30"/>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4"/>
              <w:gridCol w:w="714"/>
              <w:gridCol w:w="2996"/>
              <w:gridCol w:w="2892"/>
              <w:gridCol w:w="764"/>
            </w:tblGrid>
            <w:tr w14:paraId="37748C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02" w:type="pct"/>
                  <w:tcBorders>
                    <w:top w:val="single" w:color="auto" w:sz="4" w:space="0"/>
                    <w:left w:val="nil"/>
                    <w:bottom w:val="single" w:color="auto" w:sz="4" w:space="0"/>
                    <w:right w:val="single" w:color="auto" w:sz="4" w:space="0"/>
                  </w:tcBorders>
                  <w:noWrap w:val="0"/>
                  <w:vAlign w:val="center"/>
                </w:tcPr>
                <w:p w14:paraId="3610D7B8">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t>序号</w:t>
                  </w:r>
                </w:p>
              </w:tc>
              <w:tc>
                <w:tcPr>
                  <w:tcW w:w="455" w:type="pct"/>
                  <w:tcBorders>
                    <w:top w:val="single" w:color="auto" w:sz="4" w:space="0"/>
                    <w:left w:val="single" w:color="auto" w:sz="4" w:space="0"/>
                    <w:bottom w:val="single" w:color="auto" w:sz="4" w:space="0"/>
                    <w:right w:val="single" w:color="auto" w:sz="4" w:space="0"/>
                  </w:tcBorders>
                  <w:noWrap w:val="0"/>
                  <w:vAlign w:val="center"/>
                </w:tcPr>
                <w:p w14:paraId="5CF0EC64">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t>类别</w:t>
                  </w:r>
                </w:p>
              </w:tc>
              <w:tc>
                <w:tcPr>
                  <w:tcW w:w="1910" w:type="pct"/>
                  <w:tcBorders>
                    <w:top w:val="single" w:color="auto" w:sz="4" w:space="0"/>
                    <w:left w:val="single" w:color="auto" w:sz="4" w:space="0"/>
                    <w:bottom w:val="single" w:color="auto" w:sz="4" w:space="0"/>
                    <w:right w:val="single" w:color="auto" w:sz="4" w:space="0"/>
                  </w:tcBorders>
                  <w:noWrap w:val="0"/>
                  <w:vAlign w:val="center"/>
                </w:tcPr>
                <w:p w14:paraId="65438C64">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t>备案内容</w:t>
                  </w:r>
                </w:p>
              </w:tc>
              <w:tc>
                <w:tcPr>
                  <w:tcW w:w="1844" w:type="pct"/>
                  <w:tcBorders>
                    <w:top w:val="single" w:color="auto" w:sz="4" w:space="0"/>
                    <w:left w:val="single" w:color="auto" w:sz="4" w:space="0"/>
                    <w:bottom w:val="single" w:color="auto" w:sz="4" w:space="0"/>
                    <w:right w:val="single" w:color="auto" w:sz="4" w:space="0"/>
                  </w:tcBorders>
                  <w:noWrap w:val="0"/>
                  <w:vAlign w:val="center"/>
                </w:tcPr>
                <w:p w14:paraId="091260C2">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t>拟建内容</w:t>
                  </w:r>
                </w:p>
              </w:tc>
              <w:tc>
                <w:tcPr>
                  <w:tcW w:w="487" w:type="pct"/>
                  <w:tcBorders>
                    <w:top w:val="single" w:color="auto" w:sz="4" w:space="0"/>
                    <w:left w:val="single" w:color="auto" w:sz="4" w:space="0"/>
                    <w:bottom w:val="single" w:color="auto" w:sz="4" w:space="0"/>
                    <w:right w:val="nil"/>
                  </w:tcBorders>
                  <w:noWrap w:val="0"/>
                  <w:vAlign w:val="center"/>
                </w:tcPr>
                <w:p w14:paraId="74D98B40">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t>相符性</w:t>
                  </w:r>
                </w:p>
              </w:tc>
            </w:tr>
            <w:tr w14:paraId="003585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02" w:type="pct"/>
                  <w:tcBorders>
                    <w:top w:val="single" w:color="auto" w:sz="4" w:space="0"/>
                    <w:left w:val="nil"/>
                    <w:bottom w:val="single" w:color="auto" w:sz="4" w:space="0"/>
                    <w:right w:val="single" w:color="auto" w:sz="4" w:space="0"/>
                  </w:tcBorders>
                  <w:noWrap w:val="0"/>
                  <w:vAlign w:val="center"/>
                </w:tcPr>
                <w:p w14:paraId="28AACE93">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1</w:t>
                  </w:r>
                </w:p>
              </w:tc>
              <w:tc>
                <w:tcPr>
                  <w:tcW w:w="455" w:type="pct"/>
                  <w:tcBorders>
                    <w:top w:val="single" w:color="auto" w:sz="4" w:space="0"/>
                    <w:left w:val="single" w:color="auto" w:sz="4" w:space="0"/>
                    <w:bottom w:val="single" w:color="auto" w:sz="4" w:space="0"/>
                    <w:right w:val="single" w:color="auto" w:sz="4" w:space="0"/>
                  </w:tcBorders>
                  <w:noWrap w:val="0"/>
                  <w:vAlign w:val="center"/>
                </w:tcPr>
                <w:p w14:paraId="54ACB9F0">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lang w:val="en-US" w:eastAsia="zh-CN"/>
                      <w14:textFill>
                        <w14:solidFill>
                          <w14:schemeClr w14:val="tx1"/>
                        </w14:solidFill>
                      </w14:textFill>
                    </w:rPr>
                    <w:t>项目名称</w:t>
                  </w:r>
                </w:p>
              </w:tc>
              <w:tc>
                <w:tcPr>
                  <w:tcW w:w="1910" w:type="pct"/>
                  <w:tcBorders>
                    <w:top w:val="single" w:color="auto" w:sz="4" w:space="0"/>
                    <w:left w:val="single" w:color="auto" w:sz="4" w:space="0"/>
                    <w:bottom w:val="single" w:color="auto" w:sz="4" w:space="0"/>
                    <w:right w:val="single" w:color="auto" w:sz="4" w:space="0"/>
                  </w:tcBorders>
                  <w:noWrap w:val="0"/>
                  <w:vAlign w:val="center"/>
                </w:tcPr>
                <w:p w14:paraId="6D7BB696">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eastAsia="zh-CN"/>
                      <w14:textFill>
                        <w14:solidFill>
                          <w14:schemeClr w14:val="tx1"/>
                        </w14:solidFill>
                      </w14:textFill>
                    </w:rPr>
                    <w:t>年产4000万米编织水带项目</w:t>
                  </w:r>
                </w:p>
              </w:tc>
              <w:tc>
                <w:tcPr>
                  <w:tcW w:w="1844" w:type="pct"/>
                  <w:tcBorders>
                    <w:top w:val="single" w:color="auto" w:sz="4" w:space="0"/>
                    <w:left w:val="single" w:color="auto" w:sz="4" w:space="0"/>
                    <w:bottom w:val="single" w:color="auto" w:sz="4" w:space="0"/>
                    <w:right w:val="single" w:color="auto" w:sz="4" w:space="0"/>
                  </w:tcBorders>
                  <w:noWrap w:val="0"/>
                  <w:vAlign w:val="center"/>
                </w:tcPr>
                <w:p w14:paraId="78CBBDFF">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eastAsia" w:cs="Times New Roman"/>
                      <w:bCs/>
                      <w:color w:val="000000" w:themeColor="text1"/>
                      <w:sz w:val="21"/>
                      <w:szCs w:val="21"/>
                      <w:highlight w:val="none"/>
                      <w:lang w:eastAsia="zh-CN"/>
                      <w14:textFill>
                        <w14:solidFill>
                          <w14:schemeClr w14:val="tx1"/>
                        </w14:solidFill>
                      </w14:textFill>
                    </w:rPr>
                    <w:t>年产4000万米编织水带项目</w:t>
                  </w:r>
                </w:p>
              </w:tc>
              <w:tc>
                <w:tcPr>
                  <w:tcW w:w="487" w:type="pct"/>
                  <w:tcBorders>
                    <w:top w:val="single" w:color="auto" w:sz="4" w:space="0"/>
                    <w:left w:val="single" w:color="auto" w:sz="4" w:space="0"/>
                    <w:bottom w:val="single" w:color="auto" w:sz="4" w:space="0"/>
                    <w:right w:val="nil"/>
                  </w:tcBorders>
                  <w:noWrap w:val="0"/>
                  <w:vAlign w:val="center"/>
                </w:tcPr>
                <w:p w14:paraId="4E2A601C">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相符</w:t>
                  </w:r>
                </w:p>
              </w:tc>
            </w:tr>
            <w:tr w14:paraId="537E46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302" w:type="pct"/>
                  <w:tcBorders>
                    <w:top w:val="single" w:color="auto" w:sz="4" w:space="0"/>
                    <w:left w:val="nil"/>
                    <w:bottom w:val="single" w:color="auto" w:sz="4" w:space="0"/>
                    <w:right w:val="single" w:color="auto" w:sz="4" w:space="0"/>
                  </w:tcBorders>
                  <w:noWrap w:val="0"/>
                  <w:vAlign w:val="center"/>
                </w:tcPr>
                <w:p w14:paraId="5A736E08">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2</w:t>
                  </w:r>
                </w:p>
              </w:tc>
              <w:tc>
                <w:tcPr>
                  <w:tcW w:w="455" w:type="pct"/>
                  <w:tcBorders>
                    <w:top w:val="single" w:color="auto" w:sz="4" w:space="0"/>
                    <w:left w:val="single" w:color="auto" w:sz="4" w:space="0"/>
                    <w:bottom w:val="single" w:color="auto" w:sz="4" w:space="0"/>
                    <w:right w:val="single" w:color="auto" w:sz="4" w:space="0"/>
                  </w:tcBorders>
                  <w:noWrap w:val="0"/>
                  <w:vAlign w:val="center"/>
                </w:tcPr>
                <w:p w14:paraId="48216780">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lang w:val="en-US" w:eastAsia="zh-CN"/>
                      <w14:textFill>
                        <w14:solidFill>
                          <w14:schemeClr w14:val="tx1"/>
                        </w14:solidFill>
                      </w14:textFill>
                    </w:rPr>
                    <w:t>企业名称</w:t>
                  </w:r>
                </w:p>
              </w:tc>
              <w:tc>
                <w:tcPr>
                  <w:tcW w:w="1910" w:type="pct"/>
                  <w:tcBorders>
                    <w:top w:val="single" w:color="auto" w:sz="4" w:space="0"/>
                    <w:left w:val="single" w:color="auto" w:sz="4" w:space="0"/>
                    <w:bottom w:val="single" w:color="auto" w:sz="4" w:space="0"/>
                    <w:right w:val="single" w:color="auto" w:sz="4" w:space="0"/>
                  </w:tcBorders>
                  <w:noWrap w:val="0"/>
                  <w:vAlign w:val="center"/>
                </w:tcPr>
                <w:p w14:paraId="252F2B97">
                  <w:pPr>
                    <w:keepNext w:val="0"/>
                    <w:keepLines w:val="0"/>
                    <w:suppressLineNumbers w:val="0"/>
                    <w:adjustRightInd w:val="0"/>
                    <w:spacing w:before="0" w:beforeAutospacing="0" w:after="0" w:afterAutospacing="0" w:line="240" w:lineRule="auto"/>
                    <w:ind w:left="0" w:right="0"/>
                    <w:jc w:val="center"/>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eastAsia" w:eastAsia="Times New Roman" w:cs="Times New Roman"/>
                      <w:bCs/>
                      <w:color w:val="000000" w:themeColor="text1"/>
                      <w:sz w:val="21"/>
                      <w:szCs w:val="21"/>
                      <w:highlight w:val="none"/>
                      <w:lang w:eastAsia="zh-CN"/>
                      <w14:textFill>
                        <w14:solidFill>
                          <w14:schemeClr w14:val="tx1"/>
                        </w14:solidFill>
                      </w14:textFill>
                    </w:rPr>
                    <w:t>安阳三琪农业科技有限公司</w:t>
                  </w:r>
                </w:p>
              </w:tc>
              <w:tc>
                <w:tcPr>
                  <w:tcW w:w="1844" w:type="pct"/>
                  <w:tcBorders>
                    <w:top w:val="single" w:color="auto" w:sz="4" w:space="0"/>
                    <w:left w:val="single" w:color="auto" w:sz="4" w:space="0"/>
                    <w:bottom w:val="single" w:color="auto" w:sz="4" w:space="0"/>
                    <w:right w:val="single" w:color="auto" w:sz="4" w:space="0"/>
                  </w:tcBorders>
                  <w:noWrap w:val="0"/>
                  <w:vAlign w:val="center"/>
                </w:tcPr>
                <w:p w14:paraId="3578C94A">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Times New Roman" w:cs="Times New Roman"/>
                      <w:bCs/>
                      <w:color w:val="000000" w:themeColor="text1"/>
                      <w:sz w:val="21"/>
                      <w:szCs w:val="21"/>
                      <w:highlight w:val="none"/>
                      <w14:textFill>
                        <w14:solidFill>
                          <w14:schemeClr w14:val="tx1"/>
                        </w14:solidFill>
                      </w14:textFill>
                    </w:rPr>
                  </w:pPr>
                  <w:r>
                    <w:rPr>
                      <w:rFonts w:hint="eastAsia" w:eastAsia="Times New Roman" w:cs="Times New Roman"/>
                      <w:bCs/>
                      <w:color w:val="000000" w:themeColor="text1"/>
                      <w:sz w:val="21"/>
                      <w:szCs w:val="21"/>
                      <w:highlight w:val="none"/>
                      <w:lang w:eastAsia="zh-CN"/>
                      <w14:textFill>
                        <w14:solidFill>
                          <w14:schemeClr w14:val="tx1"/>
                        </w14:solidFill>
                      </w14:textFill>
                    </w:rPr>
                    <w:t>安阳三琪农业科技有限公司</w:t>
                  </w:r>
                </w:p>
              </w:tc>
              <w:tc>
                <w:tcPr>
                  <w:tcW w:w="487" w:type="pct"/>
                  <w:tcBorders>
                    <w:top w:val="single" w:color="auto" w:sz="4" w:space="0"/>
                    <w:left w:val="single" w:color="auto" w:sz="4" w:space="0"/>
                    <w:bottom w:val="single" w:color="auto" w:sz="4" w:space="0"/>
                    <w:right w:val="nil"/>
                  </w:tcBorders>
                  <w:noWrap w:val="0"/>
                  <w:vAlign w:val="center"/>
                </w:tcPr>
                <w:p w14:paraId="54A72D68">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相符</w:t>
                  </w:r>
                </w:p>
              </w:tc>
            </w:tr>
            <w:tr w14:paraId="638279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302" w:type="pct"/>
                  <w:tcBorders>
                    <w:top w:val="single" w:color="auto" w:sz="4" w:space="0"/>
                    <w:left w:val="nil"/>
                    <w:bottom w:val="single" w:color="auto" w:sz="4" w:space="0"/>
                    <w:right w:val="single" w:color="auto" w:sz="4" w:space="0"/>
                  </w:tcBorders>
                  <w:noWrap w:val="0"/>
                  <w:vAlign w:val="center"/>
                </w:tcPr>
                <w:p w14:paraId="6DCE200D">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3</w:t>
                  </w:r>
                </w:p>
              </w:tc>
              <w:tc>
                <w:tcPr>
                  <w:tcW w:w="455" w:type="pct"/>
                  <w:tcBorders>
                    <w:top w:val="single" w:color="auto" w:sz="4" w:space="0"/>
                    <w:left w:val="single" w:color="auto" w:sz="4" w:space="0"/>
                    <w:bottom w:val="single" w:color="auto" w:sz="4" w:space="0"/>
                    <w:right w:val="single" w:color="auto" w:sz="4" w:space="0"/>
                  </w:tcBorders>
                  <w:noWrap w:val="0"/>
                  <w:vAlign w:val="center"/>
                </w:tcPr>
                <w:p w14:paraId="1BEA5729">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14:textFill>
                        <w14:solidFill>
                          <w14:schemeClr w14:val="tx1"/>
                        </w14:solidFill>
                      </w14:textFill>
                    </w:rPr>
                    <w:t>建设</w:t>
                  </w:r>
                </w:p>
                <w:p w14:paraId="15D823F4">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Times New Roman"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14:textFill>
                        <w14:solidFill>
                          <w14:schemeClr w14:val="tx1"/>
                        </w14:solidFill>
                      </w14:textFill>
                    </w:rPr>
                    <w:t>地点</w:t>
                  </w:r>
                </w:p>
              </w:tc>
              <w:tc>
                <w:tcPr>
                  <w:tcW w:w="1910" w:type="pct"/>
                  <w:tcBorders>
                    <w:top w:val="single" w:color="auto" w:sz="4" w:space="0"/>
                    <w:left w:val="single" w:color="auto" w:sz="4" w:space="0"/>
                    <w:bottom w:val="single" w:color="auto" w:sz="4" w:space="0"/>
                    <w:right w:val="single" w:color="auto" w:sz="4" w:space="0"/>
                  </w:tcBorders>
                  <w:noWrap w:val="0"/>
                  <w:vAlign w:val="center"/>
                </w:tcPr>
                <w:p w14:paraId="6C87CF65">
                  <w:pPr>
                    <w:keepNext w:val="0"/>
                    <w:keepLines w:val="0"/>
                    <w:suppressLineNumbers w:val="0"/>
                    <w:adjustRightInd w:val="0"/>
                    <w:spacing w:before="0" w:beforeAutospacing="0" w:after="0" w:afterAutospacing="0" w:line="240" w:lineRule="auto"/>
                    <w:ind w:left="0" w:right="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sz w:val="21"/>
                      <w:szCs w:val="21"/>
                      <w:highlight w:val="none"/>
                      <w:lang w:eastAsia="zh-CN"/>
                      <w14:textFill>
                        <w14:solidFill>
                          <w14:schemeClr w14:val="tx1"/>
                        </w14:solidFill>
                      </w14:textFill>
                    </w:rPr>
                    <w:t>安阳市汤阴县汤阴县众品大道原色非家具厂院内</w:t>
                  </w:r>
                </w:p>
              </w:tc>
              <w:tc>
                <w:tcPr>
                  <w:tcW w:w="1844" w:type="pct"/>
                  <w:tcBorders>
                    <w:top w:val="single" w:color="auto" w:sz="4" w:space="0"/>
                    <w:left w:val="single" w:color="auto" w:sz="4" w:space="0"/>
                    <w:bottom w:val="single" w:color="auto" w:sz="4" w:space="0"/>
                    <w:right w:val="single" w:color="auto" w:sz="4" w:space="0"/>
                  </w:tcBorders>
                  <w:noWrap w:val="0"/>
                  <w:vAlign w:val="center"/>
                </w:tcPr>
                <w:p w14:paraId="51E8A160">
                  <w:pPr>
                    <w:keepNext w:val="0"/>
                    <w:keepLines w:val="0"/>
                    <w:suppressLineNumbers w:val="0"/>
                    <w:adjustRightInd w:val="0"/>
                    <w:spacing w:before="0" w:beforeAutospacing="0" w:after="0" w:afterAutospacing="0" w:line="240" w:lineRule="auto"/>
                    <w:ind w:left="0" w:right="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sz w:val="21"/>
                      <w:szCs w:val="21"/>
                      <w:highlight w:val="none"/>
                      <w:lang w:eastAsia="zh-CN"/>
                      <w14:textFill>
                        <w14:solidFill>
                          <w14:schemeClr w14:val="tx1"/>
                        </w14:solidFill>
                      </w14:textFill>
                    </w:rPr>
                    <w:t>安阳市汤阴县汤阴县众品大道原色非家具厂院内</w:t>
                  </w:r>
                </w:p>
              </w:tc>
              <w:tc>
                <w:tcPr>
                  <w:tcW w:w="487" w:type="pct"/>
                  <w:tcBorders>
                    <w:top w:val="single" w:color="auto" w:sz="4" w:space="0"/>
                    <w:left w:val="single" w:color="auto" w:sz="4" w:space="0"/>
                    <w:bottom w:val="single" w:color="auto" w:sz="4" w:space="0"/>
                    <w:right w:val="nil"/>
                  </w:tcBorders>
                  <w:noWrap w:val="0"/>
                  <w:vAlign w:val="center"/>
                </w:tcPr>
                <w:p w14:paraId="7F3A9949">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Times New Roman"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相符</w:t>
                  </w:r>
                </w:p>
              </w:tc>
            </w:tr>
            <w:tr w14:paraId="6B337F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02" w:type="pct"/>
                  <w:tcBorders>
                    <w:top w:val="single" w:color="auto" w:sz="4" w:space="0"/>
                    <w:left w:val="nil"/>
                    <w:bottom w:val="single" w:color="auto" w:sz="4" w:space="0"/>
                    <w:right w:val="single" w:color="auto" w:sz="4" w:space="0"/>
                  </w:tcBorders>
                  <w:noWrap w:val="0"/>
                  <w:vAlign w:val="center"/>
                </w:tcPr>
                <w:p w14:paraId="2CCDC613">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4</w:t>
                  </w:r>
                </w:p>
              </w:tc>
              <w:tc>
                <w:tcPr>
                  <w:tcW w:w="455" w:type="pct"/>
                  <w:tcBorders>
                    <w:top w:val="single" w:color="auto" w:sz="4" w:space="0"/>
                    <w:left w:val="single" w:color="auto" w:sz="4" w:space="0"/>
                    <w:bottom w:val="single" w:color="auto" w:sz="4" w:space="0"/>
                    <w:right w:val="single" w:color="auto" w:sz="4" w:space="0"/>
                  </w:tcBorders>
                  <w:noWrap w:val="0"/>
                  <w:vAlign w:val="center"/>
                </w:tcPr>
                <w:p w14:paraId="00F71B82">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14:textFill>
                        <w14:solidFill>
                          <w14:schemeClr w14:val="tx1"/>
                        </w14:solidFill>
                      </w14:textFill>
                    </w:rPr>
                    <w:t>建设</w:t>
                  </w:r>
                </w:p>
                <w:p w14:paraId="4B5891E0">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14:textFill>
                        <w14:solidFill>
                          <w14:schemeClr w14:val="tx1"/>
                        </w14:solidFill>
                      </w14:textFill>
                    </w:rPr>
                    <w:t>性质</w:t>
                  </w:r>
                </w:p>
              </w:tc>
              <w:tc>
                <w:tcPr>
                  <w:tcW w:w="1910" w:type="pct"/>
                  <w:tcBorders>
                    <w:top w:val="single" w:color="auto" w:sz="4" w:space="0"/>
                    <w:left w:val="single" w:color="auto" w:sz="4" w:space="0"/>
                    <w:bottom w:val="single" w:color="auto" w:sz="4" w:space="0"/>
                    <w:right w:val="single" w:color="auto" w:sz="4" w:space="0"/>
                  </w:tcBorders>
                  <w:noWrap w:val="0"/>
                  <w:vAlign w:val="center"/>
                </w:tcPr>
                <w:p w14:paraId="240DD293">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新建</w:t>
                  </w:r>
                </w:p>
              </w:tc>
              <w:tc>
                <w:tcPr>
                  <w:tcW w:w="1844" w:type="pct"/>
                  <w:tcBorders>
                    <w:top w:val="single" w:color="auto" w:sz="4" w:space="0"/>
                    <w:left w:val="single" w:color="auto" w:sz="4" w:space="0"/>
                    <w:bottom w:val="single" w:color="auto" w:sz="4" w:space="0"/>
                    <w:right w:val="single" w:color="auto" w:sz="4" w:space="0"/>
                  </w:tcBorders>
                  <w:noWrap w:val="0"/>
                  <w:vAlign w:val="center"/>
                </w:tcPr>
                <w:p w14:paraId="452931C0">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新建</w:t>
                  </w:r>
                </w:p>
              </w:tc>
              <w:tc>
                <w:tcPr>
                  <w:tcW w:w="487" w:type="pct"/>
                  <w:tcBorders>
                    <w:top w:val="single" w:color="auto" w:sz="4" w:space="0"/>
                    <w:left w:val="single" w:color="auto" w:sz="4" w:space="0"/>
                    <w:bottom w:val="single" w:color="auto" w:sz="4" w:space="0"/>
                    <w:right w:val="nil"/>
                  </w:tcBorders>
                  <w:noWrap w:val="0"/>
                  <w:vAlign w:val="center"/>
                </w:tcPr>
                <w:p w14:paraId="3D1F814F">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相符</w:t>
                  </w:r>
                </w:p>
              </w:tc>
            </w:tr>
            <w:tr w14:paraId="7A3E5D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302" w:type="pct"/>
                  <w:tcBorders>
                    <w:top w:val="single" w:color="auto" w:sz="4" w:space="0"/>
                    <w:left w:val="nil"/>
                    <w:bottom w:val="single" w:color="auto" w:sz="4" w:space="0"/>
                    <w:right w:val="single" w:color="auto" w:sz="4" w:space="0"/>
                  </w:tcBorders>
                  <w:noWrap w:val="0"/>
                  <w:vAlign w:val="center"/>
                </w:tcPr>
                <w:p w14:paraId="1F008679">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lang w:val="en-US" w:eastAsia="zh-CN"/>
                      <w14:textFill>
                        <w14:solidFill>
                          <w14:schemeClr w14:val="tx1"/>
                        </w14:solidFill>
                      </w14:textFill>
                    </w:rPr>
                    <w:t>5</w:t>
                  </w:r>
                </w:p>
              </w:tc>
              <w:tc>
                <w:tcPr>
                  <w:tcW w:w="455" w:type="pct"/>
                  <w:tcBorders>
                    <w:top w:val="single" w:color="auto" w:sz="4" w:space="0"/>
                    <w:left w:val="single" w:color="auto" w:sz="4" w:space="0"/>
                    <w:bottom w:val="single" w:color="auto" w:sz="4" w:space="0"/>
                    <w:right w:val="single" w:color="auto" w:sz="4" w:space="0"/>
                  </w:tcBorders>
                  <w:noWrap w:val="0"/>
                  <w:vAlign w:val="center"/>
                </w:tcPr>
                <w:p w14:paraId="0B7FFDCC">
                  <w:pPr>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建设</w:t>
                  </w:r>
                </w:p>
                <w:p w14:paraId="1698F0D4">
                  <w:pPr>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内容</w:t>
                  </w:r>
                </w:p>
              </w:tc>
              <w:tc>
                <w:tcPr>
                  <w:tcW w:w="1910" w:type="pct"/>
                  <w:tcBorders>
                    <w:top w:val="single" w:color="auto" w:sz="4" w:space="0"/>
                    <w:left w:val="single" w:color="auto" w:sz="4" w:space="0"/>
                    <w:bottom w:val="single" w:color="auto" w:sz="4" w:space="0"/>
                    <w:right w:val="single" w:color="auto" w:sz="4" w:space="0"/>
                  </w:tcBorders>
                  <w:noWrap w:val="0"/>
                  <w:vAlign w:val="center"/>
                </w:tcPr>
                <w:p w14:paraId="3292FDD2">
                  <w:pPr>
                    <w:keepNext w:val="0"/>
                    <w:keepLines w:val="0"/>
                    <w:suppressLineNumbers w:val="0"/>
                    <w:spacing w:before="0" w:beforeAutospacing="0" w:after="0" w:afterAutospacing="0" w:line="240" w:lineRule="auto"/>
                    <w:ind w:left="0" w:right="0"/>
                    <w:jc w:val="both"/>
                    <w:rPr>
                      <w:rFonts w:hint="default" w:ascii="Times New Roman" w:hAnsi="Times New Roman" w:eastAsia="Times New Roman" w:cs="Times New Roman"/>
                      <w:color w:val="auto"/>
                      <w:sz w:val="21"/>
                      <w:szCs w:val="21"/>
                      <w:highlight w:val="none"/>
                    </w:rPr>
                  </w:pPr>
                  <w:r>
                    <w:rPr>
                      <w:rFonts w:hint="default" w:ascii="Times New Roman" w:hAnsi="Times New Roman" w:eastAsia="Times New Roman" w:cs="Times New Roman"/>
                      <w:color w:val="auto"/>
                      <w:sz w:val="21"/>
                      <w:szCs w:val="21"/>
                      <w:highlight w:val="none"/>
                    </w:rPr>
                    <w:t>建设规模及内容:项目预计总投资500万元，建设内容:租赁厂房进行建设，预计年产4000万米编织水带。项目主要生产工艺为</w:t>
                  </w:r>
                  <w:r>
                    <w:rPr>
                      <w:rFonts w:hint="eastAsia" w:eastAsia="宋体" w:cs="Times New Roman"/>
                      <w:color w:val="auto"/>
                      <w:sz w:val="21"/>
                      <w:szCs w:val="21"/>
                      <w:highlight w:val="none"/>
                      <w:lang w:eastAsia="zh-CN"/>
                    </w:rPr>
                    <w:t>：</w:t>
                  </w:r>
                  <w:r>
                    <w:rPr>
                      <w:rFonts w:hint="default" w:ascii="Times New Roman" w:hAnsi="Times New Roman" w:eastAsia="Times New Roman" w:cs="Times New Roman"/>
                      <w:color w:val="auto"/>
                      <w:sz w:val="21"/>
                      <w:szCs w:val="21"/>
                      <w:highlight w:val="none"/>
                    </w:rPr>
                    <w:t>原料一吹膜一</w:t>
                  </w:r>
                  <w:r>
                    <w:rPr>
                      <w:rFonts w:hint="eastAsia" w:eastAsia="宋体" w:cs="Times New Roman"/>
                      <w:color w:val="auto"/>
                      <w:sz w:val="21"/>
                      <w:szCs w:val="21"/>
                      <w:highlight w:val="none"/>
                      <w:lang w:eastAsia="zh-CN"/>
                    </w:rPr>
                    <w:t>编</w:t>
                  </w:r>
                  <w:r>
                    <w:rPr>
                      <w:rFonts w:hint="default" w:ascii="Times New Roman" w:hAnsi="Times New Roman" w:eastAsia="Times New Roman" w:cs="Times New Roman"/>
                      <w:color w:val="auto"/>
                      <w:sz w:val="21"/>
                      <w:szCs w:val="21"/>
                      <w:highlight w:val="none"/>
                    </w:rPr>
                    <w:t>织一复合一收卷一覆膜一成品。主要生产设备有挤出</w:t>
                  </w:r>
                  <w:r>
                    <w:rPr>
                      <w:rFonts w:hint="eastAsia" w:eastAsia="宋体" w:cs="Times New Roman"/>
                      <w:color w:val="auto"/>
                      <w:sz w:val="21"/>
                      <w:szCs w:val="21"/>
                      <w:highlight w:val="none"/>
                      <w:lang w:eastAsia="zh-CN"/>
                    </w:rPr>
                    <w:t>（</w:t>
                  </w:r>
                  <w:r>
                    <w:rPr>
                      <w:rFonts w:hint="default" w:ascii="Times New Roman" w:hAnsi="Times New Roman" w:eastAsia="Times New Roman" w:cs="Times New Roman"/>
                      <w:color w:val="auto"/>
                      <w:sz w:val="21"/>
                      <w:szCs w:val="21"/>
                      <w:highlight w:val="none"/>
                    </w:rPr>
                    <w:t>吹膜</w:t>
                  </w:r>
                  <w:r>
                    <w:rPr>
                      <w:rFonts w:hint="eastAsia" w:eastAsia="宋体" w:cs="Times New Roman"/>
                      <w:color w:val="auto"/>
                      <w:sz w:val="21"/>
                      <w:szCs w:val="21"/>
                      <w:highlight w:val="none"/>
                      <w:lang w:eastAsia="zh-CN"/>
                    </w:rPr>
                    <w:t>）</w:t>
                  </w:r>
                  <w:r>
                    <w:rPr>
                      <w:rFonts w:hint="default" w:ascii="Times New Roman" w:hAnsi="Times New Roman" w:eastAsia="Times New Roman" w:cs="Times New Roman"/>
                      <w:color w:val="auto"/>
                      <w:sz w:val="21"/>
                      <w:szCs w:val="21"/>
                      <w:highlight w:val="none"/>
                    </w:rPr>
                    <w:t>机、圆周编织机、复合机、收卷机、覆膜机、包装机等。</w:t>
                  </w:r>
                </w:p>
              </w:tc>
              <w:tc>
                <w:tcPr>
                  <w:tcW w:w="1844" w:type="pct"/>
                  <w:tcBorders>
                    <w:top w:val="single" w:color="auto" w:sz="4" w:space="0"/>
                    <w:left w:val="single" w:color="auto" w:sz="4" w:space="0"/>
                    <w:right w:val="single" w:color="auto" w:sz="4" w:space="0"/>
                  </w:tcBorders>
                  <w:noWrap w:val="0"/>
                  <w:vAlign w:val="center"/>
                </w:tcPr>
                <w:p w14:paraId="2A2C86FE">
                  <w:pPr>
                    <w:keepNext w:val="0"/>
                    <w:keepLines w:val="0"/>
                    <w:suppressLineNumbers w:val="0"/>
                    <w:spacing w:before="0" w:beforeAutospacing="0" w:after="0" w:afterAutospacing="0" w:line="240" w:lineRule="auto"/>
                    <w:ind w:left="0" w:right="0"/>
                    <w:jc w:val="both"/>
                    <w:rPr>
                      <w:rFonts w:hint="default" w:ascii="Times New Roman" w:hAnsi="Times New Roman" w:eastAsia="Times New Roman" w:cs="Times New Roman"/>
                      <w:color w:val="auto"/>
                      <w:sz w:val="21"/>
                      <w:szCs w:val="21"/>
                      <w:highlight w:val="none"/>
                    </w:rPr>
                  </w:pPr>
                  <w:r>
                    <w:rPr>
                      <w:rFonts w:hint="default" w:ascii="Times New Roman" w:hAnsi="Times New Roman" w:eastAsia="Times New Roman" w:cs="Times New Roman"/>
                      <w:color w:val="auto"/>
                      <w:sz w:val="21"/>
                      <w:szCs w:val="21"/>
                      <w:highlight w:val="none"/>
                    </w:rPr>
                    <w:t>建设规模及内容:项目预计总投资500万元，建设内容:租赁厂房进行建设，预计年产4000万米编织水带。项目主要生产工艺为</w:t>
                  </w:r>
                  <w:r>
                    <w:rPr>
                      <w:rFonts w:hint="eastAsia" w:eastAsia="宋体" w:cs="Times New Roman"/>
                      <w:color w:val="auto"/>
                      <w:sz w:val="21"/>
                      <w:szCs w:val="21"/>
                      <w:highlight w:val="none"/>
                      <w:lang w:eastAsia="zh-CN"/>
                    </w:rPr>
                    <w:t>：</w:t>
                  </w:r>
                  <w:r>
                    <w:rPr>
                      <w:rFonts w:hint="default" w:ascii="Times New Roman" w:hAnsi="Times New Roman" w:eastAsia="Times New Roman" w:cs="Times New Roman"/>
                      <w:color w:val="auto"/>
                      <w:sz w:val="21"/>
                      <w:szCs w:val="21"/>
                      <w:highlight w:val="none"/>
                    </w:rPr>
                    <w:t>原料一吹膜一编织一复合一收卷一覆膜一成品。主要生产设备有挤出</w:t>
                  </w:r>
                  <w:r>
                    <w:rPr>
                      <w:rFonts w:hint="eastAsia" w:eastAsia="宋体" w:cs="Times New Roman"/>
                      <w:color w:val="auto"/>
                      <w:sz w:val="21"/>
                      <w:szCs w:val="21"/>
                      <w:highlight w:val="none"/>
                      <w:lang w:eastAsia="zh-CN"/>
                    </w:rPr>
                    <w:t>（</w:t>
                  </w:r>
                  <w:r>
                    <w:rPr>
                      <w:rFonts w:hint="default" w:ascii="Times New Roman" w:hAnsi="Times New Roman" w:eastAsia="Times New Roman" w:cs="Times New Roman"/>
                      <w:color w:val="auto"/>
                      <w:sz w:val="21"/>
                      <w:szCs w:val="21"/>
                      <w:highlight w:val="none"/>
                    </w:rPr>
                    <w:t>吹膜</w:t>
                  </w:r>
                  <w:r>
                    <w:rPr>
                      <w:rFonts w:hint="eastAsia" w:eastAsia="宋体" w:cs="Times New Roman"/>
                      <w:color w:val="auto"/>
                      <w:sz w:val="21"/>
                      <w:szCs w:val="21"/>
                      <w:highlight w:val="none"/>
                      <w:lang w:eastAsia="zh-CN"/>
                    </w:rPr>
                    <w:t>）</w:t>
                  </w:r>
                  <w:r>
                    <w:rPr>
                      <w:rFonts w:hint="default" w:ascii="Times New Roman" w:hAnsi="Times New Roman" w:eastAsia="Times New Roman" w:cs="Times New Roman"/>
                      <w:color w:val="auto"/>
                      <w:sz w:val="21"/>
                      <w:szCs w:val="21"/>
                      <w:highlight w:val="none"/>
                    </w:rPr>
                    <w:t>机、圆周编织机、复合机、收卷机、覆膜机、包装机等。</w:t>
                  </w:r>
                </w:p>
              </w:tc>
              <w:tc>
                <w:tcPr>
                  <w:tcW w:w="487" w:type="pct"/>
                  <w:tcBorders>
                    <w:top w:val="single" w:color="auto" w:sz="4" w:space="0"/>
                    <w:left w:val="single" w:color="auto" w:sz="4" w:space="0"/>
                    <w:bottom w:val="single" w:color="auto" w:sz="4" w:space="0"/>
                    <w:right w:val="nil"/>
                  </w:tcBorders>
                  <w:noWrap w:val="0"/>
                  <w:vAlign w:val="center"/>
                </w:tcPr>
                <w:p w14:paraId="29F02A10">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相符</w:t>
                  </w:r>
                </w:p>
              </w:tc>
            </w:tr>
          </w:tbl>
          <w:p w14:paraId="3D91FD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kern w:val="2"/>
                <w:sz w:val="24"/>
                <w:szCs w:val="24"/>
                <w:lang w:val="en-US" w:eastAsia="zh-CN" w:bidi="ar"/>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由</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上</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表可知，</w:t>
            </w:r>
            <w:r>
              <w:rPr>
                <w:rFonts w:hint="eastAsia" w:eastAsia="宋体" w:cs="Times New Roman"/>
                <w:color w:val="000000" w:themeColor="text1"/>
                <w:sz w:val="24"/>
                <w:szCs w:val="24"/>
                <w:highlight w:val="none"/>
                <w:lang w:eastAsia="zh-CN"/>
                <w14:textFill>
                  <w14:solidFill>
                    <w14:schemeClr w14:val="tx1"/>
                  </w14:solidFill>
                </w14:textFill>
              </w:rPr>
              <w:t>本项目建设内容与备案一致。</w:t>
            </w:r>
          </w:p>
        </w:tc>
      </w:tr>
    </w:tbl>
    <w:p w14:paraId="148002A9">
      <w:pPr>
        <w:spacing w:line="360" w:lineRule="auto"/>
        <w:outlineLvl w:val="0"/>
        <w:rPr>
          <w:rFonts w:hint="default" w:ascii="Times New Roman" w:hAnsi="Times New Roman" w:eastAsia="黑体" w:cs="Times New Roman"/>
          <w:color w:val="000000" w:themeColor="text1"/>
          <w:sz w:val="30"/>
          <w:highlight w:val="none"/>
          <w14:textFill>
            <w14:solidFill>
              <w14:schemeClr w14:val="tx1"/>
            </w14:solidFill>
          </w14:textFill>
        </w:rPr>
        <w:sectPr>
          <w:footerReference r:id="rId7" w:type="first"/>
          <w:footerReference r:id="rId6" w:type="default"/>
          <w:pgSz w:w="11905" w:h="16838"/>
          <w:pgMar w:top="1417" w:right="1417" w:bottom="1417" w:left="1701" w:header="851" w:footer="1077" w:gutter="0"/>
          <w:pgBorders w:offsetFrom="page">
            <w:top w:val="none" w:sz="0" w:space="0"/>
            <w:left w:val="none" w:sz="0" w:space="0"/>
            <w:bottom w:val="none" w:sz="0" w:space="0"/>
            <w:right w:val="none" w:sz="0" w:space="0"/>
          </w:pgBorders>
          <w:pgNumType w:fmt="decimal" w:start="1"/>
          <w:cols w:space="720" w:num="1"/>
          <w:titlePg/>
          <w:rtlGutter w:val="0"/>
          <w:docGrid w:linePitch="312" w:charSpace="0"/>
        </w:sectPr>
      </w:pPr>
    </w:p>
    <w:p w14:paraId="493808AF">
      <w:pPr>
        <w:pStyle w:val="26"/>
        <w:spacing w:before="0" w:beforeAutospacing="0" w:after="0" w:afterAutospacing="0"/>
        <w:jc w:val="center"/>
        <w:outlineLvl w:val="0"/>
        <w:rPr>
          <w:rFonts w:hint="default" w:ascii="Times New Roman" w:hAnsi="Times New Roman" w:cs="Times New Roman"/>
          <w:color w:val="000000" w:themeColor="text1"/>
          <w:highlight w:val="none"/>
          <w14:textFill>
            <w14:solidFill>
              <w14:schemeClr w14:val="tx1"/>
            </w14:solidFill>
          </w14:textFill>
        </w:rPr>
      </w:pPr>
      <w:bookmarkStart w:id="14" w:name="_Toc11615"/>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二、建设项目工程分析</w:t>
      </w:r>
      <w:bookmarkEnd w:id="14"/>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8348"/>
      </w:tblGrid>
      <w:tr w14:paraId="74EFFB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6" w:hRule="atLeast"/>
          <w:jc w:val="center"/>
        </w:trPr>
        <w:tc>
          <w:tcPr>
            <w:tcW w:w="655" w:type="dxa"/>
            <w:noWrap w:val="0"/>
            <w:vAlign w:val="center"/>
          </w:tcPr>
          <w:p w14:paraId="48490E46">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Cs w:val="24"/>
                <w:highlight w:val="none"/>
                <w14:textFill>
                  <w14:solidFill>
                    <w14:schemeClr w14:val="tx1"/>
                  </w14:solidFill>
                </w14:textFill>
              </w:rPr>
            </w:pPr>
            <w:r>
              <w:rPr>
                <w:rFonts w:hint="default" w:ascii="Times New Roman" w:hAnsi="Times New Roman" w:eastAsia="Times New Roman" w:cs="Times New Roman"/>
                <w:color w:val="000000" w:themeColor="text1"/>
                <w:szCs w:val="24"/>
                <w:highlight w:val="none"/>
                <w14:textFill>
                  <w14:solidFill>
                    <w14:schemeClr w14:val="tx1"/>
                  </w14:solidFill>
                </w14:textFill>
              </w:rPr>
              <w:t>建设内容</w:t>
            </w:r>
          </w:p>
        </w:tc>
        <w:tc>
          <w:tcPr>
            <w:tcW w:w="8348" w:type="dxa"/>
            <w:noWrap w:val="0"/>
            <w:vAlign w:val="top"/>
          </w:tcPr>
          <w:p w14:paraId="09BCAB03">
            <w:pPr>
              <w:keepNext w:val="0"/>
              <w:keepLines w:val="0"/>
              <w:suppressLineNumbers w:val="0"/>
              <w:adjustRightInd w:val="0"/>
              <w:snapToGrid w:val="0"/>
              <w:spacing w:before="120" w:beforeLines="50" w:beforeAutospacing="0" w:after="0" w:afterAutospacing="0" w:line="360" w:lineRule="auto"/>
              <w:ind w:left="0" w:right="0"/>
              <w:rPr>
                <w:rFonts w:hint="default" w:ascii="Times New Roman" w:hAnsi="Times New Roman" w:eastAsia="Times New Roman"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b/>
                <w:color w:val="000000" w:themeColor="text1"/>
                <w:sz w:val="24"/>
                <w:szCs w:val="24"/>
                <w:highlight w:val="none"/>
                <w14:textFill>
                  <w14:solidFill>
                    <w14:schemeClr w14:val="tx1"/>
                  </w14:solidFill>
                </w14:textFill>
              </w:rPr>
              <w:t>1.</w:t>
            </w:r>
            <w:r>
              <w:rPr>
                <w:rFonts w:hint="default" w:ascii="Times New Roman" w:hAnsi="Times New Roman" w:eastAsia="Times New Roman" w:cs="Times New Roman"/>
                <w:b/>
                <w:color w:val="000000" w:themeColor="text1"/>
                <w:sz w:val="24"/>
                <w:szCs w:val="24"/>
                <w:highlight w:val="none"/>
                <w:lang w:val="en-US" w:eastAsia="zh-CN"/>
                <w14:textFill>
                  <w14:solidFill>
                    <w14:schemeClr w14:val="tx1"/>
                  </w14:solidFill>
                </w14:textFill>
              </w:rPr>
              <w:t>项目由来</w:t>
            </w:r>
          </w:p>
          <w:p w14:paraId="39BC950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安阳三琪农业科技有限公司拟于安阳市汤阴县众品大道原色非家具厂院内投资500万元建设年产4000万米编织水带项目，项目已于2026年1月23日在汤阴县发展与改革委备案，备案编号：2601-410523-04-01-383511。</w:t>
            </w:r>
          </w:p>
          <w:p w14:paraId="5D2683C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根据</w:t>
            </w:r>
            <w:r>
              <w:rPr>
                <w:rFonts w:hint="eastAsia" w:cs="Times New Roman"/>
                <w:color w:val="000000" w:themeColor="text1"/>
                <w:sz w:val="24"/>
                <w:szCs w:val="24"/>
                <w:highlight w:val="none"/>
                <w:lang w:eastAsia="zh-CN"/>
                <w14:textFill>
                  <w14:solidFill>
                    <w14:schemeClr w14:val="tx1"/>
                  </w14:solidFill>
                </w14:textFill>
              </w:rPr>
              <w:t>《中华人民共和国生态环境法典》</w:t>
            </w:r>
            <w:r>
              <w:rPr>
                <w:rFonts w:hint="default" w:ascii="Times New Roman" w:hAnsi="Times New Roman" w:eastAsia="宋体" w:cs="Times New Roman"/>
                <w:color w:val="000000" w:themeColor="text1"/>
                <w:sz w:val="24"/>
                <w:szCs w:val="24"/>
                <w:highlight w:val="none"/>
                <w14:textFill>
                  <w14:solidFill>
                    <w14:schemeClr w14:val="tx1"/>
                  </w14:solidFill>
                </w14:textFill>
              </w:rPr>
              <w:t>、《建设项目环境保护管理条例》、《河南省建设项目环境保护条例》等法律、法规的规定，本项目需进行环境影响评价。依据生态环境部令第16号《建设项目环境影响评价分类管理名录》</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2021年版</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项目类别为</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二十六、橡胶和塑料制品业29</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中第53项</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塑料制品业 292</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中</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其他（年用非溶剂型低VOCs含量涂料10吨以下的除外）</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应编制</w:t>
            </w:r>
            <w:r>
              <w:rPr>
                <w:rFonts w:hint="eastAsia" w:cs="Times New Roman"/>
                <w:color w:val="000000" w:themeColor="text1"/>
                <w:sz w:val="24"/>
                <w:szCs w:val="24"/>
                <w:highlight w:val="none"/>
                <w:lang w:val="en-US" w:eastAsia="zh-CN"/>
                <w14:textFill>
                  <w14:solidFill>
                    <w14:schemeClr w14:val="tx1"/>
                  </w14:solidFill>
                </w14:textFill>
              </w:rPr>
              <w:t>生态</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环境影响报告表</w:t>
            </w:r>
            <w:r>
              <w:rPr>
                <w:rFonts w:hint="eastAsia" w:cs="Times New Roman"/>
                <w:color w:val="000000" w:themeColor="text1"/>
                <w:sz w:val="24"/>
                <w:szCs w:val="24"/>
                <w:highlight w:val="none"/>
                <w:lang w:val="en-US" w:eastAsia="zh-CN"/>
                <w14:textFill>
                  <w14:solidFill>
                    <w14:schemeClr w14:val="tx1"/>
                  </w14:solidFill>
                </w14:textFill>
              </w:rPr>
              <w:t>。</w:t>
            </w:r>
          </w:p>
          <w:p w14:paraId="057DDFE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Cs/>
                <w:sz w:val="24"/>
                <w:szCs w:val="24"/>
                <w:u w:val="none"/>
                <w:lang w:val="en-US" w:eastAsia="zh-CN" w:bidi="zh-CN"/>
              </w:rPr>
              <w:t>受建设单位委托，我公司承担了本项目的环境影响评价工作。接受委托后，我单位组织有关技术人员进行现场踏勘，根据项目的工程特征和建设区域的环境状况，对工程环境影响因素进行了识别和筛选，在此基础上，本着</w:t>
            </w:r>
            <w:r>
              <w:rPr>
                <w:rFonts w:hint="eastAsia" w:ascii="Times New Roman" w:hAnsi="Times New Roman" w:cs="Times New Roman"/>
                <w:bCs/>
                <w:sz w:val="24"/>
                <w:szCs w:val="24"/>
                <w:u w:val="none"/>
                <w:lang w:val="en-US" w:eastAsia="zh-CN" w:bidi="zh-CN"/>
              </w:rPr>
              <w:t>“</w:t>
            </w:r>
            <w:r>
              <w:rPr>
                <w:rFonts w:hint="default" w:ascii="Times New Roman" w:hAnsi="Times New Roman" w:eastAsia="宋体" w:cs="Times New Roman"/>
                <w:bCs/>
                <w:sz w:val="24"/>
                <w:szCs w:val="24"/>
                <w:u w:val="none"/>
                <w:lang w:val="en-US" w:eastAsia="zh-CN" w:bidi="zh-CN"/>
              </w:rPr>
              <w:t>科学、公正、客观</w:t>
            </w:r>
            <w:r>
              <w:rPr>
                <w:rFonts w:hint="eastAsia" w:ascii="Times New Roman" w:hAnsi="Times New Roman" w:cs="Times New Roman"/>
                <w:bCs/>
                <w:sz w:val="24"/>
                <w:szCs w:val="24"/>
                <w:u w:val="none"/>
                <w:lang w:val="en-US" w:eastAsia="zh-CN" w:bidi="zh-CN"/>
              </w:rPr>
              <w:t>”</w:t>
            </w:r>
            <w:r>
              <w:rPr>
                <w:rFonts w:hint="default" w:ascii="Times New Roman" w:hAnsi="Times New Roman" w:eastAsia="宋体" w:cs="Times New Roman"/>
                <w:bCs/>
                <w:sz w:val="24"/>
                <w:szCs w:val="24"/>
                <w:u w:val="none"/>
                <w:lang w:val="en-US" w:eastAsia="zh-CN" w:bidi="zh-CN"/>
              </w:rPr>
              <w:t>的态度，编制了本项目的</w:t>
            </w:r>
            <w:r>
              <w:rPr>
                <w:rFonts w:hint="eastAsia" w:cs="Times New Roman"/>
                <w:bCs/>
                <w:sz w:val="24"/>
                <w:szCs w:val="24"/>
                <w:u w:val="none"/>
                <w:lang w:val="en-US" w:eastAsia="zh-CN" w:bidi="zh-CN"/>
              </w:rPr>
              <w:t>生态</w:t>
            </w:r>
            <w:r>
              <w:rPr>
                <w:rFonts w:hint="default" w:ascii="Times New Roman" w:hAnsi="Times New Roman" w:eastAsia="宋体" w:cs="Times New Roman"/>
                <w:bCs/>
                <w:sz w:val="24"/>
                <w:szCs w:val="24"/>
                <w:u w:val="none"/>
                <w:lang w:val="en-US" w:eastAsia="zh-CN" w:bidi="zh-CN"/>
              </w:rPr>
              <w:t>环境影响报告表。</w:t>
            </w:r>
          </w:p>
          <w:p w14:paraId="2A844BF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default" w:ascii="Times New Roman" w:hAnsi="Times New Roman" w:eastAsia="Times New Roman" w:cs="Times New Roman"/>
                <w:b/>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b/>
                <w:color w:val="000000" w:themeColor="text1"/>
                <w:sz w:val="24"/>
                <w:szCs w:val="24"/>
                <w:highlight w:val="none"/>
                <w14:textFill>
                  <w14:solidFill>
                    <w14:schemeClr w14:val="tx1"/>
                  </w14:solidFill>
                </w14:textFill>
              </w:rPr>
              <w:t>2</w:t>
            </w:r>
            <w:r>
              <w:rPr>
                <w:rFonts w:hint="default" w:ascii="Times New Roman" w:hAnsi="Times New Roman" w:eastAsia="Times New Roman" w:cs="Times New Roman"/>
                <w:b/>
                <w:color w:val="000000" w:themeColor="text1"/>
                <w:sz w:val="24"/>
                <w:szCs w:val="24"/>
                <w:highlight w:val="none"/>
                <w:lang w:val="en-US" w:eastAsia="zh-CN"/>
                <w14:textFill>
                  <w14:solidFill>
                    <w14:schemeClr w14:val="tx1"/>
                  </w14:solidFill>
                </w14:textFill>
              </w:rPr>
              <w:t>.</w:t>
            </w:r>
            <w:r>
              <w:rPr>
                <w:rFonts w:hint="default" w:ascii="Times New Roman" w:hAnsi="Times New Roman" w:eastAsia="Times New Roman" w:cs="Times New Roman"/>
                <w:b/>
                <w:color w:val="000000" w:themeColor="text1"/>
                <w:sz w:val="24"/>
                <w:szCs w:val="24"/>
                <w:highlight w:val="none"/>
                <w14:textFill>
                  <w14:solidFill>
                    <w14:schemeClr w14:val="tx1"/>
                  </w14:solidFill>
                </w14:textFill>
              </w:rPr>
              <w:t>建设内容</w:t>
            </w:r>
          </w:p>
          <w:p w14:paraId="2F43132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本项目</w:t>
            </w:r>
            <w:r>
              <w:rPr>
                <w:rFonts w:hint="eastAsia" w:ascii="Times New Roman" w:hAnsi="Times New Roman" w:eastAsia="Times New Roman" w:cs="Times New Roman"/>
                <w:color w:val="000000" w:themeColor="text1"/>
                <w:sz w:val="24"/>
                <w:szCs w:val="24"/>
                <w:highlight w:val="none"/>
                <w:lang w:eastAsia="zh-CN"/>
                <w14:textFill>
                  <w14:solidFill>
                    <w14:schemeClr w14:val="tx1"/>
                  </w14:solidFill>
                </w14:textFill>
              </w:rPr>
              <w:t>在</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租赁</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的</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现有</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厂房</w:t>
            </w: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内</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进行建设</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项目</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基础设施包括主体工程、公用工程、储运工程、环保工程，详见</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下</w:t>
            </w:r>
            <w:r>
              <w:rPr>
                <w:rFonts w:hint="default" w:ascii="Times New Roman" w:hAnsi="Times New Roman" w:eastAsia="Times New Roman" w:cs="Times New Roman"/>
                <w:color w:val="000000" w:themeColor="text1"/>
                <w:sz w:val="24"/>
                <w:szCs w:val="24"/>
                <w:highlight w:val="none"/>
                <w14:textFill>
                  <w14:solidFill>
                    <w14:schemeClr w14:val="tx1"/>
                  </w14:solidFill>
                </w14:textFill>
              </w:rPr>
              <w:t>表。</w:t>
            </w:r>
          </w:p>
          <w:p w14:paraId="05C0E3E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14:textFill>
                  <w14:solidFill>
                    <w14:schemeClr w14:val="tx1"/>
                  </w14:solidFill>
                </w14:textFill>
              </w:rPr>
              <w:t>基础设施一览表</w:t>
            </w:r>
          </w:p>
          <w:tbl>
            <w:tblPr>
              <w:tblStyle w:val="29"/>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1774"/>
              <w:gridCol w:w="1291"/>
              <w:gridCol w:w="576"/>
              <w:gridCol w:w="2009"/>
              <w:gridCol w:w="1322"/>
            </w:tblGrid>
            <w:tr w14:paraId="309788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712" w:type="pct"/>
                  <w:tcBorders>
                    <w:top w:val="single" w:color="auto" w:sz="4" w:space="0"/>
                    <w:left w:val="nil"/>
                    <w:bottom w:val="single" w:color="auto" w:sz="4" w:space="0"/>
                    <w:right w:val="single" w:color="auto" w:sz="4" w:space="0"/>
                  </w:tcBorders>
                  <w:noWrap w:val="0"/>
                  <w:vAlign w:val="center"/>
                </w:tcPr>
                <w:p w14:paraId="19F1EE4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color w:val="000000" w:themeColor="text1"/>
                      <w:sz w:val="21"/>
                      <w:szCs w:val="21"/>
                      <w:highlight w:val="none"/>
                      <w14:textFill>
                        <w14:solidFill>
                          <w14:schemeClr w14:val="tx1"/>
                        </w14:solidFill>
                      </w14:textFill>
                    </w:rPr>
                    <w:t>项目组成</w:t>
                  </w:r>
                </w:p>
              </w:tc>
              <w:tc>
                <w:tcPr>
                  <w:tcW w:w="1091" w:type="pct"/>
                  <w:tcBorders>
                    <w:top w:val="single" w:color="auto" w:sz="4" w:space="0"/>
                    <w:left w:val="single" w:color="auto" w:sz="4" w:space="0"/>
                    <w:bottom w:val="single" w:color="auto" w:sz="4" w:space="0"/>
                    <w:right w:val="single" w:color="auto" w:sz="4" w:space="0"/>
                  </w:tcBorders>
                  <w:noWrap w:val="0"/>
                  <w:vAlign w:val="center"/>
                </w:tcPr>
                <w:p w14:paraId="4E9A06C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color w:val="000000" w:themeColor="text1"/>
                      <w:sz w:val="21"/>
                      <w:szCs w:val="21"/>
                      <w:highlight w:val="none"/>
                      <w14:textFill>
                        <w14:solidFill>
                          <w14:schemeClr w14:val="tx1"/>
                        </w14:solidFill>
                      </w14:textFill>
                    </w:rPr>
                    <w:t>主项名称</w:t>
                  </w:r>
                </w:p>
              </w:tc>
              <w:tc>
                <w:tcPr>
                  <w:tcW w:w="2384" w:type="pct"/>
                  <w:gridSpan w:val="3"/>
                  <w:tcBorders>
                    <w:top w:val="single" w:color="auto" w:sz="4" w:space="0"/>
                    <w:left w:val="single" w:color="auto" w:sz="4" w:space="0"/>
                    <w:bottom w:val="single" w:color="auto" w:sz="4" w:space="0"/>
                    <w:right w:val="single" w:color="auto" w:sz="4" w:space="0"/>
                  </w:tcBorders>
                  <w:noWrap w:val="0"/>
                  <w:vAlign w:val="center"/>
                </w:tcPr>
                <w:p w14:paraId="6EE4370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color w:val="000000" w:themeColor="text1"/>
                      <w:sz w:val="21"/>
                      <w:szCs w:val="21"/>
                      <w:highlight w:val="none"/>
                      <w14:textFill>
                        <w14:solidFill>
                          <w14:schemeClr w14:val="tx1"/>
                        </w14:solidFill>
                      </w14:textFill>
                    </w:rPr>
                    <w:t>工程内容</w:t>
                  </w:r>
                </w:p>
              </w:tc>
              <w:tc>
                <w:tcPr>
                  <w:tcW w:w="812" w:type="pct"/>
                  <w:tcBorders>
                    <w:top w:val="single" w:color="auto" w:sz="4" w:space="0"/>
                    <w:left w:val="single" w:color="auto" w:sz="4" w:space="0"/>
                    <w:bottom w:val="single" w:color="auto" w:sz="4" w:space="0"/>
                    <w:right w:val="nil"/>
                  </w:tcBorders>
                  <w:noWrap w:val="0"/>
                  <w:vAlign w:val="center"/>
                </w:tcPr>
                <w:p w14:paraId="70B74731">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color w:val="000000" w:themeColor="text1"/>
                      <w:sz w:val="21"/>
                      <w:szCs w:val="21"/>
                      <w:highlight w:val="none"/>
                      <w14:textFill>
                        <w14:solidFill>
                          <w14:schemeClr w14:val="tx1"/>
                        </w14:solidFill>
                      </w14:textFill>
                    </w:rPr>
                    <w:t>备注</w:t>
                  </w:r>
                </w:p>
              </w:tc>
            </w:tr>
            <w:tr w14:paraId="47A5AB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12" w:type="pct"/>
                  <w:vMerge w:val="restart"/>
                  <w:tcBorders>
                    <w:top w:val="single" w:color="auto" w:sz="4" w:space="0"/>
                    <w:left w:val="nil"/>
                    <w:right w:val="single" w:color="auto" w:sz="4" w:space="0"/>
                  </w:tcBorders>
                  <w:noWrap w:val="0"/>
                  <w:vAlign w:val="center"/>
                </w:tcPr>
                <w:p w14:paraId="73C99932">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主体工程</w:t>
                  </w:r>
                </w:p>
              </w:tc>
              <w:tc>
                <w:tcPr>
                  <w:tcW w:w="1091" w:type="pct"/>
                  <w:tcBorders>
                    <w:top w:val="single" w:color="auto" w:sz="4" w:space="0"/>
                    <w:left w:val="single" w:color="auto" w:sz="4" w:space="0"/>
                    <w:right w:val="single" w:color="auto" w:sz="4" w:space="0"/>
                  </w:tcBorders>
                  <w:noWrap w:val="0"/>
                  <w:vAlign w:val="center"/>
                </w:tcPr>
                <w:p w14:paraId="1163C50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kern w:val="2"/>
                      <w:sz w:val="21"/>
                      <w:szCs w:val="21"/>
                      <w:highlight w:val="none"/>
                      <w:lang w:val="en-US" w:eastAsia="zh-CN" w:bidi="ar-SA"/>
                      <w14:textFill>
                        <w14:solidFill>
                          <w14:schemeClr w14:val="tx1"/>
                        </w14:solidFill>
                      </w14:textFill>
                    </w:rPr>
                  </w:pPr>
                  <w:r>
                    <w:rPr>
                      <w:rFonts w:hint="eastAsia" w:eastAsia="Times New Roman" w:cs="Times New Roman"/>
                      <w:color w:val="000000" w:themeColor="text1"/>
                      <w:sz w:val="21"/>
                      <w:szCs w:val="21"/>
                      <w:highlight w:val="none"/>
                      <w:lang w:val="en-US" w:eastAsia="zh-CN"/>
                      <w14:textFill>
                        <w14:solidFill>
                          <w14:schemeClr w14:val="tx1"/>
                        </w14:solidFill>
                      </w14:textFill>
                    </w:rPr>
                    <w:t>编织</w:t>
                  </w: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车间</w:t>
                  </w:r>
                </w:p>
              </w:tc>
              <w:tc>
                <w:tcPr>
                  <w:tcW w:w="2384" w:type="pct"/>
                  <w:gridSpan w:val="3"/>
                  <w:tcBorders>
                    <w:top w:val="single" w:color="auto" w:sz="4" w:space="0"/>
                    <w:left w:val="single" w:color="auto" w:sz="4" w:space="0"/>
                    <w:bottom w:val="single" w:color="auto" w:sz="4" w:space="0"/>
                    <w:right w:val="single" w:color="auto" w:sz="4" w:space="0"/>
                  </w:tcBorders>
                  <w:noWrap w:val="0"/>
                  <w:vAlign w:val="center"/>
                </w:tcPr>
                <w:p w14:paraId="7142EEE4">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钢构+砖混</w:t>
                  </w:r>
                  <w:r>
                    <w:rPr>
                      <w:rFonts w:hint="default" w:ascii="Times New Roman" w:hAnsi="Times New Roman" w:eastAsia="Times New Roman" w:cs="Times New Roman"/>
                      <w:color w:val="000000" w:themeColor="text1"/>
                      <w:sz w:val="21"/>
                      <w:szCs w:val="21"/>
                      <w:highlight w:val="none"/>
                      <w14:textFill>
                        <w14:solidFill>
                          <w14:schemeClr w14:val="tx1"/>
                        </w14:solidFill>
                      </w14:textFill>
                    </w:rPr>
                    <w:t>结构，</w:t>
                  </w:r>
                  <w:r>
                    <w:rPr>
                      <w:rFonts w:hint="eastAsia" w:eastAsia="宋体" w:cs="Times New Roman"/>
                      <w:color w:val="000000" w:themeColor="text1"/>
                      <w:sz w:val="21"/>
                      <w:szCs w:val="21"/>
                      <w:highlight w:val="none"/>
                      <w:lang w:val="en-US" w:eastAsia="zh-CN"/>
                      <w14:textFill>
                        <w14:solidFill>
                          <w14:schemeClr w14:val="tx1"/>
                        </w14:solidFill>
                      </w14:textFill>
                    </w:rPr>
                    <w:t>100m×17m×5m，1700m</w:t>
                  </w:r>
                  <w:r>
                    <w:rPr>
                      <w:rFonts w:hint="eastAsia" w:eastAsia="宋体" w:cs="Times New Roman"/>
                      <w:color w:val="000000" w:themeColor="text1"/>
                      <w:sz w:val="21"/>
                      <w:szCs w:val="21"/>
                      <w:highlight w:val="none"/>
                      <w:vertAlign w:val="superscript"/>
                      <w:lang w:val="en-US" w:eastAsia="zh-CN"/>
                      <w14:textFill>
                        <w14:solidFill>
                          <w14:schemeClr w14:val="tx1"/>
                        </w14:solidFill>
                      </w14:textFill>
                    </w:rPr>
                    <w:t>2</w:t>
                  </w:r>
                  <w:r>
                    <w:rPr>
                      <w:rFonts w:hint="eastAsia" w:eastAsia="宋体" w:cs="Times New Roman"/>
                      <w:color w:val="000000" w:themeColor="text1"/>
                      <w:sz w:val="21"/>
                      <w:szCs w:val="21"/>
                      <w:highlight w:val="none"/>
                      <w:lang w:val="en-US" w:eastAsia="zh-CN"/>
                      <w14:textFill>
                        <w14:solidFill>
                          <w14:schemeClr w14:val="tx1"/>
                        </w14:solidFill>
                      </w14:textFill>
                    </w:rPr>
                    <w:t>。</w:t>
                  </w:r>
                </w:p>
              </w:tc>
              <w:tc>
                <w:tcPr>
                  <w:tcW w:w="812" w:type="pct"/>
                  <w:vMerge w:val="restart"/>
                  <w:tcBorders>
                    <w:top w:val="single" w:color="auto" w:sz="4" w:space="0"/>
                    <w:left w:val="single" w:color="auto" w:sz="4" w:space="0"/>
                    <w:right w:val="nil"/>
                  </w:tcBorders>
                  <w:noWrap w:val="0"/>
                  <w:vAlign w:val="center"/>
                </w:tcPr>
                <w:p w14:paraId="251297C1">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租赁现有</w:t>
                  </w:r>
                </w:p>
              </w:tc>
            </w:tr>
            <w:tr w14:paraId="73E9D3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712" w:type="pct"/>
                  <w:vMerge w:val="continue"/>
                  <w:tcBorders>
                    <w:left w:val="nil"/>
                    <w:right w:val="single" w:color="auto" w:sz="4" w:space="0"/>
                  </w:tcBorders>
                  <w:noWrap w:val="0"/>
                  <w:vAlign w:val="center"/>
                </w:tcPr>
                <w:p w14:paraId="4058ACB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1091" w:type="pct"/>
                  <w:tcBorders>
                    <w:top w:val="single" w:color="auto" w:sz="4" w:space="0"/>
                    <w:left w:val="single" w:color="auto" w:sz="4" w:space="0"/>
                    <w:right w:val="single" w:color="auto" w:sz="4" w:space="0"/>
                  </w:tcBorders>
                  <w:noWrap w:val="0"/>
                  <w:vAlign w:val="center"/>
                </w:tcPr>
                <w:p w14:paraId="57A29289">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pPr>
                  <w:r>
                    <w:rPr>
                      <w:rFonts w:hint="eastAsia" w:eastAsia="Times New Roman" w:cs="Times New Roman"/>
                      <w:color w:val="000000" w:themeColor="text1"/>
                      <w:sz w:val="21"/>
                      <w:szCs w:val="21"/>
                      <w:highlight w:val="none"/>
                      <w:lang w:val="en-US" w:eastAsia="zh-CN"/>
                      <w14:textFill>
                        <w14:solidFill>
                          <w14:schemeClr w14:val="tx1"/>
                        </w14:solidFill>
                      </w14:textFill>
                    </w:rPr>
                    <w:t>挤出（吹膜车间）</w:t>
                  </w:r>
                </w:p>
              </w:tc>
              <w:tc>
                <w:tcPr>
                  <w:tcW w:w="2384" w:type="pct"/>
                  <w:gridSpan w:val="3"/>
                  <w:tcBorders>
                    <w:top w:val="single" w:color="auto" w:sz="4" w:space="0"/>
                    <w:left w:val="single" w:color="auto" w:sz="4" w:space="0"/>
                    <w:bottom w:val="single" w:color="auto" w:sz="4" w:space="0"/>
                    <w:right w:val="single" w:color="auto" w:sz="4" w:space="0"/>
                  </w:tcBorders>
                  <w:noWrap w:val="0"/>
                  <w:vAlign w:val="center"/>
                </w:tcPr>
                <w:p w14:paraId="7C6E5A9B">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钢构+砖混</w:t>
                  </w:r>
                  <w:r>
                    <w:rPr>
                      <w:rFonts w:hint="default" w:ascii="Times New Roman" w:hAnsi="Times New Roman" w:eastAsia="Times New Roman" w:cs="Times New Roman"/>
                      <w:color w:val="000000" w:themeColor="text1"/>
                      <w:sz w:val="21"/>
                      <w:szCs w:val="21"/>
                      <w:highlight w:val="none"/>
                      <w14:textFill>
                        <w14:solidFill>
                          <w14:schemeClr w14:val="tx1"/>
                        </w14:solidFill>
                      </w14:textFill>
                    </w:rPr>
                    <w:t>结构，</w:t>
                  </w:r>
                  <w:r>
                    <w:rPr>
                      <w:rFonts w:hint="eastAsia" w:eastAsia="宋体" w:cs="Times New Roman"/>
                      <w:color w:val="000000" w:themeColor="text1"/>
                      <w:sz w:val="21"/>
                      <w:szCs w:val="21"/>
                      <w:highlight w:val="none"/>
                      <w:lang w:val="en-US" w:eastAsia="zh-CN"/>
                      <w14:textFill>
                        <w14:solidFill>
                          <w14:schemeClr w14:val="tx1"/>
                        </w14:solidFill>
                      </w14:textFill>
                    </w:rPr>
                    <w:t>24m×</w:t>
                  </w:r>
                  <w:r>
                    <w:rPr>
                      <w:rFonts w:hint="eastAsia" w:cs="Times New Roman"/>
                      <w:color w:val="000000" w:themeColor="text1"/>
                      <w:sz w:val="21"/>
                      <w:szCs w:val="21"/>
                      <w:highlight w:val="none"/>
                      <w:lang w:val="en-US" w:eastAsia="zh-CN"/>
                      <w14:textFill>
                        <w14:solidFill>
                          <w14:schemeClr w14:val="tx1"/>
                        </w14:solidFill>
                      </w14:textFill>
                    </w:rPr>
                    <w:t>20</w:t>
                  </w:r>
                  <w:r>
                    <w:rPr>
                      <w:rFonts w:hint="eastAsia" w:eastAsia="宋体" w:cs="Times New Roman"/>
                      <w:color w:val="000000" w:themeColor="text1"/>
                      <w:sz w:val="21"/>
                      <w:szCs w:val="21"/>
                      <w:highlight w:val="none"/>
                      <w:lang w:val="en-US" w:eastAsia="zh-CN"/>
                      <w14:textFill>
                        <w14:solidFill>
                          <w14:schemeClr w14:val="tx1"/>
                        </w14:solidFill>
                      </w14:textFill>
                    </w:rPr>
                    <w:t>m×5m，</w:t>
                  </w:r>
                  <w:r>
                    <w:rPr>
                      <w:rFonts w:hint="eastAsia" w:cs="Times New Roman"/>
                      <w:color w:val="000000" w:themeColor="text1"/>
                      <w:sz w:val="21"/>
                      <w:szCs w:val="21"/>
                      <w:highlight w:val="none"/>
                      <w:lang w:val="en-US" w:eastAsia="zh-CN"/>
                      <w14:textFill>
                        <w14:solidFill>
                          <w14:schemeClr w14:val="tx1"/>
                        </w14:solidFill>
                      </w14:textFill>
                    </w:rPr>
                    <w:t>48</w:t>
                  </w:r>
                  <w:r>
                    <w:rPr>
                      <w:rFonts w:hint="eastAsia" w:eastAsia="宋体" w:cs="Times New Roman"/>
                      <w:color w:val="000000" w:themeColor="text1"/>
                      <w:sz w:val="21"/>
                      <w:szCs w:val="21"/>
                      <w:highlight w:val="none"/>
                      <w:lang w:val="en-US" w:eastAsia="zh-CN"/>
                      <w14:textFill>
                        <w14:solidFill>
                          <w14:schemeClr w14:val="tx1"/>
                        </w14:solidFill>
                      </w14:textFill>
                    </w:rPr>
                    <w:t>0m</w:t>
                  </w:r>
                  <w:r>
                    <w:rPr>
                      <w:rFonts w:hint="eastAsia" w:eastAsia="宋体"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Times New Roman" w:cs="Times New Roman"/>
                      <w:color w:val="4F81BD" w:themeColor="accent1"/>
                      <w:kern w:val="0"/>
                      <w:sz w:val="21"/>
                      <w:szCs w:val="21"/>
                      <w:highlight w:val="none"/>
                      <w14:textFill>
                        <w14:solidFill>
                          <w14:schemeClr w14:val="accent1"/>
                        </w14:solidFill>
                      </w14:textFill>
                    </w:rPr>
                    <w:t>。</w:t>
                  </w:r>
                </w:p>
              </w:tc>
              <w:tc>
                <w:tcPr>
                  <w:tcW w:w="812" w:type="pct"/>
                  <w:vMerge w:val="continue"/>
                  <w:tcBorders>
                    <w:left w:val="single" w:color="auto" w:sz="4" w:space="0"/>
                    <w:right w:val="nil"/>
                  </w:tcBorders>
                  <w:noWrap w:val="0"/>
                  <w:vAlign w:val="center"/>
                </w:tcPr>
                <w:p w14:paraId="0FE91901">
                  <w:pPr>
                    <w:keepNext w:val="0"/>
                    <w:keepLines w:val="0"/>
                    <w:suppressLineNumbers w:val="0"/>
                    <w:adjustRightInd w:val="0"/>
                    <w:snapToGrid w:val="0"/>
                    <w:spacing w:before="0" w:beforeAutospacing="0" w:after="0" w:afterAutospacing="0" w:line="240" w:lineRule="auto"/>
                    <w:ind w:left="0" w:right="0"/>
                    <w:jc w:val="center"/>
                    <w:rPr>
                      <w:rFonts w:hint="eastAsia" w:cs="Times New Roman"/>
                      <w:color w:val="000000" w:themeColor="text1"/>
                      <w:sz w:val="21"/>
                      <w:szCs w:val="21"/>
                      <w:highlight w:val="none"/>
                      <w:lang w:eastAsia="zh-CN"/>
                      <w14:textFill>
                        <w14:solidFill>
                          <w14:schemeClr w14:val="tx1"/>
                        </w14:solidFill>
                      </w14:textFill>
                    </w:rPr>
                  </w:pPr>
                </w:p>
              </w:tc>
            </w:tr>
            <w:tr w14:paraId="2BF5A1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12" w:type="pct"/>
                  <w:vMerge w:val="continue"/>
                  <w:tcBorders>
                    <w:left w:val="nil"/>
                    <w:right w:val="single" w:color="auto" w:sz="4" w:space="0"/>
                  </w:tcBorders>
                  <w:noWrap w:val="0"/>
                  <w:vAlign w:val="center"/>
                </w:tcPr>
                <w:p w14:paraId="5ECED18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1091" w:type="pct"/>
                  <w:tcBorders>
                    <w:top w:val="single" w:color="auto" w:sz="4" w:space="0"/>
                    <w:left w:val="single" w:color="auto" w:sz="4" w:space="0"/>
                    <w:right w:val="single" w:color="auto" w:sz="4" w:space="0"/>
                  </w:tcBorders>
                  <w:noWrap w:val="0"/>
                  <w:vAlign w:val="center"/>
                </w:tcPr>
                <w:p w14:paraId="27D1CD19">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pPr>
                  <w:r>
                    <w:rPr>
                      <w:rFonts w:hint="eastAsia" w:eastAsia="Times New Roman" w:cs="Times New Roman"/>
                      <w:color w:val="000000" w:themeColor="text1"/>
                      <w:sz w:val="21"/>
                      <w:szCs w:val="21"/>
                      <w:highlight w:val="none"/>
                      <w:lang w:val="en-US" w:eastAsia="zh-CN"/>
                      <w14:textFill>
                        <w14:solidFill>
                          <w14:schemeClr w14:val="tx1"/>
                        </w14:solidFill>
                      </w14:textFill>
                    </w:rPr>
                    <w:t>原料、成品车间</w:t>
                  </w:r>
                </w:p>
              </w:tc>
              <w:tc>
                <w:tcPr>
                  <w:tcW w:w="2384" w:type="pct"/>
                  <w:gridSpan w:val="3"/>
                  <w:tcBorders>
                    <w:top w:val="single" w:color="auto" w:sz="4" w:space="0"/>
                    <w:left w:val="single" w:color="auto" w:sz="4" w:space="0"/>
                    <w:bottom w:val="single" w:color="auto" w:sz="4" w:space="0"/>
                    <w:right w:val="single" w:color="auto" w:sz="4" w:space="0"/>
                  </w:tcBorders>
                  <w:noWrap w:val="0"/>
                  <w:vAlign w:val="center"/>
                </w:tcPr>
                <w:p w14:paraId="3BF6F6AC">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钢构+砖混</w:t>
                  </w:r>
                  <w:r>
                    <w:rPr>
                      <w:rFonts w:hint="default" w:ascii="Times New Roman" w:hAnsi="Times New Roman" w:eastAsia="Times New Roman" w:cs="Times New Roman"/>
                      <w:color w:val="000000" w:themeColor="text1"/>
                      <w:sz w:val="21"/>
                      <w:szCs w:val="21"/>
                      <w:highlight w:val="none"/>
                      <w14:textFill>
                        <w14:solidFill>
                          <w14:schemeClr w14:val="tx1"/>
                        </w14:solidFill>
                      </w14:textFill>
                    </w:rPr>
                    <w:t>结构，</w:t>
                  </w:r>
                  <w:r>
                    <w:rPr>
                      <w:rFonts w:hint="eastAsia" w:eastAsia="宋体" w:cs="Times New Roman"/>
                      <w:color w:val="000000" w:themeColor="text1"/>
                      <w:sz w:val="21"/>
                      <w:szCs w:val="21"/>
                      <w:highlight w:val="none"/>
                      <w:lang w:val="en-US" w:eastAsia="zh-CN"/>
                      <w14:textFill>
                        <w14:solidFill>
                          <w14:schemeClr w14:val="tx1"/>
                        </w14:solidFill>
                      </w14:textFill>
                    </w:rPr>
                    <w:t>66m×</w:t>
                  </w:r>
                  <w:r>
                    <w:rPr>
                      <w:rFonts w:hint="eastAsia" w:cs="Times New Roman"/>
                      <w:color w:val="000000" w:themeColor="text1"/>
                      <w:sz w:val="21"/>
                      <w:szCs w:val="21"/>
                      <w:highlight w:val="none"/>
                      <w:lang w:val="en-US" w:eastAsia="zh-CN"/>
                      <w14:textFill>
                        <w14:solidFill>
                          <w14:schemeClr w14:val="tx1"/>
                        </w14:solidFill>
                      </w14:textFill>
                    </w:rPr>
                    <w:t>16</w:t>
                  </w:r>
                  <w:r>
                    <w:rPr>
                      <w:rFonts w:hint="eastAsia" w:eastAsia="宋体" w:cs="Times New Roman"/>
                      <w:color w:val="000000" w:themeColor="text1"/>
                      <w:sz w:val="21"/>
                      <w:szCs w:val="21"/>
                      <w:highlight w:val="none"/>
                      <w:lang w:val="en-US" w:eastAsia="zh-CN"/>
                      <w14:textFill>
                        <w14:solidFill>
                          <w14:schemeClr w14:val="tx1"/>
                        </w14:solidFill>
                      </w14:textFill>
                    </w:rPr>
                    <w:t>m×5m，</w:t>
                  </w:r>
                  <w:r>
                    <w:rPr>
                      <w:rFonts w:hint="eastAsia" w:cs="Times New Roman"/>
                      <w:color w:val="000000" w:themeColor="text1"/>
                      <w:sz w:val="21"/>
                      <w:szCs w:val="21"/>
                      <w:highlight w:val="none"/>
                      <w:lang w:val="en-US" w:eastAsia="zh-CN"/>
                      <w14:textFill>
                        <w14:solidFill>
                          <w14:schemeClr w14:val="tx1"/>
                        </w14:solidFill>
                      </w14:textFill>
                    </w:rPr>
                    <w:t>1056</w:t>
                  </w:r>
                  <w:r>
                    <w:rPr>
                      <w:rFonts w:hint="eastAsia" w:eastAsia="宋体" w:cs="Times New Roman"/>
                      <w:color w:val="000000" w:themeColor="text1"/>
                      <w:sz w:val="21"/>
                      <w:szCs w:val="21"/>
                      <w:highlight w:val="none"/>
                      <w:lang w:val="en-US" w:eastAsia="zh-CN"/>
                      <w14:textFill>
                        <w14:solidFill>
                          <w14:schemeClr w14:val="tx1"/>
                        </w14:solidFill>
                      </w14:textFill>
                    </w:rPr>
                    <w:t>m</w:t>
                  </w:r>
                  <w:r>
                    <w:rPr>
                      <w:rFonts w:hint="eastAsia" w:eastAsia="宋体"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Times New Roman" w:cs="Times New Roman"/>
                      <w:color w:val="4F81BD" w:themeColor="accent1"/>
                      <w:kern w:val="0"/>
                      <w:sz w:val="21"/>
                      <w:szCs w:val="21"/>
                      <w:highlight w:val="none"/>
                      <w14:textFill>
                        <w14:solidFill>
                          <w14:schemeClr w14:val="accent1"/>
                        </w14:solidFill>
                      </w14:textFill>
                    </w:rPr>
                    <w:t>。</w:t>
                  </w:r>
                </w:p>
              </w:tc>
              <w:tc>
                <w:tcPr>
                  <w:tcW w:w="812" w:type="pct"/>
                  <w:vMerge w:val="continue"/>
                  <w:tcBorders>
                    <w:left w:val="single" w:color="auto" w:sz="4" w:space="0"/>
                    <w:right w:val="nil"/>
                  </w:tcBorders>
                  <w:noWrap w:val="0"/>
                  <w:vAlign w:val="center"/>
                </w:tcPr>
                <w:p w14:paraId="785BE56B">
                  <w:pPr>
                    <w:keepNext w:val="0"/>
                    <w:keepLines w:val="0"/>
                    <w:suppressLineNumbers w:val="0"/>
                    <w:adjustRightInd w:val="0"/>
                    <w:snapToGrid w:val="0"/>
                    <w:spacing w:before="0" w:beforeAutospacing="0" w:after="0" w:afterAutospacing="0" w:line="240" w:lineRule="auto"/>
                    <w:ind w:left="0" w:right="0"/>
                    <w:jc w:val="center"/>
                    <w:rPr>
                      <w:rFonts w:hint="eastAsia" w:cs="Times New Roman"/>
                      <w:color w:val="000000" w:themeColor="text1"/>
                      <w:sz w:val="21"/>
                      <w:szCs w:val="21"/>
                      <w:highlight w:val="none"/>
                      <w:lang w:eastAsia="zh-CN"/>
                      <w14:textFill>
                        <w14:solidFill>
                          <w14:schemeClr w14:val="tx1"/>
                        </w14:solidFill>
                      </w14:textFill>
                    </w:rPr>
                  </w:pPr>
                </w:p>
              </w:tc>
            </w:tr>
            <w:tr w14:paraId="5D1C72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2" w:type="pct"/>
                  <w:tcBorders>
                    <w:top w:val="single" w:color="auto" w:sz="4" w:space="0"/>
                    <w:left w:val="nil"/>
                    <w:right w:val="single" w:color="auto" w:sz="4" w:space="0"/>
                  </w:tcBorders>
                  <w:noWrap w:val="0"/>
                  <w:vAlign w:val="center"/>
                </w:tcPr>
                <w:p w14:paraId="0D5984E1">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eastAsia="宋体" w:cs="Times New Roman"/>
                      <w:color w:val="000000" w:themeColor="text1"/>
                      <w:sz w:val="21"/>
                      <w:szCs w:val="21"/>
                      <w:highlight w:val="none"/>
                      <w:lang w:eastAsia="zh-CN"/>
                      <w14:textFill>
                        <w14:solidFill>
                          <w14:schemeClr w14:val="tx1"/>
                        </w14:solidFill>
                      </w14:textFill>
                    </w:rPr>
                    <w:t>辅助工程</w:t>
                  </w:r>
                </w:p>
              </w:tc>
              <w:tc>
                <w:tcPr>
                  <w:tcW w:w="1091" w:type="pct"/>
                  <w:tcBorders>
                    <w:top w:val="single" w:color="auto" w:sz="4" w:space="0"/>
                    <w:left w:val="single" w:color="auto" w:sz="4" w:space="0"/>
                    <w:bottom w:val="single" w:color="auto" w:sz="4" w:space="0"/>
                    <w:right w:val="single" w:color="auto" w:sz="4" w:space="0"/>
                  </w:tcBorders>
                  <w:noWrap w:val="0"/>
                  <w:vAlign w:val="center"/>
                </w:tcPr>
                <w:p w14:paraId="1071B6D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pPr>
                  <w:r>
                    <w:rPr>
                      <w:rFonts w:hint="eastAsia" w:eastAsia="Times New Roman" w:cs="Times New Roman"/>
                      <w:color w:val="000000" w:themeColor="text1"/>
                      <w:sz w:val="21"/>
                      <w:szCs w:val="21"/>
                      <w:highlight w:val="none"/>
                      <w:lang w:val="en-US" w:eastAsia="zh-CN"/>
                      <w14:textFill>
                        <w14:solidFill>
                          <w14:schemeClr w14:val="tx1"/>
                        </w14:solidFill>
                      </w14:textFill>
                    </w:rPr>
                    <w:t>宿舍、餐厅</w:t>
                  </w:r>
                </w:p>
              </w:tc>
              <w:tc>
                <w:tcPr>
                  <w:tcW w:w="2384" w:type="pct"/>
                  <w:gridSpan w:val="3"/>
                  <w:tcBorders>
                    <w:top w:val="single" w:color="auto" w:sz="4" w:space="0"/>
                    <w:left w:val="single" w:color="auto" w:sz="4" w:space="0"/>
                    <w:bottom w:val="single" w:color="auto" w:sz="4" w:space="0"/>
                    <w:right w:val="single" w:color="auto" w:sz="4" w:space="0"/>
                  </w:tcBorders>
                  <w:noWrap w:val="0"/>
                  <w:vAlign w:val="center"/>
                </w:tcPr>
                <w:p w14:paraId="5FD355BE">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pPr>
                  <w:r>
                    <w:rPr>
                      <w:rFonts w:hint="eastAsia" w:eastAsia="Times New Roman" w:cs="Times New Roman"/>
                      <w:color w:val="000000" w:themeColor="text1"/>
                      <w:sz w:val="21"/>
                      <w:szCs w:val="21"/>
                      <w:highlight w:val="none"/>
                      <w:lang w:val="en-US" w:eastAsia="zh-CN"/>
                      <w14:textFill>
                        <w14:solidFill>
                          <w14:schemeClr w14:val="tx1"/>
                        </w14:solidFill>
                      </w14:textFill>
                    </w:rPr>
                    <w:t>钢构+转混结构，餐厅1楼，办公室2楼，60m×15m×10m，900m</w:t>
                  </w:r>
                  <w:r>
                    <w:rPr>
                      <w:rFonts w:hint="eastAsia" w:eastAsia="Times New Roman"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Times New Roman" w:cs="Times New Roman"/>
                      <w:color w:val="4F81BD" w:themeColor="accent1"/>
                      <w:kern w:val="0"/>
                      <w:sz w:val="21"/>
                      <w:szCs w:val="21"/>
                      <w:highlight w:val="none"/>
                      <w14:textFill>
                        <w14:solidFill>
                          <w14:schemeClr w14:val="accent1"/>
                        </w14:solidFill>
                      </w14:textFill>
                    </w:rPr>
                    <w:t>。</w:t>
                  </w:r>
                </w:p>
              </w:tc>
              <w:tc>
                <w:tcPr>
                  <w:tcW w:w="812" w:type="pct"/>
                  <w:tcBorders>
                    <w:left w:val="single" w:color="auto" w:sz="4" w:space="0"/>
                    <w:right w:val="nil"/>
                  </w:tcBorders>
                  <w:noWrap w:val="0"/>
                  <w:vAlign w:val="center"/>
                </w:tcPr>
                <w:p w14:paraId="6C1CDFC1">
                  <w:pPr>
                    <w:keepNext w:val="0"/>
                    <w:keepLines w:val="0"/>
                    <w:suppressLineNumbers w:val="0"/>
                    <w:adjustRightInd w:val="0"/>
                    <w:snapToGrid w:val="0"/>
                    <w:spacing w:before="0" w:beforeAutospacing="0" w:after="0" w:afterAutospacing="0" w:line="240" w:lineRule="auto"/>
                    <w:ind w:left="0" w:right="0"/>
                    <w:jc w:val="center"/>
                    <w:rPr>
                      <w:rFonts w:hint="default" w:eastAsia="Times New Roman" w:cs="Times New Roman"/>
                      <w:color w:val="000000" w:themeColor="text1"/>
                      <w:sz w:val="21"/>
                      <w:szCs w:val="21"/>
                      <w:highlight w:val="none"/>
                      <w:lang w:val="en-US" w:eastAsia="zh-CN"/>
                      <w14:textFill>
                        <w14:solidFill>
                          <w14:schemeClr w14:val="tx1"/>
                        </w14:solidFill>
                      </w14:textFill>
                    </w:rPr>
                  </w:pPr>
                  <w:r>
                    <w:rPr>
                      <w:rFonts w:hint="eastAsia" w:eastAsia="Times New Roman" w:cs="Times New Roman"/>
                      <w:color w:val="000000" w:themeColor="text1"/>
                      <w:sz w:val="21"/>
                      <w:szCs w:val="21"/>
                      <w:highlight w:val="none"/>
                      <w:lang w:eastAsia="zh-CN"/>
                      <w14:textFill>
                        <w14:solidFill>
                          <w14:schemeClr w14:val="tx1"/>
                        </w14:solidFill>
                      </w14:textFill>
                    </w:rPr>
                    <w:t>租赁现有</w:t>
                  </w:r>
                </w:p>
              </w:tc>
            </w:tr>
            <w:tr w14:paraId="0D08799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12" w:type="pct"/>
                  <w:vMerge w:val="restart"/>
                  <w:tcBorders>
                    <w:left w:val="nil"/>
                    <w:right w:val="single" w:color="auto" w:sz="4" w:space="0"/>
                  </w:tcBorders>
                  <w:noWrap w:val="0"/>
                  <w:vAlign w:val="center"/>
                </w:tcPr>
                <w:p w14:paraId="7B47CDB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公用工程</w:t>
                  </w:r>
                </w:p>
              </w:tc>
              <w:tc>
                <w:tcPr>
                  <w:tcW w:w="1091" w:type="pct"/>
                  <w:tcBorders>
                    <w:top w:val="single" w:color="auto" w:sz="4" w:space="0"/>
                    <w:left w:val="single" w:color="auto" w:sz="4" w:space="0"/>
                    <w:right w:val="single" w:color="auto" w:sz="4" w:space="0"/>
                  </w:tcBorders>
                  <w:noWrap w:val="0"/>
                  <w:vAlign w:val="center"/>
                </w:tcPr>
                <w:p w14:paraId="4DC869C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供水</w:t>
                  </w:r>
                </w:p>
              </w:tc>
              <w:tc>
                <w:tcPr>
                  <w:tcW w:w="2384" w:type="pct"/>
                  <w:gridSpan w:val="3"/>
                  <w:tcBorders>
                    <w:top w:val="single" w:color="auto" w:sz="4" w:space="0"/>
                    <w:left w:val="single" w:color="auto" w:sz="4" w:space="0"/>
                    <w:right w:val="single" w:color="auto" w:sz="4" w:space="0"/>
                  </w:tcBorders>
                  <w:noWrap w:val="0"/>
                  <w:vAlign w:val="center"/>
                </w:tcPr>
                <w:p w14:paraId="6286E03F">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由产业园区内供水管网供水</w:t>
                  </w:r>
                  <w:r>
                    <w:rPr>
                      <w:rFonts w:hint="default" w:ascii="Times New Roman" w:hAnsi="Times New Roman" w:eastAsia="Times New Roman" w:cs="Times New Roman"/>
                      <w:color w:val="auto"/>
                      <w:kern w:val="0"/>
                      <w:sz w:val="21"/>
                      <w:szCs w:val="21"/>
                      <w:highlight w:val="none"/>
                    </w:rPr>
                    <w:t>。</w:t>
                  </w:r>
                </w:p>
              </w:tc>
              <w:tc>
                <w:tcPr>
                  <w:tcW w:w="812" w:type="pct"/>
                  <w:tcBorders>
                    <w:top w:val="single" w:color="auto" w:sz="4" w:space="0"/>
                    <w:left w:val="single" w:color="auto" w:sz="4" w:space="0"/>
                    <w:right w:val="nil"/>
                  </w:tcBorders>
                  <w:noWrap w:val="0"/>
                  <w:vAlign w:val="center"/>
                </w:tcPr>
                <w:p w14:paraId="1F0425B9">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租赁现有</w:t>
                  </w:r>
                </w:p>
              </w:tc>
            </w:tr>
            <w:tr w14:paraId="2782A2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9" w:hRule="atLeast"/>
              </w:trPr>
              <w:tc>
                <w:tcPr>
                  <w:tcW w:w="712" w:type="pct"/>
                  <w:vMerge w:val="continue"/>
                  <w:tcBorders>
                    <w:left w:val="nil"/>
                    <w:right w:val="single" w:color="auto" w:sz="4" w:space="0"/>
                  </w:tcBorders>
                  <w:noWrap w:val="0"/>
                  <w:vAlign w:val="center"/>
                </w:tcPr>
                <w:p w14:paraId="2E48E0A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1091" w:type="pct"/>
                  <w:tcBorders>
                    <w:top w:val="single" w:color="auto" w:sz="4" w:space="0"/>
                    <w:left w:val="single" w:color="auto" w:sz="4" w:space="0"/>
                    <w:bottom w:val="single" w:color="auto" w:sz="4" w:space="0"/>
                    <w:right w:val="single" w:color="auto" w:sz="4" w:space="0"/>
                  </w:tcBorders>
                  <w:noWrap w:val="0"/>
                  <w:vAlign w:val="center"/>
                </w:tcPr>
                <w:p w14:paraId="76DDB0F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供电</w:t>
                  </w:r>
                </w:p>
              </w:tc>
              <w:tc>
                <w:tcPr>
                  <w:tcW w:w="2384" w:type="pct"/>
                  <w:gridSpan w:val="3"/>
                  <w:tcBorders>
                    <w:top w:val="single" w:color="auto" w:sz="4" w:space="0"/>
                    <w:left w:val="single" w:color="auto" w:sz="4" w:space="0"/>
                    <w:bottom w:val="single" w:color="auto" w:sz="4" w:space="0"/>
                    <w:right w:val="single" w:color="auto" w:sz="4" w:space="0"/>
                  </w:tcBorders>
                  <w:noWrap w:val="0"/>
                  <w:vAlign w:val="center"/>
                </w:tcPr>
                <w:p w14:paraId="62657313">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kern w:val="0"/>
                      <w:sz w:val="21"/>
                      <w:szCs w:val="21"/>
                      <w:highlight w:val="none"/>
                      <w:lang w:eastAsia="zh-CN"/>
                    </w:rPr>
                  </w:pPr>
                  <w:r>
                    <w:rPr>
                      <w:rFonts w:hint="eastAsia" w:cs="Times New Roman"/>
                      <w:color w:val="auto"/>
                      <w:sz w:val="21"/>
                      <w:szCs w:val="21"/>
                      <w:highlight w:val="none"/>
                      <w:lang w:eastAsia="zh-CN"/>
                    </w:rPr>
                    <w:t>由产业园区内电网供电</w:t>
                  </w:r>
                  <w:r>
                    <w:rPr>
                      <w:rFonts w:hint="default" w:ascii="Times New Roman" w:hAnsi="Times New Roman" w:eastAsia="Times New Roman" w:cs="Times New Roman"/>
                      <w:color w:val="auto"/>
                      <w:kern w:val="0"/>
                      <w:sz w:val="21"/>
                      <w:szCs w:val="21"/>
                      <w:highlight w:val="none"/>
                    </w:rPr>
                    <w:t>。</w:t>
                  </w:r>
                </w:p>
              </w:tc>
              <w:tc>
                <w:tcPr>
                  <w:tcW w:w="812" w:type="pct"/>
                  <w:tcBorders>
                    <w:left w:val="single" w:color="auto" w:sz="4" w:space="0"/>
                    <w:bottom w:val="single" w:color="auto" w:sz="4" w:space="0"/>
                    <w:right w:val="nil"/>
                  </w:tcBorders>
                  <w:noWrap w:val="0"/>
                  <w:vAlign w:val="center"/>
                </w:tcPr>
                <w:p w14:paraId="69BA762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auto"/>
                      <w:sz w:val="21"/>
                      <w:szCs w:val="21"/>
                      <w:highlight w:val="none"/>
                    </w:rPr>
                  </w:pPr>
                  <w:r>
                    <w:rPr>
                      <w:rFonts w:hint="default" w:ascii="Times New Roman" w:hAnsi="Times New Roman" w:eastAsia="Times New Roman" w:cs="Times New Roman"/>
                      <w:color w:val="auto"/>
                      <w:sz w:val="21"/>
                      <w:szCs w:val="21"/>
                      <w:highlight w:val="none"/>
                    </w:rPr>
                    <w:t>/</w:t>
                  </w:r>
                </w:p>
              </w:tc>
            </w:tr>
            <w:tr w14:paraId="535C39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712" w:type="pct"/>
                  <w:vMerge w:val="continue"/>
                  <w:tcBorders>
                    <w:left w:val="nil"/>
                    <w:bottom w:val="single" w:color="auto" w:sz="4" w:space="0"/>
                    <w:right w:val="single" w:color="auto" w:sz="4" w:space="0"/>
                  </w:tcBorders>
                  <w:noWrap w:val="0"/>
                  <w:vAlign w:val="center"/>
                </w:tcPr>
                <w:p w14:paraId="79EA592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1091" w:type="pct"/>
                  <w:vMerge w:val="restart"/>
                  <w:tcBorders>
                    <w:top w:val="single" w:color="auto" w:sz="4" w:space="0"/>
                    <w:left w:val="single" w:color="auto" w:sz="4" w:space="0"/>
                    <w:right w:val="single" w:color="auto" w:sz="4" w:space="0"/>
                  </w:tcBorders>
                  <w:noWrap w:val="0"/>
                  <w:vAlign w:val="center"/>
                </w:tcPr>
                <w:p w14:paraId="442B616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排水</w:t>
                  </w:r>
                </w:p>
              </w:tc>
              <w:tc>
                <w:tcPr>
                  <w:tcW w:w="794" w:type="pct"/>
                  <w:tcBorders>
                    <w:top w:val="single" w:color="auto" w:sz="4" w:space="0"/>
                    <w:left w:val="single" w:color="auto" w:sz="4" w:space="0"/>
                    <w:right w:val="single" w:color="auto" w:sz="4" w:space="0"/>
                  </w:tcBorders>
                  <w:noWrap w:val="0"/>
                  <w:vAlign w:val="center"/>
                </w:tcPr>
                <w:p w14:paraId="4913B751">
                  <w:pPr>
                    <w:keepNext w:val="0"/>
                    <w:keepLines w:val="0"/>
                    <w:suppressLineNumbers w:val="0"/>
                    <w:adjustRightInd w:val="0"/>
                    <w:snapToGrid w:val="0"/>
                    <w:spacing w:before="0" w:beforeAutospacing="0" w:after="0" w:afterAutospacing="0" w:line="240" w:lineRule="auto"/>
                    <w:ind w:left="0" w:right="0"/>
                    <w:rPr>
                      <w:rFonts w:hint="eastAsia" w:cs="Times New Roman"/>
                      <w:color w:val="auto"/>
                      <w:sz w:val="21"/>
                      <w:szCs w:val="21"/>
                      <w:highlight w:val="none"/>
                      <w:lang w:eastAsia="zh-CN"/>
                    </w:rPr>
                  </w:pPr>
                  <w:r>
                    <w:rPr>
                      <w:rFonts w:hint="eastAsia" w:cs="Times New Roman"/>
                      <w:color w:val="auto"/>
                      <w:sz w:val="21"/>
                      <w:szCs w:val="21"/>
                      <w:highlight w:val="none"/>
                      <w:lang w:eastAsia="zh-CN"/>
                    </w:rPr>
                    <w:t>生活污水</w:t>
                  </w:r>
                </w:p>
              </w:tc>
              <w:tc>
                <w:tcPr>
                  <w:tcW w:w="1590" w:type="pct"/>
                  <w:gridSpan w:val="2"/>
                  <w:tcBorders>
                    <w:top w:val="single" w:color="auto" w:sz="4" w:space="0"/>
                    <w:left w:val="single" w:color="auto" w:sz="4" w:space="0"/>
                    <w:right w:val="single" w:color="auto" w:sz="4" w:space="0"/>
                  </w:tcBorders>
                  <w:noWrap w:val="0"/>
                  <w:vAlign w:val="center"/>
                </w:tcPr>
                <w:p w14:paraId="0C638E19">
                  <w:pPr>
                    <w:keepNext w:val="0"/>
                    <w:keepLines w:val="0"/>
                    <w:suppressLineNumbers w:val="0"/>
                    <w:adjustRightInd w:val="0"/>
                    <w:snapToGrid w:val="0"/>
                    <w:spacing w:before="0" w:beforeAutospacing="0" w:after="0" w:afterAutospacing="0" w:line="240" w:lineRule="auto"/>
                    <w:ind w:left="0" w:right="0"/>
                    <w:rPr>
                      <w:rFonts w:hint="default" w:eastAsia="宋体" w:cs="Times New Roman"/>
                      <w:color w:val="auto"/>
                      <w:kern w:val="0"/>
                      <w:sz w:val="21"/>
                      <w:szCs w:val="21"/>
                      <w:highlight w:val="none"/>
                      <w:lang w:val="en-US" w:eastAsia="zh-CN"/>
                    </w:rPr>
                  </w:pPr>
                  <w:r>
                    <w:rPr>
                      <w:rFonts w:hint="eastAsia" w:cs="Times New Roman"/>
                      <w:color w:val="auto"/>
                      <w:kern w:val="0"/>
                      <w:sz w:val="21"/>
                      <w:szCs w:val="21"/>
                      <w:highlight w:val="none"/>
                      <w:lang w:eastAsia="zh-CN"/>
                    </w:rPr>
                    <w:t>食堂污水经隔油池（</w:t>
                  </w:r>
                  <w:r>
                    <w:rPr>
                      <w:rFonts w:hint="eastAsia" w:cs="Times New Roman"/>
                      <w:color w:val="auto"/>
                      <w:kern w:val="0"/>
                      <w:sz w:val="21"/>
                      <w:szCs w:val="21"/>
                      <w:highlight w:val="none"/>
                      <w:lang w:val="en-US" w:eastAsia="zh-CN"/>
                    </w:rPr>
                    <w:t>1m</w:t>
                  </w:r>
                  <w:r>
                    <w:rPr>
                      <w:rFonts w:hint="eastAsia" w:cs="Times New Roman"/>
                      <w:color w:val="auto"/>
                      <w:kern w:val="0"/>
                      <w:sz w:val="21"/>
                      <w:szCs w:val="21"/>
                      <w:highlight w:val="none"/>
                      <w:vertAlign w:val="superscript"/>
                      <w:lang w:val="en-US" w:eastAsia="zh-CN"/>
                    </w:rPr>
                    <w:t>3</w:t>
                  </w:r>
                  <w:r>
                    <w:rPr>
                      <w:rFonts w:hint="eastAsia" w:cs="Times New Roman"/>
                      <w:color w:val="auto"/>
                      <w:kern w:val="0"/>
                      <w:sz w:val="21"/>
                      <w:szCs w:val="21"/>
                      <w:highlight w:val="none"/>
                      <w:lang w:eastAsia="zh-CN"/>
                    </w:rPr>
                    <w:t>）处理后与经化粪池（</w:t>
                  </w:r>
                  <w:r>
                    <w:rPr>
                      <w:rFonts w:hint="eastAsia" w:cs="Times New Roman"/>
                      <w:color w:val="auto"/>
                      <w:kern w:val="0"/>
                      <w:sz w:val="21"/>
                      <w:szCs w:val="21"/>
                      <w:highlight w:val="none"/>
                      <w:lang w:val="en-US" w:eastAsia="zh-CN"/>
                    </w:rPr>
                    <w:t>5</w:t>
                  </w:r>
                  <w:r>
                    <w:rPr>
                      <w:rFonts w:hint="default" w:ascii="Times New Roman" w:hAnsi="Times New Roman" w:eastAsia="Times New Roman" w:cs="Times New Roman"/>
                      <w:color w:val="auto"/>
                      <w:kern w:val="0"/>
                      <w:sz w:val="21"/>
                      <w:szCs w:val="21"/>
                      <w:highlight w:val="none"/>
                      <w:lang w:val="en-US" w:eastAsia="zh-CN"/>
                    </w:rPr>
                    <w:t>m</w:t>
                  </w:r>
                  <w:r>
                    <w:rPr>
                      <w:rFonts w:hint="default" w:ascii="Times New Roman" w:hAnsi="Times New Roman" w:eastAsia="Times New Roman" w:cs="Times New Roman"/>
                      <w:color w:val="auto"/>
                      <w:kern w:val="0"/>
                      <w:sz w:val="21"/>
                      <w:szCs w:val="21"/>
                      <w:highlight w:val="none"/>
                      <w:vertAlign w:val="superscript"/>
                      <w:lang w:val="en-US" w:eastAsia="zh-CN"/>
                    </w:rPr>
                    <w:t>3</w:t>
                  </w:r>
                  <w:r>
                    <w:rPr>
                      <w:rFonts w:hint="eastAsia" w:cs="Times New Roman"/>
                      <w:color w:val="auto"/>
                      <w:kern w:val="0"/>
                      <w:sz w:val="21"/>
                      <w:szCs w:val="21"/>
                      <w:highlight w:val="none"/>
                      <w:lang w:eastAsia="zh-CN"/>
                    </w:rPr>
                    <w:t>）处理后的其他生活污水一同</w:t>
                  </w:r>
                  <w:r>
                    <w:rPr>
                      <w:rFonts w:hint="default" w:ascii="Times New Roman" w:hAnsi="Times New Roman" w:eastAsia="Times New Roman" w:cs="Times New Roman"/>
                      <w:color w:val="auto"/>
                      <w:kern w:val="0"/>
                      <w:sz w:val="21"/>
                      <w:szCs w:val="21"/>
                      <w:highlight w:val="none"/>
                    </w:rPr>
                    <w:t>由园区</w:t>
                  </w:r>
                  <w:r>
                    <w:rPr>
                      <w:rFonts w:hint="default" w:ascii="Times New Roman" w:hAnsi="Times New Roman" w:eastAsia="Times New Roman" w:cs="Times New Roman"/>
                      <w:color w:val="auto"/>
                      <w:kern w:val="0"/>
                      <w:sz w:val="21"/>
                      <w:szCs w:val="21"/>
                      <w:highlight w:val="none"/>
                      <w:lang w:val="en-US" w:eastAsia="zh-CN"/>
                    </w:rPr>
                    <w:t>污水</w:t>
                  </w:r>
                  <w:r>
                    <w:rPr>
                      <w:rFonts w:hint="default" w:ascii="Times New Roman" w:hAnsi="Times New Roman" w:eastAsia="Times New Roman" w:cs="Times New Roman"/>
                      <w:color w:val="auto"/>
                      <w:kern w:val="0"/>
                      <w:sz w:val="21"/>
                      <w:szCs w:val="21"/>
                      <w:highlight w:val="none"/>
                    </w:rPr>
                    <w:t>管网进入</w:t>
                  </w:r>
                  <w:r>
                    <w:rPr>
                      <w:rFonts w:hint="eastAsia" w:ascii="Times New Roman" w:hAnsi="Times New Roman" w:eastAsia="Times New Roman" w:cs="Times New Roman"/>
                      <w:color w:val="auto"/>
                      <w:kern w:val="0"/>
                      <w:sz w:val="21"/>
                      <w:szCs w:val="21"/>
                      <w:highlight w:val="none"/>
                      <w:lang w:eastAsia="zh-CN"/>
                    </w:rPr>
                    <w:t>汤阴天雨污水净化有限公司</w:t>
                  </w:r>
                  <w:r>
                    <w:rPr>
                      <w:rFonts w:hint="default" w:ascii="Times New Roman" w:hAnsi="Times New Roman" w:eastAsia="Times New Roman" w:cs="Times New Roman"/>
                      <w:color w:val="auto"/>
                      <w:kern w:val="0"/>
                      <w:sz w:val="21"/>
                      <w:szCs w:val="21"/>
                      <w:highlight w:val="none"/>
                    </w:rPr>
                    <w:t>。</w:t>
                  </w:r>
                </w:p>
              </w:tc>
              <w:tc>
                <w:tcPr>
                  <w:tcW w:w="812" w:type="pct"/>
                  <w:tcBorders>
                    <w:left w:val="single" w:color="auto" w:sz="4" w:space="0"/>
                    <w:right w:val="nil"/>
                  </w:tcBorders>
                  <w:noWrap w:val="0"/>
                  <w:vAlign w:val="center"/>
                </w:tcPr>
                <w:p w14:paraId="2392EA70">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lang w:eastAsia="zh-CN"/>
                    </w:rPr>
                  </w:pPr>
                  <w:r>
                    <w:rPr>
                      <w:rFonts w:hint="eastAsia" w:eastAsia="Times New Roman" w:cs="Times New Roman"/>
                      <w:color w:val="auto"/>
                      <w:sz w:val="21"/>
                      <w:szCs w:val="21"/>
                      <w:highlight w:val="none"/>
                      <w:lang w:eastAsia="zh-CN"/>
                    </w:rPr>
                    <w:t>隔油池新建，化粪池租赁现有</w:t>
                  </w:r>
                </w:p>
              </w:tc>
            </w:tr>
            <w:tr w14:paraId="37B428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2" w:type="pct"/>
                  <w:vMerge w:val="continue"/>
                  <w:tcBorders>
                    <w:left w:val="nil"/>
                    <w:bottom w:val="single" w:color="auto" w:sz="4" w:space="0"/>
                    <w:right w:val="single" w:color="auto" w:sz="4" w:space="0"/>
                  </w:tcBorders>
                  <w:noWrap w:val="0"/>
                  <w:vAlign w:val="center"/>
                </w:tcPr>
                <w:p w14:paraId="23188C55">
                  <w:pPr>
                    <w:keepNext w:val="0"/>
                    <w:keepLines w:val="0"/>
                    <w:suppressLineNumbers w:val="0"/>
                    <w:adjustRightInd w:val="0"/>
                    <w:snapToGrid w:val="0"/>
                    <w:spacing w:before="0" w:beforeAutospacing="0" w:after="0" w:afterAutospacing="0" w:line="240" w:lineRule="auto"/>
                    <w:ind w:left="0" w:right="0"/>
                    <w:rPr>
                      <w:rFonts w:hint="default"/>
                      <w:sz w:val="21"/>
                      <w:szCs w:val="21"/>
                    </w:rPr>
                  </w:pPr>
                </w:p>
              </w:tc>
              <w:tc>
                <w:tcPr>
                  <w:tcW w:w="1091" w:type="pct"/>
                  <w:vMerge w:val="continue"/>
                  <w:tcBorders>
                    <w:left w:val="single" w:color="auto" w:sz="4" w:space="0"/>
                    <w:bottom w:val="single" w:color="auto" w:sz="4" w:space="0"/>
                    <w:right w:val="single" w:color="auto" w:sz="4" w:space="0"/>
                  </w:tcBorders>
                  <w:noWrap w:val="0"/>
                  <w:vAlign w:val="center"/>
                </w:tcPr>
                <w:p w14:paraId="4FE0DF2B">
                  <w:pPr>
                    <w:keepNext w:val="0"/>
                    <w:keepLines w:val="0"/>
                    <w:suppressLineNumbers w:val="0"/>
                    <w:adjustRightInd w:val="0"/>
                    <w:snapToGrid w:val="0"/>
                    <w:spacing w:before="0" w:beforeAutospacing="0" w:after="0" w:afterAutospacing="0" w:line="240" w:lineRule="auto"/>
                    <w:ind w:left="0" w:right="0"/>
                    <w:rPr>
                      <w:rFonts w:hint="default"/>
                      <w:sz w:val="21"/>
                      <w:szCs w:val="21"/>
                    </w:rPr>
                  </w:pPr>
                </w:p>
              </w:tc>
              <w:tc>
                <w:tcPr>
                  <w:tcW w:w="794" w:type="pct"/>
                  <w:tcBorders>
                    <w:top w:val="single" w:color="auto" w:sz="4" w:space="0"/>
                    <w:left w:val="single" w:color="auto" w:sz="4" w:space="0"/>
                    <w:bottom w:val="single" w:color="auto" w:sz="4" w:space="0"/>
                    <w:right w:val="single" w:color="auto" w:sz="4" w:space="0"/>
                  </w:tcBorders>
                  <w:noWrap w:val="0"/>
                  <w:vAlign w:val="center"/>
                </w:tcPr>
                <w:p w14:paraId="24B95D1F">
                  <w:pPr>
                    <w:keepNext w:val="0"/>
                    <w:keepLines w:val="0"/>
                    <w:suppressLineNumbers w:val="0"/>
                    <w:adjustRightInd w:val="0"/>
                    <w:snapToGrid w:val="0"/>
                    <w:spacing w:before="0" w:beforeAutospacing="0" w:after="0" w:afterAutospacing="0" w:line="240" w:lineRule="auto"/>
                    <w:ind w:left="0" w:right="0"/>
                    <w:rPr>
                      <w:rFonts w:hint="eastAsia" w:eastAsia="宋体"/>
                      <w:color w:val="auto"/>
                      <w:sz w:val="21"/>
                      <w:szCs w:val="21"/>
                      <w:lang w:eastAsia="zh-CN"/>
                    </w:rPr>
                  </w:pPr>
                  <w:r>
                    <w:rPr>
                      <w:rFonts w:hint="eastAsia"/>
                      <w:color w:val="auto"/>
                      <w:sz w:val="21"/>
                      <w:szCs w:val="21"/>
                      <w:lang w:eastAsia="zh-CN"/>
                    </w:rPr>
                    <w:t>生产废水</w:t>
                  </w:r>
                </w:p>
              </w:tc>
              <w:tc>
                <w:tcPr>
                  <w:tcW w:w="1590" w:type="pct"/>
                  <w:gridSpan w:val="2"/>
                  <w:tcBorders>
                    <w:top w:val="single" w:color="auto" w:sz="4" w:space="0"/>
                    <w:left w:val="single" w:color="auto" w:sz="4" w:space="0"/>
                    <w:bottom w:val="single" w:color="auto" w:sz="4" w:space="0"/>
                    <w:right w:val="single" w:color="auto" w:sz="4" w:space="0"/>
                  </w:tcBorders>
                  <w:noWrap w:val="0"/>
                  <w:vAlign w:val="center"/>
                </w:tcPr>
                <w:p w14:paraId="79071051">
                  <w:pPr>
                    <w:keepNext w:val="0"/>
                    <w:keepLines w:val="0"/>
                    <w:suppressLineNumbers w:val="0"/>
                    <w:adjustRightInd w:val="0"/>
                    <w:snapToGrid w:val="0"/>
                    <w:spacing w:before="0" w:beforeAutospacing="0" w:after="0" w:afterAutospacing="0" w:line="240" w:lineRule="auto"/>
                    <w:ind w:left="0" w:right="0"/>
                    <w:rPr>
                      <w:rFonts w:hint="default"/>
                      <w:color w:val="auto"/>
                      <w:sz w:val="21"/>
                      <w:szCs w:val="21"/>
                    </w:rPr>
                  </w:pPr>
                  <w:r>
                    <w:rPr>
                      <w:rFonts w:hint="eastAsia" w:eastAsia="宋体" w:cs="Times New Roman"/>
                      <w:color w:val="auto"/>
                      <w:kern w:val="0"/>
                      <w:sz w:val="21"/>
                      <w:szCs w:val="21"/>
                      <w:highlight w:val="none"/>
                      <w:lang w:eastAsia="zh-CN"/>
                    </w:rPr>
                    <w:t>挤出（吹膜）工序</w:t>
                  </w:r>
                  <w:r>
                    <w:rPr>
                      <w:rFonts w:hint="eastAsia" w:cs="Times New Roman"/>
                      <w:color w:val="auto"/>
                      <w:kern w:val="0"/>
                      <w:sz w:val="21"/>
                      <w:szCs w:val="21"/>
                      <w:highlight w:val="none"/>
                      <w:lang w:eastAsia="zh-CN"/>
                    </w:rPr>
                    <w:t>冷却水、高频复合工序</w:t>
                  </w:r>
                  <w:r>
                    <w:rPr>
                      <w:rFonts w:hint="eastAsia" w:eastAsia="宋体" w:cs="Times New Roman"/>
                      <w:color w:val="auto"/>
                      <w:kern w:val="0"/>
                      <w:sz w:val="21"/>
                      <w:szCs w:val="21"/>
                      <w:highlight w:val="none"/>
                      <w:lang w:eastAsia="zh-CN"/>
                    </w:rPr>
                    <w:t>冷却水循环使用，不外排。</w:t>
                  </w:r>
                </w:p>
              </w:tc>
              <w:tc>
                <w:tcPr>
                  <w:tcW w:w="812" w:type="pct"/>
                  <w:tcBorders>
                    <w:left w:val="single" w:color="auto" w:sz="4" w:space="0"/>
                    <w:bottom w:val="single" w:color="auto" w:sz="4" w:space="0"/>
                    <w:right w:val="nil"/>
                  </w:tcBorders>
                  <w:noWrap w:val="0"/>
                  <w:vAlign w:val="center"/>
                </w:tcPr>
                <w:p w14:paraId="36D48933">
                  <w:pPr>
                    <w:keepNext w:val="0"/>
                    <w:keepLines w:val="0"/>
                    <w:suppressLineNumbers w:val="0"/>
                    <w:adjustRightInd w:val="0"/>
                    <w:snapToGrid w:val="0"/>
                    <w:spacing w:before="0" w:beforeAutospacing="0" w:after="0" w:afterAutospacing="0" w:line="240" w:lineRule="auto"/>
                    <w:ind w:left="0" w:right="0"/>
                    <w:jc w:val="center"/>
                    <w:rPr>
                      <w:rFonts w:hint="eastAsia" w:eastAsia="宋体"/>
                      <w:color w:val="auto"/>
                      <w:sz w:val="21"/>
                      <w:szCs w:val="21"/>
                      <w:lang w:eastAsia="zh-CN"/>
                    </w:rPr>
                  </w:pPr>
                  <w:r>
                    <w:rPr>
                      <w:rFonts w:hint="eastAsia"/>
                      <w:color w:val="auto"/>
                      <w:sz w:val="21"/>
                      <w:szCs w:val="21"/>
                      <w:lang w:eastAsia="zh-CN"/>
                    </w:rPr>
                    <w:t>新建</w:t>
                  </w:r>
                </w:p>
              </w:tc>
            </w:tr>
            <w:tr w14:paraId="58B6E4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2" w:type="pct"/>
                  <w:vMerge w:val="restart"/>
                  <w:tcBorders>
                    <w:top w:val="single" w:color="auto" w:sz="4" w:space="0"/>
                    <w:left w:val="nil"/>
                    <w:right w:val="single" w:color="auto" w:sz="4" w:space="0"/>
                  </w:tcBorders>
                  <w:noWrap w:val="0"/>
                  <w:vAlign w:val="center"/>
                </w:tcPr>
                <w:p w14:paraId="670C5E0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环保工程</w:t>
                  </w:r>
                </w:p>
              </w:tc>
              <w:tc>
                <w:tcPr>
                  <w:tcW w:w="1091" w:type="pct"/>
                  <w:tcBorders>
                    <w:top w:val="single" w:color="auto" w:sz="4" w:space="0"/>
                    <w:left w:val="single" w:color="auto" w:sz="4" w:space="0"/>
                    <w:bottom w:val="single" w:color="auto" w:sz="4" w:space="0"/>
                    <w:right w:val="single" w:color="auto" w:sz="4" w:space="0"/>
                  </w:tcBorders>
                  <w:noWrap w:val="0"/>
                  <w:vAlign w:val="center"/>
                </w:tcPr>
                <w:p w14:paraId="1D11D02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噪声治理</w:t>
                  </w:r>
                </w:p>
              </w:tc>
              <w:tc>
                <w:tcPr>
                  <w:tcW w:w="2384" w:type="pct"/>
                  <w:gridSpan w:val="3"/>
                  <w:tcBorders>
                    <w:top w:val="single" w:color="auto" w:sz="4" w:space="0"/>
                    <w:left w:val="single" w:color="auto" w:sz="4" w:space="0"/>
                    <w:bottom w:val="single" w:color="auto" w:sz="4" w:space="0"/>
                    <w:right w:val="single" w:color="auto" w:sz="4" w:space="0"/>
                  </w:tcBorders>
                  <w:noWrap w:val="0"/>
                  <w:vAlign w:val="center"/>
                </w:tcPr>
                <w:p w14:paraId="60D71399">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lang w:eastAsia="zh-CN"/>
                    </w:rPr>
                  </w:pPr>
                  <w:r>
                    <w:rPr>
                      <w:rFonts w:hint="eastAsia" w:eastAsia="宋体" w:cs="Times New Roman"/>
                      <w:color w:val="auto"/>
                      <w:sz w:val="21"/>
                      <w:szCs w:val="21"/>
                      <w:highlight w:val="none"/>
                      <w:lang w:eastAsia="zh-CN"/>
                    </w:rPr>
                    <w:t>选用低噪声设备、</w:t>
                  </w:r>
                  <w:r>
                    <w:rPr>
                      <w:rFonts w:hint="default" w:ascii="Times New Roman" w:hAnsi="Times New Roman" w:eastAsia="Times New Roman" w:cs="Times New Roman"/>
                      <w:color w:val="auto"/>
                      <w:sz w:val="21"/>
                      <w:szCs w:val="21"/>
                      <w:highlight w:val="none"/>
                    </w:rPr>
                    <w:t>基础减振+厂房隔声</w:t>
                  </w:r>
                  <w:r>
                    <w:rPr>
                      <w:rFonts w:hint="default" w:ascii="Times New Roman" w:hAnsi="Times New Roman" w:eastAsia="Times New Roman" w:cs="Times New Roman"/>
                      <w:color w:val="auto"/>
                      <w:sz w:val="21"/>
                      <w:szCs w:val="21"/>
                      <w:highlight w:val="none"/>
                      <w:lang w:eastAsia="zh-CN"/>
                    </w:rPr>
                    <w:t>。</w:t>
                  </w:r>
                </w:p>
              </w:tc>
              <w:tc>
                <w:tcPr>
                  <w:tcW w:w="812" w:type="pct"/>
                  <w:tcBorders>
                    <w:top w:val="single" w:color="auto" w:sz="4" w:space="0"/>
                    <w:left w:val="single" w:color="auto" w:sz="4" w:space="0"/>
                    <w:right w:val="nil"/>
                  </w:tcBorders>
                  <w:noWrap w:val="0"/>
                  <w:vAlign w:val="center"/>
                </w:tcPr>
                <w:p w14:paraId="71DBC49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auto"/>
                      <w:sz w:val="21"/>
                      <w:szCs w:val="21"/>
                      <w:highlight w:val="none"/>
                    </w:rPr>
                  </w:pPr>
                  <w:r>
                    <w:rPr>
                      <w:rFonts w:hint="eastAsia" w:ascii="Times New Roman" w:hAnsi="Times New Roman" w:eastAsia="Times New Roman" w:cs="Times New Roman"/>
                      <w:color w:val="auto"/>
                      <w:sz w:val="21"/>
                      <w:szCs w:val="21"/>
                      <w:highlight w:val="none"/>
                      <w:lang w:eastAsia="zh-CN"/>
                    </w:rPr>
                    <w:t>新建</w:t>
                  </w:r>
                </w:p>
              </w:tc>
            </w:tr>
            <w:tr w14:paraId="2892766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2" w:type="pct"/>
                  <w:vMerge w:val="continue"/>
                  <w:tcBorders>
                    <w:left w:val="nil"/>
                    <w:right w:val="single" w:color="auto" w:sz="4" w:space="0"/>
                  </w:tcBorders>
                  <w:noWrap w:val="0"/>
                  <w:vAlign w:val="center"/>
                </w:tcPr>
                <w:p w14:paraId="1109881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1091" w:type="pct"/>
                  <w:tcBorders>
                    <w:top w:val="single" w:color="auto" w:sz="4" w:space="0"/>
                    <w:left w:val="single" w:color="auto" w:sz="4" w:space="0"/>
                    <w:right w:val="single" w:color="auto" w:sz="4" w:space="0"/>
                  </w:tcBorders>
                  <w:noWrap w:val="0"/>
                  <w:vAlign w:val="center"/>
                </w:tcPr>
                <w:p w14:paraId="63FA31A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废气治理</w:t>
                  </w:r>
                </w:p>
              </w:tc>
              <w:tc>
                <w:tcPr>
                  <w:tcW w:w="2384" w:type="pct"/>
                  <w:gridSpan w:val="3"/>
                  <w:tcBorders>
                    <w:top w:val="single" w:color="auto" w:sz="4" w:space="0"/>
                    <w:left w:val="single" w:color="auto" w:sz="4" w:space="0"/>
                    <w:right w:val="single" w:color="auto" w:sz="4" w:space="0"/>
                  </w:tcBorders>
                  <w:noWrap w:val="0"/>
                  <w:vAlign w:val="center"/>
                </w:tcPr>
                <w:p w14:paraId="4E18F7E8">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0"/>
                      <w:sz w:val="21"/>
                      <w:szCs w:val="21"/>
                      <w:highlight w:val="none"/>
                      <w:lang w:eastAsia="zh-CN"/>
                    </w:rPr>
                    <w:t>挤出（吹膜）</w:t>
                  </w:r>
                  <w:r>
                    <w:rPr>
                      <w:rFonts w:hint="default" w:ascii="Times New Roman" w:hAnsi="Times New Roman" w:eastAsia="Times New Roman" w:cs="Times New Roman"/>
                      <w:color w:val="auto"/>
                      <w:sz w:val="21"/>
                      <w:szCs w:val="21"/>
                      <w:highlight w:val="none"/>
                      <w:lang w:val="en-US" w:eastAsia="zh-CN"/>
                    </w:rPr>
                    <w:t>废气</w:t>
                  </w:r>
                  <w:r>
                    <w:rPr>
                      <w:rFonts w:hint="eastAsia" w:eastAsia="Times New Roman" w:cs="Times New Roman"/>
                      <w:color w:val="auto"/>
                      <w:sz w:val="21"/>
                      <w:szCs w:val="21"/>
                      <w:highlight w:val="none"/>
                      <w:lang w:val="en-US" w:eastAsia="zh-CN"/>
                    </w:rPr>
                    <w:t>、高频复合废气、粘合废气、喷码废气由密闭集气罩正压收集后经过</w:t>
                  </w:r>
                  <w:r>
                    <w:rPr>
                      <w:rFonts w:hint="eastAsia" w:ascii="Times New Roman" w:hAnsi="Times New Roman" w:eastAsia="Times New Roman" w:cs="Times New Roman"/>
                      <w:color w:val="auto"/>
                      <w:sz w:val="21"/>
                      <w:szCs w:val="21"/>
                      <w:highlight w:val="none"/>
                      <w:lang w:val="en-US" w:eastAsia="zh-CN"/>
                    </w:rPr>
                    <w:t>吸附、脱附+催化燃烧</w:t>
                  </w:r>
                  <w:r>
                    <w:rPr>
                      <w:rFonts w:hint="default" w:ascii="Times New Roman" w:hAnsi="Times New Roman" w:eastAsia="Times New Roman" w:cs="Times New Roman"/>
                      <w:color w:val="auto"/>
                      <w:sz w:val="21"/>
                      <w:szCs w:val="21"/>
                      <w:highlight w:val="none"/>
                      <w:lang w:val="en-US" w:eastAsia="zh-CN"/>
                    </w:rPr>
                    <w:t>处理后，</w:t>
                  </w:r>
                  <w:r>
                    <w:rPr>
                      <w:rFonts w:hint="eastAsia" w:eastAsia="Times New Roman" w:cs="Times New Roman"/>
                      <w:color w:val="auto"/>
                      <w:sz w:val="21"/>
                      <w:szCs w:val="21"/>
                      <w:highlight w:val="none"/>
                      <w:lang w:val="en-US" w:eastAsia="zh-CN"/>
                    </w:rPr>
                    <w:t>通过1根不低于15m高</w:t>
                  </w:r>
                  <w:r>
                    <w:rPr>
                      <w:rFonts w:hint="default" w:ascii="Times New Roman" w:hAnsi="Times New Roman" w:eastAsia="Times New Roman" w:cs="Times New Roman"/>
                      <w:color w:val="auto"/>
                      <w:sz w:val="21"/>
                      <w:szCs w:val="21"/>
                      <w:highlight w:val="none"/>
                      <w:lang w:val="en-US" w:eastAsia="zh-CN"/>
                    </w:rPr>
                    <w:t>排气筒</w:t>
                  </w:r>
                  <w:r>
                    <w:rPr>
                      <w:rFonts w:hint="eastAsia" w:eastAsia="Times New Roman" w:cs="Times New Roman"/>
                      <w:color w:val="auto"/>
                      <w:sz w:val="21"/>
                      <w:szCs w:val="21"/>
                      <w:highlight w:val="none"/>
                      <w:lang w:val="en-US" w:eastAsia="zh-CN"/>
                    </w:rPr>
                    <w:t>（DA001）</w:t>
                  </w:r>
                  <w:r>
                    <w:rPr>
                      <w:rFonts w:hint="default" w:ascii="Times New Roman" w:hAnsi="Times New Roman" w:eastAsia="Times New Roman" w:cs="Times New Roman"/>
                      <w:color w:val="auto"/>
                      <w:sz w:val="21"/>
                      <w:szCs w:val="21"/>
                      <w:highlight w:val="none"/>
                      <w:lang w:val="en-US" w:eastAsia="zh-CN"/>
                    </w:rPr>
                    <w:t>排放</w:t>
                  </w:r>
                  <w:r>
                    <w:rPr>
                      <w:rFonts w:hint="eastAsia" w:ascii="Times New Roman" w:hAnsi="Times New Roman" w:eastAsia="Times New Roman" w:cs="Times New Roman"/>
                      <w:color w:val="auto"/>
                      <w:sz w:val="21"/>
                      <w:szCs w:val="21"/>
                      <w:highlight w:val="none"/>
                      <w:lang w:val="en-US" w:eastAsia="zh-CN"/>
                    </w:rPr>
                    <w:t>。</w:t>
                  </w:r>
                  <w:r>
                    <w:rPr>
                      <w:rFonts w:hint="eastAsia" w:eastAsia="Times New Roman" w:cs="Times New Roman"/>
                      <w:color w:val="auto"/>
                      <w:sz w:val="21"/>
                      <w:szCs w:val="21"/>
                      <w:highlight w:val="none"/>
                      <w:lang w:val="en-US" w:eastAsia="zh-CN"/>
                    </w:rPr>
                    <w:t>食堂油烟收集后经静电油烟净化器处理后房顶排气筒排放（DA002）。</w:t>
                  </w:r>
                </w:p>
              </w:tc>
              <w:tc>
                <w:tcPr>
                  <w:tcW w:w="812" w:type="pct"/>
                  <w:tcBorders>
                    <w:top w:val="single" w:color="auto" w:sz="4" w:space="0"/>
                    <w:left w:val="single" w:color="auto" w:sz="4" w:space="0"/>
                    <w:right w:val="nil"/>
                  </w:tcBorders>
                  <w:noWrap w:val="0"/>
                  <w:vAlign w:val="center"/>
                </w:tcPr>
                <w:p w14:paraId="62B78C6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auto"/>
                      <w:kern w:val="2"/>
                      <w:sz w:val="21"/>
                      <w:szCs w:val="21"/>
                      <w:highlight w:val="none"/>
                      <w:lang w:val="en-US" w:eastAsia="zh-CN" w:bidi="ar-SA"/>
                    </w:rPr>
                  </w:pPr>
                  <w:r>
                    <w:rPr>
                      <w:rFonts w:hint="eastAsia" w:ascii="Times New Roman" w:hAnsi="Times New Roman" w:eastAsia="Times New Roman" w:cs="Times New Roman"/>
                      <w:color w:val="auto"/>
                      <w:sz w:val="21"/>
                      <w:szCs w:val="21"/>
                      <w:highlight w:val="none"/>
                      <w:lang w:eastAsia="zh-CN"/>
                    </w:rPr>
                    <w:t>新建</w:t>
                  </w:r>
                </w:p>
              </w:tc>
            </w:tr>
            <w:tr w14:paraId="669DB1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712" w:type="pct"/>
                  <w:vMerge w:val="continue"/>
                  <w:tcBorders>
                    <w:left w:val="nil"/>
                    <w:right w:val="single" w:color="auto" w:sz="4" w:space="0"/>
                  </w:tcBorders>
                  <w:noWrap w:val="0"/>
                  <w:vAlign w:val="center"/>
                </w:tcPr>
                <w:p w14:paraId="3B6176E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1091" w:type="pct"/>
                  <w:vMerge w:val="restart"/>
                  <w:tcBorders>
                    <w:top w:val="single" w:color="auto" w:sz="4" w:space="0"/>
                    <w:left w:val="single" w:color="auto" w:sz="4" w:space="0"/>
                    <w:right w:val="single" w:color="auto" w:sz="4" w:space="0"/>
                  </w:tcBorders>
                  <w:noWrap w:val="0"/>
                  <w:vAlign w:val="center"/>
                </w:tcPr>
                <w:p w14:paraId="1A70BEB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废水治理</w:t>
                  </w:r>
                </w:p>
              </w:tc>
              <w:tc>
                <w:tcPr>
                  <w:tcW w:w="2384" w:type="pct"/>
                  <w:gridSpan w:val="3"/>
                  <w:tcBorders>
                    <w:top w:val="single" w:color="auto" w:sz="4" w:space="0"/>
                    <w:left w:val="single" w:color="auto" w:sz="4" w:space="0"/>
                    <w:bottom w:val="single" w:color="auto" w:sz="4" w:space="0"/>
                    <w:right w:val="single" w:color="auto" w:sz="4" w:space="0"/>
                  </w:tcBorders>
                  <w:noWrap w:val="0"/>
                  <w:vAlign w:val="center"/>
                </w:tcPr>
                <w:p w14:paraId="1DF510FF">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Times New Roman" w:cs="Times New Roman"/>
                      <w:color w:val="auto"/>
                      <w:sz w:val="21"/>
                      <w:szCs w:val="21"/>
                      <w:highlight w:val="none"/>
                    </w:rPr>
                  </w:pPr>
                  <w:r>
                    <w:rPr>
                      <w:rFonts w:hint="eastAsia" w:eastAsia="宋体" w:cs="Times New Roman"/>
                      <w:color w:val="auto"/>
                      <w:sz w:val="21"/>
                      <w:szCs w:val="21"/>
                      <w:highlight w:val="none"/>
                      <w:lang w:eastAsia="zh-CN"/>
                    </w:rPr>
                    <w:t>生活污水</w:t>
                  </w:r>
                  <w:r>
                    <w:rPr>
                      <w:rFonts w:hint="default" w:ascii="Times New Roman" w:hAnsi="Times New Roman" w:eastAsia="Times New Roman" w:cs="Times New Roman"/>
                      <w:color w:val="auto"/>
                      <w:sz w:val="21"/>
                      <w:szCs w:val="21"/>
                      <w:highlight w:val="none"/>
                      <w:lang w:val="en-US" w:eastAsia="zh-CN"/>
                    </w:rPr>
                    <w:t>：</w:t>
                  </w:r>
                  <w:r>
                    <w:rPr>
                      <w:rFonts w:hint="eastAsia" w:cs="Times New Roman"/>
                      <w:color w:val="auto"/>
                      <w:kern w:val="0"/>
                      <w:sz w:val="21"/>
                      <w:szCs w:val="21"/>
                      <w:highlight w:val="none"/>
                      <w:lang w:eastAsia="zh-CN"/>
                    </w:rPr>
                    <w:t>食堂污水经隔油池（</w:t>
                  </w:r>
                  <w:r>
                    <w:rPr>
                      <w:rFonts w:hint="eastAsia" w:cs="Times New Roman"/>
                      <w:color w:val="auto"/>
                      <w:kern w:val="0"/>
                      <w:sz w:val="21"/>
                      <w:szCs w:val="21"/>
                      <w:highlight w:val="none"/>
                      <w:lang w:val="en-US" w:eastAsia="zh-CN"/>
                    </w:rPr>
                    <w:t>1m</w:t>
                  </w:r>
                  <w:r>
                    <w:rPr>
                      <w:rFonts w:hint="eastAsia" w:cs="Times New Roman"/>
                      <w:color w:val="auto"/>
                      <w:kern w:val="0"/>
                      <w:sz w:val="21"/>
                      <w:szCs w:val="21"/>
                      <w:highlight w:val="none"/>
                      <w:vertAlign w:val="superscript"/>
                      <w:lang w:val="en-US" w:eastAsia="zh-CN"/>
                    </w:rPr>
                    <w:t>3</w:t>
                  </w:r>
                  <w:r>
                    <w:rPr>
                      <w:rFonts w:hint="eastAsia" w:cs="Times New Roman"/>
                      <w:color w:val="auto"/>
                      <w:kern w:val="0"/>
                      <w:sz w:val="21"/>
                      <w:szCs w:val="21"/>
                      <w:highlight w:val="none"/>
                      <w:lang w:eastAsia="zh-CN"/>
                    </w:rPr>
                    <w:t>）处理后与经化粪池（</w:t>
                  </w:r>
                  <w:r>
                    <w:rPr>
                      <w:rFonts w:hint="eastAsia" w:cs="Times New Roman"/>
                      <w:color w:val="auto"/>
                      <w:kern w:val="0"/>
                      <w:sz w:val="21"/>
                      <w:szCs w:val="21"/>
                      <w:highlight w:val="none"/>
                      <w:lang w:val="en-US" w:eastAsia="zh-CN"/>
                    </w:rPr>
                    <w:t>5</w:t>
                  </w:r>
                  <w:r>
                    <w:rPr>
                      <w:rFonts w:hint="default" w:ascii="Times New Roman" w:hAnsi="Times New Roman" w:eastAsia="Times New Roman" w:cs="Times New Roman"/>
                      <w:color w:val="auto"/>
                      <w:kern w:val="0"/>
                      <w:sz w:val="21"/>
                      <w:szCs w:val="21"/>
                      <w:highlight w:val="none"/>
                      <w:lang w:val="en-US" w:eastAsia="zh-CN"/>
                    </w:rPr>
                    <w:t>m</w:t>
                  </w:r>
                  <w:r>
                    <w:rPr>
                      <w:rFonts w:hint="default" w:ascii="Times New Roman" w:hAnsi="Times New Roman" w:eastAsia="Times New Roman" w:cs="Times New Roman"/>
                      <w:color w:val="auto"/>
                      <w:kern w:val="0"/>
                      <w:sz w:val="21"/>
                      <w:szCs w:val="21"/>
                      <w:highlight w:val="none"/>
                      <w:vertAlign w:val="superscript"/>
                      <w:lang w:val="en-US" w:eastAsia="zh-CN"/>
                    </w:rPr>
                    <w:t>3</w:t>
                  </w:r>
                  <w:r>
                    <w:rPr>
                      <w:rFonts w:hint="eastAsia" w:cs="Times New Roman"/>
                      <w:color w:val="auto"/>
                      <w:kern w:val="0"/>
                      <w:sz w:val="21"/>
                      <w:szCs w:val="21"/>
                      <w:highlight w:val="none"/>
                      <w:lang w:eastAsia="zh-CN"/>
                    </w:rPr>
                    <w:t>）处理后的其他生活污水一同</w:t>
                  </w:r>
                  <w:r>
                    <w:rPr>
                      <w:rFonts w:hint="default" w:ascii="Times New Roman" w:hAnsi="Times New Roman" w:eastAsia="Times New Roman" w:cs="Times New Roman"/>
                      <w:color w:val="auto"/>
                      <w:kern w:val="0"/>
                      <w:sz w:val="21"/>
                      <w:szCs w:val="21"/>
                      <w:highlight w:val="none"/>
                    </w:rPr>
                    <w:t>由园区</w:t>
                  </w:r>
                  <w:r>
                    <w:rPr>
                      <w:rFonts w:hint="default" w:ascii="Times New Roman" w:hAnsi="Times New Roman" w:eastAsia="Times New Roman" w:cs="Times New Roman"/>
                      <w:color w:val="auto"/>
                      <w:kern w:val="0"/>
                      <w:sz w:val="21"/>
                      <w:szCs w:val="21"/>
                      <w:highlight w:val="none"/>
                      <w:lang w:val="en-US" w:eastAsia="zh-CN"/>
                    </w:rPr>
                    <w:t>污水</w:t>
                  </w:r>
                  <w:r>
                    <w:rPr>
                      <w:rFonts w:hint="default" w:ascii="Times New Roman" w:hAnsi="Times New Roman" w:eastAsia="Times New Roman" w:cs="Times New Roman"/>
                      <w:color w:val="auto"/>
                      <w:kern w:val="0"/>
                      <w:sz w:val="21"/>
                      <w:szCs w:val="21"/>
                      <w:highlight w:val="none"/>
                    </w:rPr>
                    <w:t>管网进入</w:t>
                  </w:r>
                  <w:r>
                    <w:rPr>
                      <w:rFonts w:hint="eastAsia" w:ascii="Times New Roman" w:hAnsi="Times New Roman" w:eastAsia="Times New Roman" w:cs="Times New Roman"/>
                      <w:color w:val="auto"/>
                      <w:kern w:val="0"/>
                      <w:sz w:val="21"/>
                      <w:szCs w:val="21"/>
                      <w:highlight w:val="none"/>
                      <w:lang w:eastAsia="zh-CN"/>
                    </w:rPr>
                    <w:t>汤阴天雨污水净化有限公司</w:t>
                  </w:r>
                  <w:r>
                    <w:rPr>
                      <w:rFonts w:hint="default" w:ascii="Times New Roman" w:hAnsi="Times New Roman" w:eastAsia="Times New Roman" w:cs="Times New Roman"/>
                      <w:color w:val="auto"/>
                      <w:sz w:val="21"/>
                      <w:szCs w:val="21"/>
                      <w:highlight w:val="none"/>
                      <w:lang w:val="en-US" w:eastAsia="zh-CN"/>
                    </w:rPr>
                    <w:t>。</w:t>
                  </w:r>
                </w:p>
              </w:tc>
              <w:tc>
                <w:tcPr>
                  <w:tcW w:w="812" w:type="pct"/>
                  <w:tcBorders>
                    <w:left w:val="single" w:color="auto" w:sz="4" w:space="0"/>
                    <w:right w:val="nil"/>
                  </w:tcBorders>
                  <w:noWrap w:val="0"/>
                  <w:vAlign w:val="center"/>
                </w:tcPr>
                <w:p w14:paraId="441D52F5">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lang w:eastAsia="zh-CN"/>
                    </w:rPr>
                  </w:pPr>
                  <w:r>
                    <w:rPr>
                      <w:rFonts w:hint="eastAsia" w:eastAsia="Times New Roman" w:cs="Times New Roman"/>
                      <w:color w:val="auto"/>
                      <w:sz w:val="21"/>
                      <w:szCs w:val="21"/>
                      <w:highlight w:val="none"/>
                      <w:lang w:eastAsia="zh-CN"/>
                    </w:rPr>
                    <w:t>隔油池新建，化粪池租赁现有</w:t>
                  </w:r>
                </w:p>
              </w:tc>
            </w:tr>
            <w:tr w14:paraId="5C2F1B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712" w:type="pct"/>
                  <w:vMerge w:val="continue"/>
                  <w:tcBorders>
                    <w:left w:val="nil"/>
                    <w:right w:val="single" w:color="auto" w:sz="4" w:space="0"/>
                  </w:tcBorders>
                  <w:noWrap w:val="0"/>
                  <w:vAlign w:val="center"/>
                </w:tcPr>
                <w:p w14:paraId="19FED4E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1091" w:type="pct"/>
                  <w:vMerge w:val="continue"/>
                  <w:tcBorders>
                    <w:left w:val="single" w:color="auto" w:sz="4" w:space="0"/>
                    <w:right w:val="single" w:color="auto" w:sz="4" w:space="0"/>
                  </w:tcBorders>
                  <w:noWrap w:val="0"/>
                  <w:vAlign w:val="center"/>
                </w:tcPr>
                <w:p w14:paraId="73AFBB8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2384" w:type="pct"/>
                  <w:gridSpan w:val="3"/>
                  <w:tcBorders>
                    <w:top w:val="single" w:color="auto" w:sz="4" w:space="0"/>
                    <w:left w:val="single" w:color="auto" w:sz="4" w:space="0"/>
                    <w:bottom w:val="single" w:color="auto" w:sz="4" w:space="0"/>
                    <w:right w:val="single" w:color="auto" w:sz="4" w:space="0"/>
                  </w:tcBorders>
                  <w:noWrap w:val="0"/>
                  <w:vAlign w:val="center"/>
                </w:tcPr>
                <w:p w14:paraId="4057DA82">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生产废水</w:t>
                  </w:r>
                  <w:r>
                    <w:rPr>
                      <w:rFonts w:hint="default" w:ascii="Times New Roman" w:hAnsi="Times New Roman" w:eastAsia="Times New Roman" w:cs="Times New Roman"/>
                      <w:color w:val="000000" w:themeColor="text1"/>
                      <w:sz w:val="21"/>
                      <w:szCs w:val="21"/>
                      <w:highlight w:val="none"/>
                      <w:lang w:eastAsia="zh-CN"/>
                      <w14:textFill>
                        <w14:solidFill>
                          <w14:schemeClr w14:val="tx1"/>
                        </w14:solidFill>
                      </w14:textFill>
                    </w:rPr>
                    <w:t>：</w:t>
                  </w:r>
                  <w:r>
                    <w:rPr>
                      <w:rFonts w:hint="eastAsia" w:eastAsia="宋体" w:cs="Times New Roman"/>
                      <w:color w:val="000000" w:themeColor="text1"/>
                      <w:kern w:val="0"/>
                      <w:sz w:val="21"/>
                      <w:szCs w:val="21"/>
                      <w:highlight w:val="none"/>
                      <w:lang w:eastAsia="zh-CN"/>
                      <w14:textFill>
                        <w14:solidFill>
                          <w14:schemeClr w14:val="tx1"/>
                        </w14:solidFill>
                      </w14:textFill>
                    </w:rPr>
                    <w:t>挤出（吹膜）工序</w:t>
                  </w:r>
                  <w:r>
                    <w:rPr>
                      <w:rFonts w:hint="eastAsia" w:cs="Times New Roman"/>
                      <w:color w:val="000000" w:themeColor="text1"/>
                      <w:kern w:val="0"/>
                      <w:sz w:val="21"/>
                      <w:szCs w:val="21"/>
                      <w:highlight w:val="none"/>
                      <w:lang w:eastAsia="zh-CN"/>
                      <w14:textFill>
                        <w14:solidFill>
                          <w14:schemeClr w14:val="tx1"/>
                        </w14:solidFill>
                      </w14:textFill>
                    </w:rPr>
                    <w:t>、高频复合工序</w:t>
                  </w:r>
                  <w:r>
                    <w:rPr>
                      <w:rFonts w:hint="eastAsia" w:eastAsia="Times New Roman" w:cs="Times New Roman"/>
                      <w:color w:val="000000" w:themeColor="text1"/>
                      <w:sz w:val="21"/>
                      <w:szCs w:val="21"/>
                      <w:highlight w:val="none"/>
                      <w:lang w:eastAsia="zh-CN"/>
                      <w14:textFill>
                        <w14:solidFill>
                          <w14:schemeClr w14:val="tx1"/>
                        </w14:solidFill>
                      </w14:textFill>
                    </w:rPr>
                    <w:t>冷却水</w:t>
                  </w: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循环使用，不外排</w:t>
                  </w:r>
                  <w:r>
                    <w:rPr>
                      <w:rFonts w:hint="default" w:ascii="Times New Roman" w:hAnsi="Times New Roman" w:eastAsia="Times New Roman" w:cs="Times New Roman"/>
                      <w:color w:val="000000" w:themeColor="text1"/>
                      <w:sz w:val="21"/>
                      <w:szCs w:val="21"/>
                      <w:lang w:eastAsia="zh-CN"/>
                      <w14:textFill>
                        <w14:solidFill>
                          <w14:schemeClr w14:val="tx1"/>
                        </w14:solidFill>
                      </w14:textFill>
                    </w:rPr>
                    <w:t>。</w:t>
                  </w:r>
                </w:p>
              </w:tc>
              <w:tc>
                <w:tcPr>
                  <w:tcW w:w="812" w:type="pct"/>
                  <w:tcBorders>
                    <w:left w:val="single" w:color="auto" w:sz="4" w:space="0"/>
                    <w:right w:val="nil"/>
                  </w:tcBorders>
                  <w:noWrap w:val="0"/>
                  <w:vAlign w:val="center"/>
                </w:tcPr>
                <w:p w14:paraId="51DD8BFF">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新建</w:t>
                  </w:r>
                </w:p>
              </w:tc>
            </w:tr>
            <w:tr w14:paraId="5A352F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2" w:type="pct"/>
                  <w:vMerge w:val="continue"/>
                  <w:tcBorders>
                    <w:left w:val="nil"/>
                    <w:right w:val="single" w:color="auto" w:sz="4" w:space="0"/>
                  </w:tcBorders>
                  <w:noWrap w:val="0"/>
                  <w:vAlign w:val="center"/>
                </w:tcPr>
                <w:p w14:paraId="17793407">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1091" w:type="pct"/>
                  <w:vMerge w:val="restart"/>
                  <w:tcBorders>
                    <w:top w:val="single" w:color="auto" w:sz="4" w:space="0"/>
                    <w:left w:val="single" w:color="auto" w:sz="4" w:space="0"/>
                    <w:right w:val="single" w:color="auto" w:sz="4" w:space="0"/>
                  </w:tcBorders>
                  <w:noWrap w:val="0"/>
                  <w:vAlign w:val="center"/>
                </w:tcPr>
                <w:p w14:paraId="11522C83">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固废治理</w:t>
                  </w:r>
                </w:p>
              </w:tc>
              <w:tc>
                <w:tcPr>
                  <w:tcW w:w="1148" w:type="pct"/>
                  <w:gridSpan w:val="2"/>
                  <w:tcBorders>
                    <w:top w:val="single" w:color="auto" w:sz="4" w:space="0"/>
                    <w:left w:val="single" w:color="auto" w:sz="4" w:space="0"/>
                    <w:bottom w:val="single" w:color="auto" w:sz="4" w:space="0"/>
                    <w:right w:val="single" w:color="auto" w:sz="4" w:space="0"/>
                  </w:tcBorders>
                  <w:noWrap w:val="0"/>
                  <w:vAlign w:val="center"/>
                </w:tcPr>
                <w:p w14:paraId="311841CB">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生活垃圾</w:t>
                  </w:r>
                  <w:r>
                    <w:rPr>
                      <w:rFonts w:hint="eastAsia" w:eastAsia="Times New Roman" w:cs="Times New Roman"/>
                      <w:color w:val="000000" w:themeColor="text1"/>
                      <w:sz w:val="21"/>
                      <w:szCs w:val="21"/>
                      <w:highlight w:val="none"/>
                      <w:lang w:val="en-US" w:eastAsia="zh-CN"/>
                      <w14:textFill>
                        <w14:solidFill>
                          <w14:schemeClr w14:val="tx1"/>
                        </w14:solidFill>
                      </w14:textFill>
                    </w:rPr>
                    <w:t>。</w:t>
                  </w:r>
                </w:p>
              </w:tc>
              <w:tc>
                <w:tcPr>
                  <w:tcW w:w="1235" w:type="pct"/>
                  <w:tcBorders>
                    <w:top w:val="single" w:color="auto" w:sz="4" w:space="0"/>
                    <w:left w:val="single" w:color="auto" w:sz="4" w:space="0"/>
                    <w:bottom w:val="single" w:color="auto" w:sz="4" w:space="0"/>
                    <w:right w:val="single" w:color="auto" w:sz="4" w:space="0"/>
                  </w:tcBorders>
                  <w:noWrap w:val="0"/>
                  <w:vAlign w:val="center"/>
                </w:tcPr>
                <w:p w14:paraId="1F58812D">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pPr>
                  <w:r>
                    <w:rPr>
                      <w:rFonts w:hint="eastAsia" w:eastAsia="Times New Roman" w:cs="Times New Roman"/>
                      <w:color w:val="000000" w:themeColor="text1"/>
                      <w:sz w:val="21"/>
                      <w:szCs w:val="21"/>
                      <w:highlight w:val="none"/>
                      <w:lang w:val="en-US" w:eastAsia="zh-CN"/>
                      <w14:textFill>
                        <w14:solidFill>
                          <w14:schemeClr w14:val="tx1"/>
                        </w14:solidFill>
                      </w14:textFill>
                    </w:rPr>
                    <w:t>垃圾箱。</w:t>
                  </w:r>
                </w:p>
              </w:tc>
              <w:tc>
                <w:tcPr>
                  <w:tcW w:w="812" w:type="pct"/>
                  <w:tcBorders>
                    <w:left w:val="single" w:color="auto" w:sz="4" w:space="0"/>
                    <w:right w:val="nil"/>
                  </w:tcBorders>
                  <w:noWrap w:val="0"/>
                  <w:vAlign w:val="center"/>
                </w:tcPr>
                <w:p w14:paraId="6E65EE22">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新建</w:t>
                  </w:r>
                </w:p>
              </w:tc>
            </w:tr>
            <w:tr w14:paraId="09F5EA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2" w:type="pct"/>
                  <w:vMerge w:val="continue"/>
                  <w:tcBorders>
                    <w:left w:val="nil"/>
                    <w:right w:val="single" w:color="auto" w:sz="4" w:space="0"/>
                  </w:tcBorders>
                  <w:noWrap w:val="0"/>
                  <w:vAlign w:val="center"/>
                </w:tcPr>
                <w:p w14:paraId="32482A7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1091" w:type="pct"/>
                  <w:vMerge w:val="continue"/>
                  <w:tcBorders>
                    <w:left w:val="single" w:color="auto" w:sz="4" w:space="0"/>
                    <w:right w:val="single" w:color="auto" w:sz="4" w:space="0"/>
                  </w:tcBorders>
                  <w:noWrap w:val="0"/>
                  <w:vAlign w:val="center"/>
                </w:tcPr>
                <w:p w14:paraId="4218C9A2">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1148" w:type="pct"/>
                  <w:gridSpan w:val="2"/>
                  <w:tcBorders>
                    <w:top w:val="single" w:color="auto" w:sz="4" w:space="0"/>
                    <w:left w:val="single" w:color="auto" w:sz="4" w:space="0"/>
                    <w:bottom w:val="single" w:color="auto" w:sz="4" w:space="0"/>
                    <w:right w:val="single" w:color="auto" w:sz="4" w:space="0"/>
                  </w:tcBorders>
                  <w:noWrap w:val="0"/>
                  <w:vAlign w:val="center"/>
                </w:tcPr>
                <w:p w14:paraId="0F8E9D95">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pPr>
                  <w:r>
                    <w:rPr>
                      <w:rFonts w:hint="eastAsia" w:eastAsia="Times New Roman" w:cs="Times New Roman"/>
                      <w:color w:val="000000" w:themeColor="text1"/>
                      <w:sz w:val="21"/>
                      <w:szCs w:val="21"/>
                      <w:highlight w:val="none"/>
                      <w:lang w:val="en-US" w:eastAsia="zh-CN"/>
                      <w14:textFill>
                        <w14:solidFill>
                          <w14:schemeClr w14:val="tx1"/>
                        </w14:solidFill>
                      </w14:textFill>
                    </w:rPr>
                    <w:t>一般固废：</w:t>
                  </w: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废包装、边角料、不合格产品</w:t>
                  </w:r>
                  <w:r>
                    <w:rPr>
                      <w:rFonts w:hint="eastAsia" w:eastAsia="Times New Roman" w:cs="Times New Roman"/>
                      <w:color w:val="000000" w:themeColor="text1"/>
                      <w:sz w:val="21"/>
                      <w:szCs w:val="21"/>
                      <w:highlight w:val="none"/>
                      <w:lang w:val="en-US" w:eastAsia="zh-CN"/>
                      <w14:textFill>
                        <w14:solidFill>
                          <w14:schemeClr w14:val="tx1"/>
                        </w14:solidFill>
                      </w14:textFill>
                    </w:rPr>
                    <w:t>、废过滤器、废油脂。</w:t>
                  </w:r>
                </w:p>
              </w:tc>
              <w:tc>
                <w:tcPr>
                  <w:tcW w:w="1235" w:type="pct"/>
                  <w:tcBorders>
                    <w:top w:val="single" w:color="auto" w:sz="4" w:space="0"/>
                    <w:left w:val="single" w:color="auto" w:sz="4" w:space="0"/>
                    <w:bottom w:val="single" w:color="auto" w:sz="4" w:space="0"/>
                    <w:right w:val="single" w:color="auto" w:sz="4" w:space="0"/>
                  </w:tcBorders>
                  <w:noWrap w:val="0"/>
                  <w:vAlign w:val="center"/>
                </w:tcPr>
                <w:p w14:paraId="1DB297AE">
                  <w:pPr>
                    <w:keepNext w:val="0"/>
                    <w:keepLines w:val="0"/>
                    <w:suppressLineNumbers w:val="0"/>
                    <w:adjustRightInd w:val="0"/>
                    <w:snapToGrid w:val="0"/>
                    <w:spacing w:before="0" w:beforeAutospacing="0" w:after="0" w:afterAutospacing="0" w:line="240" w:lineRule="auto"/>
                    <w:ind w:left="0" w:right="0"/>
                    <w:rPr>
                      <w:rFonts w:hint="eastAsia" w:eastAsia="Times New Roman" w:cs="Times New Roman"/>
                      <w:color w:val="000000" w:themeColor="text1"/>
                      <w:sz w:val="21"/>
                      <w:szCs w:val="21"/>
                      <w:highlight w:val="none"/>
                      <w:lang w:val="en-US" w:eastAsia="zh-CN"/>
                      <w14:textFill>
                        <w14:solidFill>
                          <w14:schemeClr w14:val="tx1"/>
                        </w14:solidFill>
                      </w14:textFill>
                    </w:rPr>
                  </w:pPr>
                  <w:r>
                    <w:rPr>
                      <w:rFonts w:hint="eastAsia" w:eastAsia="Times New Roman" w:cs="Times New Roman"/>
                      <w:color w:val="000000" w:themeColor="text1"/>
                      <w:sz w:val="21"/>
                      <w:szCs w:val="21"/>
                      <w:highlight w:val="none"/>
                      <w:lang w:val="en-US" w:eastAsia="zh-CN"/>
                      <w14:textFill>
                        <w14:solidFill>
                          <w14:schemeClr w14:val="tx1"/>
                        </w14:solidFill>
                      </w14:textFill>
                    </w:rPr>
                    <w:t>一般固废间</w:t>
                  </w: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w:t>
                  </w:r>
                  <w:r>
                    <w:rPr>
                      <w:rFonts w:hint="eastAsia" w:eastAsia="Times New Roman" w:cs="Times New Roman"/>
                      <w:color w:val="000000" w:themeColor="text1"/>
                      <w:sz w:val="21"/>
                      <w:szCs w:val="21"/>
                      <w:highlight w:val="none"/>
                      <w:lang w:val="en-US" w:eastAsia="zh-CN"/>
                      <w14:textFill>
                        <w14:solidFill>
                          <w14:schemeClr w14:val="tx1"/>
                        </w14:solidFill>
                      </w14:textFill>
                    </w:rPr>
                    <w:t>5</w:t>
                  </w: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m</w:t>
                  </w:r>
                  <w:r>
                    <w:rPr>
                      <w:rFonts w:hint="eastAsia" w:ascii="Times New Roman" w:hAnsi="Times New Roman" w:eastAsia="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w:t>
                  </w:r>
                </w:p>
              </w:tc>
              <w:tc>
                <w:tcPr>
                  <w:tcW w:w="812" w:type="pct"/>
                  <w:tcBorders>
                    <w:left w:val="single" w:color="auto" w:sz="4" w:space="0"/>
                    <w:right w:val="nil"/>
                  </w:tcBorders>
                  <w:noWrap w:val="0"/>
                  <w:vAlign w:val="center"/>
                </w:tcPr>
                <w:p w14:paraId="746C943A">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eastAsia="宋体" w:cs="Times New Roman"/>
                      <w:color w:val="000000" w:themeColor="text1"/>
                      <w:sz w:val="21"/>
                      <w:szCs w:val="21"/>
                      <w:highlight w:val="none"/>
                      <w:lang w:eastAsia="zh-CN"/>
                      <w14:textFill>
                        <w14:solidFill>
                          <w14:schemeClr w14:val="tx1"/>
                        </w14:solidFill>
                      </w14:textFill>
                    </w:rPr>
                    <w:t>新建</w:t>
                  </w:r>
                </w:p>
              </w:tc>
            </w:tr>
            <w:tr w14:paraId="26C0CD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12" w:type="pct"/>
                  <w:vMerge w:val="continue"/>
                  <w:tcBorders>
                    <w:left w:val="nil"/>
                    <w:right w:val="single" w:color="auto" w:sz="4" w:space="0"/>
                  </w:tcBorders>
                  <w:noWrap w:val="0"/>
                  <w:vAlign w:val="center"/>
                </w:tcPr>
                <w:p w14:paraId="2B41F08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1091" w:type="pct"/>
                  <w:vMerge w:val="continue"/>
                  <w:tcBorders>
                    <w:left w:val="single" w:color="auto" w:sz="4" w:space="0"/>
                    <w:right w:val="single" w:color="auto" w:sz="4" w:space="0"/>
                  </w:tcBorders>
                  <w:noWrap w:val="0"/>
                  <w:vAlign w:val="center"/>
                </w:tcPr>
                <w:p w14:paraId="5336BAB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1148" w:type="pct"/>
                  <w:gridSpan w:val="2"/>
                  <w:tcBorders>
                    <w:top w:val="single" w:color="auto" w:sz="4" w:space="0"/>
                    <w:left w:val="single" w:color="auto" w:sz="4" w:space="0"/>
                    <w:bottom w:val="single" w:color="auto" w:sz="4" w:space="0"/>
                    <w:right w:val="single" w:color="auto" w:sz="4" w:space="0"/>
                  </w:tcBorders>
                  <w:noWrap w:val="0"/>
                  <w:vAlign w:val="center"/>
                </w:tcPr>
                <w:p w14:paraId="6461993C">
                  <w:pPr>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pPr>
                  <w:r>
                    <w:rPr>
                      <w:rFonts w:hint="eastAsia" w:eastAsia="Times New Roman" w:cs="Times New Roman"/>
                      <w:color w:val="000000" w:themeColor="text1"/>
                      <w:sz w:val="21"/>
                      <w:szCs w:val="21"/>
                      <w:highlight w:val="none"/>
                      <w:lang w:val="en-US" w:eastAsia="zh-CN"/>
                      <w14:textFill>
                        <w14:solidFill>
                          <w14:schemeClr w14:val="tx1"/>
                        </w14:solidFill>
                      </w14:textFill>
                    </w:rPr>
                    <w:t>危险废物：废活性炭、废润滑油桶、废催化剂。</w:t>
                  </w:r>
                </w:p>
              </w:tc>
              <w:tc>
                <w:tcPr>
                  <w:tcW w:w="1235" w:type="pct"/>
                  <w:tcBorders>
                    <w:top w:val="single" w:color="auto" w:sz="4" w:space="0"/>
                    <w:left w:val="single" w:color="auto" w:sz="4" w:space="0"/>
                    <w:bottom w:val="single" w:color="auto" w:sz="4" w:space="0"/>
                    <w:right w:val="single" w:color="auto" w:sz="4" w:space="0"/>
                  </w:tcBorders>
                  <w:noWrap w:val="0"/>
                  <w:vAlign w:val="center"/>
                </w:tcPr>
                <w:p w14:paraId="37C1A71D">
                  <w:pPr>
                    <w:keepNext w:val="0"/>
                    <w:keepLines w:val="0"/>
                    <w:suppressLineNumbers w:val="0"/>
                    <w:adjustRightInd w:val="0"/>
                    <w:snapToGrid w:val="0"/>
                    <w:spacing w:before="0" w:beforeAutospacing="0" w:after="0" w:afterAutospacing="0" w:line="240" w:lineRule="auto"/>
                    <w:ind w:left="0" w:right="0"/>
                    <w:rPr>
                      <w:rFonts w:hint="eastAsia" w:eastAsia="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危废间</w:t>
                  </w: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w:t>
                  </w:r>
                  <w:r>
                    <w:rPr>
                      <w:rFonts w:hint="eastAsia" w:eastAsia="Times New Roman" w:cs="Times New Roman"/>
                      <w:color w:val="000000" w:themeColor="text1"/>
                      <w:sz w:val="21"/>
                      <w:szCs w:val="21"/>
                      <w:highlight w:val="none"/>
                      <w:lang w:val="en-US" w:eastAsia="zh-CN"/>
                      <w14:textFill>
                        <w14:solidFill>
                          <w14:schemeClr w14:val="tx1"/>
                        </w14:solidFill>
                      </w14:textFill>
                    </w:rPr>
                    <w:t>5</w:t>
                  </w: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m</w:t>
                  </w:r>
                  <w:r>
                    <w:rPr>
                      <w:rFonts w:hint="eastAsia" w:ascii="Times New Roman" w:hAnsi="Times New Roman" w:eastAsia="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w:t>
                  </w:r>
                  <w:r>
                    <w:rPr>
                      <w:rFonts w:hint="eastAsia" w:eastAsia="Times New Roman" w:cs="Times New Roman"/>
                      <w:color w:val="000000" w:themeColor="text1"/>
                      <w:sz w:val="21"/>
                      <w:szCs w:val="21"/>
                      <w:highlight w:val="none"/>
                      <w:lang w:val="en-US" w:eastAsia="zh-CN"/>
                      <w14:textFill>
                        <w14:solidFill>
                          <w14:schemeClr w14:val="tx1"/>
                        </w14:solidFill>
                      </w14:textFill>
                    </w:rPr>
                    <w:t>。</w:t>
                  </w:r>
                </w:p>
              </w:tc>
              <w:tc>
                <w:tcPr>
                  <w:tcW w:w="812" w:type="pct"/>
                  <w:tcBorders>
                    <w:left w:val="single" w:color="auto" w:sz="4" w:space="0"/>
                    <w:right w:val="nil"/>
                  </w:tcBorders>
                  <w:noWrap w:val="0"/>
                  <w:vAlign w:val="center"/>
                </w:tcPr>
                <w:p w14:paraId="2D8D69CB">
                  <w:pPr>
                    <w:keepNext w:val="0"/>
                    <w:keepLines w:val="0"/>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Times New Roman"/>
                      <w:color w:val="000000" w:themeColor="text1"/>
                      <w:sz w:val="21"/>
                      <w:szCs w:val="21"/>
                      <w:highlight w:val="yellow"/>
                      <w:lang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新建</w:t>
                  </w:r>
                </w:p>
              </w:tc>
            </w:tr>
            <w:tr w14:paraId="45E2DB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000" w:type="pct"/>
                  <w:gridSpan w:val="6"/>
                  <w:tcBorders>
                    <w:left w:val="nil"/>
                    <w:right w:val="nil"/>
                  </w:tcBorders>
                  <w:noWrap w:val="0"/>
                  <w:vAlign w:val="center"/>
                </w:tcPr>
                <w:p w14:paraId="3FD3940E">
                  <w:pPr>
                    <w:keepNext w:val="0"/>
                    <w:keepLines w:val="0"/>
                    <w:suppressLineNumbers w:val="0"/>
                    <w:adjustRightInd w:val="0"/>
                    <w:snapToGrid w:val="0"/>
                    <w:spacing w:before="0" w:beforeAutospacing="0" w:after="0" w:afterAutospacing="0" w:line="240" w:lineRule="auto"/>
                    <w:ind w:left="0" w:right="0"/>
                    <w:jc w:val="both"/>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注</w:t>
                  </w:r>
                  <w:r>
                    <w:rPr>
                      <w:rFonts w:hint="eastAsia" w:cs="Times New Roman"/>
                      <w:color w:val="000000" w:themeColor="text1"/>
                      <w:sz w:val="21"/>
                      <w:szCs w:val="21"/>
                      <w:highlight w:val="none"/>
                      <w:lang w:val="en-US" w:eastAsia="zh-CN"/>
                      <w14:textFill>
                        <w14:solidFill>
                          <w14:schemeClr w14:val="tx1"/>
                        </w14:solidFill>
                      </w14:textFill>
                    </w:rPr>
                    <w:t>：根据现场调查，本项目租赁生产厂房为5000平方米，汤阴县色非家具厂土地证面积为8941平方米，剩余3941平方米仍然作为色非家具厂所有。</w:t>
                  </w:r>
                </w:p>
              </w:tc>
            </w:tr>
          </w:tbl>
          <w:p w14:paraId="03C18723">
            <w:pPr>
              <w:keepNext w:val="0"/>
              <w:keepLines w:val="0"/>
              <w:suppressLineNumbers w:val="0"/>
              <w:adjustRightInd w:val="0"/>
              <w:snapToGrid w:val="0"/>
              <w:spacing w:before="120" w:beforeLines="50" w:beforeAutospacing="0" w:after="0" w:afterAutospacing="0" w:line="360" w:lineRule="auto"/>
              <w:ind w:left="0" w:right="0"/>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t>3</w:t>
            </w:r>
            <w:r>
              <w:rPr>
                <w:rFonts w:hint="default" w:ascii="Times New Roman" w:hAnsi="Times New Roman" w:eastAsia="Times New Roman" w:cs="Times New Roman"/>
                <w:b/>
                <w:color w:val="000000" w:themeColor="text1"/>
                <w:sz w:val="24"/>
                <w:highlight w:val="none"/>
                <w14:textFill>
                  <w14:solidFill>
                    <w14:schemeClr w14:val="tx1"/>
                  </w14:solidFill>
                </w14:textFill>
              </w:rPr>
              <w:t>.主要设备</w:t>
            </w:r>
          </w:p>
          <w:p w14:paraId="27A6CDD4">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highlight w:val="none"/>
                <w14:textFill>
                  <w14:solidFill>
                    <w14:schemeClr w14:val="tx1"/>
                  </w14:solidFill>
                </w14:textFill>
              </w:rPr>
            </w:pPr>
            <w:r>
              <w:rPr>
                <w:rFonts w:hint="default" w:ascii="Times New Roman" w:hAnsi="Times New Roman" w:eastAsia="Times New Roman" w:cs="Times New Roman"/>
                <w:color w:val="000000" w:themeColor="text1"/>
                <w:sz w:val="24"/>
                <w:highlight w:val="none"/>
                <w14:textFill>
                  <w14:solidFill>
                    <w14:schemeClr w14:val="tx1"/>
                  </w14:solidFill>
                </w14:textFill>
              </w:rPr>
              <w:t>项目主要生产设备见下表。</w:t>
            </w:r>
          </w:p>
          <w:p w14:paraId="6A4C78E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14:textFill>
                  <w14:solidFill>
                    <w14:schemeClr w14:val="tx1"/>
                  </w14:solidFill>
                </w14:textFill>
              </w:rPr>
              <w:t>主要生产设备一览表</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75"/>
              <w:gridCol w:w="2591"/>
              <w:gridCol w:w="2664"/>
              <w:gridCol w:w="1599"/>
            </w:tblGrid>
            <w:tr w14:paraId="13DF26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784" w:type="pct"/>
                  <w:vAlign w:val="center"/>
                </w:tcPr>
                <w:p w14:paraId="7D44AC1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b/>
                      <w:bCs/>
                      <w:szCs w:val="21"/>
                    </w:rPr>
                  </w:pPr>
                  <w:r>
                    <w:rPr>
                      <w:rFonts w:hint="default"/>
                      <w:b/>
                      <w:bCs/>
                      <w:szCs w:val="21"/>
                    </w:rPr>
                    <w:t>序号</w:t>
                  </w:r>
                </w:p>
              </w:tc>
              <w:tc>
                <w:tcPr>
                  <w:tcW w:w="1593" w:type="pct"/>
                  <w:vAlign w:val="center"/>
                </w:tcPr>
                <w:p w14:paraId="36BB8520">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b/>
                      <w:bCs/>
                      <w:szCs w:val="21"/>
                    </w:rPr>
                  </w:pPr>
                  <w:r>
                    <w:rPr>
                      <w:rFonts w:hint="default"/>
                      <w:b/>
                      <w:bCs/>
                      <w:szCs w:val="21"/>
                    </w:rPr>
                    <w:t>名称</w:t>
                  </w:r>
                </w:p>
              </w:tc>
              <w:tc>
                <w:tcPr>
                  <w:tcW w:w="1638" w:type="pct"/>
                  <w:vAlign w:val="center"/>
                </w:tcPr>
                <w:p w14:paraId="645486A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b/>
                      <w:bCs/>
                      <w:szCs w:val="21"/>
                    </w:rPr>
                  </w:pPr>
                  <w:r>
                    <w:rPr>
                      <w:rFonts w:hint="default"/>
                      <w:b/>
                      <w:bCs/>
                      <w:szCs w:val="21"/>
                    </w:rPr>
                    <w:t>型号</w:t>
                  </w:r>
                </w:p>
              </w:tc>
              <w:tc>
                <w:tcPr>
                  <w:tcW w:w="983" w:type="pct"/>
                  <w:vAlign w:val="center"/>
                </w:tcPr>
                <w:p w14:paraId="1B13D16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eastAsia" w:eastAsia="宋体"/>
                      <w:b/>
                      <w:bCs/>
                      <w:szCs w:val="21"/>
                      <w:lang w:eastAsia="zh-CN"/>
                    </w:rPr>
                  </w:pPr>
                  <w:r>
                    <w:rPr>
                      <w:rFonts w:hint="default"/>
                      <w:b/>
                      <w:bCs/>
                      <w:szCs w:val="21"/>
                    </w:rPr>
                    <w:t>数量</w:t>
                  </w:r>
                  <w:r>
                    <w:rPr>
                      <w:rFonts w:hint="eastAsia"/>
                      <w:b/>
                      <w:bCs/>
                      <w:szCs w:val="21"/>
                      <w:lang w:eastAsia="zh-CN"/>
                    </w:rPr>
                    <w:t>（台</w:t>
                  </w:r>
                  <w:r>
                    <w:rPr>
                      <w:rFonts w:hint="eastAsia"/>
                      <w:b/>
                      <w:bCs/>
                      <w:szCs w:val="21"/>
                      <w:lang w:val="en-US" w:eastAsia="zh-CN"/>
                    </w:rPr>
                    <w:t>/套</w:t>
                  </w:r>
                  <w:r>
                    <w:rPr>
                      <w:rFonts w:hint="eastAsia"/>
                      <w:b/>
                      <w:bCs/>
                      <w:szCs w:val="21"/>
                      <w:lang w:eastAsia="zh-CN"/>
                    </w:rPr>
                    <w:t>）</w:t>
                  </w:r>
                </w:p>
              </w:tc>
            </w:tr>
            <w:tr w14:paraId="49E5E4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84" w:type="pct"/>
                  <w:vAlign w:val="center"/>
                </w:tcPr>
                <w:p w14:paraId="760C20C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szCs w:val="21"/>
                    </w:rPr>
                  </w:pPr>
                  <w:r>
                    <w:rPr>
                      <w:rFonts w:hint="default"/>
                      <w:szCs w:val="21"/>
                    </w:rPr>
                    <w:t>1</w:t>
                  </w:r>
                </w:p>
              </w:tc>
              <w:tc>
                <w:tcPr>
                  <w:tcW w:w="1593" w:type="pct"/>
                  <w:vAlign w:val="center"/>
                </w:tcPr>
                <w:p w14:paraId="2E8A7FDB">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挤出（</w:t>
                  </w:r>
                  <w:r>
                    <w:rPr>
                      <w:rFonts w:hint="default" w:ascii="Times New Roman" w:hAnsi="Times New Roman" w:eastAsia="宋体" w:cs="Times New Roman"/>
                      <w:color w:val="auto"/>
                      <w:sz w:val="21"/>
                      <w:szCs w:val="21"/>
                      <w:lang w:val="en-US" w:eastAsia="zh-CN"/>
                    </w:rPr>
                    <w:t>吹膜</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机</w:t>
                  </w:r>
                </w:p>
              </w:tc>
              <w:tc>
                <w:tcPr>
                  <w:tcW w:w="1638" w:type="pct"/>
                  <w:vAlign w:val="center"/>
                </w:tcPr>
                <w:p w14:paraId="588BB0E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eastAsia="宋体"/>
                      <w:szCs w:val="21"/>
                      <w:lang w:val="en-US" w:eastAsia="zh-CN"/>
                    </w:rPr>
                  </w:pPr>
                  <w:r>
                    <w:rPr>
                      <w:rFonts w:hint="default"/>
                      <w:szCs w:val="21"/>
                      <w:lang w:val="en-US" w:eastAsia="zh-CN"/>
                    </w:rPr>
                    <w:t>SJ65/30（50/30）-BX600</w:t>
                  </w:r>
                </w:p>
              </w:tc>
              <w:tc>
                <w:tcPr>
                  <w:tcW w:w="983" w:type="pct"/>
                  <w:vAlign w:val="center"/>
                </w:tcPr>
                <w:p w14:paraId="369873F2">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right="0"/>
                    <w:jc w:val="center"/>
                    <w:textAlignment w:val="auto"/>
                    <w:rPr>
                      <w:rFonts w:hint="default" w:eastAsia="宋体"/>
                      <w:sz w:val="21"/>
                      <w:szCs w:val="21"/>
                      <w:lang w:val="en-US" w:eastAsia="zh-CN"/>
                    </w:rPr>
                  </w:pPr>
                  <w:r>
                    <w:rPr>
                      <w:rFonts w:hint="eastAsia"/>
                      <w:sz w:val="21"/>
                      <w:szCs w:val="21"/>
                      <w:lang w:val="en-US" w:eastAsia="zh-CN"/>
                    </w:rPr>
                    <w:t>2</w:t>
                  </w:r>
                </w:p>
              </w:tc>
            </w:tr>
            <w:tr w14:paraId="19838D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84" w:type="pct"/>
                  <w:vAlign w:val="center"/>
                </w:tcPr>
                <w:p w14:paraId="0E527EC3">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szCs w:val="21"/>
                    </w:rPr>
                  </w:pPr>
                  <w:r>
                    <w:rPr>
                      <w:rFonts w:hint="default"/>
                      <w:szCs w:val="21"/>
                    </w:rPr>
                    <w:t>2</w:t>
                  </w:r>
                </w:p>
              </w:tc>
              <w:tc>
                <w:tcPr>
                  <w:tcW w:w="1593" w:type="pct"/>
                  <w:vAlign w:val="center"/>
                </w:tcPr>
                <w:p w14:paraId="3BB4D53E">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圆织机</w:t>
                  </w:r>
                </w:p>
              </w:tc>
              <w:tc>
                <w:tcPr>
                  <w:tcW w:w="1638" w:type="pct"/>
                  <w:vAlign w:val="center"/>
                </w:tcPr>
                <w:p w14:paraId="50E4EA4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szCs w:val="21"/>
                      <w:lang w:val="en-US"/>
                    </w:rPr>
                  </w:pPr>
                  <w:r>
                    <w:rPr>
                      <w:rFonts w:hint="default"/>
                      <w:szCs w:val="21"/>
                      <w:lang w:val="en-US" w:eastAsia="zh-CN"/>
                    </w:rPr>
                    <w:t>750X</w:t>
                  </w:r>
                  <w:r>
                    <w:rPr>
                      <w:rFonts w:hint="eastAsia"/>
                      <w:szCs w:val="21"/>
                      <w:lang w:val="en-US" w:eastAsia="zh-CN"/>
                    </w:rPr>
                    <w:t>4</w:t>
                  </w:r>
                </w:p>
              </w:tc>
              <w:tc>
                <w:tcPr>
                  <w:tcW w:w="983" w:type="pct"/>
                  <w:vAlign w:val="center"/>
                </w:tcPr>
                <w:p w14:paraId="68D4941A">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right="0"/>
                    <w:jc w:val="center"/>
                    <w:textAlignment w:val="auto"/>
                    <w:rPr>
                      <w:rFonts w:hint="default" w:eastAsia="宋体"/>
                      <w:sz w:val="21"/>
                      <w:szCs w:val="21"/>
                      <w:lang w:val="en-US" w:eastAsia="zh-CN"/>
                    </w:rPr>
                  </w:pPr>
                  <w:r>
                    <w:rPr>
                      <w:rFonts w:hint="eastAsia"/>
                      <w:sz w:val="21"/>
                      <w:szCs w:val="21"/>
                      <w:lang w:val="en-US" w:eastAsia="zh-CN"/>
                    </w:rPr>
                    <w:t>100</w:t>
                  </w:r>
                </w:p>
              </w:tc>
            </w:tr>
            <w:tr w14:paraId="4E6E3B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84" w:type="pct"/>
                  <w:vAlign w:val="center"/>
                </w:tcPr>
                <w:p w14:paraId="3CB0AC6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szCs w:val="21"/>
                    </w:rPr>
                  </w:pPr>
                  <w:r>
                    <w:rPr>
                      <w:rFonts w:hint="default"/>
                      <w:szCs w:val="21"/>
                    </w:rPr>
                    <w:t>3</w:t>
                  </w:r>
                </w:p>
              </w:tc>
              <w:tc>
                <w:tcPr>
                  <w:tcW w:w="1593" w:type="pct"/>
                  <w:vAlign w:val="center"/>
                </w:tcPr>
                <w:p w14:paraId="0E3E2F89">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水</w:t>
                  </w:r>
                  <w:r>
                    <w:rPr>
                      <w:rFonts w:hint="eastAsia" w:ascii="Times New Roman" w:hAnsi="Times New Roman" w:eastAsia="宋体" w:cs="Times New Roman"/>
                      <w:color w:val="auto"/>
                      <w:sz w:val="21"/>
                      <w:szCs w:val="21"/>
                      <w:lang w:val="en-US" w:eastAsia="zh-CN"/>
                    </w:rPr>
                    <w:t>带粘合</w:t>
                  </w:r>
                  <w:r>
                    <w:rPr>
                      <w:rFonts w:hint="default" w:ascii="Times New Roman" w:hAnsi="Times New Roman" w:eastAsia="宋体" w:cs="Times New Roman"/>
                      <w:color w:val="auto"/>
                      <w:sz w:val="21"/>
                      <w:szCs w:val="21"/>
                      <w:lang w:val="en-US" w:eastAsia="zh-CN"/>
                    </w:rPr>
                    <w:t>机</w:t>
                  </w:r>
                </w:p>
              </w:tc>
              <w:tc>
                <w:tcPr>
                  <w:tcW w:w="1638" w:type="pct"/>
                  <w:vAlign w:val="center"/>
                </w:tcPr>
                <w:p w14:paraId="7C1C867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szCs w:val="21"/>
                    </w:rPr>
                  </w:pPr>
                  <w:r>
                    <w:rPr>
                      <w:rFonts w:hint="eastAsia"/>
                      <w:szCs w:val="21"/>
                      <w:lang w:val="en-US" w:eastAsia="zh-CN"/>
                    </w:rPr>
                    <w:t>/</w:t>
                  </w:r>
                </w:p>
              </w:tc>
              <w:tc>
                <w:tcPr>
                  <w:tcW w:w="983" w:type="pct"/>
                  <w:vAlign w:val="center"/>
                </w:tcPr>
                <w:p w14:paraId="4C90EFCA">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right="0"/>
                    <w:jc w:val="center"/>
                    <w:textAlignment w:val="auto"/>
                    <w:rPr>
                      <w:rFonts w:hint="default" w:eastAsia="宋体"/>
                      <w:sz w:val="21"/>
                      <w:szCs w:val="21"/>
                      <w:lang w:val="en-US" w:eastAsia="zh-CN"/>
                    </w:rPr>
                  </w:pPr>
                  <w:r>
                    <w:rPr>
                      <w:rFonts w:hint="eastAsia"/>
                      <w:sz w:val="21"/>
                      <w:szCs w:val="21"/>
                      <w:lang w:val="en-US" w:eastAsia="zh-CN"/>
                    </w:rPr>
                    <w:t>5</w:t>
                  </w:r>
                </w:p>
              </w:tc>
            </w:tr>
            <w:tr w14:paraId="565C5B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784" w:type="pct"/>
                  <w:vAlign w:val="center"/>
                </w:tcPr>
                <w:p w14:paraId="7C16A9E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szCs w:val="21"/>
                    </w:rPr>
                  </w:pPr>
                  <w:r>
                    <w:rPr>
                      <w:rFonts w:hint="eastAsia"/>
                      <w:szCs w:val="21"/>
                    </w:rPr>
                    <w:t>4</w:t>
                  </w:r>
                </w:p>
              </w:tc>
              <w:tc>
                <w:tcPr>
                  <w:tcW w:w="1593" w:type="pct"/>
                  <w:vAlign w:val="center"/>
                </w:tcPr>
                <w:p w14:paraId="5107D7A9">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收卷机</w:t>
                  </w:r>
                </w:p>
              </w:tc>
              <w:tc>
                <w:tcPr>
                  <w:tcW w:w="1638" w:type="pct"/>
                  <w:vAlign w:val="center"/>
                </w:tcPr>
                <w:p w14:paraId="0BCA9267">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eastAsia" w:eastAsia="宋体"/>
                      <w:szCs w:val="21"/>
                      <w:lang w:val="en-US" w:eastAsia="zh-CN"/>
                    </w:rPr>
                  </w:pPr>
                  <w:r>
                    <w:rPr>
                      <w:rFonts w:hint="eastAsia"/>
                      <w:szCs w:val="21"/>
                      <w:lang w:val="en-US" w:eastAsia="zh-CN"/>
                    </w:rPr>
                    <w:t>/</w:t>
                  </w:r>
                </w:p>
              </w:tc>
              <w:tc>
                <w:tcPr>
                  <w:tcW w:w="983" w:type="pct"/>
                  <w:vAlign w:val="center"/>
                </w:tcPr>
                <w:p w14:paraId="27378D98">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right="0"/>
                    <w:jc w:val="center"/>
                    <w:textAlignment w:val="auto"/>
                    <w:rPr>
                      <w:rFonts w:hint="default" w:eastAsia="宋体"/>
                      <w:sz w:val="21"/>
                      <w:szCs w:val="21"/>
                      <w:lang w:val="en-US" w:eastAsia="zh-CN"/>
                    </w:rPr>
                  </w:pPr>
                  <w:r>
                    <w:rPr>
                      <w:rFonts w:hint="eastAsia"/>
                      <w:sz w:val="21"/>
                      <w:szCs w:val="21"/>
                      <w:lang w:val="en-US" w:eastAsia="zh-CN"/>
                    </w:rPr>
                    <w:t>5</w:t>
                  </w:r>
                </w:p>
              </w:tc>
            </w:tr>
            <w:tr w14:paraId="31B433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784" w:type="pct"/>
                  <w:vAlign w:val="center"/>
                </w:tcPr>
                <w:p w14:paraId="7F206A70">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szCs w:val="21"/>
                      <w:lang w:val="en-US" w:eastAsia="zh-CN"/>
                    </w:rPr>
                  </w:pPr>
                  <w:r>
                    <w:rPr>
                      <w:rFonts w:hint="eastAsia"/>
                      <w:szCs w:val="21"/>
                      <w:lang w:val="en-US" w:eastAsia="zh-CN"/>
                    </w:rPr>
                    <w:t>5</w:t>
                  </w:r>
                </w:p>
              </w:tc>
              <w:tc>
                <w:tcPr>
                  <w:tcW w:w="1593" w:type="pct"/>
                  <w:vAlign w:val="center"/>
                </w:tcPr>
                <w:p w14:paraId="5271FBE5">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喷码机</w:t>
                  </w:r>
                </w:p>
              </w:tc>
              <w:tc>
                <w:tcPr>
                  <w:tcW w:w="1638" w:type="pct"/>
                  <w:vAlign w:val="center"/>
                </w:tcPr>
                <w:p w14:paraId="57EB447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eastAsia" w:eastAsia="宋体"/>
                      <w:szCs w:val="21"/>
                      <w:lang w:val="en-US" w:eastAsia="zh-CN"/>
                    </w:rPr>
                  </w:pPr>
                  <w:r>
                    <w:rPr>
                      <w:rFonts w:hint="eastAsia"/>
                      <w:szCs w:val="21"/>
                      <w:lang w:val="en-US" w:eastAsia="zh-CN"/>
                    </w:rPr>
                    <w:t>/</w:t>
                  </w:r>
                </w:p>
              </w:tc>
              <w:tc>
                <w:tcPr>
                  <w:tcW w:w="983" w:type="pct"/>
                  <w:vAlign w:val="center"/>
                </w:tcPr>
                <w:p w14:paraId="429DFC16">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right="0"/>
                    <w:jc w:val="center"/>
                    <w:textAlignment w:val="auto"/>
                    <w:rPr>
                      <w:rFonts w:hint="default" w:eastAsia="宋体"/>
                      <w:sz w:val="21"/>
                      <w:szCs w:val="21"/>
                      <w:lang w:val="en-US" w:eastAsia="zh-CN"/>
                    </w:rPr>
                  </w:pPr>
                  <w:r>
                    <w:rPr>
                      <w:rFonts w:hint="eastAsia"/>
                      <w:sz w:val="21"/>
                      <w:szCs w:val="21"/>
                      <w:lang w:val="en-US" w:eastAsia="zh-CN"/>
                    </w:rPr>
                    <w:t>5</w:t>
                  </w:r>
                </w:p>
              </w:tc>
            </w:tr>
            <w:tr w14:paraId="14E09E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784" w:type="pct"/>
                  <w:vAlign w:val="center"/>
                </w:tcPr>
                <w:p w14:paraId="746DAB6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szCs w:val="21"/>
                      <w:lang w:val="en-US" w:eastAsia="zh-CN"/>
                    </w:rPr>
                  </w:pPr>
                  <w:r>
                    <w:rPr>
                      <w:rFonts w:hint="eastAsia"/>
                      <w:szCs w:val="21"/>
                      <w:lang w:val="en-US" w:eastAsia="zh-CN"/>
                    </w:rPr>
                    <w:t>6</w:t>
                  </w:r>
                </w:p>
              </w:tc>
              <w:tc>
                <w:tcPr>
                  <w:tcW w:w="1593" w:type="pct"/>
                  <w:vAlign w:val="center"/>
                </w:tcPr>
                <w:p w14:paraId="5C2CB8D8">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包装机</w:t>
                  </w:r>
                </w:p>
              </w:tc>
              <w:tc>
                <w:tcPr>
                  <w:tcW w:w="1638" w:type="pct"/>
                  <w:vAlign w:val="center"/>
                </w:tcPr>
                <w:p w14:paraId="3361E76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eastAsia"/>
                      <w:szCs w:val="21"/>
                      <w:lang w:val="en-US" w:eastAsia="zh-CN"/>
                    </w:rPr>
                  </w:pPr>
                  <w:r>
                    <w:rPr>
                      <w:rFonts w:hint="eastAsia"/>
                      <w:szCs w:val="21"/>
                      <w:lang w:val="en-US" w:eastAsia="zh-CN"/>
                    </w:rPr>
                    <w:t>BS-5030</w:t>
                  </w:r>
                </w:p>
              </w:tc>
              <w:tc>
                <w:tcPr>
                  <w:tcW w:w="983" w:type="pct"/>
                  <w:vAlign w:val="center"/>
                </w:tcPr>
                <w:p w14:paraId="55A8DBC6">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right="0"/>
                    <w:jc w:val="center"/>
                    <w:textAlignment w:val="auto"/>
                    <w:rPr>
                      <w:rFonts w:hint="default"/>
                      <w:sz w:val="21"/>
                      <w:szCs w:val="21"/>
                      <w:lang w:val="en-US" w:eastAsia="zh-CN"/>
                    </w:rPr>
                  </w:pPr>
                  <w:r>
                    <w:rPr>
                      <w:rFonts w:hint="eastAsia"/>
                      <w:sz w:val="21"/>
                      <w:szCs w:val="21"/>
                      <w:lang w:val="en-US" w:eastAsia="zh-CN"/>
                    </w:rPr>
                    <w:t>2</w:t>
                  </w:r>
                </w:p>
              </w:tc>
            </w:tr>
            <w:tr w14:paraId="557E76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pct"/>
                  <w:vAlign w:val="center"/>
                </w:tcPr>
                <w:p w14:paraId="3ED0D8E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szCs w:val="21"/>
                      <w:lang w:val="en-US" w:eastAsia="zh-CN"/>
                    </w:rPr>
                  </w:pPr>
                  <w:r>
                    <w:rPr>
                      <w:rFonts w:hint="eastAsia"/>
                      <w:szCs w:val="21"/>
                      <w:lang w:val="en-US" w:eastAsia="zh-CN"/>
                    </w:rPr>
                    <w:t>7</w:t>
                  </w:r>
                </w:p>
              </w:tc>
              <w:tc>
                <w:tcPr>
                  <w:tcW w:w="1593" w:type="pct"/>
                  <w:vAlign w:val="center"/>
                </w:tcPr>
                <w:p w14:paraId="14E6CA9A">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倒</w:t>
                  </w:r>
                  <w:r>
                    <w:rPr>
                      <w:rFonts w:hint="eastAsia" w:cs="Times New Roman"/>
                      <w:color w:val="auto"/>
                      <w:sz w:val="21"/>
                      <w:szCs w:val="21"/>
                      <w:lang w:val="en-US" w:eastAsia="zh-CN"/>
                    </w:rPr>
                    <w:t>线</w:t>
                  </w:r>
                  <w:r>
                    <w:rPr>
                      <w:rFonts w:hint="default" w:ascii="Times New Roman" w:hAnsi="Times New Roman" w:eastAsia="宋体" w:cs="Times New Roman"/>
                      <w:color w:val="auto"/>
                      <w:sz w:val="21"/>
                      <w:szCs w:val="21"/>
                      <w:lang w:val="en-US" w:eastAsia="zh-CN"/>
                    </w:rPr>
                    <w:t>机</w:t>
                  </w:r>
                </w:p>
              </w:tc>
              <w:tc>
                <w:tcPr>
                  <w:tcW w:w="1638" w:type="pct"/>
                  <w:vAlign w:val="center"/>
                </w:tcPr>
                <w:p w14:paraId="6FD69FB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eastAsia="宋体"/>
                      <w:szCs w:val="21"/>
                      <w:lang w:val="en-US" w:eastAsia="zh-CN"/>
                    </w:rPr>
                  </w:pPr>
                  <w:r>
                    <w:rPr>
                      <w:rFonts w:hint="eastAsia"/>
                      <w:szCs w:val="21"/>
                      <w:lang w:val="en-US" w:eastAsia="zh-CN"/>
                    </w:rPr>
                    <w:t>/</w:t>
                  </w:r>
                </w:p>
              </w:tc>
              <w:tc>
                <w:tcPr>
                  <w:tcW w:w="983" w:type="pct"/>
                  <w:vAlign w:val="center"/>
                </w:tcPr>
                <w:p w14:paraId="02BE5828">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right="0"/>
                    <w:jc w:val="center"/>
                    <w:textAlignment w:val="auto"/>
                    <w:rPr>
                      <w:rFonts w:hint="eastAsia" w:eastAsia="宋体"/>
                      <w:sz w:val="21"/>
                      <w:szCs w:val="21"/>
                      <w:lang w:val="en-US" w:eastAsia="zh-CN"/>
                    </w:rPr>
                  </w:pPr>
                  <w:r>
                    <w:rPr>
                      <w:rFonts w:hint="eastAsia"/>
                      <w:sz w:val="21"/>
                      <w:szCs w:val="21"/>
                      <w:lang w:val="en-US" w:eastAsia="zh-CN"/>
                    </w:rPr>
                    <w:t>6</w:t>
                  </w:r>
                </w:p>
              </w:tc>
            </w:tr>
            <w:tr w14:paraId="7E0852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784" w:type="pct"/>
                  <w:vAlign w:val="center"/>
                </w:tcPr>
                <w:p w14:paraId="1ED9B3D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szCs w:val="21"/>
                      <w:lang w:val="en-US" w:eastAsia="zh-CN"/>
                    </w:rPr>
                  </w:pPr>
                  <w:r>
                    <w:rPr>
                      <w:rFonts w:hint="eastAsia"/>
                      <w:szCs w:val="21"/>
                      <w:lang w:val="en-US" w:eastAsia="zh-CN"/>
                    </w:rPr>
                    <w:t>8</w:t>
                  </w:r>
                </w:p>
              </w:tc>
              <w:tc>
                <w:tcPr>
                  <w:tcW w:w="1593" w:type="pct"/>
                  <w:vAlign w:val="center"/>
                </w:tcPr>
                <w:p w14:paraId="2DB737F3">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覆膜机</w:t>
                  </w:r>
                </w:p>
              </w:tc>
              <w:tc>
                <w:tcPr>
                  <w:tcW w:w="1638" w:type="pct"/>
                  <w:vAlign w:val="center"/>
                </w:tcPr>
                <w:p w14:paraId="73350E4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eastAsia" w:eastAsia="宋体"/>
                      <w:szCs w:val="21"/>
                      <w:lang w:val="en-US" w:eastAsia="zh-CN"/>
                    </w:rPr>
                  </w:pPr>
                  <w:r>
                    <w:rPr>
                      <w:rFonts w:hint="eastAsia" w:eastAsia="宋体"/>
                      <w:szCs w:val="21"/>
                      <w:lang w:val="en-US" w:eastAsia="zh-CN"/>
                    </w:rPr>
                    <w:t>BF-650</w:t>
                  </w:r>
                </w:p>
              </w:tc>
              <w:tc>
                <w:tcPr>
                  <w:tcW w:w="983" w:type="pct"/>
                  <w:vAlign w:val="center"/>
                </w:tcPr>
                <w:p w14:paraId="355592B9">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right="0"/>
                    <w:jc w:val="center"/>
                    <w:textAlignment w:val="auto"/>
                    <w:rPr>
                      <w:rFonts w:hint="eastAsia" w:eastAsia="宋体"/>
                      <w:sz w:val="21"/>
                      <w:szCs w:val="21"/>
                      <w:lang w:val="en-US" w:eastAsia="zh-CN"/>
                    </w:rPr>
                  </w:pPr>
                  <w:r>
                    <w:rPr>
                      <w:rFonts w:hint="eastAsia"/>
                      <w:sz w:val="21"/>
                      <w:szCs w:val="21"/>
                      <w:lang w:val="en-US" w:eastAsia="zh-CN"/>
                    </w:rPr>
                    <w:t>2</w:t>
                  </w:r>
                </w:p>
              </w:tc>
            </w:tr>
            <w:tr w14:paraId="0EB180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784" w:type="pct"/>
                  <w:vAlign w:val="center"/>
                </w:tcPr>
                <w:p w14:paraId="25F71139">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szCs w:val="21"/>
                      <w:lang w:val="en-US" w:eastAsia="zh-CN"/>
                    </w:rPr>
                  </w:pPr>
                  <w:r>
                    <w:rPr>
                      <w:rFonts w:hint="eastAsia"/>
                      <w:szCs w:val="21"/>
                      <w:lang w:val="en-US" w:eastAsia="zh-CN"/>
                    </w:rPr>
                    <w:t>9</w:t>
                  </w:r>
                </w:p>
              </w:tc>
              <w:tc>
                <w:tcPr>
                  <w:tcW w:w="1593" w:type="pct"/>
                  <w:vAlign w:val="center"/>
                </w:tcPr>
                <w:p w14:paraId="0A1D161F">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高频复合机</w:t>
                  </w:r>
                </w:p>
              </w:tc>
              <w:tc>
                <w:tcPr>
                  <w:tcW w:w="1638" w:type="pct"/>
                  <w:vAlign w:val="center"/>
                </w:tcPr>
                <w:p w14:paraId="0E6C386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eastAsia="宋体"/>
                      <w:szCs w:val="21"/>
                      <w:lang w:val="en-US" w:eastAsia="zh-CN"/>
                    </w:rPr>
                  </w:pPr>
                  <w:r>
                    <w:rPr>
                      <w:rFonts w:hint="eastAsia"/>
                      <w:szCs w:val="21"/>
                      <w:lang w:val="en-US" w:eastAsia="zh-CN"/>
                    </w:rPr>
                    <w:t>/</w:t>
                  </w:r>
                </w:p>
              </w:tc>
              <w:tc>
                <w:tcPr>
                  <w:tcW w:w="983" w:type="pct"/>
                  <w:vAlign w:val="center"/>
                </w:tcPr>
                <w:p w14:paraId="7F18118C">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right="0"/>
                    <w:jc w:val="center"/>
                    <w:textAlignment w:val="auto"/>
                    <w:rPr>
                      <w:rFonts w:hint="default"/>
                      <w:sz w:val="21"/>
                      <w:szCs w:val="21"/>
                      <w:lang w:val="en-US" w:eastAsia="zh-CN"/>
                    </w:rPr>
                  </w:pPr>
                  <w:r>
                    <w:rPr>
                      <w:rFonts w:hint="eastAsia"/>
                      <w:sz w:val="21"/>
                      <w:szCs w:val="21"/>
                      <w:lang w:val="en-US" w:eastAsia="zh-CN"/>
                    </w:rPr>
                    <w:t>5</w:t>
                  </w:r>
                </w:p>
              </w:tc>
            </w:tr>
            <w:tr w14:paraId="0A87ED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784" w:type="pct"/>
                  <w:vAlign w:val="center"/>
                </w:tcPr>
                <w:p w14:paraId="4CDD151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szCs w:val="21"/>
                      <w:lang w:val="en-US" w:eastAsia="zh-CN"/>
                    </w:rPr>
                  </w:pPr>
                  <w:r>
                    <w:rPr>
                      <w:rFonts w:hint="eastAsia"/>
                      <w:szCs w:val="21"/>
                      <w:lang w:val="en-US" w:eastAsia="zh-CN"/>
                    </w:rPr>
                    <w:t>10</w:t>
                  </w:r>
                </w:p>
              </w:tc>
              <w:tc>
                <w:tcPr>
                  <w:tcW w:w="1593" w:type="pct"/>
                  <w:vAlign w:val="center"/>
                </w:tcPr>
                <w:p w14:paraId="45684D48">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eastAsia" w:cs="Times New Roman"/>
                      <w:color w:val="auto"/>
                      <w:sz w:val="21"/>
                      <w:szCs w:val="21"/>
                      <w:lang w:val="en-US" w:eastAsia="zh-CN"/>
                    </w:rPr>
                  </w:pPr>
                  <w:r>
                    <w:rPr>
                      <w:rFonts w:hint="eastAsia" w:cs="Times New Roman"/>
                      <w:color w:val="auto"/>
                      <w:sz w:val="21"/>
                      <w:szCs w:val="21"/>
                      <w:lang w:val="en-US" w:eastAsia="zh-CN"/>
                    </w:rPr>
                    <w:t>闭式冷却塔</w:t>
                  </w:r>
                </w:p>
              </w:tc>
              <w:tc>
                <w:tcPr>
                  <w:tcW w:w="1638" w:type="pct"/>
                  <w:vAlign w:val="center"/>
                </w:tcPr>
                <w:p w14:paraId="33479C4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tLeast"/>
                    <w:ind w:left="0" w:right="0"/>
                    <w:jc w:val="center"/>
                    <w:textAlignment w:val="auto"/>
                    <w:rPr>
                      <w:rFonts w:hint="default"/>
                      <w:szCs w:val="21"/>
                      <w:lang w:val="en-US" w:eastAsia="zh-CN"/>
                    </w:rPr>
                  </w:pPr>
                  <w:r>
                    <w:rPr>
                      <w:rFonts w:hint="eastAsia"/>
                      <w:szCs w:val="21"/>
                      <w:lang w:val="en-US" w:eastAsia="zh-CN"/>
                    </w:rPr>
                    <w:t>/</w:t>
                  </w:r>
                </w:p>
              </w:tc>
              <w:tc>
                <w:tcPr>
                  <w:tcW w:w="983" w:type="pct"/>
                  <w:vAlign w:val="center"/>
                </w:tcPr>
                <w:p w14:paraId="1DAC6CD5">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right="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w:t>
                  </w:r>
                </w:p>
              </w:tc>
            </w:tr>
          </w:tbl>
          <w:p w14:paraId="09AB724A">
            <w:pPr>
              <w:keepNext w:val="0"/>
              <w:keepLines w:val="0"/>
              <w:suppressLineNumbers w:val="0"/>
              <w:adjustRightInd w:val="0"/>
              <w:snapToGrid w:val="0"/>
              <w:spacing w:before="0" w:beforeAutospacing="0" w:after="0" w:afterAutospacing="0" w:line="360" w:lineRule="auto"/>
              <w:ind w:left="0" w:right="0" w:firstLine="480" w:firstLineChars="200"/>
              <w:rPr>
                <w:rFonts w:hint="eastAsia" w:cs="Times New Roman"/>
                <w:b/>
                <w:bCs/>
                <w:color w:val="0000FF"/>
                <w:sz w:val="24"/>
                <w:szCs w:val="24"/>
                <w:u w:val="none"/>
                <w:lang w:val="en-US" w:eastAsia="zh-CN"/>
              </w:rPr>
            </w:pPr>
            <w:r>
              <w:rPr>
                <w:rFonts w:hint="default" w:ascii="Times New Roman" w:hAnsi="Times New Roman" w:eastAsia="宋体" w:cs="Times New Roman"/>
                <w:color w:val="000000" w:themeColor="text1"/>
                <w:sz w:val="24"/>
                <w:szCs w:val="24"/>
                <w:u w:val="none"/>
                <w14:textFill>
                  <w14:solidFill>
                    <w14:schemeClr w14:val="tx1"/>
                  </w14:solidFill>
                </w14:textFill>
              </w:rPr>
              <w:t>经查阅</w:t>
            </w:r>
            <w:r>
              <w:rPr>
                <w:rFonts w:hint="default" w:ascii="Times New Roman" w:hAnsi="Times New Roman" w:eastAsia="宋体" w:cs="Times New Roman"/>
                <w:bCs/>
                <w:color w:val="000000" w:themeColor="text1"/>
                <w:sz w:val="24"/>
                <w:szCs w:val="24"/>
                <w:u w:val="none"/>
                <w14:textFill>
                  <w14:solidFill>
                    <w14:schemeClr w14:val="tx1"/>
                  </w14:solidFill>
                </w14:textFill>
              </w:rPr>
              <w:t>《高耗能落后机电设备（产品）淘汰目录》</w:t>
            </w:r>
            <w:r>
              <w:rPr>
                <w:rFonts w:hint="default" w:ascii="Times New Roman" w:hAnsi="Times New Roman" w:eastAsia="宋体" w:cs="Times New Roman"/>
                <w:bCs/>
                <w:color w:val="000000" w:themeColor="text1"/>
                <w:sz w:val="24"/>
                <w:szCs w:val="24"/>
                <w:u w:val="none"/>
                <w:lang w:eastAsia="zh-CN"/>
                <w14:textFill>
                  <w14:solidFill>
                    <w14:schemeClr w14:val="tx1"/>
                  </w14:solidFill>
                </w14:textFill>
              </w:rPr>
              <w:t>（全四批）</w:t>
            </w:r>
            <w:r>
              <w:rPr>
                <w:rFonts w:hint="default" w:ascii="Times New Roman" w:hAnsi="Times New Roman" w:eastAsia="宋体" w:cs="Times New Roman"/>
                <w:bCs/>
                <w:color w:val="000000" w:themeColor="text1"/>
                <w:sz w:val="24"/>
                <w:szCs w:val="24"/>
                <w:u w:val="none"/>
                <w14:textFill>
                  <w14:solidFill>
                    <w14:schemeClr w14:val="tx1"/>
                  </w14:solidFill>
                </w14:textFill>
              </w:rPr>
              <w:t>及《产业结构调整</w:t>
            </w:r>
            <w:r>
              <w:rPr>
                <w:rFonts w:hint="default" w:ascii="Times New Roman" w:hAnsi="Times New Roman" w:eastAsia="宋体" w:cs="Times New Roman"/>
                <w:bCs/>
                <w:color w:val="000000" w:themeColor="text1"/>
                <w:sz w:val="24"/>
                <w:szCs w:val="24"/>
                <w:u w:val="none"/>
                <w:lang w:val="en-US" w:eastAsia="zh-CN"/>
                <w14:textFill>
                  <w14:solidFill>
                    <w14:schemeClr w14:val="tx1"/>
                  </w14:solidFill>
                </w14:textFill>
              </w:rPr>
              <w:t>指导</w:t>
            </w:r>
            <w:r>
              <w:rPr>
                <w:rFonts w:hint="default" w:ascii="Times New Roman" w:hAnsi="Times New Roman" w:eastAsia="宋体" w:cs="Times New Roman"/>
                <w:bCs/>
                <w:color w:val="000000" w:themeColor="text1"/>
                <w:sz w:val="24"/>
                <w:szCs w:val="24"/>
                <w:u w:val="none"/>
                <w14:textFill>
                  <w14:solidFill>
                    <w14:schemeClr w14:val="tx1"/>
                  </w14:solidFill>
                </w14:textFill>
              </w:rPr>
              <w:t>目录（</w:t>
            </w:r>
            <w:r>
              <w:rPr>
                <w:rFonts w:hint="default" w:ascii="Times New Roman" w:hAnsi="Times New Roman" w:eastAsia="宋体" w:cs="Times New Roman"/>
                <w:bCs/>
                <w:color w:val="000000" w:themeColor="text1"/>
                <w:sz w:val="24"/>
                <w:szCs w:val="24"/>
                <w:u w:val="none"/>
                <w:lang w:val="en-US" w:eastAsia="zh-CN"/>
                <w14:textFill>
                  <w14:solidFill>
                    <w14:schemeClr w14:val="tx1"/>
                  </w14:solidFill>
                </w14:textFill>
              </w:rPr>
              <w:t>2024</w:t>
            </w:r>
            <w:r>
              <w:rPr>
                <w:rFonts w:hint="default" w:ascii="Times New Roman" w:hAnsi="Times New Roman" w:eastAsia="宋体" w:cs="Times New Roman"/>
                <w:bCs/>
                <w:color w:val="000000" w:themeColor="text1"/>
                <w:sz w:val="24"/>
                <w:szCs w:val="24"/>
                <w:u w:val="none"/>
                <w14:textFill>
                  <w14:solidFill>
                    <w14:schemeClr w14:val="tx1"/>
                  </w14:solidFill>
                </w14:textFill>
              </w:rPr>
              <w:t>年本）》等有关文件，本项目所用设备均不属于淘汰类。</w:t>
            </w:r>
            <w:r>
              <w:rPr>
                <w:rFonts w:hint="default" w:ascii="Times New Roman" w:hAnsi="Times New Roman" w:eastAsia="宋体" w:cs="Times New Roman"/>
                <w:bCs/>
                <w:color w:val="000000" w:themeColor="text1"/>
                <w:sz w:val="24"/>
                <w:szCs w:val="24"/>
                <w:u w:val="none"/>
                <w:lang w:eastAsia="zh-CN"/>
                <w14:textFill>
                  <w14:solidFill>
                    <w14:schemeClr w14:val="tx1"/>
                  </w14:solidFill>
                </w14:textFill>
              </w:rPr>
              <w:t>未确定型号的设备，不得采用淘汰落后设备。</w:t>
            </w:r>
          </w:p>
          <w:p w14:paraId="53B01F56">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eastAsia" w:eastAsia="宋体" w:cs="Times New Roman"/>
                <w:b/>
                <w:color w:val="000000" w:themeColor="text1"/>
                <w:sz w:val="24"/>
                <w:highlight w:val="none"/>
                <w:lang w:val="en-US" w:eastAsia="zh-CN"/>
                <w14:textFill>
                  <w14:solidFill>
                    <w14:schemeClr w14:val="tx1"/>
                  </w14:solidFill>
                </w14:textFill>
              </w:rPr>
              <w:t>4</w:t>
            </w:r>
            <w:r>
              <w:rPr>
                <w:rFonts w:hint="default" w:ascii="Times New Roman" w:hAnsi="Times New Roman" w:eastAsia="Times New Roman" w:cs="Times New Roman"/>
                <w:b/>
                <w:color w:val="000000" w:themeColor="text1"/>
                <w:sz w:val="24"/>
                <w:highlight w:val="none"/>
                <w14:textFill>
                  <w14:solidFill>
                    <w14:schemeClr w14:val="tx1"/>
                  </w14:solidFill>
                </w14:textFill>
              </w:rPr>
              <w:t>.原辅材料用量及资（能）源消耗</w:t>
            </w:r>
          </w:p>
          <w:p w14:paraId="25026CE6">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highlight w:val="none"/>
                <w14:textFill>
                  <w14:solidFill>
                    <w14:schemeClr w14:val="tx1"/>
                  </w14:solidFill>
                </w14:textFill>
              </w:rPr>
            </w:pPr>
            <w:r>
              <w:rPr>
                <w:rFonts w:hint="default" w:ascii="Times New Roman" w:hAnsi="Times New Roman" w:eastAsia="Times New Roman" w:cs="Times New Roman"/>
                <w:color w:val="000000" w:themeColor="text1"/>
                <w:sz w:val="24"/>
                <w:highlight w:val="none"/>
                <w14:textFill>
                  <w14:solidFill>
                    <w14:schemeClr w14:val="tx1"/>
                  </w14:solidFill>
                </w14:textFill>
              </w:rPr>
              <w:t>项目主要原辅材料用量及资（能）源消耗</w:t>
            </w:r>
            <w:r>
              <w:rPr>
                <w:rFonts w:hint="default" w:ascii="Times New Roman" w:hAnsi="Times New Roman" w:eastAsia="Times New Roman" w:cs="Times New Roman"/>
                <w:color w:val="000000" w:themeColor="text1"/>
                <w:sz w:val="24"/>
                <w:highlight w:val="none"/>
                <w:lang w:val="en-US" w:eastAsia="zh-CN"/>
                <w14:textFill>
                  <w14:solidFill>
                    <w14:schemeClr w14:val="tx1"/>
                  </w14:solidFill>
                </w14:textFill>
              </w:rPr>
              <w:t>不变</w:t>
            </w:r>
            <w:r>
              <w:rPr>
                <w:rFonts w:hint="default" w:ascii="Times New Roman" w:hAnsi="Times New Roman" w:eastAsia="Times New Roman" w:cs="Times New Roman"/>
                <w:color w:val="000000" w:themeColor="text1"/>
                <w:sz w:val="24"/>
                <w:highlight w:val="none"/>
                <w14:textFill>
                  <w14:solidFill>
                    <w14:schemeClr w14:val="tx1"/>
                  </w14:solidFill>
                </w14:textFill>
              </w:rPr>
              <w:t>见下表。</w:t>
            </w:r>
          </w:p>
          <w:p w14:paraId="7A43F00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14:textFill>
                  <w14:solidFill>
                    <w14:schemeClr w14:val="tx1"/>
                  </w14:solidFill>
                </w14:textFill>
              </w:rPr>
              <w:t>材料及用量一览表</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25"/>
              <w:gridCol w:w="1485"/>
              <w:gridCol w:w="1415"/>
              <w:gridCol w:w="2495"/>
              <w:gridCol w:w="2109"/>
            </w:tblGrid>
            <w:tr w14:paraId="386A8B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384" w:type="pct"/>
                  <w:tcBorders>
                    <w:tl2br w:val="nil"/>
                    <w:tr2bl w:val="nil"/>
                  </w:tcBorders>
                  <w:vAlign w:val="center"/>
                </w:tcPr>
                <w:p w14:paraId="11236FCA">
                  <w:pPr>
                    <w:keepNext w:val="0"/>
                    <w:keepLines w:val="0"/>
                    <w:suppressLineNumbers w:val="0"/>
                    <w:adjustRightInd w:val="0"/>
                    <w:snapToGrid w:val="0"/>
                    <w:spacing w:before="0" w:beforeAutospacing="0" w:after="0" w:afterAutospacing="0" w:line="240" w:lineRule="atLeast"/>
                    <w:ind w:left="0" w:right="0"/>
                    <w:jc w:val="center"/>
                    <w:rPr>
                      <w:rFonts w:hint="default"/>
                      <w:b/>
                      <w:bCs/>
                      <w:szCs w:val="21"/>
                    </w:rPr>
                  </w:pPr>
                  <w:r>
                    <w:rPr>
                      <w:rFonts w:hint="default"/>
                      <w:b/>
                      <w:bCs/>
                      <w:szCs w:val="21"/>
                    </w:rPr>
                    <w:t>编号</w:t>
                  </w:r>
                </w:p>
              </w:tc>
              <w:tc>
                <w:tcPr>
                  <w:tcW w:w="913" w:type="pct"/>
                  <w:tcBorders>
                    <w:tl2br w:val="nil"/>
                    <w:tr2bl w:val="nil"/>
                  </w:tcBorders>
                  <w:vAlign w:val="center"/>
                </w:tcPr>
                <w:p w14:paraId="14F0C552">
                  <w:pPr>
                    <w:keepNext w:val="0"/>
                    <w:keepLines w:val="0"/>
                    <w:suppressLineNumbers w:val="0"/>
                    <w:adjustRightInd w:val="0"/>
                    <w:snapToGrid w:val="0"/>
                    <w:spacing w:before="0" w:beforeAutospacing="0" w:after="0" w:afterAutospacing="0" w:line="240" w:lineRule="atLeast"/>
                    <w:ind w:left="0" w:right="0"/>
                    <w:jc w:val="center"/>
                    <w:rPr>
                      <w:rFonts w:hint="default"/>
                      <w:b/>
                      <w:bCs/>
                      <w:szCs w:val="21"/>
                    </w:rPr>
                  </w:pPr>
                  <w:r>
                    <w:rPr>
                      <w:rFonts w:hint="default"/>
                      <w:b/>
                      <w:bCs/>
                      <w:szCs w:val="21"/>
                    </w:rPr>
                    <w:t>名称</w:t>
                  </w:r>
                </w:p>
              </w:tc>
              <w:tc>
                <w:tcPr>
                  <w:tcW w:w="870" w:type="pct"/>
                  <w:tcBorders>
                    <w:tl2br w:val="nil"/>
                    <w:tr2bl w:val="nil"/>
                  </w:tcBorders>
                  <w:vAlign w:val="center"/>
                </w:tcPr>
                <w:p w14:paraId="371CED39">
                  <w:pPr>
                    <w:keepNext w:val="0"/>
                    <w:keepLines w:val="0"/>
                    <w:suppressLineNumbers w:val="0"/>
                    <w:adjustRightInd w:val="0"/>
                    <w:snapToGrid w:val="0"/>
                    <w:spacing w:before="0" w:beforeAutospacing="0" w:after="0" w:afterAutospacing="0" w:line="240" w:lineRule="atLeast"/>
                    <w:ind w:left="0" w:right="0"/>
                    <w:jc w:val="center"/>
                    <w:rPr>
                      <w:rFonts w:hint="default"/>
                      <w:b/>
                      <w:bCs/>
                      <w:szCs w:val="21"/>
                    </w:rPr>
                  </w:pPr>
                  <w:r>
                    <w:rPr>
                      <w:rFonts w:hint="eastAsia"/>
                      <w:b/>
                      <w:bCs/>
                      <w:szCs w:val="21"/>
                    </w:rPr>
                    <w:t>单位</w:t>
                  </w:r>
                </w:p>
              </w:tc>
              <w:tc>
                <w:tcPr>
                  <w:tcW w:w="1534" w:type="pct"/>
                  <w:tcBorders>
                    <w:tl2br w:val="nil"/>
                    <w:tr2bl w:val="nil"/>
                  </w:tcBorders>
                  <w:vAlign w:val="center"/>
                </w:tcPr>
                <w:p w14:paraId="01CD7EEF">
                  <w:pPr>
                    <w:keepNext w:val="0"/>
                    <w:keepLines w:val="0"/>
                    <w:suppressLineNumbers w:val="0"/>
                    <w:adjustRightInd w:val="0"/>
                    <w:snapToGrid w:val="0"/>
                    <w:spacing w:before="0" w:beforeAutospacing="0" w:after="0" w:afterAutospacing="0" w:line="240" w:lineRule="atLeast"/>
                    <w:ind w:left="0" w:right="0"/>
                    <w:jc w:val="center"/>
                    <w:rPr>
                      <w:rFonts w:hint="eastAsia" w:eastAsia="宋体"/>
                      <w:b/>
                      <w:bCs/>
                      <w:szCs w:val="21"/>
                      <w:lang w:eastAsia="zh-CN"/>
                    </w:rPr>
                  </w:pPr>
                  <w:r>
                    <w:rPr>
                      <w:rFonts w:hint="eastAsia" w:eastAsia="宋体"/>
                      <w:b/>
                      <w:bCs/>
                      <w:szCs w:val="21"/>
                      <w:lang w:eastAsia="zh-CN"/>
                    </w:rPr>
                    <w:t>用量</w:t>
                  </w:r>
                </w:p>
              </w:tc>
              <w:tc>
                <w:tcPr>
                  <w:tcW w:w="1297" w:type="pct"/>
                  <w:tcBorders>
                    <w:tl2br w:val="nil"/>
                    <w:tr2bl w:val="nil"/>
                  </w:tcBorders>
                  <w:vAlign w:val="center"/>
                </w:tcPr>
                <w:p w14:paraId="410DB2EC">
                  <w:pPr>
                    <w:keepNext w:val="0"/>
                    <w:keepLines w:val="0"/>
                    <w:suppressLineNumbers w:val="0"/>
                    <w:adjustRightInd w:val="0"/>
                    <w:snapToGrid w:val="0"/>
                    <w:spacing w:before="0" w:beforeAutospacing="0" w:after="0" w:afterAutospacing="0" w:line="240" w:lineRule="atLeast"/>
                    <w:ind w:left="0" w:right="0"/>
                    <w:jc w:val="center"/>
                    <w:rPr>
                      <w:rFonts w:hint="default"/>
                      <w:b/>
                      <w:bCs/>
                      <w:szCs w:val="21"/>
                    </w:rPr>
                  </w:pPr>
                  <w:r>
                    <w:rPr>
                      <w:rFonts w:hint="default"/>
                      <w:b/>
                      <w:bCs/>
                      <w:szCs w:val="21"/>
                    </w:rPr>
                    <w:t>备注</w:t>
                  </w:r>
                </w:p>
              </w:tc>
            </w:tr>
            <w:tr w14:paraId="37BE7B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384" w:type="pct"/>
                  <w:tcBorders>
                    <w:tl2br w:val="nil"/>
                    <w:tr2bl w:val="nil"/>
                  </w:tcBorders>
                  <w:vAlign w:val="center"/>
                </w:tcPr>
                <w:p w14:paraId="37F4E999">
                  <w:pPr>
                    <w:keepNext w:val="0"/>
                    <w:keepLines w:val="0"/>
                    <w:suppressLineNumbers w:val="0"/>
                    <w:autoSpaceDE w:val="0"/>
                    <w:autoSpaceDN w:val="0"/>
                    <w:adjustRightInd w:val="0"/>
                    <w:snapToGrid w:val="0"/>
                    <w:spacing w:before="0" w:beforeAutospacing="0" w:after="0" w:afterAutospacing="0"/>
                    <w:ind w:left="0" w:right="0"/>
                    <w:jc w:val="center"/>
                    <w:rPr>
                      <w:rFonts w:hint="default"/>
                      <w:szCs w:val="21"/>
                    </w:rPr>
                  </w:pPr>
                  <w:r>
                    <w:rPr>
                      <w:rFonts w:hint="default"/>
                      <w:szCs w:val="21"/>
                    </w:rPr>
                    <w:t>1</w:t>
                  </w:r>
                </w:p>
              </w:tc>
              <w:tc>
                <w:tcPr>
                  <w:tcW w:w="913" w:type="pct"/>
                  <w:tcBorders>
                    <w:tl2br w:val="nil"/>
                    <w:tr2bl w:val="nil"/>
                  </w:tcBorders>
                  <w:vAlign w:val="center"/>
                </w:tcPr>
                <w:p w14:paraId="61E20F38">
                  <w:pPr>
                    <w:keepNext w:val="0"/>
                    <w:keepLines w:val="0"/>
                    <w:suppressLineNumbers w:val="0"/>
                    <w:autoSpaceDE w:val="0"/>
                    <w:autoSpaceDN w:val="0"/>
                    <w:adjustRightInd w:val="0"/>
                    <w:snapToGrid w:val="0"/>
                    <w:spacing w:before="0" w:beforeAutospacing="0" w:after="0" w:afterAutospacing="0"/>
                    <w:ind w:left="0" w:right="0"/>
                    <w:jc w:val="center"/>
                    <w:rPr>
                      <w:rFonts w:hint="default"/>
                      <w:sz w:val="21"/>
                      <w:szCs w:val="21"/>
                    </w:rPr>
                  </w:pPr>
                  <w:r>
                    <w:rPr>
                      <w:rFonts w:hint="default" w:ascii="Times New Roman" w:hAnsi="Times New Roman" w:cs="Times New Roman"/>
                      <w:sz w:val="21"/>
                      <w:szCs w:val="21"/>
                    </w:rPr>
                    <w:t>聚乙烯颗粒</w:t>
                  </w:r>
                </w:p>
              </w:tc>
              <w:tc>
                <w:tcPr>
                  <w:tcW w:w="870" w:type="pct"/>
                  <w:tcBorders>
                    <w:tl2br w:val="nil"/>
                    <w:tr2bl w:val="nil"/>
                  </w:tcBorders>
                  <w:vAlign w:val="center"/>
                </w:tcPr>
                <w:p w14:paraId="43DE5DA5">
                  <w:pPr>
                    <w:keepNext w:val="0"/>
                    <w:keepLines w:val="0"/>
                    <w:suppressLineNumbers w:val="0"/>
                    <w:autoSpaceDE w:val="0"/>
                    <w:autoSpaceDN w:val="0"/>
                    <w:adjustRightInd w:val="0"/>
                    <w:snapToGrid w:val="0"/>
                    <w:spacing w:before="0" w:beforeAutospacing="0" w:after="0" w:afterAutospacing="0"/>
                    <w:ind w:left="0" w:right="0"/>
                    <w:jc w:val="center"/>
                    <w:rPr>
                      <w:rFonts w:hint="default"/>
                      <w:sz w:val="21"/>
                      <w:szCs w:val="21"/>
                    </w:rPr>
                  </w:pPr>
                  <w:r>
                    <w:rPr>
                      <w:rFonts w:hint="default" w:ascii="Times New Roman" w:hAnsi="Times New Roman" w:cs="Times New Roman"/>
                      <w:sz w:val="21"/>
                      <w:szCs w:val="21"/>
                    </w:rPr>
                    <w:t>t/a</w:t>
                  </w:r>
                </w:p>
              </w:tc>
              <w:tc>
                <w:tcPr>
                  <w:tcW w:w="1534" w:type="pct"/>
                  <w:tcBorders>
                    <w:tl2br w:val="nil"/>
                    <w:tr2bl w:val="nil"/>
                  </w:tcBorders>
                  <w:vAlign w:val="center"/>
                </w:tcPr>
                <w:p w14:paraId="4C4E8C3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160.725</w:t>
                  </w:r>
                </w:p>
              </w:tc>
              <w:tc>
                <w:tcPr>
                  <w:tcW w:w="1297" w:type="pct"/>
                  <w:tcBorders>
                    <w:tl2br w:val="nil"/>
                    <w:tr2bl w:val="nil"/>
                  </w:tcBorders>
                  <w:vAlign w:val="center"/>
                </w:tcPr>
                <w:p w14:paraId="69CCF403">
                  <w:pPr>
                    <w:keepNext w:val="0"/>
                    <w:keepLines w:val="0"/>
                    <w:suppressLineNumbers w:val="0"/>
                    <w:autoSpaceDE w:val="0"/>
                    <w:autoSpaceDN w:val="0"/>
                    <w:adjustRightInd w:val="0"/>
                    <w:snapToGrid w:val="0"/>
                    <w:spacing w:before="0" w:beforeAutospacing="0" w:after="0" w:afterAutospacing="0"/>
                    <w:ind w:left="0" w:right="0"/>
                    <w:jc w:val="center"/>
                    <w:rPr>
                      <w:rFonts w:hint="default" w:eastAsia="宋体"/>
                      <w:sz w:val="21"/>
                      <w:szCs w:val="21"/>
                      <w:lang w:val="en-US" w:eastAsia="zh-CN"/>
                    </w:rPr>
                  </w:pPr>
                  <w:r>
                    <w:rPr>
                      <w:rFonts w:hint="default" w:ascii="Times New Roman" w:hAnsi="Times New Roman" w:cs="Times New Roman"/>
                      <w:sz w:val="21"/>
                      <w:szCs w:val="21"/>
                    </w:rPr>
                    <w:t>外购</w:t>
                  </w:r>
                  <w:r>
                    <w:rPr>
                      <w:rFonts w:hint="default" w:ascii="Times New Roman" w:hAnsi="Times New Roman" w:cs="Times New Roman"/>
                      <w:sz w:val="21"/>
                      <w:szCs w:val="21"/>
                      <w:lang w:eastAsia="zh-CN"/>
                    </w:rPr>
                    <w:t>，</w:t>
                  </w:r>
                  <w:r>
                    <w:rPr>
                      <w:rFonts w:hint="eastAsia" w:ascii="Times New Roman" w:hAnsi="Times New Roman" w:cs="Times New Roman"/>
                      <w:sz w:val="21"/>
                      <w:szCs w:val="21"/>
                      <w:lang w:val="en-US" w:eastAsia="zh-CN"/>
                    </w:rPr>
                    <w:t>25kg袋装</w:t>
                  </w:r>
                </w:p>
              </w:tc>
            </w:tr>
            <w:tr w14:paraId="2EB404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384" w:type="pct"/>
                  <w:tcBorders>
                    <w:tl2br w:val="nil"/>
                    <w:tr2bl w:val="nil"/>
                  </w:tcBorders>
                  <w:vAlign w:val="center"/>
                </w:tcPr>
                <w:p w14:paraId="2B371322">
                  <w:pPr>
                    <w:keepNext w:val="0"/>
                    <w:keepLines w:val="0"/>
                    <w:suppressLineNumbers w:val="0"/>
                    <w:autoSpaceDE w:val="0"/>
                    <w:autoSpaceDN w:val="0"/>
                    <w:adjustRightInd w:val="0"/>
                    <w:snapToGrid w:val="0"/>
                    <w:spacing w:before="0" w:beforeAutospacing="0" w:after="0" w:afterAutospacing="0"/>
                    <w:ind w:left="0" w:right="0"/>
                    <w:jc w:val="center"/>
                    <w:rPr>
                      <w:rFonts w:hint="default"/>
                      <w:szCs w:val="21"/>
                    </w:rPr>
                  </w:pPr>
                  <w:r>
                    <w:rPr>
                      <w:rFonts w:hint="default"/>
                      <w:szCs w:val="21"/>
                    </w:rPr>
                    <w:t>2</w:t>
                  </w:r>
                </w:p>
              </w:tc>
              <w:tc>
                <w:tcPr>
                  <w:tcW w:w="913" w:type="pct"/>
                  <w:tcBorders>
                    <w:tl2br w:val="nil"/>
                    <w:tr2bl w:val="nil"/>
                  </w:tcBorders>
                  <w:vAlign w:val="center"/>
                </w:tcPr>
                <w:p w14:paraId="66A083FA">
                  <w:pPr>
                    <w:keepNext w:val="0"/>
                    <w:keepLines w:val="0"/>
                    <w:suppressLineNumbers w:val="0"/>
                    <w:autoSpaceDE w:val="0"/>
                    <w:autoSpaceDN w:val="0"/>
                    <w:adjustRightInd w:val="0"/>
                    <w:snapToGrid w:val="0"/>
                    <w:spacing w:before="0" w:beforeAutospacing="0" w:after="0" w:afterAutospacing="0"/>
                    <w:ind w:left="0" w:right="0"/>
                    <w:jc w:val="center"/>
                    <w:rPr>
                      <w:rFonts w:hint="default"/>
                      <w:color w:val="auto"/>
                      <w:sz w:val="21"/>
                      <w:szCs w:val="21"/>
                    </w:rPr>
                  </w:pPr>
                  <w:r>
                    <w:rPr>
                      <w:rFonts w:hint="default" w:ascii="Times New Roman" w:hAnsi="Times New Roman" w:cs="Times New Roman"/>
                      <w:color w:val="auto"/>
                      <w:sz w:val="21"/>
                      <w:szCs w:val="21"/>
                    </w:rPr>
                    <w:t>热熔胶颗粒</w:t>
                  </w:r>
                </w:p>
              </w:tc>
              <w:tc>
                <w:tcPr>
                  <w:tcW w:w="870" w:type="pct"/>
                  <w:tcBorders>
                    <w:tl2br w:val="nil"/>
                    <w:tr2bl w:val="nil"/>
                  </w:tcBorders>
                  <w:vAlign w:val="center"/>
                </w:tcPr>
                <w:p w14:paraId="5ADF6EA3">
                  <w:pPr>
                    <w:keepNext w:val="0"/>
                    <w:keepLines w:val="0"/>
                    <w:suppressLineNumbers w:val="0"/>
                    <w:autoSpaceDE w:val="0"/>
                    <w:autoSpaceDN w:val="0"/>
                    <w:adjustRightInd w:val="0"/>
                    <w:snapToGrid w:val="0"/>
                    <w:spacing w:before="0" w:beforeAutospacing="0" w:after="0" w:afterAutospacing="0"/>
                    <w:ind w:left="0" w:right="0"/>
                    <w:jc w:val="center"/>
                    <w:rPr>
                      <w:rFonts w:hint="default"/>
                      <w:sz w:val="21"/>
                      <w:szCs w:val="21"/>
                    </w:rPr>
                  </w:pPr>
                  <w:r>
                    <w:rPr>
                      <w:rFonts w:hint="default" w:ascii="Times New Roman" w:hAnsi="Times New Roman" w:cs="Times New Roman"/>
                      <w:sz w:val="21"/>
                      <w:szCs w:val="21"/>
                    </w:rPr>
                    <w:t>t/a</w:t>
                  </w:r>
                </w:p>
              </w:tc>
              <w:tc>
                <w:tcPr>
                  <w:tcW w:w="1534" w:type="pct"/>
                  <w:tcBorders>
                    <w:tl2br w:val="nil"/>
                    <w:tr2bl w:val="nil"/>
                  </w:tcBorders>
                  <w:vAlign w:val="center"/>
                </w:tcPr>
                <w:p w14:paraId="6785A09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130</w:t>
                  </w:r>
                </w:p>
              </w:tc>
              <w:tc>
                <w:tcPr>
                  <w:tcW w:w="1297" w:type="pct"/>
                  <w:tcBorders>
                    <w:tl2br w:val="nil"/>
                    <w:tr2bl w:val="nil"/>
                  </w:tcBorders>
                  <w:vAlign w:val="center"/>
                </w:tcPr>
                <w:p w14:paraId="4EBA5470">
                  <w:pPr>
                    <w:keepNext w:val="0"/>
                    <w:keepLines w:val="0"/>
                    <w:suppressLineNumbers w:val="0"/>
                    <w:autoSpaceDE w:val="0"/>
                    <w:autoSpaceDN w:val="0"/>
                    <w:adjustRightInd w:val="0"/>
                    <w:snapToGrid w:val="0"/>
                    <w:spacing w:before="0" w:beforeAutospacing="0" w:after="0" w:afterAutospacing="0"/>
                    <w:ind w:left="0" w:right="0"/>
                    <w:jc w:val="center"/>
                    <w:rPr>
                      <w:rFonts w:hint="eastAsia" w:eastAsia="宋体"/>
                      <w:sz w:val="21"/>
                      <w:szCs w:val="21"/>
                      <w:lang w:eastAsia="zh-CN"/>
                    </w:rPr>
                  </w:pPr>
                  <w:r>
                    <w:rPr>
                      <w:rFonts w:hint="default" w:ascii="Times New Roman" w:hAnsi="Times New Roman" w:cs="Times New Roman"/>
                      <w:sz w:val="21"/>
                      <w:szCs w:val="21"/>
                    </w:rPr>
                    <w:t>外购</w:t>
                  </w:r>
                  <w:r>
                    <w:rPr>
                      <w:rFonts w:hint="default" w:ascii="Times New Roman" w:hAnsi="Times New Roman" w:cs="Times New Roman"/>
                      <w:sz w:val="21"/>
                      <w:szCs w:val="21"/>
                      <w:lang w:eastAsia="zh-CN"/>
                    </w:rPr>
                    <w:t>，</w:t>
                  </w:r>
                  <w:r>
                    <w:rPr>
                      <w:rFonts w:hint="eastAsia" w:ascii="Times New Roman" w:hAnsi="Times New Roman" w:cs="Times New Roman"/>
                      <w:sz w:val="21"/>
                      <w:szCs w:val="21"/>
                      <w:lang w:val="en-US" w:eastAsia="zh-CN"/>
                    </w:rPr>
                    <w:t>25kg袋装</w:t>
                  </w:r>
                </w:p>
              </w:tc>
            </w:tr>
            <w:tr w14:paraId="123B5B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384" w:type="pct"/>
                  <w:tcBorders>
                    <w:tl2br w:val="nil"/>
                    <w:tr2bl w:val="nil"/>
                  </w:tcBorders>
                  <w:vAlign w:val="center"/>
                </w:tcPr>
                <w:p w14:paraId="4F76E0FD">
                  <w:pPr>
                    <w:keepNext w:val="0"/>
                    <w:keepLines w:val="0"/>
                    <w:suppressLineNumbers w:val="0"/>
                    <w:autoSpaceDE w:val="0"/>
                    <w:autoSpaceDN w:val="0"/>
                    <w:adjustRightInd w:val="0"/>
                    <w:snapToGrid w:val="0"/>
                    <w:spacing w:before="0" w:beforeAutospacing="0" w:after="0" w:afterAutospacing="0"/>
                    <w:ind w:left="0" w:right="0"/>
                    <w:jc w:val="center"/>
                    <w:rPr>
                      <w:rFonts w:hint="default"/>
                      <w:szCs w:val="21"/>
                    </w:rPr>
                  </w:pPr>
                  <w:r>
                    <w:rPr>
                      <w:rFonts w:hint="default"/>
                      <w:szCs w:val="21"/>
                    </w:rPr>
                    <w:t>3</w:t>
                  </w:r>
                </w:p>
              </w:tc>
              <w:tc>
                <w:tcPr>
                  <w:tcW w:w="913" w:type="pct"/>
                  <w:tcBorders>
                    <w:tl2br w:val="nil"/>
                    <w:tr2bl w:val="nil"/>
                  </w:tcBorders>
                  <w:vAlign w:val="center"/>
                </w:tcPr>
                <w:p w14:paraId="1927EB23">
                  <w:pPr>
                    <w:keepNext w:val="0"/>
                    <w:keepLines w:val="0"/>
                    <w:suppressLineNumbers w:val="0"/>
                    <w:autoSpaceDE w:val="0"/>
                    <w:autoSpaceDN w:val="0"/>
                    <w:adjustRightInd w:val="0"/>
                    <w:snapToGrid w:val="0"/>
                    <w:spacing w:before="0" w:beforeAutospacing="0" w:after="0" w:afterAutospacing="0"/>
                    <w:ind w:left="0" w:right="0"/>
                    <w:jc w:val="center"/>
                    <w:rPr>
                      <w:rFonts w:hint="default"/>
                      <w:color w:val="auto"/>
                      <w:sz w:val="21"/>
                      <w:szCs w:val="21"/>
                    </w:rPr>
                  </w:pPr>
                  <w:r>
                    <w:rPr>
                      <w:rFonts w:hint="default" w:ascii="Times New Roman" w:hAnsi="Times New Roman" w:cs="Times New Roman"/>
                      <w:sz w:val="21"/>
                      <w:szCs w:val="21"/>
                    </w:rPr>
                    <w:t>丙纶丝</w:t>
                  </w:r>
                </w:p>
              </w:tc>
              <w:tc>
                <w:tcPr>
                  <w:tcW w:w="870" w:type="pct"/>
                  <w:tcBorders>
                    <w:tl2br w:val="nil"/>
                    <w:tr2bl w:val="nil"/>
                  </w:tcBorders>
                  <w:vAlign w:val="center"/>
                </w:tcPr>
                <w:p w14:paraId="1E20D94D">
                  <w:pPr>
                    <w:keepNext w:val="0"/>
                    <w:keepLines w:val="0"/>
                    <w:suppressLineNumbers w:val="0"/>
                    <w:autoSpaceDE w:val="0"/>
                    <w:autoSpaceDN w:val="0"/>
                    <w:adjustRightInd w:val="0"/>
                    <w:snapToGrid w:val="0"/>
                    <w:spacing w:before="0" w:beforeAutospacing="0" w:after="0" w:afterAutospacing="0"/>
                    <w:ind w:left="0" w:right="0"/>
                    <w:jc w:val="center"/>
                    <w:rPr>
                      <w:rFonts w:hint="default"/>
                      <w:sz w:val="21"/>
                      <w:szCs w:val="21"/>
                    </w:rPr>
                  </w:pPr>
                  <w:r>
                    <w:rPr>
                      <w:rFonts w:hint="default" w:ascii="Times New Roman" w:hAnsi="Times New Roman" w:cs="Times New Roman"/>
                      <w:sz w:val="21"/>
                      <w:szCs w:val="21"/>
                    </w:rPr>
                    <w:t>t/a</w:t>
                  </w:r>
                </w:p>
              </w:tc>
              <w:tc>
                <w:tcPr>
                  <w:tcW w:w="1534" w:type="pct"/>
                  <w:tcBorders>
                    <w:tl2br w:val="nil"/>
                    <w:tr2bl w:val="nil"/>
                  </w:tcBorders>
                  <w:vAlign w:val="center"/>
                </w:tcPr>
                <w:p w14:paraId="74B4176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200</w:t>
                  </w:r>
                </w:p>
              </w:tc>
              <w:tc>
                <w:tcPr>
                  <w:tcW w:w="1297" w:type="pct"/>
                  <w:tcBorders>
                    <w:tl2br w:val="nil"/>
                    <w:tr2bl w:val="nil"/>
                  </w:tcBorders>
                  <w:vAlign w:val="center"/>
                </w:tcPr>
                <w:p w14:paraId="2FA9DED9">
                  <w:pPr>
                    <w:keepNext w:val="0"/>
                    <w:keepLines w:val="0"/>
                    <w:suppressLineNumbers w:val="0"/>
                    <w:autoSpaceDE w:val="0"/>
                    <w:autoSpaceDN w:val="0"/>
                    <w:adjustRightInd w:val="0"/>
                    <w:snapToGrid w:val="0"/>
                    <w:spacing w:before="0" w:beforeAutospacing="0" w:after="0" w:afterAutospacing="0"/>
                    <w:ind w:left="0" w:right="0"/>
                    <w:jc w:val="center"/>
                    <w:rPr>
                      <w:rFonts w:hint="default"/>
                      <w:sz w:val="21"/>
                      <w:szCs w:val="21"/>
                    </w:rPr>
                  </w:pPr>
                  <w:r>
                    <w:rPr>
                      <w:rFonts w:hint="default" w:ascii="Times New Roman" w:hAnsi="Times New Roman" w:cs="Times New Roman"/>
                      <w:sz w:val="21"/>
                      <w:szCs w:val="21"/>
                    </w:rPr>
                    <w:t>外购</w:t>
                  </w:r>
                  <w:r>
                    <w:rPr>
                      <w:rFonts w:hint="default" w:ascii="Times New Roman" w:hAnsi="Times New Roman" w:cs="Times New Roman"/>
                      <w:sz w:val="21"/>
                      <w:szCs w:val="21"/>
                      <w:lang w:eastAsia="zh-CN"/>
                    </w:rPr>
                    <w:t>，</w:t>
                  </w:r>
                  <w:r>
                    <w:rPr>
                      <w:rFonts w:hint="eastAsia" w:ascii="Times New Roman" w:hAnsi="Times New Roman" w:cs="Times New Roman"/>
                      <w:sz w:val="21"/>
                      <w:szCs w:val="21"/>
                      <w:lang w:val="en-US" w:eastAsia="zh-CN"/>
                    </w:rPr>
                    <w:t>25kg袋装</w:t>
                  </w:r>
                </w:p>
              </w:tc>
            </w:tr>
            <w:tr w14:paraId="047957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4" w:type="pct"/>
                  <w:tcBorders>
                    <w:tl2br w:val="nil"/>
                    <w:tr2bl w:val="nil"/>
                  </w:tcBorders>
                  <w:vAlign w:val="center"/>
                </w:tcPr>
                <w:p w14:paraId="51D4B86C">
                  <w:pPr>
                    <w:keepNext w:val="0"/>
                    <w:keepLines w:val="0"/>
                    <w:suppressLineNumbers w:val="0"/>
                    <w:autoSpaceDE w:val="0"/>
                    <w:autoSpaceDN w:val="0"/>
                    <w:adjustRightInd w:val="0"/>
                    <w:snapToGrid w:val="0"/>
                    <w:spacing w:before="0" w:beforeAutospacing="0" w:after="0" w:afterAutospacing="0"/>
                    <w:ind w:left="0" w:right="0"/>
                    <w:jc w:val="center"/>
                    <w:rPr>
                      <w:rFonts w:hint="eastAsia" w:eastAsia="宋体"/>
                      <w:szCs w:val="21"/>
                      <w:lang w:val="en-US" w:eastAsia="zh-CN"/>
                    </w:rPr>
                  </w:pPr>
                  <w:r>
                    <w:rPr>
                      <w:rFonts w:hint="eastAsia"/>
                      <w:szCs w:val="21"/>
                      <w:lang w:val="en-US" w:eastAsia="zh-CN"/>
                    </w:rPr>
                    <w:t>4</w:t>
                  </w:r>
                </w:p>
              </w:tc>
              <w:tc>
                <w:tcPr>
                  <w:tcW w:w="913" w:type="pct"/>
                  <w:tcBorders>
                    <w:tl2br w:val="nil"/>
                    <w:tr2bl w:val="nil"/>
                  </w:tcBorders>
                  <w:vAlign w:val="center"/>
                </w:tcPr>
                <w:p w14:paraId="5153A995">
                  <w:pPr>
                    <w:keepNext w:val="0"/>
                    <w:keepLines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sz w:val="21"/>
                      <w:szCs w:val="21"/>
                      <w:lang w:eastAsia="zh-CN"/>
                    </w:rPr>
                  </w:pPr>
                  <w:r>
                    <w:rPr>
                      <w:rFonts w:hint="eastAsia" w:cs="Times New Roman"/>
                      <w:sz w:val="21"/>
                      <w:szCs w:val="21"/>
                      <w:lang w:eastAsia="zh-CN"/>
                    </w:rPr>
                    <w:t>聚乙烯丝</w:t>
                  </w:r>
                </w:p>
              </w:tc>
              <w:tc>
                <w:tcPr>
                  <w:tcW w:w="870" w:type="pct"/>
                  <w:tcBorders>
                    <w:tl2br w:val="nil"/>
                    <w:tr2bl w:val="nil"/>
                  </w:tcBorders>
                  <w:vAlign w:val="center"/>
                </w:tcPr>
                <w:p w14:paraId="789E2D84">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t/a</w:t>
                  </w:r>
                </w:p>
              </w:tc>
              <w:tc>
                <w:tcPr>
                  <w:tcW w:w="1534" w:type="pct"/>
                  <w:tcBorders>
                    <w:tl2br w:val="nil"/>
                    <w:tr2bl w:val="nil"/>
                  </w:tcBorders>
                  <w:vAlign w:val="center"/>
                </w:tcPr>
                <w:p w14:paraId="52EE7577">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w:t>
                  </w:r>
                  <w:r>
                    <w:rPr>
                      <w:rFonts w:hint="eastAsia" w:cs="Times New Roman"/>
                      <w:color w:val="auto"/>
                      <w:sz w:val="21"/>
                      <w:szCs w:val="21"/>
                      <w:lang w:val="en-US" w:eastAsia="zh-CN"/>
                    </w:rPr>
                    <w:t>00</w:t>
                  </w:r>
                </w:p>
              </w:tc>
              <w:tc>
                <w:tcPr>
                  <w:tcW w:w="1297" w:type="pct"/>
                  <w:tcBorders>
                    <w:tl2br w:val="nil"/>
                    <w:tr2bl w:val="nil"/>
                  </w:tcBorders>
                  <w:vAlign w:val="center"/>
                </w:tcPr>
                <w:p w14:paraId="1036E760">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外购</w:t>
                  </w:r>
                  <w:r>
                    <w:rPr>
                      <w:rFonts w:hint="default" w:ascii="Times New Roman" w:hAnsi="Times New Roman" w:cs="Times New Roman"/>
                      <w:sz w:val="21"/>
                      <w:szCs w:val="21"/>
                      <w:lang w:eastAsia="zh-CN"/>
                    </w:rPr>
                    <w:t>，</w:t>
                  </w:r>
                  <w:r>
                    <w:rPr>
                      <w:rFonts w:hint="eastAsia" w:ascii="Times New Roman" w:hAnsi="Times New Roman" w:cs="Times New Roman"/>
                      <w:sz w:val="21"/>
                      <w:szCs w:val="21"/>
                      <w:lang w:val="en-US" w:eastAsia="zh-CN"/>
                    </w:rPr>
                    <w:t>25kg袋装</w:t>
                  </w:r>
                </w:p>
              </w:tc>
            </w:tr>
            <w:tr w14:paraId="7EAE05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384" w:type="pct"/>
                  <w:tcBorders>
                    <w:tl2br w:val="nil"/>
                    <w:tr2bl w:val="nil"/>
                  </w:tcBorders>
                  <w:vAlign w:val="center"/>
                </w:tcPr>
                <w:p w14:paraId="0151FA80">
                  <w:pPr>
                    <w:keepNext w:val="0"/>
                    <w:keepLines w:val="0"/>
                    <w:suppressLineNumbers w:val="0"/>
                    <w:autoSpaceDE w:val="0"/>
                    <w:autoSpaceDN w:val="0"/>
                    <w:adjustRightInd w:val="0"/>
                    <w:snapToGrid w:val="0"/>
                    <w:spacing w:before="0" w:beforeAutospacing="0" w:after="0" w:afterAutospacing="0"/>
                    <w:ind w:left="0" w:leftChars="0" w:right="0" w:rightChars="0"/>
                    <w:jc w:val="center"/>
                    <w:rPr>
                      <w:rFonts w:hint="default"/>
                      <w:szCs w:val="21"/>
                    </w:rPr>
                  </w:pPr>
                  <w:r>
                    <w:rPr>
                      <w:rFonts w:hint="eastAsia"/>
                      <w:szCs w:val="21"/>
                    </w:rPr>
                    <w:t>5</w:t>
                  </w:r>
                </w:p>
              </w:tc>
              <w:tc>
                <w:tcPr>
                  <w:tcW w:w="913" w:type="pct"/>
                  <w:tcBorders>
                    <w:tl2br w:val="nil"/>
                    <w:tr2bl w:val="nil"/>
                  </w:tcBorders>
                  <w:vAlign w:val="center"/>
                </w:tcPr>
                <w:p w14:paraId="7BCEAACC">
                  <w:pPr>
                    <w:keepNext w:val="0"/>
                    <w:keepLines w:val="0"/>
                    <w:suppressLineNumbers w:val="0"/>
                    <w:autoSpaceDE w:val="0"/>
                    <w:autoSpaceDN w:val="0"/>
                    <w:adjustRightInd w:val="0"/>
                    <w:snapToGrid w:val="0"/>
                    <w:spacing w:before="0" w:beforeAutospacing="0" w:after="0" w:afterAutospacing="0"/>
                    <w:ind w:left="0" w:right="0"/>
                    <w:jc w:val="center"/>
                    <w:rPr>
                      <w:rFonts w:hint="default"/>
                      <w:sz w:val="21"/>
                      <w:szCs w:val="21"/>
                    </w:rPr>
                  </w:pPr>
                  <w:r>
                    <w:rPr>
                      <w:rFonts w:hint="default" w:ascii="Times New Roman" w:hAnsi="Times New Roman" w:cs="Times New Roman"/>
                      <w:sz w:val="21"/>
                      <w:szCs w:val="21"/>
                    </w:rPr>
                    <w:t>包装箱</w:t>
                  </w:r>
                </w:p>
              </w:tc>
              <w:tc>
                <w:tcPr>
                  <w:tcW w:w="870" w:type="pct"/>
                  <w:tcBorders>
                    <w:tl2br w:val="nil"/>
                    <w:tr2bl w:val="nil"/>
                  </w:tcBorders>
                  <w:vAlign w:val="center"/>
                </w:tcPr>
                <w:p w14:paraId="05F16CCC">
                  <w:pPr>
                    <w:keepNext w:val="0"/>
                    <w:keepLines w:val="0"/>
                    <w:suppressLineNumbers w:val="0"/>
                    <w:autoSpaceDE w:val="0"/>
                    <w:autoSpaceDN w:val="0"/>
                    <w:adjustRightInd w:val="0"/>
                    <w:snapToGrid w:val="0"/>
                    <w:spacing w:before="0" w:beforeAutospacing="0" w:after="0" w:afterAutospacing="0"/>
                    <w:ind w:left="0" w:right="0"/>
                    <w:jc w:val="center"/>
                    <w:rPr>
                      <w:rFonts w:hint="default"/>
                      <w:sz w:val="21"/>
                      <w:szCs w:val="21"/>
                    </w:rPr>
                  </w:pPr>
                  <w:r>
                    <w:rPr>
                      <w:rFonts w:hint="default" w:ascii="Times New Roman" w:hAnsi="Times New Roman" w:cs="Times New Roman"/>
                      <w:sz w:val="21"/>
                      <w:szCs w:val="21"/>
                    </w:rPr>
                    <w:t>万个/a</w:t>
                  </w:r>
                </w:p>
              </w:tc>
              <w:tc>
                <w:tcPr>
                  <w:tcW w:w="1534" w:type="pct"/>
                  <w:tcBorders>
                    <w:tl2br w:val="nil"/>
                    <w:tr2bl w:val="nil"/>
                  </w:tcBorders>
                  <w:vAlign w:val="center"/>
                </w:tcPr>
                <w:p w14:paraId="0F00F59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5</w:t>
                  </w:r>
                </w:p>
              </w:tc>
              <w:tc>
                <w:tcPr>
                  <w:tcW w:w="1297" w:type="pct"/>
                  <w:tcBorders>
                    <w:tl2br w:val="nil"/>
                    <w:tr2bl w:val="nil"/>
                  </w:tcBorders>
                  <w:vAlign w:val="center"/>
                </w:tcPr>
                <w:p w14:paraId="4A562F98">
                  <w:pPr>
                    <w:keepNext w:val="0"/>
                    <w:keepLines w:val="0"/>
                    <w:suppressLineNumbers w:val="0"/>
                    <w:autoSpaceDE w:val="0"/>
                    <w:autoSpaceDN w:val="0"/>
                    <w:adjustRightInd w:val="0"/>
                    <w:snapToGrid w:val="0"/>
                    <w:spacing w:before="0" w:beforeAutospacing="0" w:after="0" w:afterAutospacing="0"/>
                    <w:ind w:left="0" w:right="0"/>
                    <w:jc w:val="center"/>
                    <w:rPr>
                      <w:rFonts w:hint="default"/>
                      <w:sz w:val="21"/>
                      <w:szCs w:val="21"/>
                    </w:rPr>
                  </w:pPr>
                  <w:r>
                    <w:rPr>
                      <w:rFonts w:hint="default" w:ascii="Times New Roman" w:hAnsi="Times New Roman" w:cs="Times New Roman"/>
                      <w:sz w:val="21"/>
                      <w:szCs w:val="21"/>
                    </w:rPr>
                    <w:t>外购</w:t>
                  </w:r>
                </w:p>
              </w:tc>
            </w:tr>
            <w:tr w14:paraId="596D79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384" w:type="pct"/>
                  <w:tcBorders>
                    <w:tl2br w:val="nil"/>
                    <w:tr2bl w:val="nil"/>
                  </w:tcBorders>
                  <w:vAlign w:val="center"/>
                </w:tcPr>
                <w:p w14:paraId="40FD4BD6">
                  <w:pPr>
                    <w:keepNext w:val="0"/>
                    <w:keepLines w:val="0"/>
                    <w:suppressLineNumbers w:val="0"/>
                    <w:autoSpaceDE w:val="0"/>
                    <w:autoSpaceDN w:val="0"/>
                    <w:adjustRightInd w:val="0"/>
                    <w:snapToGrid w:val="0"/>
                    <w:spacing w:before="0" w:beforeAutospacing="0" w:after="0" w:afterAutospacing="0"/>
                    <w:ind w:left="0" w:leftChars="0" w:right="0" w:rightChars="0"/>
                    <w:jc w:val="center"/>
                    <w:rPr>
                      <w:rFonts w:hint="default"/>
                      <w:szCs w:val="21"/>
                    </w:rPr>
                  </w:pPr>
                  <w:r>
                    <w:rPr>
                      <w:rFonts w:hint="eastAsia"/>
                      <w:szCs w:val="21"/>
                    </w:rPr>
                    <w:t>6</w:t>
                  </w:r>
                </w:p>
              </w:tc>
              <w:tc>
                <w:tcPr>
                  <w:tcW w:w="913" w:type="pct"/>
                  <w:tcBorders>
                    <w:tl2br w:val="nil"/>
                    <w:tr2bl w:val="nil"/>
                  </w:tcBorders>
                  <w:vAlign w:val="center"/>
                </w:tcPr>
                <w:p w14:paraId="3F723166">
                  <w:pPr>
                    <w:keepNext w:val="0"/>
                    <w:keepLines w:val="0"/>
                    <w:suppressLineNumbers w:val="0"/>
                    <w:autoSpaceDE w:val="0"/>
                    <w:autoSpaceDN w:val="0"/>
                    <w:adjustRightInd w:val="0"/>
                    <w:snapToGrid w:val="0"/>
                    <w:spacing w:before="0" w:beforeAutospacing="0" w:after="0" w:afterAutospacing="0"/>
                    <w:ind w:left="0" w:right="0"/>
                    <w:jc w:val="center"/>
                    <w:rPr>
                      <w:rFonts w:hint="default"/>
                      <w:sz w:val="21"/>
                      <w:szCs w:val="21"/>
                    </w:rPr>
                  </w:pPr>
                  <w:r>
                    <w:rPr>
                      <w:rFonts w:hint="default" w:ascii="Times New Roman" w:hAnsi="Times New Roman" w:cs="Times New Roman"/>
                      <w:sz w:val="21"/>
                      <w:szCs w:val="21"/>
                    </w:rPr>
                    <w:t>钙基润滑脂（黄油）</w:t>
                  </w:r>
                </w:p>
              </w:tc>
              <w:tc>
                <w:tcPr>
                  <w:tcW w:w="870" w:type="pct"/>
                  <w:tcBorders>
                    <w:tl2br w:val="nil"/>
                    <w:tr2bl w:val="nil"/>
                  </w:tcBorders>
                  <w:vAlign w:val="center"/>
                </w:tcPr>
                <w:p w14:paraId="634953E6">
                  <w:pPr>
                    <w:keepNext w:val="0"/>
                    <w:keepLines w:val="0"/>
                    <w:suppressLineNumbers w:val="0"/>
                    <w:autoSpaceDE w:val="0"/>
                    <w:autoSpaceDN w:val="0"/>
                    <w:adjustRightInd w:val="0"/>
                    <w:snapToGrid w:val="0"/>
                    <w:spacing w:before="0" w:beforeAutospacing="0" w:after="0" w:afterAutospacing="0"/>
                    <w:ind w:left="0" w:right="0"/>
                    <w:jc w:val="center"/>
                    <w:rPr>
                      <w:rFonts w:hint="default"/>
                      <w:sz w:val="21"/>
                      <w:szCs w:val="21"/>
                    </w:rPr>
                  </w:pPr>
                  <w:r>
                    <w:rPr>
                      <w:rFonts w:hint="default" w:ascii="Times New Roman" w:hAnsi="Times New Roman" w:cs="Times New Roman"/>
                      <w:sz w:val="21"/>
                      <w:szCs w:val="21"/>
                    </w:rPr>
                    <w:t>t/a</w:t>
                  </w:r>
                </w:p>
              </w:tc>
              <w:tc>
                <w:tcPr>
                  <w:tcW w:w="1534" w:type="pct"/>
                  <w:tcBorders>
                    <w:tl2br w:val="nil"/>
                    <w:tr2bl w:val="nil"/>
                  </w:tcBorders>
                  <w:vAlign w:val="center"/>
                </w:tcPr>
                <w:p w14:paraId="0795AC30">
                  <w:pPr>
                    <w:keepNext w:val="0"/>
                    <w:keepLines w:val="0"/>
                    <w:suppressLineNumbers w:val="0"/>
                    <w:autoSpaceDE w:val="0"/>
                    <w:autoSpaceDN w:val="0"/>
                    <w:adjustRightInd w:val="0"/>
                    <w:snapToGrid w:val="0"/>
                    <w:spacing w:before="0" w:beforeAutospacing="0" w:after="0" w:afterAutospacing="0"/>
                    <w:ind w:left="0" w:leftChars="0" w:right="0" w:rightChars="0"/>
                    <w:jc w:val="center"/>
                    <w:rPr>
                      <w:rFonts w:hint="default" w:ascii="Times New Roman" w:hAnsi="Times New Roman" w:cs="Times New Roman"/>
                      <w:sz w:val="21"/>
                      <w:szCs w:val="21"/>
                      <w:lang w:val="en-US" w:eastAsia="zh-CN"/>
                    </w:rPr>
                  </w:pPr>
                  <w:r>
                    <w:rPr>
                      <w:rFonts w:hint="eastAsia" w:cs="Times New Roman"/>
                      <w:sz w:val="21"/>
                      <w:szCs w:val="21"/>
                      <w:lang w:val="en-US" w:eastAsia="zh-CN"/>
                    </w:rPr>
                    <w:t>0.3</w:t>
                  </w:r>
                </w:p>
              </w:tc>
              <w:tc>
                <w:tcPr>
                  <w:tcW w:w="1297" w:type="pct"/>
                  <w:tcBorders>
                    <w:tl2br w:val="nil"/>
                    <w:tr2bl w:val="nil"/>
                  </w:tcBorders>
                  <w:vAlign w:val="center"/>
                </w:tcPr>
                <w:p w14:paraId="2E5FEF49">
                  <w:pPr>
                    <w:keepNext w:val="0"/>
                    <w:keepLines w:val="0"/>
                    <w:suppressLineNumbers w:val="0"/>
                    <w:autoSpaceDE w:val="0"/>
                    <w:autoSpaceDN w:val="0"/>
                    <w:adjustRightInd w:val="0"/>
                    <w:snapToGrid w:val="0"/>
                    <w:spacing w:before="0" w:beforeAutospacing="0" w:after="0" w:afterAutospacing="0"/>
                    <w:ind w:left="0" w:right="0"/>
                    <w:jc w:val="center"/>
                    <w:rPr>
                      <w:rFonts w:hint="default"/>
                      <w:sz w:val="21"/>
                      <w:szCs w:val="21"/>
                    </w:rPr>
                  </w:pPr>
                  <w:r>
                    <w:rPr>
                      <w:rFonts w:hint="default" w:ascii="Times New Roman" w:hAnsi="Times New Roman" w:cs="Times New Roman"/>
                      <w:sz w:val="21"/>
                      <w:szCs w:val="21"/>
                    </w:rPr>
                    <w:t>外购，用于设备保养</w:t>
                  </w:r>
                </w:p>
              </w:tc>
            </w:tr>
            <w:tr w14:paraId="4DEF4C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384" w:type="pct"/>
                  <w:tcBorders>
                    <w:tl2br w:val="nil"/>
                    <w:tr2bl w:val="nil"/>
                  </w:tcBorders>
                  <w:vAlign w:val="center"/>
                </w:tcPr>
                <w:p w14:paraId="41C7403B">
                  <w:pPr>
                    <w:keepNext w:val="0"/>
                    <w:keepLines w:val="0"/>
                    <w:suppressLineNumbers w:val="0"/>
                    <w:adjustRightInd w:val="0"/>
                    <w:snapToGrid w:val="0"/>
                    <w:spacing w:before="0" w:beforeAutospacing="0" w:after="0" w:afterAutospacing="0" w:line="240" w:lineRule="atLeast"/>
                    <w:ind w:left="0" w:leftChars="0" w:right="0" w:rightChars="0"/>
                    <w:jc w:val="center"/>
                    <w:rPr>
                      <w:rFonts w:hint="default"/>
                      <w:szCs w:val="21"/>
                      <w:highlight w:val="none"/>
                    </w:rPr>
                  </w:pPr>
                  <w:r>
                    <w:rPr>
                      <w:rFonts w:hint="eastAsia"/>
                      <w:szCs w:val="21"/>
                      <w:highlight w:val="none"/>
                    </w:rPr>
                    <w:t>7</w:t>
                  </w:r>
                </w:p>
              </w:tc>
              <w:tc>
                <w:tcPr>
                  <w:tcW w:w="913" w:type="pct"/>
                  <w:tcBorders>
                    <w:tl2br w:val="nil"/>
                    <w:tr2bl w:val="nil"/>
                  </w:tcBorders>
                  <w:vAlign w:val="center"/>
                </w:tcPr>
                <w:p w14:paraId="4D0E2C60">
                  <w:pPr>
                    <w:keepNext w:val="0"/>
                    <w:keepLines w:val="0"/>
                    <w:suppressLineNumbers w:val="0"/>
                    <w:adjustRightInd w:val="0"/>
                    <w:snapToGrid w:val="0"/>
                    <w:spacing w:before="0" w:beforeAutospacing="0" w:after="0" w:afterAutospacing="0" w:line="240" w:lineRule="atLeast"/>
                    <w:ind w:left="0" w:right="0"/>
                    <w:jc w:val="center"/>
                    <w:rPr>
                      <w:rFonts w:hint="eastAsia" w:eastAsia="宋体"/>
                      <w:sz w:val="21"/>
                      <w:szCs w:val="21"/>
                      <w:highlight w:val="none"/>
                      <w:lang w:eastAsia="zh-CN"/>
                    </w:rPr>
                  </w:pPr>
                  <w:r>
                    <w:rPr>
                      <w:rFonts w:hint="eastAsia"/>
                      <w:sz w:val="21"/>
                      <w:szCs w:val="21"/>
                      <w:highlight w:val="none"/>
                      <w:lang w:eastAsia="zh-CN"/>
                    </w:rPr>
                    <w:t>油墨</w:t>
                  </w:r>
                </w:p>
              </w:tc>
              <w:tc>
                <w:tcPr>
                  <w:tcW w:w="870" w:type="pct"/>
                  <w:tcBorders>
                    <w:tl2br w:val="nil"/>
                    <w:tr2bl w:val="nil"/>
                  </w:tcBorders>
                  <w:vAlign w:val="center"/>
                </w:tcPr>
                <w:p w14:paraId="2E2C4938">
                  <w:pPr>
                    <w:keepNext w:val="0"/>
                    <w:keepLines w:val="0"/>
                    <w:suppressLineNumbers w:val="0"/>
                    <w:adjustRightInd w:val="0"/>
                    <w:snapToGrid w:val="0"/>
                    <w:spacing w:before="0" w:beforeAutospacing="0" w:after="0" w:afterAutospacing="0" w:line="240" w:lineRule="atLeast"/>
                    <w:ind w:left="0" w:right="0"/>
                    <w:jc w:val="center"/>
                    <w:rPr>
                      <w:rFonts w:hint="default"/>
                      <w:sz w:val="21"/>
                      <w:szCs w:val="21"/>
                      <w:highlight w:val="none"/>
                    </w:rPr>
                  </w:pPr>
                  <w:r>
                    <w:rPr>
                      <w:rFonts w:hint="eastAsia" w:cs="Times New Roman"/>
                      <w:sz w:val="21"/>
                      <w:szCs w:val="21"/>
                      <w:highlight w:val="none"/>
                      <w:lang w:val="en-US" w:eastAsia="zh-CN"/>
                    </w:rPr>
                    <w:t>kg</w:t>
                  </w:r>
                  <w:r>
                    <w:rPr>
                      <w:rFonts w:hint="default" w:ascii="Times New Roman" w:hAnsi="Times New Roman" w:cs="Times New Roman"/>
                      <w:sz w:val="21"/>
                      <w:szCs w:val="21"/>
                      <w:highlight w:val="none"/>
                    </w:rPr>
                    <w:t>/a</w:t>
                  </w:r>
                </w:p>
              </w:tc>
              <w:tc>
                <w:tcPr>
                  <w:tcW w:w="1534" w:type="pct"/>
                  <w:tcBorders>
                    <w:tl2br w:val="nil"/>
                    <w:tr2bl w:val="nil"/>
                  </w:tcBorders>
                  <w:vAlign w:val="center"/>
                </w:tcPr>
                <w:p w14:paraId="63070B51">
                  <w:pPr>
                    <w:keepNext w:val="0"/>
                    <w:keepLines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10</w:t>
                  </w:r>
                </w:p>
              </w:tc>
              <w:tc>
                <w:tcPr>
                  <w:tcW w:w="1297" w:type="pct"/>
                  <w:tcBorders>
                    <w:tl2br w:val="nil"/>
                    <w:tr2bl w:val="nil"/>
                  </w:tcBorders>
                  <w:vAlign w:val="center"/>
                </w:tcPr>
                <w:p w14:paraId="49DB9DD6">
                  <w:pPr>
                    <w:keepNext w:val="0"/>
                    <w:keepLines w:val="0"/>
                    <w:suppressLineNumbers w:val="0"/>
                    <w:adjustRightInd w:val="0"/>
                    <w:snapToGrid w:val="0"/>
                    <w:spacing w:before="0" w:beforeAutospacing="0" w:after="0" w:afterAutospacing="0" w:line="240" w:lineRule="atLeast"/>
                    <w:ind w:left="0" w:right="0"/>
                    <w:jc w:val="center"/>
                    <w:rPr>
                      <w:rFonts w:hint="default"/>
                      <w:sz w:val="21"/>
                      <w:szCs w:val="21"/>
                      <w:highlight w:val="none"/>
                    </w:rPr>
                  </w:pPr>
                  <w:r>
                    <w:rPr>
                      <w:rFonts w:hint="default" w:ascii="Times New Roman" w:hAnsi="Times New Roman" w:cs="Times New Roman"/>
                      <w:sz w:val="21"/>
                      <w:szCs w:val="21"/>
                      <w:highlight w:val="none"/>
                      <w:lang w:val="en-US" w:eastAsia="zh-CN"/>
                    </w:rPr>
                    <w:t>外购</w:t>
                  </w:r>
                  <w:r>
                    <w:rPr>
                      <w:rFonts w:hint="eastAsia" w:ascii="Times New Roman" w:hAnsi="Times New Roman" w:cs="Times New Roman"/>
                      <w:sz w:val="21"/>
                      <w:szCs w:val="21"/>
                      <w:highlight w:val="none"/>
                      <w:lang w:val="en-US" w:eastAsia="zh-CN"/>
                    </w:rPr>
                    <w:t>，</w:t>
                  </w:r>
                  <w:r>
                    <w:rPr>
                      <w:rFonts w:hint="eastAsia" w:cs="Times New Roman"/>
                      <w:sz w:val="21"/>
                      <w:szCs w:val="21"/>
                      <w:highlight w:val="none"/>
                      <w:lang w:val="en-US" w:eastAsia="zh-CN"/>
                    </w:rPr>
                    <w:t>1kg/桶，</w:t>
                  </w:r>
                  <w:r>
                    <w:rPr>
                      <w:rFonts w:hint="eastAsia" w:ascii="Times New Roman" w:hAnsi="Times New Roman" w:cs="Times New Roman"/>
                      <w:sz w:val="21"/>
                      <w:szCs w:val="21"/>
                      <w:highlight w:val="none"/>
                      <w:lang w:val="en-US" w:eastAsia="zh-CN"/>
                    </w:rPr>
                    <w:t>喷码</w:t>
                  </w:r>
                </w:p>
              </w:tc>
            </w:tr>
            <w:tr w14:paraId="38B256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384" w:type="pct"/>
                  <w:tcBorders>
                    <w:tl2br w:val="nil"/>
                    <w:tr2bl w:val="nil"/>
                  </w:tcBorders>
                  <w:vAlign w:val="center"/>
                </w:tcPr>
                <w:p w14:paraId="55049C2F">
                  <w:pPr>
                    <w:keepNext w:val="0"/>
                    <w:keepLines w:val="0"/>
                    <w:suppressLineNumbers w:val="0"/>
                    <w:adjustRightInd w:val="0"/>
                    <w:snapToGrid w:val="0"/>
                    <w:spacing w:before="0" w:beforeAutospacing="0" w:after="0" w:afterAutospacing="0" w:line="240" w:lineRule="atLeast"/>
                    <w:ind w:left="0" w:leftChars="0" w:right="0" w:rightChars="0"/>
                    <w:jc w:val="center"/>
                    <w:rPr>
                      <w:rFonts w:hint="default" w:eastAsia="宋体"/>
                      <w:szCs w:val="21"/>
                      <w:lang w:val="en-US" w:eastAsia="zh-CN"/>
                    </w:rPr>
                  </w:pPr>
                  <w:r>
                    <w:rPr>
                      <w:rFonts w:hint="eastAsia"/>
                      <w:szCs w:val="21"/>
                      <w:lang w:val="en-US" w:eastAsia="zh-CN"/>
                    </w:rPr>
                    <w:t>8</w:t>
                  </w:r>
                </w:p>
              </w:tc>
              <w:tc>
                <w:tcPr>
                  <w:tcW w:w="913" w:type="pct"/>
                  <w:tcBorders>
                    <w:tl2br w:val="nil"/>
                    <w:tr2bl w:val="nil"/>
                  </w:tcBorders>
                  <w:vAlign w:val="center"/>
                </w:tcPr>
                <w:p w14:paraId="6421C883">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sz w:val="21"/>
                      <w:szCs w:val="21"/>
                      <w:lang w:val="en-US" w:eastAsia="zh-CN"/>
                    </w:rPr>
                  </w:pPr>
                  <w:r>
                    <w:rPr>
                      <w:rFonts w:hint="eastAsia" w:cs="Times New Roman"/>
                      <w:sz w:val="21"/>
                      <w:szCs w:val="21"/>
                      <w:lang w:val="en-US" w:eastAsia="zh-CN"/>
                    </w:rPr>
                    <w:t>制冷剂</w:t>
                  </w:r>
                </w:p>
              </w:tc>
              <w:tc>
                <w:tcPr>
                  <w:tcW w:w="870" w:type="pct"/>
                  <w:tcBorders>
                    <w:tl2br w:val="nil"/>
                    <w:tr2bl w:val="nil"/>
                  </w:tcBorders>
                  <w:vAlign w:val="center"/>
                </w:tcPr>
                <w:p w14:paraId="334F13C5">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rPr>
                    <w:t>t/a</w:t>
                  </w:r>
                </w:p>
              </w:tc>
              <w:tc>
                <w:tcPr>
                  <w:tcW w:w="1534" w:type="pct"/>
                  <w:tcBorders>
                    <w:tl2br w:val="nil"/>
                    <w:tr2bl w:val="nil"/>
                  </w:tcBorders>
                  <w:vAlign w:val="center"/>
                </w:tcPr>
                <w:p w14:paraId="12609684">
                  <w:pPr>
                    <w:keepNext w:val="0"/>
                    <w:keepLines w:val="0"/>
                    <w:suppressLineNumbers w:val="0"/>
                    <w:adjustRightInd w:val="0"/>
                    <w:snapToGrid w:val="0"/>
                    <w:spacing w:before="0" w:beforeAutospacing="0" w:after="0" w:afterAutospacing="0" w:line="240" w:lineRule="atLeast"/>
                    <w:ind w:left="0" w:leftChars="0" w:right="0" w:rightChars="0"/>
                    <w:jc w:val="center"/>
                    <w:rPr>
                      <w:rFonts w:hint="default" w:cs="Times New Roman"/>
                      <w:sz w:val="21"/>
                      <w:szCs w:val="21"/>
                      <w:lang w:val="en-US" w:eastAsia="zh-CN"/>
                    </w:rPr>
                  </w:pPr>
                  <w:r>
                    <w:rPr>
                      <w:rFonts w:hint="eastAsia" w:cs="Times New Roman"/>
                      <w:sz w:val="21"/>
                      <w:szCs w:val="21"/>
                      <w:lang w:val="en-US" w:eastAsia="zh-CN"/>
                    </w:rPr>
                    <w:t>0.33</w:t>
                  </w:r>
                </w:p>
              </w:tc>
              <w:tc>
                <w:tcPr>
                  <w:tcW w:w="1297" w:type="pct"/>
                  <w:tcBorders>
                    <w:tl2br w:val="nil"/>
                    <w:tr2bl w:val="nil"/>
                  </w:tcBorders>
                  <w:vAlign w:val="center"/>
                </w:tcPr>
                <w:p w14:paraId="0361E203">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sz w:val="21"/>
                      <w:szCs w:val="21"/>
                      <w:lang w:val="en-US" w:eastAsia="zh-CN"/>
                    </w:rPr>
                  </w:pPr>
                  <w:r>
                    <w:rPr>
                      <w:rFonts w:hint="eastAsia" w:cs="Times New Roman"/>
                      <w:sz w:val="21"/>
                      <w:szCs w:val="21"/>
                      <w:lang w:val="en-US" w:eastAsia="zh-CN"/>
                    </w:rPr>
                    <w:t>外购，高压瓶装</w:t>
                  </w:r>
                </w:p>
              </w:tc>
            </w:tr>
            <w:tr w14:paraId="534CD3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384" w:type="pct"/>
                  <w:tcBorders>
                    <w:tl2br w:val="nil"/>
                    <w:tr2bl w:val="nil"/>
                  </w:tcBorders>
                  <w:vAlign w:val="center"/>
                </w:tcPr>
                <w:p w14:paraId="2E6967E3">
                  <w:pPr>
                    <w:keepNext w:val="0"/>
                    <w:keepLines w:val="0"/>
                    <w:suppressLineNumbers w:val="0"/>
                    <w:adjustRightInd w:val="0"/>
                    <w:snapToGrid w:val="0"/>
                    <w:spacing w:before="0" w:beforeAutospacing="0" w:after="0" w:afterAutospacing="0" w:line="240" w:lineRule="atLeast"/>
                    <w:ind w:left="0" w:leftChars="0" w:right="0" w:rightChars="0"/>
                    <w:jc w:val="center"/>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9</w:t>
                  </w:r>
                </w:p>
              </w:tc>
              <w:tc>
                <w:tcPr>
                  <w:tcW w:w="913" w:type="pct"/>
                  <w:tcBorders>
                    <w:tl2br w:val="nil"/>
                    <w:tr2bl w:val="nil"/>
                  </w:tcBorders>
                  <w:vAlign w:val="center"/>
                </w:tcPr>
                <w:p w14:paraId="68FC21F7">
                  <w:pPr>
                    <w:keepNext w:val="0"/>
                    <w:keepLines w:val="0"/>
                    <w:suppressLineNumbers w:val="0"/>
                    <w:adjustRightInd w:val="0"/>
                    <w:snapToGrid w:val="0"/>
                    <w:spacing w:before="0" w:beforeAutospacing="0" w:after="0" w:afterAutospacing="0" w:line="240" w:lineRule="atLeast"/>
                    <w:ind w:left="0" w:right="0"/>
                    <w:jc w:val="center"/>
                    <w:rPr>
                      <w:rFonts w:hint="eastAsia" w:ascii="Times New Roman" w:hAnsi="Times New Roman" w:eastAsia="宋体" w:cs="Times New Roman"/>
                      <w:kern w:val="2"/>
                      <w:sz w:val="21"/>
                      <w:szCs w:val="21"/>
                      <w:lang w:val="en-US" w:eastAsia="zh-CN" w:bidi="ar-SA"/>
                    </w:rPr>
                  </w:pPr>
                  <w:r>
                    <w:rPr>
                      <w:rFonts w:hint="eastAsia"/>
                      <w:szCs w:val="21"/>
                    </w:rPr>
                    <w:t>水</w:t>
                  </w:r>
                </w:p>
              </w:tc>
              <w:tc>
                <w:tcPr>
                  <w:tcW w:w="870" w:type="pct"/>
                  <w:tcBorders>
                    <w:tl2br w:val="nil"/>
                    <w:tr2bl w:val="nil"/>
                  </w:tcBorders>
                  <w:vAlign w:val="center"/>
                </w:tcPr>
                <w:p w14:paraId="6B46A3FB">
                  <w:pPr>
                    <w:keepNext w:val="0"/>
                    <w:keepLines w:val="0"/>
                    <w:suppressLineNumbers w:val="0"/>
                    <w:adjustRightInd w:val="0"/>
                    <w:snapToGrid w:val="0"/>
                    <w:spacing w:before="0" w:beforeAutospacing="0" w:after="0" w:afterAutospacing="0" w:line="240" w:lineRule="atLeast"/>
                    <w:ind w:left="0" w:right="0"/>
                    <w:jc w:val="center"/>
                    <w:rPr>
                      <w:rFonts w:hint="eastAsia" w:ascii="Times New Roman" w:hAnsi="Times New Roman" w:eastAsia="宋体" w:cs="Times New Roman"/>
                      <w:kern w:val="2"/>
                      <w:sz w:val="21"/>
                      <w:szCs w:val="21"/>
                      <w:lang w:val="en-US" w:eastAsia="zh-CN" w:bidi="ar-SA"/>
                    </w:rPr>
                  </w:pPr>
                  <w:r>
                    <w:rPr>
                      <w:rFonts w:hint="eastAsia"/>
                      <w:szCs w:val="21"/>
                    </w:rPr>
                    <w:t>m</w:t>
                  </w:r>
                  <w:r>
                    <w:rPr>
                      <w:rFonts w:hint="eastAsia"/>
                      <w:szCs w:val="21"/>
                      <w:vertAlign w:val="superscript"/>
                    </w:rPr>
                    <w:t>3</w:t>
                  </w:r>
                  <w:r>
                    <w:rPr>
                      <w:rFonts w:hint="eastAsia"/>
                      <w:szCs w:val="21"/>
                    </w:rPr>
                    <w:t>/a</w:t>
                  </w:r>
                </w:p>
              </w:tc>
              <w:tc>
                <w:tcPr>
                  <w:tcW w:w="1534" w:type="pct"/>
                  <w:tcBorders>
                    <w:tl2br w:val="nil"/>
                    <w:tr2bl w:val="nil"/>
                  </w:tcBorders>
                  <w:vAlign w:val="center"/>
                </w:tcPr>
                <w:p w14:paraId="0BA16F91">
                  <w:pPr>
                    <w:keepNext w:val="0"/>
                    <w:keepLines w:val="0"/>
                    <w:suppressLineNumbers w:val="0"/>
                    <w:adjustRightInd w:val="0"/>
                    <w:snapToGrid w:val="0"/>
                    <w:spacing w:before="0" w:beforeAutospacing="0" w:after="0" w:afterAutospacing="0" w:line="240" w:lineRule="atLeast"/>
                    <w:ind w:left="0" w:leftChars="0" w:right="0" w:rightChars="0"/>
                    <w:jc w:val="center"/>
                    <w:rPr>
                      <w:rFonts w:hint="default" w:cs="Times New Roman"/>
                      <w:kern w:val="2"/>
                      <w:sz w:val="21"/>
                      <w:szCs w:val="21"/>
                      <w:lang w:val="en-US" w:eastAsia="zh-CN" w:bidi="ar-SA"/>
                    </w:rPr>
                  </w:pPr>
                  <w:r>
                    <w:rPr>
                      <w:rFonts w:hint="eastAsia" w:cs="Times New Roman"/>
                      <w:kern w:val="2"/>
                      <w:sz w:val="21"/>
                      <w:szCs w:val="21"/>
                      <w:lang w:val="en-US" w:eastAsia="zh-CN" w:bidi="ar-SA"/>
                    </w:rPr>
                    <w:t>916.7</w:t>
                  </w:r>
                </w:p>
              </w:tc>
              <w:tc>
                <w:tcPr>
                  <w:tcW w:w="1297" w:type="pct"/>
                  <w:tcBorders>
                    <w:tl2br w:val="nil"/>
                    <w:tr2bl w:val="nil"/>
                  </w:tcBorders>
                  <w:vAlign w:val="center"/>
                </w:tcPr>
                <w:p w14:paraId="484762F6">
                  <w:pPr>
                    <w:keepNext w:val="0"/>
                    <w:keepLines w:val="0"/>
                    <w:suppressLineNumbers w:val="0"/>
                    <w:adjustRightInd w:val="0"/>
                    <w:snapToGrid w:val="0"/>
                    <w:spacing w:before="0" w:beforeAutospacing="0" w:after="0" w:afterAutospacing="0" w:line="240" w:lineRule="atLeast"/>
                    <w:ind w:left="0" w:right="0"/>
                    <w:jc w:val="center"/>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园区供水管网</w:t>
                  </w:r>
                </w:p>
              </w:tc>
            </w:tr>
            <w:tr w14:paraId="42E17F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384" w:type="pct"/>
                  <w:tcBorders>
                    <w:tl2br w:val="nil"/>
                    <w:tr2bl w:val="nil"/>
                  </w:tcBorders>
                  <w:vAlign w:val="center"/>
                </w:tcPr>
                <w:p w14:paraId="26C01297">
                  <w:pPr>
                    <w:keepNext w:val="0"/>
                    <w:keepLines w:val="0"/>
                    <w:suppressLineNumbers w:val="0"/>
                    <w:autoSpaceDE w:val="0"/>
                    <w:autoSpaceDN w:val="0"/>
                    <w:adjustRightInd w:val="0"/>
                    <w:snapToGrid w:val="0"/>
                    <w:spacing w:before="0" w:beforeAutospacing="0" w:after="0" w:afterAutospacing="0"/>
                    <w:ind w:left="0" w:leftChars="0" w:right="0" w:rightChars="0"/>
                    <w:jc w:val="center"/>
                    <w:rPr>
                      <w:rFonts w:hint="default" w:eastAsia="宋体"/>
                      <w:szCs w:val="21"/>
                      <w:lang w:val="en-US" w:eastAsia="zh-CN"/>
                    </w:rPr>
                  </w:pPr>
                  <w:r>
                    <w:rPr>
                      <w:rFonts w:hint="eastAsia"/>
                      <w:szCs w:val="21"/>
                      <w:lang w:val="en-US" w:eastAsia="zh-CN"/>
                    </w:rPr>
                    <w:t>10</w:t>
                  </w:r>
                </w:p>
              </w:tc>
              <w:tc>
                <w:tcPr>
                  <w:tcW w:w="913" w:type="pct"/>
                  <w:tcBorders>
                    <w:tl2br w:val="nil"/>
                    <w:tr2bl w:val="nil"/>
                  </w:tcBorders>
                  <w:vAlign w:val="center"/>
                </w:tcPr>
                <w:p w14:paraId="66FD06FA">
                  <w:pPr>
                    <w:keepNext w:val="0"/>
                    <w:keepLines w:val="0"/>
                    <w:suppressLineNumbers w:val="0"/>
                    <w:adjustRightInd w:val="0"/>
                    <w:snapToGrid w:val="0"/>
                    <w:spacing w:before="0" w:beforeAutospacing="0" w:after="0" w:afterAutospacing="0" w:line="240" w:lineRule="atLeast"/>
                    <w:ind w:left="0" w:right="0"/>
                    <w:jc w:val="center"/>
                    <w:rPr>
                      <w:rFonts w:hint="default"/>
                      <w:szCs w:val="21"/>
                    </w:rPr>
                  </w:pPr>
                  <w:r>
                    <w:rPr>
                      <w:rFonts w:hint="eastAsia"/>
                      <w:szCs w:val="21"/>
                    </w:rPr>
                    <w:t>电</w:t>
                  </w:r>
                </w:p>
              </w:tc>
              <w:tc>
                <w:tcPr>
                  <w:tcW w:w="870" w:type="pct"/>
                  <w:tcBorders>
                    <w:tl2br w:val="nil"/>
                    <w:tr2bl w:val="nil"/>
                  </w:tcBorders>
                  <w:vAlign w:val="center"/>
                </w:tcPr>
                <w:p w14:paraId="29C40A83">
                  <w:pPr>
                    <w:keepNext w:val="0"/>
                    <w:keepLines w:val="0"/>
                    <w:suppressLineNumbers w:val="0"/>
                    <w:adjustRightInd w:val="0"/>
                    <w:snapToGrid w:val="0"/>
                    <w:spacing w:before="0" w:beforeAutospacing="0" w:after="0" w:afterAutospacing="0" w:line="240" w:lineRule="atLeast"/>
                    <w:ind w:left="0" w:right="0"/>
                    <w:jc w:val="center"/>
                    <w:rPr>
                      <w:rFonts w:hint="default"/>
                      <w:szCs w:val="21"/>
                    </w:rPr>
                  </w:pPr>
                  <w:r>
                    <w:rPr>
                      <w:rFonts w:hint="eastAsia"/>
                      <w:szCs w:val="21"/>
                    </w:rPr>
                    <w:t>kW·h/a</w:t>
                  </w:r>
                </w:p>
              </w:tc>
              <w:tc>
                <w:tcPr>
                  <w:tcW w:w="1534" w:type="pct"/>
                  <w:tcBorders>
                    <w:tl2br w:val="nil"/>
                    <w:tr2bl w:val="nil"/>
                  </w:tcBorders>
                  <w:vAlign w:val="center"/>
                </w:tcPr>
                <w:p w14:paraId="7F8B9ADC">
                  <w:pPr>
                    <w:keepNext w:val="0"/>
                    <w:keepLines w:val="0"/>
                    <w:suppressLineNumbers w:val="0"/>
                    <w:adjustRightInd w:val="0"/>
                    <w:snapToGrid w:val="0"/>
                    <w:spacing w:before="0" w:beforeAutospacing="0" w:after="0" w:afterAutospacing="0" w:line="240" w:lineRule="atLeast"/>
                    <w:ind w:left="0" w:leftChars="0" w:right="0" w:rightChars="0"/>
                    <w:jc w:val="center"/>
                    <w:rPr>
                      <w:rFonts w:hint="eastAsia"/>
                      <w:szCs w:val="21"/>
                      <w:lang w:val="en-US" w:eastAsia="zh-CN"/>
                    </w:rPr>
                  </w:pPr>
                  <w:r>
                    <w:rPr>
                      <w:rFonts w:hint="eastAsia"/>
                      <w:szCs w:val="21"/>
                      <w:lang w:val="en-US" w:eastAsia="zh-CN"/>
                    </w:rPr>
                    <w:t>50000</w:t>
                  </w:r>
                </w:p>
              </w:tc>
              <w:tc>
                <w:tcPr>
                  <w:tcW w:w="1297" w:type="pct"/>
                  <w:tcBorders>
                    <w:tl2br w:val="nil"/>
                    <w:tr2bl w:val="nil"/>
                  </w:tcBorders>
                  <w:vAlign w:val="center"/>
                </w:tcPr>
                <w:p w14:paraId="17913E21">
                  <w:pPr>
                    <w:keepNext w:val="0"/>
                    <w:keepLines w:val="0"/>
                    <w:suppressLineNumbers w:val="0"/>
                    <w:adjustRightInd w:val="0"/>
                    <w:snapToGrid w:val="0"/>
                    <w:spacing w:before="0" w:beforeAutospacing="0" w:after="0" w:afterAutospacing="0" w:line="240" w:lineRule="atLeast"/>
                    <w:ind w:left="0" w:right="0"/>
                    <w:jc w:val="center"/>
                    <w:rPr>
                      <w:rFonts w:hint="default"/>
                      <w:szCs w:val="21"/>
                    </w:rPr>
                  </w:pPr>
                  <w:r>
                    <w:rPr>
                      <w:rFonts w:hint="eastAsia" w:cs="Times New Roman"/>
                      <w:kern w:val="2"/>
                      <w:sz w:val="21"/>
                      <w:szCs w:val="21"/>
                      <w:lang w:val="en-US" w:eastAsia="zh-CN" w:bidi="ar-SA"/>
                    </w:rPr>
                    <w:t>园区电网</w:t>
                  </w:r>
                </w:p>
              </w:tc>
            </w:tr>
          </w:tbl>
          <w:p w14:paraId="3A3246CB">
            <w:pPr>
              <w:keepNext w:val="0"/>
              <w:keepLines w:val="0"/>
              <w:suppressLineNumbers w:val="0"/>
              <w:adjustRightInd w:val="0"/>
              <w:snapToGrid w:val="0"/>
              <w:spacing w:before="0" w:beforeAutospacing="0" w:after="0" w:afterAutospacing="0" w:line="360" w:lineRule="auto"/>
              <w:ind w:left="0" w:right="0" w:firstLine="480" w:firstLineChars="200"/>
              <w:jc w:val="left"/>
              <w:rPr>
                <w:rFonts w:hint="eastAsia" w:ascii="Times New Roman" w:hAnsi="Times New Roman" w:eastAsia="宋体" w:cs="Times New Roman"/>
                <w:sz w:val="24"/>
                <w:szCs w:val="24"/>
                <w:u w:val="none"/>
                <w:lang w:eastAsia="zh-CN"/>
              </w:rPr>
            </w:pPr>
            <w:r>
              <w:rPr>
                <w:rFonts w:hint="eastAsia" w:cs="Times New Roman"/>
                <w:sz w:val="24"/>
                <w:szCs w:val="24"/>
                <w:u w:val="none"/>
                <w:lang w:eastAsia="zh-CN"/>
              </w:rPr>
              <w:t>原料理化性质：</w:t>
            </w:r>
          </w:p>
          <w:p w14:paraId="42248399">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cs="Times New Roman"/>
                <w:sz w:val="24"/>
                <w:szCs w:val="24"/>
                <w:u w:val="none"/>
              </w:rPr>
            </w:pPr>
            <w:r>
              <w:rPr>
                <w:rFonts w:hint="default" w:ascii="Times New Roman" w:hAnsi="Times New Roman" w:cs="Times New Roman"/>
                <w:sz w:val="24"/>
                <w:szCs w:val="24"/>
                <w:u w:val="none"/>
              </w:rPr>
              <w:t>聚乙烯颗粒：聚乙烯（polyethylene ，简称PE）是乙烯经聚合制得的一种热塑性树脂。在工业上，也包括乙烯与少量α-烯烃的共聚物。聚乙烯无臭，无毒，手感似蜡，具有优良的耐低温性能（最低使用温度可达-100~-70℃），化学稳定性好，能耐大多数酸碱的侵蚀（不耐具有氧化性质的酸）。常温下不溶于一般溶剂，吸水性小，电绝缘性优良</w:t>
            </w:r>
            <w:r>
              <w:rPr>
                <w:rFonts w:hint="eastAsia" w:cs="Times New Roman"/>
                <w:sz w:val="24"/>
                <w:szCs w:val="24"/>
                <w:u w:val="none"/>
                <w:lang w:eastAsia="zh-CN"/>
              </w:rPr>
              <w:t>，软化温度为</w:t>
            </w:r>
            <w:r>
              <w:rPr>
                <w:rFonts w:hint="eastAsia" w:cs="Times New Roman"/>
                <w:sz w:val="24"/>
                <w:szCs w:val="24"/>
                <w:u w:val="none"/>
                <w:lang w:val="en-US" w:eastAsia="zh-CN"/>
              </w:rPr>
              <w:t>80</w:t>
            </w:r>
            <w:r>
              <w:rPr>
                <w:rFonts w:hint="default" w:ascii="Times New Roman" w:hAnsi="Times New Roman" w:cs="Times New Roman"/>
                <w:i w:val="0"/>
                <w:iCs w:val="0"/>
                <w:caps w:val="0"/>
                <w:color w:val="333333"/>
                <w:spacing w:val="0"/>
                <w:sz w:val="24"/>
                <w:szCs w:val="24"/>
                <w:u w:val="none"/>
                <w:shd w:val="clear" w:fill="FFFFFF"/>
                <w:lang w:val="en-US" w:eastAsia="zh-CN"/>
              </w:rPr>
              <w:t>℃</w:t>
            </w:r>
            <w:r>
              <w:rPr>
                <w:rFonts w:hint="eastAsia" w:ascii="Times New Roman" w:hAnsi="Times New Roman" w:cs="Times New Roman"/>
                <w:i w:val="0"/>
                <w:iCs w:val="0"/>
                <w:caps w:val="0"/>
                <w:color w:val="333333"/>
                <w:spacing w:val="0"/>
                <w:sz w:val="24"/>
                <w:szCs w:val="24"/>
                <w:u w:val="none"/>
                <w:shd w:val="clear" w:fill="FFFFFF"/>
                <w:lang w:val="en-US" w:eastAsia="zh-CN"/>
              </w:rPr>
              <w:t>，</w:t>
            </w:r>
            <w:r>
              <w:rPr>
                <w:rFonts w:hint="eastAsia" w:cs="Times New Roman"/>
                <w:sz w:val="24"/>
                <w:szCs w:val="24"/>
                <w:u w:val="none"/>
                <w:lang w:eastAsia="zh-CN"/>
              </w:rPr>
              <w:t>熔化温度为</w:t>
            </w:r>
            <w:r>
              <w:rPr>
                <w:rFonts w:hint="eastAsia" w:cs="Times New Roman"/>
                <w:sz w:val="24"/>
                <w:szCs w:val="24"/>
                <w:u w:val="none"/>
                <w:lang w:val="en-US" w:eastAsia="zh-CN"/>
              </w:rPr>
              <w:t>120</w:t>
            </w:r>
            <w:r>
              <w:rPr>
                <w:rFonts w:hint="default" w:ascii="Times New Roman" w:hAnsi="Times New Roman" w:cs="Times New Roman"/>
                <w:i w:val="0"/>
                <w:iCs w:val="0"/>
                <w:caps w:val="0"/>
                <w:color w:val="333333"/>
                <w:spacing w:val="0"/>
                <w:sz w:val="24"/>
                <w:szCs w:val="24"/>
                <w:u w:val="none"/>
                <w:shd w:val="clear" w:fill="FFFFFF"/>
                <w:lang w:val="en-US" w:eastAsia="zh-CN"/>
              </w:rPr>
              <w:t>℃~1</w:t>
            </w:r>
            <w:r>
              <w:rPr>
                <w:rFonts w:hint="eastAsia" w:ascii="Times New Roman" w:hAnsi="Times New Roman" w:cs="Times New Roman"/>
                <w:i w:val="0"/>
                <w:iCs w:val="0"/>
                <w:caps w:val="0"/>
                <w:color w:val="333333"/>
                <w:spacing w:val="0"/>
                <w:sz w:val="24"/>
                <w:szCs w:val="24"/>
                <w:u w:val="none"/>
                <w:shd w:val="clear" w:fill="FFFFFF"/>
                <w:lang w:val="en-US" w:eastAsia="zh-CN"/>
              </w:rPr>
              <w:t>60</w:t>
            </w:r>
            <w:r>
              <w:rPr>
                <w:rFonts w:hint="default" w:ascii="Times New Roman" w:hAnsi="Times New Roman" w:cs="Times New Roman"/>
                <w:i w:val="0"/>
                <w:iCs w:val="0"/>
                <w:caps w:val="0"/>
                <w:color w:val="333333"/>
                <w:spacing w:val="0"/>
                <w:sz w:val="24"/>
                <w:szCs w:val="24"/>
                <w:u w:val="none"/>
                <w:shd w:val="clear" w:fill="FFFFFF"/>
                <w:lang w:val="en-US" w:eastAsia="zh-CN"/>
              </w:rPr>
              <w:t>℃</w:t>
            </w:r>
            <w:r>
              <w:rPr>
                <w:rFonts w:hint="default" w:ascii="Times New Roman" w:hAnsi="Times New Roman" w:cs="Times New Roman"/>
                <w:sz w:val="24"/>
                <w:szCs w:val="24"/>
                <w:u w:val="none"/>
              </w:rPr>
              <w:t>。</w:t>
            </w:r>
          </w:p>
          <w:p w14:paraId="24E6120A">
            <w:pPr>
              <w:keepNext w:val="0"/>
              <w:keepLines w:val="0"/>
              <w:suppressLineNumbers w:val="0"/>
              <w:spacing w:before="0" w:beforeAutospacing="0" w:after="0" w:afterAutospacing="0" w:line="360" w:lineRule="auto"/>
              <w:ind w:left="0" w:right="0" w:firstLine="480" w:firstLineChars="200"/>
              <w:contextualSpacing/>
              <w:textAlignment w:val="baseline"/>
              <w:rPr>
                <w:rFonts w:hint="default" w:ascii="Times New Roman" w:hAnsi="Times New Roman" w:cs="Times New Roman"/>
                <w:sz w:val="24"/>
                <w:szCs w:val="24"/>
                <w:u w:val="none"/>
                <w:shd w:val="clear" w:color="auto" w:fill="FFFFFF"/>
              </w:rPr>
            </w:pPr>
            <w:r>
              <w:rPr>
                <w:rFonts w:hint="default" w:ascii="Times New Roman" w:hAnsi="Times New Roman" w:cs="Times New Roman"/>
                <w:sz w:val="24"/>
                <w:szCs w:val="24"/>
                <w:u w:val="none"/>
              </w:rPr>
              <w:t>热熔胶：热</w:t>
            </w:r>
            <w:r>
              <w:rPr>
                <w:rFonts w:hint="default" w:ascii="Times New Roman" w:hAnsi="Times New Roman" w:cs="Times New Roman"/>
                <w:sz w:val="24"/>
                <w:szCs w:val="24"/>
                <w:u w:val="none"/>
                <w:shd w:val="clear" w:color="auto" w:fill="FFFFFF"/>
              </w:rPr>
              <w:t>熔胶（英文名：Hot Glue）是一种可塑性的粘合剂，</w:t>
            </w:r>
            <w:r>
              <w:rPr>
                <w:rFonts w:hint="default" w:ascii="Times New Roman" w:hAnsi="Times New Roman" w:eastAsia="Helvetica" w:cs="Times New Roman"/>
                <w:i w:val="0"/>
                <w:iCs w:val="0"/>
                <w:caps w:val="0"/>
                <w:color w:val="333333"/>
                <w:spacing w:val="0"/>
                <w:sz w:val="24"/>
                <w:szCs w:val="24"/>
                <w:u w:val="none"/>
                <w:shd w:val="clear" w:fill="FFFFFF"/>
              </w:rPr>
              <w:t>是</w:t>
            </w:r>
            <w:r>
              <w:rPr>
                <w:rFonts w:hint="default" w:ascii="Times New Roman" w:hAnsi="Times New Roman" w:eastAsia="Helvetica" w:cs="Times New Roman"/>
                <w:i w:val="0"/>
                <w:iCs w:val="0"/>
                <w:caps w:val="0"/>
                <w:color w:val="auto"/>
                <w:spacing w:val="0"/>
                <w:sz w:val="24"/>
                <w:szCs w:val="24"/>
                <w:u w:val="none"/>
                <w:shd w:val="clear" w:fill="FFFFFF"/>
              </w:rPr>
              <w:fldChar w:fldCharType="begin"/>
            </w:r>
            <w:r>
              <w:rPr>
                <w:rFonts w:hint="default" w:ascii="Times New Roman" w:hAnsi="Times New Roman" w:eastAsia="Helvetica" w:cs="Times New Roman"/>
                <w:i w:val="0"/>
                <w:iCs w:val="0"/>
                <w:caps w:val="0"/>
                <w:color w:val="auto"/>
                <w:spacing w:val="0"/>
                <w:sz w:val="24"/>
                <w:szCs w:val="24"/>
                <w:u w:val="none"/>
                <w:shd w:val="clear" w:fill="FFFFFF"/>
              </w:rPr>
              <w:instrText xml:space="preserve"> HYPERLINK "https://baike.baidu.com/item/%E4%B9%99%E7%83%AF?fromModule=lemma_inlink" \t "https://baike.baidu.com/item/%E7%83%AD%E7%86%94%E8%83%B6/_blank" </w:instrText>
            </w:r>
            <w:r>
              <w:rPr>
                <w:rFonts w:hint="default" w:ascii="Times New Roman" w:hAnsi="Times New Roman" w:eastAsia="Helvetica" w:cs="Times New Roman"/>
                <w:i w:val="0"/>
                <w:iCs w:val="0"/>
                <w:caps w:val="0"/>
                <w:color w:val="auto"/>
                <w:spacing w:val="0"/>
                <w:sz w:val="24"/>
                <w:szCs w:val="24"/>
                <w:u w:val="none"/>
                <w:shd w:val="clear" w:fill="FFFFFF"/>
              </w:rPr>
              <w:fldChar w:fldCharType="separate"/>
            </w:r>
            <w:r>
              <w:rPr>
                <w:rStyle w:val="36"/>
                <w:rFonts w:hint="default" w:ascii="Times New Roman" w:hAnsi="Times New Roman" w:eastAsia="Helvetica" w:cs="Times New Roman"/>
                <w:i w:val="0"/>
                <w:iCs w:val="0"/>
                <w:caps w:val="0"/>
                <w:color w:val="auto"/>
                <w:spacing w:val="0"/>
                <w:sz w:val="24"/>
                <w:szCs w:val="24"/>
                <w:u w:val="none"/>
                <w:shd w:val="clear" w:fill="FFFFFF"/>
              </w:rPr>
              <w:t>乙烯</w:t>
            </w:r>
            <w:r>
              <w:rPr>
                <w:rFonts w:hint="default" w:ascii="Times New Roman" w:hAnsi="Times New Roman" w:eastAsia="Helvetica" w:cs="Times New Roman"/>
                <w:i w:val="0"/>
                <w:iCs w:val="0"/>
                <w:caps w:val="0"/>
                <w:color w:val="auto"/>
                <w:spacing w:val="0"/>
                <w:sz w:val="24"/>
                <w:szCs w:val="24"/>
                <w:u w:val="none"/>
                <w:shd w:val="clear" w:fill="FFFFFF"/>
              </w:rPr>
              <w:fldChar w:fldCharType="end"/>
            </w:r>
            <w:r>
              <w:rPr>
                <w:rFonts w:hint="default" w:ascii="Times New Roman" w:hAnsi="Times New Roman" w:eastAsia="Helvetica" w:cs="Times New Roman"/>
                <w:i w:val="0"/>
                <w:iCs w:val="0"/>
                <w:caps w:val="0"/>
                <w:color w:val="auto"/>
                <w:spacing w:val="0"/>
                <w:sz w:val="24"/>
                <w:szCs w:val="24"/>
                <w:u w:val="none"/>
                <w:shd w:val="clear" w:fill="FFFFFF"/>
              </w:rPr>
              <w:t>和</w:t>
            </w:r>
            <w:r>
              <w:rPr>
                <w:rFonts w:hint="default" w:ascii="Times New Roman" w:hAnsi="Times New Roman" w:eastAsia="Helvetica" w:cs="Times New Roman"/>
                <w:i w:val="0"/>
                <w:iCs w:val="0"/>
                <w:caps w:val="0"/>
                <w:color w:val="auto"/>
                <w:spacing w:val="0"/>
                <w:sz w:val="24"/>
                <w:szCs w:val="24"/>
                <w:u w:val="none"/>
                <w:shd w:val="clear" w:fill="FFFFFF"/>
              </w:rPr>
              <w:fldChar w:fldCharType="begin"/>
            </w:r>
            <w:r>
              <w:rPr>
                <w:rFonts w:hint="default" w:ascii="Times New Roman" w:hAnsi="Times New Roman" w:eastAsia="Helvetica" w:cs="Times New Roman"/>
                <w:i w:val="0"/>
                <w:iCs w:val="0"/>
                <w:caps w:val="0"/>
                <w:color w:val="auto"/>
                <w:spacing w:val="0"/>
                <w:sz w:val="24"/>
                <w:szCs w:val="24"/>
                <w:u w:val="none"/>
                <w:shd w:val="clear" w:fill="FFFFFF"/>
              </w:rPr>
              <w:instrText xml:space="preserve"> HYPERLINK "https://baike.baidu.com/item/%E9%86%8B%E9%85%B8%E4%B9%99%E7%83%AF?fromModule=lemma_inlink" \t "https://baike.baidu.com/item/%E7%83%AD%E7%86%94%E8%83%B6/_blank" </w:instrText>
            </w:r>
            <w:r>
              <w:rPr>
                <w:rFonts w:hint="default" w:ascii="Times New Roman" w:hAnsi="Times New Roman" w:eastAsia="Helvetica" w:cs="Times New Roman"/>
                <w:i w:val="0"/>
                <w:iCs w:val="0"/>
                <w:caps w:val="0"/>
                <w:color w:val="auto"/>
                <w:spacing w:val="0"/>
                <w:sz w:val="24"/>
                <w:szCs w:val="24"/>
                <w:u w:val="none"/>
                <w:shd w:val="clear" w:fill="FFFFFF"/>
              </w:rPr>
              <w:fldChar w:fldCharType="separate"/>
            </w:r>
            <w:r>
              <w:rPr>
                <w:rStyle w:val="36"/>
                <w:rFonts w:hint="default" w:ascii="Times New Roman" w:hAnsi="Times New Roman" w:eastAsia="Helvetica" w:cs="Times New Roman"/>
                <w:i w:val="0"/>
                <w:iCs w:val="0"/>
                <w:caps w:val="0"/>
                <w:color w:val="auto"/>
                <w:spacing w:val="0"/>
                <w:sz w:val="24"/>
                <w:szCs w:val="24"/>
                <w:u w:val="none"/>
                <w:shd w:val="clear" w:fill="FFFFFF"/>
              </w:rPr>
              <w:t>醋酸乙烯</w:t>
            </w:r>
            <w:r>
              <w:rPr>
                <w:rFonts w:hint="default" w:ascii="Times New Roman" w:hAnsi="Times New Roman" w:eastAsia="Helvetica" w:cs="Times New Roman"/>
                <w:i w:val="0"/>
                <w:iCs w:val="0"/>
                <w:caps w:val="0"/>
                <w:color w:val="auto"/>
                <w:spacing w:val="0"/>
                <w:sz w:val="24"/>
                <w:szCs w:val="24"/>
                <w:u w:val="none"/>
                <w:shd w:val="clear" w:fill="FFFFFF"/>
              </w:rPr>
              <w:fldChar w:fldCharType="end"/>
            </w:r>
            <w:r>
              <w:rPr>
                <w:rFonts w:hint="default" w:ascii="Times New Roman" w:hAnsi="Times New Roman" w:eastAsia="Helvetica" w:cs="Times New Roman"/>
                <w:i w:val="0"/>
                <w:iCs w:val="0"/>
                <w:caps w:val="0"/>
                <w:color w:val="333333"/>
                <w:spacing w:val="0"/>
                <w:sz w:val="24"/>
                <w:szCs w:val="24"/>
                <w:u w:val="none"/>
                <w:shd w:val="clear" w:fill="FFFFFF"/>
              </w:rPr>
              <w:t>在高温高压下共聚而成的，即EVA树脂</w:t>
            </w:r>
            <w:r>
              <w:rPr>
                <w:rFonts w:hint="default" w:ascii="Times New Roman" w:hAnsi="Times New Roman" w:cs="Times New Roman"/>
                <w:i w:val="0"/>
                <w:iCs w:val="0"/>
                <w:caps w:val="0"/>
                <w:color w:val="333333"/>
                <w:spacing w:val="0"/>
                <w:sz w:val="24"/>
                <w:szCs w:val="24"/>
                <w:u w:val="none"/>
                <w:shd w:val="clear" w:fill="FFFFFF"/>
                <w:lang w:eastAsia="zh-CN"/>
              </w:rPr>
              <w:t>，</w:t>
            </w:r>
            <w:r>
              <w:rPr>
                <w:rFonts w:hint="default" w:ascii="Times New Roman" w:hAnsi="Times New Roman" w:cs="Times New Roman"/>
                <w:i w:val="0"/>
                <w:iCs w:val="0"/>
                <w:caps w:val="0"/>
                <w:color w:val="333333"/>
                <w:spacing w:val="0"/>
                <w:sz w:val="24"/>
                <w:szCs w:val="24"/>
                <w:u w:val="none"/>
                <w:shd w:val="clear" w:fill="FFFFFF"/>
                <w:lang w:val="en-US" w:eastAsia="zh-CN"/>
              </w:rPr>
              <w:t>熔化温度：160℃~180℃，软化点：</w:t>
            </w:r>
            <w:r>
              <w:rPr>
                <w:rFonts w:hint="eastAsia" w:cs="Times New Roman"/>
                <w:i w:val="0"/>
                <w:iCs w:val="0"/>
                <w:caps w:val="0"/>
                <w:color w:val="333333"/>
                <w:spacing w:val="0"/>
                <w:sz w:val="24"/>
                <w:szCs w:val="24"/>
                <w:u w:val="none"/>
                <w:shd w:val="clear" w:fill="FFFFFF"/>
                <w:lang w:val="en-US" w:eastAsia="zh-CN"/>
              </w:rPr>
              <w:t>60</w:t>
            </w:r>
            <w:r>
              <w:rPr>
                <w:rFonts w:hint="default" w:ascii="Times New Roman" w:hAnsi="Times New Roman" w:cs="Times New Roman"/>
                <w:i w:val="0"/>
                <w:iCs w:val="0"/>
                <w:caps w:val="0"/>
                <w:color w:val="333333"/>
                <w:spacing w:val="0"/>
                <w:sz w:val="24"/>
                <w:szCs w:val="24"/>
                <w:u w:val="none"/>
                <w:shd w:val="clear" w:fill="FFFFFF"/>
                <w:lang w:val="en-US" w:eastAsia="zh-CN"/>
              </w:rPr>
              <w:t>℃；该粘合剂</w:t>
            </w:r>
            <w:r>
              <w:rPr>
                <w:rFonts w:hint="default" w:ascii="Times New Roman" w:hAnsi="Times New Roman" w:cs="Times New Roman"/>
                <w:sz w:val="24"/>
                <w:szCs w:val="24"/>
                <w:u w:val="none"/>
                <w:shd w:val="clear" w:color="auto" w:fill="FFFFFF"/>
              </w:rPr>
              <w:t>在一定温度范围内其物理状态随温度改变而改变，而化学特性不变，其无毒无味，属环保型化学产品。因其产品本身系固体，便于包装、运输、存储、无溶剂、无污染、</w:t>
            </w:r>
            <w:r>
              <w:rPr>
                <w:rFonts w:hint="eastAsia" w:cs="Times New Roman"/>
                <w:sz w:val="24"/>
                <w:szCs w:val="24"/>
                <w:u w:val="none"/>
                <w:shd w:val="clear" w:color="auto" w:fill="FFFFFF"/>
                <w:lang w:eastAsia="zh-CN"/>
              </w:rPr>
              <w:t>无毒性</w:t>
            </w:r>
            <w:r>
              <w:rPr>
                <w:rFonts w:hint="default" w:ascii="Times New Roman" w:hAnsi="Times New Roman" w:cs="Times New Roman"/>
                <w:sz w:val="24"/>
                <w:szCs w:val="24"/>
                <w:u w:val="none"/>
                <w:shd w:val="clear" w:color="auto" w:fill="FFFFFF"/>
              </w:rPr>
              <w:t>；以及生产工艺简单，高附加值，黏合强度大、速度快等优点而备受青睐。</w:t>
            </w:r>
          </w:p>
          <w:p w14:paraId="1B92F835">
            <w:pPr>
              <w:keepNext w:val="0"/>
              <w:keepLines w:val="0"/>
              <w:suppressLineNumbers w:val="0"/>
              <w:spacing w:before="0" w:beforeAutospacing="0" w:after="0" w:afterAutospacing="0" w:line="360" w:lineRule="auto"/>
              <w:ind w:left="0" w:right="0" w:firstLine="480" w:firstLineChars="200"/>
              <w:contextualSpacing/>
              <w:textAlignment w:val="baseline"/>
              <w:rPr>
                <w:rFonts w:hint="eastAsia" w:ascii="Times New Roman" w:hAnsi="Times New Roman" w:eastAsia="宋体" w:cs="Times New Roman"/>
                <w:sz w:val="24"/>
                <w:szCs w:val="24"/>
                <w:u w:val="none"/>
                <w:shd w:val="clear" w:color="auto" w:fill="FFFFFF"/>
                <w:lang w:eastAsia="zh-CN"/>
              </w:rPr>
            </w:pPr>
            <w:r>
              <w:rPr>
                <w:rFonts w:hint="eastAsia" w:ascii="Times New Roman" w:hAnsi="Times New Roman" w:eastAsia="宋体" w:cs="Times New Roman"/>
                <w:sz w:val="24"/>
                <w:szCs w:val="24"/>
                <w:u w:val="none"/>
                <w:shd w:val="clear" w:color="auto" w:fill="FFFFFF"/>
                <w:lang w:eastAsia="zh-CN"/>
              </w:rPr>
              <w:t>聚乙烯丝：聚乙烯丝，又称乙纶纤维密度范围为0.95～0.98g/cm</w:t>
            </w:r>
            <w:r>
              <w:rPr>
                <w:rFonts w:hint="eastAsia" w:ascii="Times New Roman" w:hAnsi="Times New Roman" w:eastAsia="宋体" w:cs="Times New Roman"/>
                <w:sz w:val="24"/>
                <w:szCs w:val="24"/>
                <w:u w:val="none"/>
                <w:shd w:val="clear" w:color="auto" w:fill="FFFFFF"/>
                <w:vertAlign w:val="superscript"/>
                <w:lang w:val="en-US" w:eastAsia="zh-CN"/>
              </w:rPr>
              <w:t>3</w:t>
            </w:r>
            <w:r>
              <w:rPr>
                <w:rFonts w:hint="eastAsia" w:ascii="Times New Roman" w:hAnsi="Times New Roman" w:eastAsia="宋体" w:cs="Times New Roman"/>
                <w:sz w:val="24"/>
                <w:szCs w:val="24"/>
                <w:u w:val="none"/>
                <w:shd w:val="clear" w:color="auto" w:fill="FFFFFF"/>
                <w:lang w:eastAsia="zh-CN"/>
              </w:rPr>
              <w:t>，低于水（0.97g/cm</w:t>
            </w:r>
            <w:r>
              <w:rPr>
                <w:rFonts w:hint="eastAsia" w:ascii="Times New Roman" w:hAnsi="Times New Roman" w:eastAsia="宋体" w:cs="Times New Roman"/>
                <w:sz w:val="24"/>
                <w:szCs w:val="24"/>
                <w:u w:val="none"/>
                <w:shd w:val="clear" w:color="auto" w:fill="FFFFFF"/>
                <w:vertAlign w:val="superscript"/>
                <w:lang w:val="en-US" w:eastAsia="zh-CN"/>
              </w:rPr>
              <w:t>3</w:t>
            </w:r>
            <w:r>
              <w:rPr>
                <w:rFonts w:hint="eastAsia" w:ascii="Times New Roman" w:hAnsi="Times New Roman" w:eastAsia="宋体" w:cs="Times New Roman"/>
                <w:sz w:val="24"/>
                <w:szCs w:val="24"/>
                <w:u w:val="none"/>
                <w:shd w:val="clear" w:color="auto" w:fill="FFFFFF"/>
                <w:lang w:eastAsia="zh-CN"/>
              </w:rPr>
              <w:t>左右），制成的纤维或制品重量轻，便于携带和使用普通型纤维强度为4.4～7.9cN/dtex，超高分子量聚乙烯纤维强度可达钢丝的5～15倍（约20～25 cN/dtex或更高），模量高（91～140 N/tex），抗拉伸性能好。</w:t>
            </w:r>
          </w:p>
          <w:p w14:paraId="263231F5">
            <w:pPr>
              <w:pStyle w:val="2"/>
              <w:keepNext/>
              <w:keepLines w:val="0"/>
              <w:pageBreakBefore w:val="0"/>
              <w:widowControl w:val="0"/>
              <w:suppressLineNumbers w:val="0"/>
              <w:kinsoku/>
              <w:wordWrap/>
              <w:overflowPunct w:val="0"/>
              <w:topLinePunct w:val="0"/>
              <w:autoSpaceDE/>
              <w:autoSpaceDN/>
              <w:bidi w:val="0"/>
              <w:adjustRightInd/>
              <w:snapToGrid w:val="0"/>
              <w:spacing w:before="0" w:beforeAutospacing="0" w:after="0" w:afterAutospacing="0" w:line="360" w:lineRule="auto"/>
              <w:ind w:left="0" w:leftChars="0" w:right="0" w:firstLine="525" w:firstLineChars="219"/>
              <w:textAlignment w:val="auto"/>
              <w:rPr>
                <w:rStyle w:val="37"/>
                <w:rFonts w:hint="default" w:ascii="Times New Roman" w:hAnsi="Times New Roman" w:cs="Times New Roman"/>
                <w:kern w:val="0"/>
                <w:sz w:val="24"/>
                <w:szCs w:val="24"/>
                <w:u w:val="none"/>
                <w:lang w:val="en-US" w:eastAsia="zh-CN"/>
              </w:rPr>
            </w:pPr>
            <w:r>
              <w:rPr>
                <w:rFonts w:hint="default" w:ascii="Times New Roman" w:hAnsi="Times New Roman" w:eastAsia="宋体" w:cs="Times New Roman"/>
                <w:b w:val="0"/>
                <w:bCs w:val="0"/>
                <w:color w:val="auto"/>
                <w:kern w:val="2"/>
                <w:sz w:val="24"/>
                <w:szCs w:val="24"/>
                <w:u w:val="none"/>
                <w:shd w:val="clear" w:color="auto" w:fill="FFFFFF"/>
                <w:lang w:val="en-US" w:eastAsia="zh-CN" w:bidi="ar-SA"/>
              </w:rPr>
              <w:t>丙纶丝</w:t>
            </w:r>
            <w:r>
              <w:rPr>
                <w:rFonts w:hint="eastAsia" w:ascii="Times New Roman" w:hAnsi="Times New Roman" w:eastAsia="宋体" w:cs="Times New Roman"/>
                <w:b w:val="0"/>
                <w:bCs w:val="0"/>
                <w:color w:val="auto"/>
                <w:kern w:val="2"/>
                <w:sz w:val="24"/>
                <w:szCs w:val="24"/>
                <w:u w:val="none"/>
                <w:shd w:val="clear" w:color="auto" w:fill="FFFFFF"/>
                <w:lang w:val="en-US" w:eastAsia="zh-CN" w:bidi="ar-SA"/>
              </w:rPr>
              <w:t>：丙纶丝的密度为0.90-0.92 g/cm</w:t>
            </w:r>
            <w:r>
              <w:rPr>
                <w:rFonts w:hint="eastAsia" w:ascii="Times New Roman" w:hAnsi="Times New Roman" w:eastAsia="宋体" w:cs="Times New Roman"/>
                <w:b w:val="0"/>
                <w:bCs w:val="0"/>
                <w:color w:val="auto"/>
                <w:kern w:val="2"/>
                <w:sz w:val="24"/>
                <w:szCs w:val="24"/>
                <w:u w:val="none"/>
                <w:shd w:val="clear" w:color="auto" w:fill="FFFFFF"/>
                <w:vertAlign w:val="superscript"/>
                <w:lang w:val="en-US" w:eastAsia="zh-CN" w:bidi="ar-SA"/>
              </w:rPr>
              <w:t>3</w:t>
            </w:r>
            <w:r>
              <w:rPr>
                <w:rFonts w:hint="eastAsia" w:ascii="Times New Roman" w:hAnsi="Times New Roman" w:eastAsia="宋体" w:cs="Times New Roman"/>
                <w:b w:val="0"/>
                <w:bCs w:val="0"/>
                <w:color w:val="auto"/>
                <w:kern w:val="2"/>
                <w:sz w:val="24"/>
                <w:szCs w:val="24"/>
                <w:u w:val="none"/>
                <w:shd w:val="clear" w:color="auto" w:fill="FFFFFF"/>
                <w:lang w:val="en-US" w:eastAsia="zh-CN" w:bidi="ar-SA"/>
              </w:rPr>
              <w:t>，在所有化学纤维中是最轻的，比锦纶轻20%，比涤纶轻30%。度高、弹性好：丙纶丝的强度高，干湿强度几乎相等，耐磨性好，回弹性优良，是制造渔网、缆绳的理想</w:t>
            </w:r>
            <w:r>
              <w:rPr>
                <w:rFonts w:hint="eastAsia" w:eastAsia="宋体" w:cs="Times New Roman"/>
                <w:b w:val="0"/>
                <w:bCs w:val="0"/>
                <w:color w:val="auto"/>
                <w:kern w:val="2"/>
                <w:sz w:val="24"/>
                <w:szCs w:val="24"/>
                <w:u w:val="none"/>
                <w:shd w:val="clear" w:color="auto" w:fill="FFFFFF"/>
                <w:lang w:val="en-US" w:eastAsia="zh-CN" w:bidi="ar-SA"/>
              </w:rPr>
              <w:t>材料</w:t>
            </w:r>
            <w:r>
              <w:rPr>
                <w:rFonts w:hint="eastAsia" w:ascii="Times New Roman" w:hAnsi="Times New Roman" w:eastAsia="宋体" w:cs="Times New Roman"/>
                <w:b w:val="0"/>
                <w:bCs w:val="0"/>
                <w:color w:val="auto"/>
                <w:kern w:val="2"/>
                <w:sz w:val="24"/>
                <w:szCs w:val="24"/>
                <w:u w:val="none"/>
                <w:shd w:val="clear" w:color="auto" w:fill="FFFFFF"/>
                <w:lang w:val="en-US" w:eastAsia="zh-CN" w:bidi="ar-SA"/>
              </w:rPr>
              <w:t>。</w:t>
            </w:r>
          </w:p>
          <w:p w14:paraId="793F6930">
            <w:pPr>
              <w:keepNext w:val="0"/>
              <w:keepLines w:val="0"/>
              <w:suppressLineNumbers w:val="0"/>
              <w:adjustRightInd w:val="0"/>
              <w:snapToGrid w:val="0"/>
              <w:spacing w:before="0" w:beforeAutospacing="0" w:after="0" w:afterAutospacing="0" w:line="360" w:lineRule="auto"/>
              <w:ind w:left="0" w:right="0" w:firstLine="480" w:firstLineChars="200"/>
              <w:rPr>
                <w:rFonts w:hint="eastAsia" w:cs="Times New Roman"/>
                <w:color w:val="auto"/>
                <w:sz w:val="24"/>
                <w:szCs w:val="24"/>
                <w:lang w:val="en-US" w:eastAsia="zh-CN"/>
              </w:rPr>
            </w:pPr>
            <w:r>
              <w:rPr>
                <w:rFonts w:hint="eastAsia" w:cs="Times New Roman"/>
                <w:color w:val="auto"/>
                <w:sz w:val="24"/>
                <w:szCs w:val="24"/>
                <w:lang w:val="en-US" w:eastAsia="zh-CN"/>
              </w:rPr>
              <w:t>制冷剂：二氧化碳R744制冷剂，不含氟利昂等破坏臭氧层物质。</w:t>
            </w:r>
          </w:p>
          <w:p w14:paraId="2280EE2B">
            <w:pPr>
              <w:keepNext w:val="0"/>
              <w:keepLines w:val="0"/>
              <w:suppressLineNumbers w:val="0"/>
              <w:adjustRightInd w:val="0"/>
              <w:snapToGrid w:val="0"/>
              <w:spacing w:before="0" w:beforeAutospacing="0" w:after="0" w:afterAutospacing="0" w:line="360" w:lineRule="auto"/>
              <w:ind w:left="0" w:right="0" w:firstLine="480" w:firstLineChars="200"/>
              <w:rPr>
                <w:rFonts w:hint="eastAsia" w:cs="Times New Roman"/>
                <w:color w:val="auto"/>
                <w:sz w:val="24"/>
                <w:szCs w:val="24"/>
                <w:lang w:val="en-US" w:eastAsia="zh-CN"/>
              </w:rPr>
            </w:pPr>
            <w:r>
              <w:rPr>
                <w:rFonts w:hint="eastAsia" w:cs="Times New Roman"/>
                <w:color w:val="auto"/>
                <w:sz w:val="24"/>
                <w:szCs w:val="24"/>
                <w:lang w:val="en-US" w:eastAsia="zh-CN"/>
              </w:rPr>
              <w:t>黄油：钙基润滑脂是由天然脂肪酸钙皂（如十二羟基硬脂酸钙）稠化中等粘度润滑油，并添加抗氧化剂、防锈剂等制成的稠厚油脂状半固体润滑材料 。其滴点范围在130~150℃或约为110℃。使用温度范围广，最低使用温度为10℃，最高使用温度为120℃。具有优良的抗水性、机械安定性、氧化安定性和防锈性能。</w:t>
            </w:r>
          </w:p>
          <w:p w14:paraId="1CB204AC">
            <w:pPr>
              <w:keepNext w:val="0"/>
              <w:keepLines w:val="0"/>
              <w:suppressLineNumbers w:val="0"/>
              <w:adjustRightInd w:val="0"/>
              <w:snapToGrid w:val="0"/>
              <w:spacing w:before="0" w:beforeAutospacing="0" w:after="0" w:afterAutospacing="0" w:line="360" w:lineRule="auto"/>
              <w:ind w:left="0" w:right="0" w:firstLine="480" w:firstLineChars="200"/>
              <w:rPr>
                <w:rFonts w:hint="eastAsia" w:cs="Times New Roman"/>
                <w:sz w:val="24"/>
                <w:szCs w:val="24"/>
                <w:lang w:val="en-US" w:eastAsia="zh-CN"/>
              </w:rPr>
            </w:pPr>
            <w:r>
              <w:rPr>
                <w:rFonts w:hint="eastAsia" w:cs="Times New Roman"/>
                <w:sz w:val="24"/>
                <w:szCs w:val="24"/>
                <w:lang w:val="en-US" w:eastAsia="zh-CN"/>
              </w:rPr>
              <w:t>水性油墨：水性油墨是由特定的水溶性高分子树脂（连结料）、有机颜料、水，并添加助溶剂及相关助剂经物理化学过程而制造的均匀浆状物质。</w:t>
            </w:r>
            <w:r>
              <w:rPr>
                <w:rFonts w:hint="eastAsia" w:cs="Times New Roman"/>
                <w:color w:val="auto"/>
                <w:sz w:val="24"/>
                <w:szCs w:val="24"/>
                <w:lang w:val="en-US" w:eastAsia="zh-CN"/>
              </w:rPr>
              <w:t>挥发性有机物成份检测报告见附件12。</w:t>
            </w:r>
          </w:p>
          <w:p w14:paraId="1696A3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default" w:ascii="Times New Roman" w:hAnsi="Times New Roman" w:eastAsia="Times New Roman" w:cs="Times New Roman"/>
                <w:b/>
                <w:bCs/>
                <w:color w:val="000000" w:themeColor="text1"/>
                <w:sz w:val="24"/>
                <w:highlight w:val="none"/>
                <w14:textFill>
                  <w14:solidFill>
                    <w14:schemeClr w14:val="tx1"/>
                  </w14:solidFill>
                </w14:textFill>
              </w:rPr>
            </w:pPr>
            <w:r>
              <w:rPr>
                <w:rFonts w:hint="eastAsia" w:eastAsia="宋体" w:cs="Times New Roman"/>
                <w:b/>
                <w:color w:val="000000" w:themeColor="text1"/>
                <w:sz w:val="24"/>
                <w:highlight w:val="none"/>
                <w:lang w:val="en-US" w:eastAsia="zh-CN"/>
                <w14:textFill>
                  <w14:solidFill>
                    <w14:schemeClr w14:val="tx1"/>
                  </w14:solidFill>
                </w14:textFill>
              </w:rPr>
              <w:t>6</w:t>
            </w:r>
            <w:r>
              <w:rPr>
                <w:rFonts w:hint="default" w:ascii="Times New Roman" w:hAnsi="Times New Roman" w:eastAsia="Times New Roman" w:cs="Times New Roman"/>
                <w:b/>
                <w:color w:val="000000" w:themeColor="text1"/>
                <w:sz w:val="24"/>
                <w:highlight w:val="none"/>
                <w14:textFill>
                  <w14:solidFill>
                    <w14:schemeClr w14:val="tx1"/>
                  </w14:solidFill>
                </w14:textFill>
              </w:rPr>
              <w:t>.</w:t>
            </w:r>
            <w:r>
              <w:rPr>
                <w:rFonts w:hint="default" w:ascii="Times New Roman" w:hAnsi="Times New Roman" w:eastAsia="Times New Roman" w:cs="Times New Roman"/>
                <w:b/>
                <w:bCs/>
                <w:color w:val="000000" w:themeColor="text1"/>
                <w:sz w:val="24"/>
                <w:highlight w:val="none"/>
                <w14:textFill>
                  <w14:solidFill>
                    <w14:schemeClr w14:val="tx1"/>
                  </w14:solidFill>
                </w14:textFill>
              </w:rPr>
              <w:t>产品规模</w:t>
            </w:r>
          </w:p>
          <w:p w14:paraId="4D3D9A6D">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Times New Roman" w:cs="Times New Roman"/>
                <w:color w:val="auto"/>
                <w:sz w:val="24"/>
                <w:highlight w:val="none"/>
                <w:lang w:val="en-US" w:eastAsia="zh-CN"/>
              </w:rPr>
              <w:t>项目产品产量约为</w:t>
            </w:r>
            <w:r>
              <w:rPr>
                <w:rFonts w:hint="eastAsia" w:eastAsia="Times New Roman" w:cs="Times New Roman"/>
                <w:color w:val="auto"/>
                <w:sz w:val="24"/>
                <w:highlight w:val="none"/>
                <w:lang w:val="en-US" w:eastAsia="zh-CN"/>
              </w:rPr>
              <w:t>4000万米</w:t>
            </w:r>
            <w:r>
              <w:rPr>
                <w:rFonts w:hint="default" w:ascii="Times New Roman" w:hAnsi="Times New Roman" w:eastAsia="Times New Roman" w:cs="Times New Roman"/>
                <w:color w:val="auto"/>
                <w:sz w:val="24"/>
                <w:highlight w:val="none"/>
                <w:lang w:val="en-US" w:eastAsia="zh-CN"/>
              </w:rPr>
              <w:t>，具体</w:t>
            </w:r>
            <w:r>
              <w:rPr>
                <w:rFonts w:hint="default" w:ascii="Times New Roman" w:hAnsi="Times New Roman" w:eastAsia="Times New Roman" w:cs="Times New Roman"/>
                <w:color w:val="auto"/>
                <w:sz w:val="24"/>
                <w:highlight w:val="none"/>
              </w:rPr>
              <w:t>产品</w:t>
            </w:r>
            <w:r>
              <w:rPr>
                <w:rFonts w:hint="default" w:ascii="Times New Roman" w:hAnsi="Times New Roman" w:eastAsia="Times New Roman" w:cs="Times New Roman"/>
                <w:color w:val="auto"/>
                <w:sz w:val="24"/>
                <w:highlight w:val="none"/>
                <w:lang w:val="en-US" w:eastAsia="zh-CN"/>
              </w:rPr>
              <w:t>种类及规模具体见下表</w:t>
            </w:r>
            <w:r>
              <w:rPr>
                <w:rFonts w:hint="default" w:ascii="Times New Roman" w:hAnsi="Times New Roman" w:eastAsia="宋体" w:cs="Times New Roman"/>
                <w:color w:val="auto"/>
                <w:sz w:val="24"/>
                <w:highlight w:val="none"/>
                <w:lang w:val="en-US" w:eastAsia="zh-CN"/>
              </w:rPr>
              <w:t>。</w:t>
            </w:r>
          </w:p>
          <w:p w14:paraId="774E81D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b/>
                <w:color w:val="auto"/>
                <w:sz w:val="24"/>
                <w:highlight w:val="none"/>
              </w:rPr>
            </w:pPr>
            <w:r>
              <w:rPr>
                <w:rFonts w:hint="default" w:ascii="Times New Roman" w:hAnsi="Times New Roman" w:eastAsia="Times New Roman" w:cs="Times New Roman"/>
                <w:b/>
                <w:color w:val="auto"/>
                <w:sz w:val="24"/>
                <w:highlight w:val="none"/>
              </w:rPr>
              <w:t>产品种类及规模一览表</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08"/>
              <w:gridCol w:w="1872"/>
              <w:gridCol w:w="1748"/>
              <w:gridCol w:w="2501"/>
            </w:tblGrid>
            <w:tr w14:paraId="27B0FC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35" w:type="pct"/>
                  <w:vAlign w:val="center"/>
                </w:tcPr>
                <w:p w14:paraId="287C86AC">
                  <w:pPr>
                    <w:keepNext w:val="0"/>
                    <w:keepLines w:val="0"/>
                    <w:suppressLineNumbers w:val="0"/>
                    <w:adjustRightInd w:val="0"/>
                    <w:snapToGrid w:val="0"/>
                    <w:spacing w:before="0" w:beforeAutospacing="0" w:after="0" w:afterAutospacing="0" w:line="240" w:lineRule="atLeast"/>
                    <w:ind w:left="0" w:right="0"/>
                    <w:jc w:val="center"/>
                    <w:rPr>
                      <w:rFonts w:hint="default"/>
                      <w:b/>
                      <w:bCs/>
                      <w:color w:val="auto"/>
                      <w:szCs w:val="21"/>
                    </w:rPr>
                  </w:pPr>
                  <w:r>
                    <w:rPr>
                      <w:rFonts w:hint="default"/>
                      <w:b/>
                      <w:bCs/>
                      <w:color w:val="auto"/>
                      <w:szCs w:val="21"/>
                    </w:rPr>
                    <w:t>名称</w:t>
                  </w:r>
                </w:p>
              </w:tc>
              <w:tc>
                <w:tcPr>
                  <w:tcW w:w="1151" w:type="pct"/>
                  <w:vAlign w:val="center"/>
                </w:tcPr>
                <w:p w14:paraId="02BDCEDC">
                  <w:pPr>
                    <w:keepNext w:val="0"/>
                    <w:keepLines w:val="0"/>
                    <w:suppressLineNumbers w:val="0"/>
                    <w:adjustRightInd w:val="0"/>
                    <w:snapToGrid w:val="0"/>
                    <w:spacing w:before="0" w:beforeAutospacing="0" w:after="0" w:afterAutospacing="0" w:line="240" w:lineRule="atLeast"/>
                    <w:ind w:left="0" w:right="0"/>
                    <w:jc w:val="center"/>
                    <w:rPr>
                      <w:rFonts w:hint="default"/>
                      <w:b/>
                      <w:bCs/>
                      <w:color w:val="auto"/>
                      <w:szCs w:val="21"/>
                    </w:rPr>
                  </w:pPr>
                  <w:r>
                    <w:rPr>
                      <w:rFonts w:hint="eastAsia"/>
                      <w:b/>
                      <w:bCs/>
                      <w:color w:val="auto"/>
                      <w:szCs w:val="21"/>
                    </w:rPr>
                    <w:t>规格</w:t>
                  </w:r>
                </w:p>
              </w:tc>
              <w:tc>
                <w:tcPr>
                  <w:tcW w:w="1075" w:type="pct"/>
                  <w:vAlign w:val="center"/>
                </w:tcPr>
                <w:p w14:paraId="78DBB5A4">
                  <w:pPr>
                    <w:keepNext w:val="0"/>
                    <w:keepLines w:val="0"/>
                    <w:suppressLineNumbers w:val="0"/>
                    <w:adjustRightInd w:val="0"/>
                    <w:snapToGrid w:val="0"/>
                    <w:spacing w:before="0" w:beforeAutospacing="0" w:after="0" w:afterAutospacing="0" w:line="240" w:lineRule="atLeast"/>
                    <w:ind w:left="0" w:right="0"/>
                    <w:jc w:val="center"/>
                    <w:rPr>
                      <w:rFonts w:hint="default"/>
                      <w:b/>
                      <w:bCs/>
                      <w:color w:val="auto"/>
                      <w:szCs w:val="21"/>
                    </w:rPr>
                  </w:pPr>
                  <w:r>
                    <w:rPr>
                      <w:rFonts w:hint="eastAsia"/>
                      <w:b/>
                      <w:bCs/>
                      <w:color w:val="auto"/>
                      <w:szCs w:val="21"/>
                    </w:rPr>
                    <w:t>单位</w:t>
                  </w:r>
                </w:p>
              </w:tc>
              <w:tc>
                <w:tcPr>
                  <w:tcW w:w="1538" w:type="pct"/>
                  <w:vAlign w:val="center"/>
                </w:tcPr>
                <w:p w14:paraId="26C2BD3B">
                  <w:pPr>
                    <w:keepNext w:val="0"/>
                    <w:keepLines w:val="0"/>
                    <w:suppressLineNumbers w:val="0"/>
                    <w:adjustRightInd w:val="0"/>
                    <w:snapToGrid w:val="0"/>
                    <w:spacing w:before="0" w:beforeAutospacing="0" w:after="0" w:afterAutospacing="0" w:line="240" w:lineRule="atLeast"/>
                    <w:ind w:left="0" w:right="0"/>
                    <w:jc w:val="center"/>
                    <w:rPr>
                      <w:rFonts w:hint="default"/>
                      <w:b/>
                      <w:bCs/>
                      <w:color w:val="auto"/>
                      <w:szCs w:val="21"/>
                    </w:rPr>
                  </w:pPr>
                  <w:r>
                    <w:rPr>
                      <w:rFonts w:hint="eastAsia"/>
                      <w:b/>
                      <w:bCs/>
                      <w:color w:val="auto"/>
                      <w:szCs w:val="21"/>
                    </w:rPr>
                    <w:t>产量</w:t>
                  </w:r>
                </w:p>
              </w:tc>
            </w:tr>
            <w:tr w14:paraId="773026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235" w:type="pct"/>
                  <w:vAlign w:val="center"/>
                </w:tcPr>
                <w:p w14:paraId="31AEFEA9">
                  <w:pPr>
                    <w:keepNext w:val="0"/>
                    <w:keepLines w:val="0"/>
                    <w:suppressLineNumbers w:val="0"/>
                    <w:adjustRightInd w:val="0"/>
                    <w:snapToGrid w:val="0"/>
                    <w:spacing w:before="0" w:beforeAutospacing="0" w:after="0" w:afterAutospacing="0" w:line="240" w:lineRule="atLeast"/>
                    <w:ind w:left="0" w:right="0"/>
                    <w:jc w:val="center"/>
                    <w:rPr>
                      <w:rFonts w:hint="default"/>
                      <w:color w:val="auto"/>
                      <w:szCs w:val="21"/>
                    </w:rPr>
                  </w:pPr>
                  <w:r>
                    <w:rPr>
                      <w:rFonts w:hint="eastAsia"/>
                      <w:color w:val="auto"/>
                      <w:szCs w:val="21"/>
                    </w:rPr>
                    <w:t>编织水带</w:t>
                  </w:r>
                </w:p>
              </w:tc>
              <w:tc>
                <w:tcPr>
                  <w:tcW w:w="1151" w:type="pct"/>
                  <w:vAlign w:val="center"/>
                </w:tcPr>
                <w:p w14:paraId="63CAAB3A">
                  <w:pPr>
                    <w:keepNext w:val="0"/>
                    <w:keepLines w:val="0"/>
                    <w:suppressLineNumbers w:val="0"/>
                    <w:adjustRightInd w:val="0"/>
                    <w:snapToGrid w:val="0"/>
                    <w:spacing w:before="0" w:beforeAutospacing="0" w:after="0" w:afterAutospacing="0" w:line="240" w:lineRule="atLeast"/>
                    <w:ind w:left="0" w:right="0"/>
                    <w:jc w:val="center"/>
                    <w:rPr>
                      <w:rFonts w:hint="default" w:eastAsia="宋体"/>
                      <w:color w:val="auto"/>
                      <w:szCs w:val="21"/>
                      <w:lang w:val="en-US" w:eastAsia="zh-CN"/>
                    </w:rPr>
                  </w:pPr>
                  <w:r>
                    <w:rPr>
                      <w:rFonts w:hint="default"/>
                      <w:color w:val="auto"/>
                      <w:szCs w:val="21"/>
                    </w:rPr>
                    <w:t>Φ</w:t>
                  </w:r>
                  <w:r>
                    <w:rPr>
                      <w:rFonts w:hint="eastAsia"/>
                      <w:color w:val="auto"/>
                      <w:szCs w:val="21"/>
                      <w:lang w:val="en-US" w:eastAsia="zh-CN"/>
                    </w:rPr>
                    <w:t>2</w:t>
                  </w:r>
                  <w:r>
                    <w:rPr>
                      <w:rFonts w:hint="eastAsia"/>
                      <w:color w:val="auto"/>
                      <w:szCs w:val="21"/>
                    </w:rPr>
                    <w:t>cm</w:t>
                  </w:r>
                  <w:r>
                    <w:rPr>
                      <w:rFonts w:hint="eastAsia"/>
                      <w:color w:val="auto"/>
                      <w:szCs w:val="21"/>
                      <w:lang w:val="en-US" w:eastAsia="zh-CN"/>
                    </w:rPr>
                    <w:t>-48cm</w:t>
                  </w:r>
                </w:p>
              </w:tc>
              <w:tc>
                <w:tcPr>
                  <w:tcW w:w="1075" w:type="pct"/>
                  <w:vAlign w:val="center"/>
                </w:tcPr>
                <w:p w14:paraId="73327056">
                  <w:pPr>
                    <w:pStyle w:val="11"/>
                    <w:keepNext w:val="0"/>
                    <w:keepLines w:val="0"/>
                    <w:suppressLineNumbers w:val="0"/>
                    <w:adjustRightInd w:val="0"/>
                    <w:snapToGrid w:val="0"/>
                    <w:spacing w:before="0" w:beforeAutospacing="0" w:after="0" w:afterAutospacing="0" w:line="240" w:lineRule="atLeast"/>
                    <w:ind w:left="0" w:leftChars="0" w:right="0"/>
                    <w:jc w:val="center"/>
                    <w:rPr>
                      <w:rFonts w:hint="default"/>
                      <w:color w:val="auto"/>
                      <w:sz w:val="21"/>
                      <w:szCs w:val="21"/>
                    </w:rPr>
                  </w:pPr>
                  <w:r>
                    <w:rPr>
                      <w:rFonts w:hint="default"/>
                      <w:color w:val="auto"/>
                      <w:sz w:val="21"/>
                      <w:szCs w:val="21"/>
                    </w:rPr>
                    <w:t>万米</w:t>
                  </w:r>
                </w:p>
              </w:tc>
              <w:tc>
                <w:tcPr>
                  <w:tcW w:w="1538" w:type="pct"/>
                  <w:vAlign w:val="center"/>
                </w:tcPr>
                <w:p w14:paraId="05D4B8D8">
                  <w:pPr>
                    <w:keepNext w:val="0"/>
                    <w:keepLines w:val="0"/>
                    <w:suppressLineNumbers w:val="0"/>
                    <w:adjustRightInd w:val="0"/>
                    <w:snapToGrid w:val="0"/>
                    <w:spacing w:before="0" w:beforeAutospacing="0" w:after="0" w:afterAutospacing="0" w:line="240" w:lineRule="atLeast"/>
                    <w:ind w:left="0" w:right="0"/>
                    <w:jc w:val="center"/>
                    <w:rPr>
                      <w:rFonts w:hint="default" w:eastAsia="宋体"/>
                      <w:color w:val="auto"/>
                      <w:szCs w:val="21"/>
                      <w:lang w:val="en-US" w:eastAsia="zh-CN"/>
                    </w:rPr>
                  </w:pPr>
                  <w:r>
                    <w:rPr>
                      <w:rFonts w:hint="eastAsia"/>
                      <w:color w:val="auto"/>
                      <w:szCs w:val="21"/>
                      <w:lang w:val="en-US" w:eastAsia="zh-CN"/>
                    </w:rPr>
                    <w:t>4000</w:t>
                  </w:r>
                </w:p>
              </w:tc>
            </w:tr>
          </w:tbl>
          <w:p w14:paraId="3291AD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default" w:ascii="Times New Roman" w:hAnsi="Times New Roman" w:eastAsia="Times New Roman" w:cs="Times New Roman"/>
                <w:b/>
                <w:color w:val="auto"/>
                <w:sz w:val="24"/>
                <w:highlight w:val="none"/>
              </w:rPr>
            </w:pPr>
            <w:r>
              <w:rPr>
                <w:rFonts w:hint="eastAsia" w:eastAsia="宋体" w:cs="Times New Roman"/>
                <w:b/>
                <w:color w:val="auto"/>
                <w:sz w:val="24"/>
                <w:highlight w:val="none"/>
                <w:lang w:val="en-US" w:eastAsia="zh-CN"/>
              </w:rPr>
              <w:t>7</w:t>
            </w:r>
            <w:r>
              <w:rPr>
                <w:rFonts w:hint="default" w:ascii="Times New Roman" w:hAnsi="Times New Roman" w:eastAsia="Times New Roman" w:cs="Times New Roman"/>
                <w:b/>
                <w:color w:val="auto"/>
                <w:sz w:val="24"/>
                <w:highlight w:val="none"/>
              </w:rPr>
              <w:t>.辅助设施情况</w:t>
            </w:r>
          </w:p>
          <w:p w14:paraId="37FA139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auto"/>
                <w:sz w:val="24"/>
                <w:highlight w:val="none"/>
              </w:rPr>
            </w:pPr>
            <w:r>
              <w:rPr>
                <w:rFonts w:hint="default" w:ascii="Times New Roman" w:hAnsi="Times New Roman" w:eastAsia="Times New Roman" w:cs="Times New Roman"/>
                <w:color w:val="auto"/>
                <w:sz w:val="24"/>
                <w:highlight w:val="none"/>
              </w:rPr>
              <w:t>（1）供水：项目用水由</w:t>
            </w:r>
            <w:r>
              <w:rPr>
                <w:rFonts w:hint="default" w:ascii="Times New Roman" w:hAnsi="Times New Roman" w:eastAsia="Times New Roman" w:cs="Times New Roman"/>
                <w:color w:val="auto"/>
                <w:sz w:val="24"/>
                <w:highlight w:val="none"/>
                <w:lang w:val="en-US" w:eastAsia="zh-CN"/>
              </w:rPr>
              <w:t>园区供水</w:t>
            </w:r>
            <w:r>
              <w:rPr>
                <w:rFonts w:hint="default" w:ascii="Times New Roman" w:hAnsi="Times New Roman" w:eastAsia="Times New Roman" w:cs="Times New Roman"/>
                <w:color w:val="auto"/>
                <w:sz w:val="24"/>
                <w:highlight w:val="none"/>
              </w:rPr>
              <w:t>管网</w:t>
            </w:r>
            <w:r>
              <w:rPr>
                <w:rFonts w:hint="default" w:ascii="Times New Roman" w:hAnsi="Times New Roman" w:eastAsia="Times New Roman" w:cs="Times New Roman"/>
                <w:color w:val="auto"/>
                <w:sz w:val="24"/>
                <w:highlight w:val="none"/>
                <w:lang w:val="en-US" w:eastAsia="zh-CN"/>
              </w:rPr>
              <w:t>供应</w:t>
            </w:r>
            <w:r>
              <w:rPr>
                <w:rFonts w:hint="default" w:ascii="Times New Roman" w:hAnsi="Times New Roman" w:eastAsia="Times New Roman" w:cs="Times New Roman"/>
                <w:color w:val="auto"/>
                <w:sz w:val="24"/>
                <w:highlight w:val="none"/>
              </w:rPr>
              <w:t>，水质水量可以满足用水要求。</w:t>
            </w:r>
          </w:p>
          <w:p w14:paraId="4CFFE98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auto"/>
                <w:sz w:val="24"/>
                <w:highlight w:val="none"/>
              </w:rPr>
            </w:pPr>
            <w:r>
              <w:rPr>
                <w:rFonts w:hint="default" w:ascii="Times New Roman" w:hAnsi="Times New Roman" w:eastAsia="Times New Roman" w:cs="Times New Roman"/>
                <w:color w:val="auto"/>
                <w:sz w:val="24"/>
                <w:highlight w:val="none"/>
              </w:rPr>
              <w:t>（2）排水：</w:t>
            </w:r>
            <w:r>
              <w:rPr>
                <w:rFonts w:hint="default" w:ascii="Times New Roman" w:hAnsi="Times New Roman" w:eastAsia="Times New Roman" w:cs="Times New Roman"/>
                <w:color w:val="auto"/>
                <w:sz w:val="24"/>
                <w:highlight w:val="none"/>
                <w:lang w:val="en-US" w:eastAsia="zh-CN"/>
              </w:rPr>
              <w:t>雨污分流。冷却水循环使用，不外排</w:t>
            </w:r>
            <w:r>
              <w:rPr>
                <w:rFonts w:hint="default" w:ascii="Times New Roman" w:hAnsi="Times New Roman" w:eastAsia="Times New Roman" w:cs="Times New Roman"/>
                <w:color w:val="auto"/>
                <w:sz w:val="24"/>
                <w:highlight w:val="none"/>
                <w:lang w:eastAsia="zh-CN"/>
              </w:rPr>
              <w:t>；</w:t>
            </w:r>
            <w:r>
              <w:rPr>
                <w:rFonts w:hint="eastAsia" w:eastAsia="Times New Roman" w:cs="Times New Roman"/>
                <w:color w:val="auto"/>
                <w:sz w:val="24"/>
                <w:highlight w:val="none"/>
                <w:lang w:eastAsia="zh-CN"/>
              </w:rPr>
              <w:t>食堂污水经隔油池处理后与经</w:t>
            </w:r>
            <w:r>
              <w:rPr>
                <w:rFonts w:hint="default" w:ascii="Times New Roman" w:hAnsi="Times New Roman" w:eastAsia="Times New Roman" w:cs="Times New Roman"/>
                <w:color w:val="auto"/>
                <w:sz w:val="24"/>
                <w:highlight w:val="none"/>
                <w:lang w:val="en-US" w:eastAsia="zh-CN"/>
              </w:rPr>
              <w:t>化粪池</w:t>
            </w:r>
            <w:r>
              <w:rPr>
                <w:rFonts w:hint="eastAsia" w:eastAsia="Times New Roman" w:cs="Times New Roman"/>
                <w:color w:val="auto"/>
                <w:sz w:val="24"/>
                <w:highlight w:val="none"/>
                <w:lang w:val="en-US" w:eastAsia="zh-CN"/>
              </w:rPr>
              <w:t>（5m</w:t>
            </w:r>
            <w:r>
              <w:rPr>
                <w:rFonts w:hint="eastAsia" w:eastAsia="Times New Roman" w:cs="Times New Roman"/>
                <w:color w:val="auto"/>
                <w:sz w:val="24"/>
                <w:highlight w:val="none"/>
                <w:vertAlign w:val="superscript"/>
                <w:lang w:val="en-US" w:eastAsia="zh-CN"/>
              </w:rPr>
              <w:t>3</w:t>
            </w:r>
            <w:r>
              <w:rPr>
                <w:rFonts w:hint="eastAsia" w:eastAsia="Times New Roman" w:cs="Times New Roman"/>
                <w:color w:val="auto"/>
                <w:sz w:val="24"/>
                <w:highlight w:val="none"/>
                <w:lang w:val="en-US" w:eastAsia="zh-CN"/>
              </w:rPr>
              <w:t>）</w:t>
            </w:r>
            <w:r>
              <w:rPr>
                <w:rFonts w:hint="default" w:ascii="Times New Roman" w:hAnsi="Times New Roman" w:eastAsia="Times New Roman" w:cs="Times New Roman"/>
                <w:color w:val="auto"/>
                <w:sz w:val="24"/>
                <w:highlight w:val="none"/>
                <w:lang w:val="en-US" w:eastAsia="zh-CN"/>
              </w:rPr>
              <w:t>预处理后</w:t>
            </w:r>
            <w:r>
              <w:rPr>
                <w:rFonts w:hint="eastAsia" w:eastAsia="Times New Roman" w:cs="Times New Roman"/>
                <w:color w:val="auto"/>
                <w:sz w:val="24"/>
                <w:highlight w:val="none"/>
                <w:lang w:val="en-US" w:eastAsia="zh-CN"/>
              </w:rPr>
              <w:t>的生活污水一同</w:t>
            </w:r>
            <w:r>
              <w:rPr>
                <w:rFonts w:hint="default" w:ascii="Times New Roman" w:hAnsi="Times New Roman" w:eastAsia="Times New Roman" w:cs="Times New Roman"/>
                <w:color w:val="auto"/>
                <w:sz w:val="24"/>
                <w:highlight w:val="none"/>
                <w:lang w:val="en-US" w:eastAsia="zh-CN"/>
              </w:rPr>
              <w:t>由园区管网进入汤阴县</w:t>
            </w:r>
            <w:r>
              <w:rPr>
                <w:rFonts w:hint="eastAsia" w:eastAsia="Times New Roman" w:cs="Times New Roman"/>
                <w:color w:val="auto"/>
                <w:sz w:val="24"/>
                <w:lang w:val="en-US" w:eastAsia="zh-CN"/>
              </w:rPr>
              <w:t>汤阴天雨污水净化有限公司达标后排入汤河</w:t>
            </w:r>
            <w:r>
              <w:rPr>
                <w:rFonts w:hint="eastAsia" w:ascii="Times New Roman" w:hAnsi="Times New Roman" w:eastAsia="Times New Roman" w:cs="Times New Roman"/>
                <w:color w:val="auto"/>
                <w:sz w:val="24"/>
                <w:highlight w:val="none"/>
                <w:lang w:val="en-US" w:eastAsia="zh-CN"/>
              </w:rPr>
              <w:t>。</w:t>
            </w:r>
          </w:p>
          <w:p w14:paraId="690539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Times New Roman" w:cs="Times New Roman"/>
                <w:color w:val="auto"/>
                <w:sz w:val="24"/>
                <w:highlight w:val="none"/>
              </w:rPr>
            </w:pPr>
            <w:r>
              <w:rPr>
                <w:rFonts w:hint="default" w:ascii="Times New Roman" w:hAnsi="Times New Roman" w:eastAsia="Times New Roman" w:cs="Times New Roman"/>
                <w:color w:val="auto"/>
                <w:sz w:val="24"/>
                <w:highlight w:val="none"/>
              </w:rPr>
              <w:t>（3）供电：园区供电</w:t>
            </w:r>
            <w:r>
              <w:rPr>
                <w:rFonts w:hint="default" w:ascii="Times New Roman" w:hAnsi="Times New Roman" w:eastAsia="Times New Roman" w:cs="Times New Roman"/>
                <w:color w:val="auto"/>
                <w:sz w:val="24"/>
                <w:highlight w:val="none"/>
                <w:lang w:eastAsia="zh-CN"/>
              </w:rPr>
              <w:t>，</w:t>
            </w:r>
            <w:r>
              <w:rPr>
                <w:rFonts w:hint="default" w:ascii="Times New Roman" w:hAnsi="Times New Roman" w:eastAsia="Times New Roman" w:cs="Times New Roman"/>
                <w:color w:val="auto"/>
                <w:sz w:val="24"/>
                <w:highlight w:val="none"/>
              </w:rPr>
              <w:t>可以满足</w:t>
            </w:r>
            <w:r>
              <w:rPr>
                <w:rFonts w:hint="default" w:ascii="Times New Roman" w:hAnsi="Times New Roman" w:eastAsia="Times New Roman" w:cs="Times New Roman"/>
                <w:color w:val="auto"/>
                <w:sz w:val="24"/>
                <w:highlight w:val="none"/>
                <w:lang w:val="en-US" w:eastAsia="zh-CN"/>
              </w:rPr>
              <w:t>项目生活、生产</w:t>
            </w:r>
            <w:r>
              <w:rPr>
                <w:rFonts w:hint="default" w:ascii="Times New Roman" w:hAnsi="Times New Roman" w:eastAsia="Times New Roman" w:cs="Times New Roman"/>
                <w:color w:val="auto"/>
                <w:sz w:val="24"/>
                <w:highlight w:val="none"/>
              </w:rPr>
              <w:t>要求。</w:t>
            </w:r>
          </w:p>
          <w:p w14:paraId="2E93FEB6">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Times New Roman" w:cs="Times New Roman"/>
                <w:b/>
                <w:color w:val="auto"/>
                <w:sz w:val="24"/>
                <w:highlight w:val="none"/>
              </w:rPr>
            </w:pPr>
            <w:r>
              <w:rPr>
                <w:rFonts w:hint="eastAsia" w:eastAsia="宋体" w:cs="Times New Roman"/>
                <w:b/>
                <w:color w:val="auto"/>
                <w:sz w:val="24"/>
                <w:highlight w:val="none"/>
                <w:lang w:val="en-US" w:eastAsia="zh-CN"/>
              </w:rPr>
              <w:t>8</w:t>
            </w:r>
            <w:r>
              <w:rPr>
                <w:rFonts w:hint="default" w:ascii="Times New Roman" w:hAnsi="Times New Roman" w:eastAsia="Times New Roman" w:cs="Times New Roman"/>
                <w:b/>
                <w:color w:val="auto"/>
                <w:sz w:val="24"/>
                <w:highlight w:val="none"/>
              </w:rPr>
              <w:t>.项目水平衡图</w:t>
            </w:r>
          </w:p>
          <w:p w14:paraId="68893F57">
            <w:pPr>
              <w:keepNext w:val="0"/>
              <w:keepLines w:val="0"/>
              <w:suppressLineNumbers w:val="0"/>
              <w:snapToGrid w:val="0"/>
              <w:spacing w:before="0" w:beforeAutospacing="0" w:after="0" w:afterAutospacing="0" w:line="360" w:lineRule="auto"/>
              <w:ind w:left="0" w:right="0" w:firstLine="482" w:firstLineChars="200"/>
              <w:rPr>
                <w:rFonts w:hint="eastAsia" w:ascii="Times New Roman" w:hAnsi="Times New Roman" w:eastAsia="Times New Roman" w:cs="Times New Roman"/>
                <w:color w:val="auto"/>
                <w:sz w:val="24"/>
                <w:highlight w:val="none"/>
                <w:lang w:val="en-US" w:eastAsia="zh-CN"/>
              </w:rPr>
            </w:pPr>
            <w:r>
              <w:rPr>
                <w:rFonts w:hint="eastAsia" w:eastAsia="宋体" w:cs="Times New Roman"/>
                <w:b/>
                <w:color w:val="auto"/>
                <w:sz w:val="24"/>
                <w:highlight w:val="none"/>
                <w:lang w:eastAsia="zh-CN"/>
              </w:rPr>
              <w:t>（</w:t>
            </w:r>
            <w:r>
              <w:rPr>
                <w:rFonts w:hint="eastAsia" w:eastAsia="宋体" w:cs="Times New Roman"/>
                <w:b/>
                <w:color w:val="auto"/>
                <w:sz w:val="24"/>
                <w:highlight w:val="none"/>
                <w:lang w:val="en-US" w:eastAsia="zh-CN"/>
              </w:rPr>
              <w:t>1）生产废水</w:t>
            </w:r>
          </w:p>
          <w:p w14:paraId="14DC44F2">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宋体" w:cs="Times New Roman"/>
                <w:sz w:val="24"/>
                <w:lang w:val="en-US"/>
              </w:rPr>
            </w:pPr>
            <w:r>
              <w:rPr>
                <w:rFonts w:hint="default" w:ascii="Times New Roman" w:hAnsi="Times New Roman" w:eastAsia="Times New Roman" w:cs="Times New Roman"/>
                <w:color w:val="auto"/>
                <w:sz w:val="24"/>
                <w:highlight w:val="none"/>
                <w:lang w:val="en-US" w:eastAsia="zh-CN"/>
              </w:rPr>
              <w:t>参考《工业与城镇生活用水定额》（DB41/T386-202</w:t>
            </w:r>
            <w:r>
              <w:rPr>
                <w:rFonts w:hint="eastAsia" w:ascii="Times New Roman" w:hAnsi="Times New Roman" w:eastAsia="Times New Roman" w:cs="Times New Roman"/>
                <w:color w:val="auto"/>
                <w:sz w:val="24"/>
                <w:highlight w:val="none"/>
                <w:lang w:val="en-US" w:eastAsia="zh-CN"/>
              </w:rPr>
              <w:t>5</w:t>
            </w:r>
            <w:r>
              <w:rPr>
                <w:rFonts w:hint="default" w:ascii="Times New Roman" w:hAnsi="Times New Roman" w:eastAsia="Times New Roman" w:cs="Times New Roman"/>
                <w:color w:val="auto"/>
                <w:sz w:val="24"/>
                <w:highlight w:val="none"/>
                <w:lang w:val="en-US" w:eastAsia="zh-CN"/>
              </w:rPr>
              <w:t>）表</w:t>
            </w:r>
            <w:r>
              <w:rPr>
                <w:rFonts w:hint="default" w:ascii="Times New Roman" w:hAnsi="Times New Roman" w:eastAsia="宋体" w:cs="Times New Roman"/>
                <w:color w:val="auto"/>
                <w:sz w:val="24"/>
                <w:lang w:val="en-US" w:eastAsia="zh-CN"/>
              </w:rPr>
              <w:t>2</w:t>
            </w:r>
            <w:r>
              <w:rPr>
                <w:rFonts w:hint="default" w:ascii="Times New Roman" w:hAnsi="Times New Roman" w:eastAsia="宋体" w:cs="Times New Roman"/>
                <w:sz w:val="24"/>
                <w:lang w:val="en-US" w:eastAsia="zh-CN"/>
              </w:rPr>
              <w:t>3“橡胶和塑料制品业用水定额”中塑料管材，用水定额先进值为3.3m</w:t>
            </w:r>
            <w:r>
              <w:rPr>
                <w:rFonts w:hint="default" w:ascii="Times New Roman" w:hAnsi="Times New Roman" w:eastAsia="宋体" w:cs="Times New Roman"/>
                <w:sz w:val="24"/>
                <w:vertAlign w:val="superscript"/>
                <w:lang w:val="en-US" w:eastAsia="zh-CN"/>
              </w:rPr>
              <w:t>3</w:t>
            </w:r>
            <w:r>
              <w:rPr>
                <w:rFonts w:hint="default" w:ascii="Times New Roman" w:hAnsi="Times New Roman" w:eastAsia="宋体" w:cs="Times New Roman"/>
                <w:sz w:val="24"/>
                <w:lang w:val="en-US" w:eastAsia="zh-CN"/>
              </w:rPr>
              <w:t>/t-产品。项目</w:t>
            </w:r>
            <w:r>
              <w:rPr>
                <w:rFonts w:hint="eastAsia" w:ascii="Times New Roman" w:hAnsi="Times New Roman" w:eastAsia="宋体" w:cs="Times New Roman"/>
                <w:sz w:val="24"/>
                <w:lang w:val="en-US" w:eastAsia="zh-CN"/>
              </w:rPr>
              <w:t>挤出工序产品</w:t>
            </w:r>
            <w:r>
              <w:rPr>
                <w:rFonts w:hint="default" w:ascii="Times New Roman" w:hAnsi="Times New Roman" w:eastAsia="宋体" w:cs="Times New Roman"/>
                <w:sz w:val="24"/>
                <w:lang w:val="en-US" w:eastAsia="zh-CN"/>
              </w:rPr>
              <w:t>合计重量为</w:t>
            </w:r>
            <w:r>
              <w:rPr>
                <w:rFonts w:hint="eastAsia" w:ascii="Times New Roman" w:hAnsi="Times New Roman" w:eastAsia="宋体" w:cs="Times New Roman"/>
                <w:sz w:val="24"/>
                <w:lang w:val="en-US" w:eastAsia="zh-CN"/>
              </w:rPr>
              <w:t>290</w:t>
            </w:r>
            <w:r>
              <w:rPr>
                <w:rFonts w:hint="default" w:ascii="Times New Roman" w:hAnsi="Times New Roman" w:eastAsia="宋体" w:cs="Times New Roman"/>
                <w:sz w:val="24"/>
                <w:lang w:val="en-US" w:eastAsia="zh-CN"/>
              </w:rPr>
              <w:t>t/a，则冷却用水量</w:t>
            </w:r>
            <w:r>
              <w:rPr>
                <w:rFonts w:hint="eastAsia" w:ascii="Times New Roman" w:hAnsi="Times New Roman" w:eastAsia="宋体" w:cs="Times New Roman"/>
                <w:sz w:val="24"/>
                <w:lang w:val="en-US" w:eastAsia="zh-CN"/>
              </w:rPr>
              <w:t>957</w:t>
            </w:r>
            <w:r>
              <w:rPr>
                <w:rFonts w:hint="default" w:ascii="Times New Roman" w:hAnsi="Times New Roman" w:eastAsia="宋体" w:cs="Times New Roman"/>
                <w:sz w:val="24"/>
                <w:lang w:val="en-US" w:eastAsia="zh-CN"/>
              </w:rPr>
              <w:t>m</w:t>
            </w:r>
            <w:r>
              <w:rPr>
                <w:rFonts w:hint="default" w:ascii="Times New Roman" w:hAnsi="Times New Roman" w:eastAsia="宋体" w:cs="Times New Roman"/>
                <w:sz w:val="24"/>
                <w:vertAlign w:val="superscript"/>
                <w:lang w:val="en-US" w:eastAsia="zh-CN"/>
              </w:rPr>
              <w:t>3</w:t>
            </w:r>
            <w:r>
              <w:rPr>
                <w:rFonts w:hint="default" w:ascii="Times New Roman" w:hAnsi="Times New Roman" w:eastAsia="宋体" w:cs="Times New Roman"/>
                <w:sz w:val="24"/>
                <w:lang w:val="en-US" w:eastAsia="zh-CN"/>
              </w:rPr>
              <w:t>/a</w:t>
            </w:r>
            <w:r>
              <w:rPr>
                <w:rFonts w:hint="eastAsia" w:ascii="Times New Roman" w:hAnsi="Times New Roman" w:eastAsia="宋体" w:cs="Times New Roman"/>
                <w:sz w:val="24"/>
                <w:lang w:val="en-US" w:eastAsia="zh-CN"/>
              </w:rPr>
              <w:t>（3.19</w:t>
            </w:r>
            <w:r>
              <w:rPr>
                <w:rFonts w:hint="default" w:ascii="Times New Roman" w:hAnsi="Times New Roman" w:eastAsia="宋体" w:cs="Times New Roman"/>
                <w:sz w:val="24"/>
                <w:lang w:val="en-US" w:eastAsia="zh-CN"/>
              </w:rPr>
              <w:t>m</w:t>
            </w:r>
            <w:r>
              <w:rPr>
                <w:rFonts w:hint="default" w:ascii="Times New Roman" w:hAnsi="Times New Roman" w:eastAsia="宋体" w:cs="Times New Roman"/>
                <w:sz w:val="24"/>
                <w:vertAlign w:val="superscript"/>
                <w:lang w:val="en-US" w:eastAsia="zh-CN"/>
              </w:rPr>
              <w:t>3</w:t>
            </w:r>
            <w:r>
              <w:rPr>
                <w:rFonts w:hint="default" w:ascii="Times New Roman" w:hAnsi="Times New Roman" w:eastAsia="宋体" w:cs="Times New Roman"/>
                <w:sz w:val="24"/>
                <w:lang w:val="en-US" w:eastAsia="zh-CN"/>
              </w:rPr>
              <w:t>/d</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。蒸发损耗按照用水量的10%</w:t>
            </w:r>
            <w:r>
              <w:rPr>
                <w:rFonts w:hint="eastAsia" w:ascii="Times New Roman" w:hAnsi="Times New Roman" w:eastAsia="宋体" w:cs="Times New Roman"/>
                <w:sz w:val="24"/>
                <w:lang w:val="en-US" w:eastAsia="zh-CN"/>
              </w:rPr>
              <w:t>计</w:t>
            </w:r>
            <w:r>
              <w:rPr>
                <w:rFonts w:hint="default" w:ascii="Times New Roman" w:hAnsi="Times New Roman" w:eastAsia="宋体" w:cs="Times New Roman"/>
                <w:sz w:val="24"/>
                <w:lang w:val="en-US" w:eastAsia="zh-CN"/>
              </w:rPr>
              <w:t>，则挤出冷却水</w:t>
            </w:r>
            <w:r>
              <w:rPr>
                <w:rFonts w:hint="eastAsia" w:ascii="Times New Roman" w:hAnsi="Times New Roman" w:eastAsia="宋体" w:cs="Times New Roman"/>
                <w:sz w:val="24"/>
                <w:lang w:val="en-US" w:eastAsia="zh-CN"/>
              </w:rPr>
              <w:t>蒸发量为95.7</w:t>
            </w:r>
            <w:r>
              <w:rPr>
                <w:rFonts w:hint="default" w:ascii="Times New Roman" w:hAnsi="Times New Roman" w:eastAsia="宋体" w:cs="Times New Roman"/>
                <w:sz w:val="24"/>
                <w:lang w:val="en-US" w:eastAsia="zh-CN"/>
              </w:rPr>
              <w:t>m</w:t>
            </w:r>
            <w:r>
              <w:rPr>
                <w:rFonts w:hint="default" w:ascii="Times New Roman" w:hAnsi="Times New Roman" w:eastAsia="宋体" w:cs="Times New Roman"/>
                <w:sz w:val="24"/>
                <w:vertAlign w:val="superscript"/>
                <w:lang w:val="en-US" w:eastAsia="zh-CN"/>
              </w:rPr>
              <w:t>3</w:t>
            </w:r>
            <w:r>
              <w:rPr>
                <w:rFonts w:hint="default" w:ascii="Times New Roman" w:hAnsi="Times New Roman" w:eastAsia="宋体" w:cs="Times New Roman"/>
                <w:sz w:val="24"/>
                <w:lang w:val="en-US" w:eastAsia="zh-CN"/>
              </w:rPr>
              <w:t>/a</w:t>
            </w:r>
            <w:r>
              <w:rPr>
                <w:rFonts w:hint="eastAsia" w:cs="Times New Roman"/>
                <w:sz w:val="24"/>
                <w:lang w:val="en-US" w:eastAsia="zh-CN"/>
              </w:rPr>
              <w:t>（</w:t>
            </w:r>
            <w:r>
              <w:rPr>
                <w:rFonts w:hint="eastAsia" w:ascii="Times New Roman" w:hAnsi="Times New Roman" w:eastAsia="宋体" w:cs="Times New Roman"/>
                <w:sz w:val="24"/>
                <w:lang w:val="en-US" w:eastAsia="zh-CN"/>
              </w:rPr>
              <w:t>0.319</w:t>
            </w:r>
            <w:r>
              <w:rPr>
                <w:rFonts w:hint="default" w:ascii="Times New Roman" w:hAnsi="Times New Roman" w:eastAsia="宋体" w:cs="Times New Roman"/>
                <w:sz w:val="24"/>
                <w:lang w:val="en-US" w:eastAsia="zh-CN"/>
              </w:rPr>
              <w:t>m</w:t>
            </w:r>
            <w:r>
              <w:rPr>
                <w:rFonts w:hint="default" w:ascii="Times New Roman" w:hAnsi="Times New Roman" w:eastAsia="宋体" w:cs="Times New Roman"/>
                <w:sz w:val="24"/>
                <w:vertAlign w:val="superscript"/>
                <w:lang w:val="en-US" w:eastAsia="zh-CN"/>
              </w:rPr>
              <w:t>3</w:t>
            </w:r>
            <w:r>
              <w:rPr>
                <w:rFonts w:hint="default" w:ascii="Times New Roman" w:hAnsi="Times New Roman" w:eastAsia="宋体" w:cs="Times New Roman"/>
                <w:sz w:val="24"/>
                <w:lang w:val="en-US" w:eastAsia="zh-CN"/>
              </w:rPr>
              <w:t>/d</w:t>
            </w:r>
            <w:r>
              <w:rPr>
                <w:rFonts w:hint="eastAsia" w:cs="Times New Roman"/>
                <w:sz w:val="24"/>
                <w:lang w:val="en-US" w:eastAsia="zh-CN"/>
              </w:rPr>
              <w:t>）</w:t>
            </w:r>
            <w:r>
              <w:rPr>
                <w:rFonts w:hint="eastAsia" w:ascii="Times New Roman" w:hAnsi="Times New Roman" w:eastAsia="宋体" w:cs="Times New Roman"/>
                <w:sz w:val="24"/>
                <w:lang w:val="en-US" w:eastAsia="zh-CN"/>
              </w:rPr>
              <w:t>，</w:t>
            </w:r>
            <w:r>
              <w:rPr>
                <w:rFonts w:hint="eastAsia"/>
                <w:sz w:val="24"/>
              </w:rPr>
              <w:t>该工序用水循环使用，定期补充，</w:t>
            </w:r>
            <w:r>
              <w:rPr>
                <w:rFonts w:hint="eastAsia" w:ascii="Times New Roman" w:hAnsi="Times New Roman" w:eastAsia="宋体" w:cs="Times New Roman"/>
                <w:sz w:val="24"/>
                <w:lang w:val="en-US" w:eastAsia="zh-CN"/>
              </w:rPr>
              <w:t>挤出工序补水量为95.7</w:t>
            </w:r>
            <w:r>
              <w:rPr>
                <w:rFonts w:hint="default" w:ascii="Times New Roman" w:hAnsi="Times New Roman" w:eastAsia="宋体" w:cs="Times New Roman"/>
                <w:sz w:val="24"/>
                <w:lang w:val="en-US" w:eastAsia="zh-CN"/>
              </w:rPr>
              <w:t>m</w:t>
            </w:r>
            <w:r>
              <w:rPr>
                <w:rFonts w:hint="default" w:ascii="Times New Roman" w:hAnsi="Times New Roman" w:eastAsia="宋体" w:cs="Times New Roman"/>
                <w:sz w:val="24"/>
                <w:vertAlign w:val="superscript"/>
                <w:lang w:val="en-US" w:eastAsia="zh-CN"/>
              </w:rPr>
              <w:t>3</w:t>
            </w:r>
            <w:r>
              <w:rPr>
                <w:rFonts w:hint="default" w:ascii="Times New Roman" w:hAnsi="Times New Roman" w:eastAsia="宋体" w:cs="Times New Roman"/>
                <w:sz w:val="24"/>
                <w:lang w:val="en-US" w:eastAsia="zh-CN"/>
              </w:rPr>
              <w:t>/a</w:t>
            </w:r>
            <w:r>
              <w:rPr>
                <w:rFonts w:hint="eastAsia" w:cs="Times New Roman"/>
                <w:sz w:val="24"/>
                <w:lang w:val="en-US" w:eastAsia="zh-CN"/>
              </w:rPr>
              <w:t>（</w:t>
            </w:r>
            <w:r>
              <w:rPr>
                <w:rFonts w:hint="eastAsia" w:ascii="Times New Roman" w:hAnsi="Times New Roman" w:eastAsia="宋体" w:cs="Times New Roman"/>
                <w:sz w:val="24"/>
                <w:lang w:val="en-US" w:eastAsia="zh-CN"/>
              </w:rPr>
              <w:t>0.319</w:t>
            </w:r>
            <w:r>
              <w:rPr>
                <w:rFonts w:hint="default" w:ascii="Times New Roman" w:hAnsi="Times New Roman" w:eastAsia="宋体" w:cs="Times New Roman"/>
                <w:sz w:val="24"/>
                <w:lang w:val="en-US" w:eastAsia="zh-CN"/>
              </w:rPr>
              <w:t>m</w:t>
            </w:r>
            <w:r>
              <w:rPr>
                <w:rFonts w:hint="default" w:ascii="Times New Roman" w:hAnsi="Times New Roman" w:eastAsia="宋体" w:cs="Times New Roman"/>
                <w:sz w:val="24"/>
                <w:vertAlign w:val="superscript"/>
                <w:lang w:val="en-US" w:eastAsia="zh-CN"/>
              </w:rPr>
              <w:t>3</w:t>
            </w:r>
            <w:r>
              <w:rPr>
                <w:rFonts w:hint="default" w:ascii="Times New Roman" w:hAnsi="Times New Roman" w:eastAsia="宋体" w:cs="Times New Roman"/>
                <w:sz w:val="24"/>
                <w:lang w:val="en-US" w:eastAsia="zh-CN"/>
              </w:rPr>
              <w:t>/d</w:t>
            </w:r>
            <w:r>
              <w:rPr>
                <w:rFonts w:hint="eastAsia" w:cs="Times New Roman"/>
                <w:sz w:val="24"/>
                <w:lang w:val="en-US" w:eastAsia="zh-CN"/>
              </w:rPr>
              <w:t>）</w:t>
            </w:r>
            <w:r>
              <w:rPr>
                <w:rFonts w:hint="eastAsia" w:ascii="Times New Roman" w:hAnsi="Times New Roman" w:eastAsia="宋体" w:cs="Times New Roman"/>
                <w:sz w:val="24"/>
                <w:lang w:val="en-US" w:eastAsia="zh-CN"/>
              </w:rPr>
              <w:t>。</w:t>
            </w:r>
          </w:p>
          <w:p w14:paraId="52E3CE53">
            <w:pPr>
              <w:keepNext w:val="0"/>
              <w:keepLines w:val="0"/>
              <w:suppressLineNumbers w:val="0"/>
              <w:adjustRightInd w:val="0"/>
              <w:snapToGrid w:val="0"/>
              <w:spacing w:before="0" w:beforeAutospacing="0" w:after="0" w:afterAutospacing="0" w:line="360" w:lineRule="auto"/>
              <w:ind w:left="0" w:right="0" w:firstLine="480" w:firstLineChars="200"/>
              <w:jc w:val="left"/>
              <w:rPr>
                <w:rFonts w:hint="eastAsia"/>
                <w:sz w:val="24"/>
              </w:rPr>
            </w:pPr>
            <w:r>
              <w:rPr>
                <w:rFonts w:hint="eastAsia"/>
                <w:sz w:val="24"/>
              </w:rPr>
              <w:t>项目复合工序采取高频水加热复合，该工序用水循环使用，定期补充，</w:t>
            </w:r>
            <w:r>
              <w:rPr>
                <w:rFonts w:hint="eastAsia"/>
                <w:sz w:val="24"/>
                <w:lang w:eastAsia="zh-CN"/>
              </w:rPr>
              <w:t>根据企业提供设计资料，</w:t>
            </w:r>
            <w:r>
              <w:rPr>
                <w:rFonts w:hint="eastAsia"/>
                <w:sz w:val="24"/>
              </w:rPr>
              <w:t>补充水量约为0.</w:t>
            </w:r>
            <w:r>
              <w:rPr>
                <w:rFonts w:hint="eastAsia"/>
                <w:sz w:val="24"/>
                <w:lang w:val="en-US" w:eastAsia="zh-CN"/>
              </w:rPr>
              <w:t>2</w:t>
            </w:r>
            <w:r>
              <w:rPr>
                <w:rFonts w:hint="eastAsia"/>
                <w:sz w:val="24"/>
              </w:rPr>
              <w:t>m</w:t>
            </w:r>
            <w:r>
              <w:rPr>
                <w:rFonts w:hint="eastAsia"/>
                <w:sz w:val="24"/>
                <w:vertAlign w:val="superscript"/>
              </w:rPr>
              <w:t>3</w:t>
            </w:r>
            <w:r>
              <w:rPr>
                <w:rFonts w:hint="eastAsia"/>
                <w:sz w:val="24"/>
              </w:rPr>
              <w:t>/d，合计用水量</w:t>
            </w:r>
            <w:r>
              <w:rPr>
                <w:rFonts w:hint="eastAsia"/>
                <w:sz w:val="24"/>
                <w:lang w:val="en-US" w:eastAsia="zh-CN"/>
              </w:rPr>
              <w:t>60</w:t>
            </w:r>
            <w:r>
              <w:rPr>
                <w:rFonts w:hint="eastAsia"/>
                <w:sz w:val="24"/>
              </w:rPr>
              <w:t>m</w:t>
            </w:r>
            <w:r>
              <w:rPr>
                <w:rFonts w:hint="eastAsia"/>
                <w:sz w:val="24"/>
                <w:vertAlign w:val="superscript"/>
              </w:rPr>
              <w:t>3</w:t>
            </w:r>
            <w:r>
              <w:rPr>
                <w:rFonts w:hint="eastAsia"/>
                <w:sz w:val="24"/>
              </w:rPr>
              <w:t>/a。</w:t>
            </w:r>
          </w:p>
          <w:p w14:paraId="77E193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参考《工业循环冷却水处理设计规范》（GB_T50050-2017）“5补充水处理”蒸发水量公式为：Q</w:t>
            </w:r>
            <w:r>
              <w:rPr>
                <w:rFonts w:hint="eastAsia"/>
                <w:color w:val="000000" w:themeColor="text1"/>
                <w:sz w:val="24"/>
                <w:szCs w:val="24"/>
                <w:vertAlign w:val="subscript"/>
                <w:lang w:val="en-US" w:eastAsia="zh-CN"/>
                <w14:textFill>
                  <w14:solidFill>
                    <w14:schemeClr w14:val="tx1"/>
                  </w14:solidFill>
                </w14:textFill>
              </w:rPr>
              <w:t>e</w:t>
            </w:r>
            <w:r>
              <w:rPr>
                <w:rFonts w:hint="eastAsia"/>
                <w:color w:val="000000" w:themeColor="text1"/>
                <w:sz w:val="24"/>
                <w:szCs w:val="24"/>
                <w:lang w:val="en-US" w:eastAsia="zh-CN"/>
                <w14:textFill>
                  <w14:solidFill>
                    <w14:schemeClr w14:val="tx1"/>
                  </w14:solidFill>
                </w14:textFill>
              </w:rPr>
              <w:t>=k×Δt×Q</w:t>
            </w:r>
            <w:r>
              <w:rPr>
                <w:rFonts w:hint="eastAsia"/>
                <w:color w:val="000000" w:themeColor="text1"/>
                <w:sz w:val="24"/>
                <w:szCs w:val="24"/>
                <w:vertAlign w:val="subscript"/>
                <w:lang w:val="en-US" w:eastAsia="zh-CN"/>
                <w14:textFill>
                  <w14:solidFill>
                    <w14:schemeClr w14:val="tx1"/>
                  </w14:solidFill>
                </w14:textFill>
              </w:rPr>
              <w:t>r</w:t>
            </w:r>
          </w:p>
          <w:p w14:paraId="5E1671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其中：</w:t>
            </w:r>
          </w:p>
          <w:p w14:paraId="5377A4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Q</w:t>
            </w:r>
            <w:r>
              <w:rPr>
                <w:rFonts w:hint="eastAsia"/>
                <w:color w:val="000000" w:themeColor="text1"/>
                <w:sz w:val="24"/>
                <w:szCs w:val="24"/>
                <w:vertAlign w:val="subscript"/>
                <w:lang w:val="en-US" w:eastAsia="zh-CN"/>
                <w14:textFill>
                  <w14:solidFill>
                    <w14:schemeClr w14:val="tx1"/>
                  </w14:solidFill>
                </w14:textFill>
              </w:rPr>
              <w:t>e</w:t>
            </w:r>
            <w:r>
              <w:rPr>
                <w:rFonts w:hint="eastAsia"/>
                <w:color w:val="000000" w:themeColor="text1"/>
                <w:sz w:val="24"/>
                <w:szCs w:val="24"/>
                <w:lang w:val="en-US" w:eastAsia="zh-CN"/>
                <w14:textFill>
                  <w14:solidFill>
                    <w14:schemeClr w14:val="tx1"/>
                  </w14:solidFill>
                </w14:textFill>
              </w:rPr>
              <w:t>为蒸发水量（m</w:t>
            </w:r>
            <w:r>
              <w:rPr>
                <w:rFonts w:hint="eastAsia"/>
                <w:color w:val="000000" w:themeColor="text1"/>
                <w:sz w:val="24"/>
                <w:szCs w:val="24"/>
                <w:vertAlign w:val="superscript"/>
                <w:lang w:val="en-US" w:eastAsia="zh-CN"/>
                <w14:textFill>
                  <w14:solidFill>
                    <w14:schemeClr w14:val="tx1"/>
                  </w14:solidFill>
                </w14:textFill>
              </w:rPr>
              <w:t>3</w:t>
            </w:r>
            <w:r>
              <w:rPr>
                <w:rFonts w:hint="eastAsia"/>
                <w:color w:val="000000" w:themeColor="text1"/>
                <w:sz w:val="24"/>
                <w:szCs w:val="24"/>
                <w:lang w:val="en-US" w:eastAsia="zh-CN"/>
                <w14:textFill>
                  <w14:solidFill>
                    <w14:schemeClr w14:val="tx1"/>
                  </w14:solidFill>
                </w14:textFill>
              </w:rPr>
              <w:t>/a）；</w:t>
            </w:r>
          </w:p>
          <w:p w14:paraId="1D2317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k为蒸发损失系数（1/℃），按照下表进行取值；</w:t>
            </w:r>
          </w:p>
          <w:p w14:paraId="561ED5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Q</w:t>
            </w:r>
            <w:r>
              <w:rPr>
                <w:rFonts w:hint="eastAsia"/>
                <w:color w:val="000000" w:themeColor="text1"/>
                <w:sz w:val="24"/>
                <w:szCs w:val="24"/>
                <w:vertAlign w:val="subscript"/>
                <w:lang w:val="en-US" w:eastAsia="zh-CN"/>
                <w14:textFill>
                  <w14:solidFill>
                    <w14:schemeClr w14:val="tx1"/>
                  </w14:solidFill>
                </w14:textFill>
              </w:rPr>
              <w:t>r</w:t>
            </w:r>
            <w:r>
              <w:rPr>
                <w:rFonts w:hint="eastAsia"/>
                <w:color w:val="000000" w:themeColor="text1"/>
                <w:sz w:val="24"/>
                <w:szCs w:val="24"/>
                <w:lang w:val="en-US" w:eastAsia="zh-CN"/>
                <w14:textFill>
                  <w14:solidFill>
                    <w14:schemeClr w14:val="tx1"/>
                  </w14:solidFill>
                </w14:textFill>
              </w:rPr>
              <w:t>为循环冷却水量（m</w:t>
            </w:r>
            <w:r>
              <w:rPr>
                <w:rFonts w:hint="eastAsia"/>
                <w:color w:val="000000" w:themeColor="text1"/>
                <w:sz w:val="24"/>
                <w:szCs w:val="24"/>
                <w:vertAlign w:val="superscript"/>
                <w:lang w:val="en-US" w:eastAsia="zh-CN"/>
                <w14:textFill>
                  <w14:solidFill>
                    <w14:schemeClr w14:val="tx1"/>
                  </w14:solidFill>
                </w14:textFill>
              </w:rPr>
              <w:t>3</w:t>
            </w:r>
            <w:r>
              <w:rPr>
                <w:rFonts w:hint="eastAsia"/>
                <w:color w:val="000000" w:themeColor="text1"/>
                <w:sz w:val="24"/>
                <w:szCs w:val="24"/>
                <w:lang w:val="en-US" w:eastAsia="zh-CN"/>
                <w14:textFill>
                  <w14:solidFill>
                    <w14:schemeClr w14:val="tx1"/>
                  </w14:solidFill>
                </w14:textFill>
              </w:rPr>
              <w:t>/a）；</w:t>
            </w:r>
          </w:p>
          <w:p w14:paraId="709C70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Δt为循环冷却水进出塔温度（℃），取20℃</w:t>
            </w:r>
          </w:p>
          <w:p w14:paraId="4930F8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则该企业循环水量Q</w:t>
            </w:r>
            <w:r>
              <w:rPr>
                <w:rFonts w:hint="eastAsia"/>
                <w:color w:val="000000" w:themeColor="text1"/>
                <w:sz w:val="24"/>
                <w:szCs w:val="24"/>
                <w:vertAlign w:val="subscript"/>
                <w:lang w:val="en-US" w:eastAsia="zh-CN"/>
                <w14:textFill>
                  <w14:solidFill>
                    <w14:schemeClr w14:val="tx1"/>
                  </w14:solidFill>
                </w14:textFill>
              </w:rPr>
              <w:t>r</w:t>
            </w:r>
            <w:r>
              <w:rPr>
                <w:rFonts w:hint="eastAsia"/>
                <w:color w:val="000000" w:themeColor="text1"/>
                <w:sz w:val="24"/>
                <w:szCs w:val="24"/>
                <w:vertAlign w:val="baseline"/>
                <w:lang w:val="en-US" w:eastAsia="zh-CN"/>
                <w14:textFill>
                  <w14:solidFill>
                    <w14:schemeClr w14:val="tx1"/>
                  </w14:solidFill>
                </w14:textFill>
              </w:rPr>
              <w:t>=155.7/0.0014/20=5560.7143m</w:t>
            </w:r>
            <w:r>
              <w:rPr>
                <w:rFonts w:hint="eastAsia"/>
                <w:color w:val="000000" w:themeColor="text1"/>
                <w:sz w:val="24"/>
                <w:szCs w:val="24"/>
                <w:vertAlign w:val="superscript"/>
                <w:lang w:val="en-US" w:eastAsia="zh-CN"/>
                <w14:textFill>
                  <w14:solidFill>
                    <w14:schemeClr w14:val="tx1"/>
                  </w14:solidFill>
                </w14:textFill>
              </w:rPr>
              <w:t>3</w:t>
            </w:r>
            <w:r>
              <w:rPr>
                <w:rFonts w:hint="eastAsia"/>
                <w:color w:val="000000" w:themeColor="text1"/>
                <w:sz w:val="24"/>
                <w:szCs w:val="24"/>
                <w:vertAlign w:val="baseline"/>
                <w:lang w:val="en-US" w:eastAsia="zh-CN"/>
                <w14:textFill>
                  <w14:solidFill>
                    <w14:schemeClr w14:val="tx1"/>
                  </w14:solidFill>
                </w14:textFill>
              </w:rPr>
              <w:t>/a</w:t>
            </w:r>
          </w:p>
          <w:p w14:paraId="4BF12924">
            <w:pPr>
              <w:pStyle w:val="38"/>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b/>
                <w:bCs w:val="0"/>
                <w:color w:val="000000" w:themeColor="text1"/>
                <w:lang w:val="en-US" w:eastAsia="zh-CN"/>
                <w14:textFill>
                  <w14:solidFill>
                    <w14:schemeClr w14:val="tx1"/>
                  </w14:solidFill>
                </w14:textFill>
              </w:rPr>
            </w:pPr>
            <w:r>
              <w:rPr>
                <w:rFonts w:hint="eastAsia"/>
                <w:b/>
                <w:bCs w:val="0"/>
                <w:color w:val="000000" w:themeColor="text1"/>
                <w:sz w:val="24"/>
                <w:szCs w:val="24"/>
                <w:lang w:val="en-US" w:eastAsia="zh-CN"/>
                <w14:textFill>
                  <w14:solidFill>
                    <w14:schemeClr w14:val="tx1"/>
                  </w14:solidFill>
                </w14:textFill>
              </w:rPr>
              <w:t>蒸发损失系数k</w:t>
            </w:r>
          </w:p>
          <w:tbl>
            <w:tblPr>
              <w:tblStyle w:val="30"/>
              <w:tblW w:w="4991"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24"/>
              <w:gridCol w:w="995"/>
              <w:gridCol w:w="971"/>
              <w:gridCol w:w="1143"/>
              <w:gridCol w:w="1065"/>
              <w:gridCol w:w="1195"/>
              <w:gridCol w:w="1224"/>
            </w:tblGrid>
            <w:tr w14:paraId="5A48A8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39" w:type="pct"/>
                </w:tcPr>
                <w:p w14:paraId="0255CF38">
                  <w:pPr>
                    <w:keepNext w:val="0"/>
                    <w:keepLines w:val="0"/>
                    <w:suppressLineNumbers w:val="0"/>
                    <w:bidi w:val="0"/>
                    <w:spacing w:before="0" w:beforeAutospacing="0" w:after="0" w:afterAutospacing="0"/>
                    <w:ind w:left="0" w:right="0"/>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进塔大气温度</w:t>
                  </w:r>
                </w:p>
              </w:tc>
              <w:tc>
                <w:tcPr>
                  <w:tcW w:w="613" w:type="pct"/>
                </w:tcPr>
                <w:p w14:paraId="3BEDF2A2">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-10</w:t>
                  </w:r>
                </w:p>
              </w:tc>
              <w:tc>
                <w:tcPr>
                  <w:tcW w:w="598" w:type="pct"/>
                </w:tcPr>
                <w:p w14:paraId="4378C2EB">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w:t>
                  </w:r>
                </w:p>
              </w:tc>
              <w:tc>
                <w:tcPr>
                  <w:tcW w:w="704" w:type="pct"/>
                </w:tcPr>
                <w:p w14:paraId="6E6C1B28">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10</w:t>
                  </w:r>
                </w:p>
              </w:tc>
              <w:tc>
                <w:tcPr>
                  <w:tcW w:w="656" w:type="pct"/>
                </w:tcPr>
                <w:p w14:paraId="6A272992">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20</w:t>
                  </w:r>
                </w:p>
              </w:tc>
              <w:tc>
                <w:tcPr>
                  <w:tcW w:w="736" w:type="pct"/>
                </w:tcPr>
                <w:p w14:paraId="15CF4CE2">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30</w:t>
                  </w:r>
                </w:p>
              </w:tc>
              <w:tc>
                <w:tcPr>
                  <w:tcW w:w="752" w:type="pct"/>
                </w:tcPr>
                <w:p w14:paraId="03F90A22">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40</w:t>
                  </w:r>
                </w:p>
              </w:tc>
            </w:tr>
            <w:tr w14:paraId="6DECBD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39" w:type="pct"/>
                </w:tcPr>
                <w:p w14:paraId="11946B10">
                  <w:pPr>
                    <w:keepNext w:val="0"/>
                    <w:keepLines w:val="0"/>
                    <w:suppressLineNumbers w:val="0"/>
                    <w:bidi w:val="0"/>
                    <w:spacing w:before="0" w:beforeAutospacing="0" w:after="0" w:afterAutospacing="0"/>
                    <w:ind w:left="0" w:right="0"/>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k（1</w:t>
                  </w:r>
                  <w:r>
                    <w:rPr>
                      <w:rFonts w:hint="eastAsia"/>
                      <w:color w:val="000000" w:themeColor="text1"/>
                      <w:sz w:val="21"/>
                      <w:szCs w:val="21"/>
                      <w:vertAlign w:val="baseline"/>
                      <w:lang w:val="en-US"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w:t>
                  </w:r>
                  <w:r>
                    <w:rPr>
                      <w:rFonts w:hint="eastAsia"/>
                      <w:color w:val="000000" w:themeColor="text1"/>
                      <w:vertAlign w:val="baseline"/>
                      <w:lang w:val="en-US" w:eastAsia="zh-CN"/>
                      <w14:textFill>
                        <w14:solidFill>
                          <w14:schemeClr w14:val="tx1"/>
                        </w14:solidFill>
                      </w14:textFill>
                    </w:rPr>
                    <w:t>）</w:t>
                  </w:r>
                </w:p>
              </w:tc>
              <w:tc>
                <w:tcPr>
                  <w:tcW w:w="613" w:type="pct"/>
                </w:tcPr>
                <w:p w14:paraId="0AFB26AC">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0.0008</w:t>
                  </w:r>
                </w:p>
              </w:tc>
              <w:tc>
                <w:tcPr>
                  <w:tcW w:w="598" w:type="pct"/>
                </w:tcPr>
                <w:p w14:paraId="56EA9E0C">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0.0010</w:t>
                  </w:r>
                </w:p>
              </w:tc>
              <w:tc>
                <w:tcPr>
                  <w:tcW w:w="704" w:type="pct"/>
                </w:tcPr>
                <w:p w14:paraId="1AFF108B">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0.0012</w:t>
                  </w:r>
                </w:p>
              </w:tc>
              <w:tc>
                <w:tcPr>
                  <w:tcW w:w="656" w:type="pct"/>
                </w:tcPr>
                <w:p w14:paraId="07BC4230">
                  <w:pPr>
                    <w:keepNext w:val="0"/>
                    <w:keepLines w:val="0"/>
                    <w:suppressLineNumbers w:val="0"/>
                    <w:bidi w:val="0"/>
                    <w:spacing w:before="0" w:beforeAutospacing="0" w:after="0" w:afterAutospacing="0"/>
                    <w:ind w:left="0" w:right="0"/>
                    <w:jc w:val="center"/>
                    <w:rPr>
                      <w:rFonts w:hint="default"/>
                      <w:color w:val="000000" w:themeColor="text1"/>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0.0014</w:t>
                  </w:r>
                </w:p>
              </w:tc>
              <w:tc>
                <w:tcPr>
                  <w:tcW w:w="736" w:type="pct"/>
                </w:tcPr>
                <w:p w14:paraId="6C98DFE6">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0.0015</w:t>
                  </w:r>
                </w:p>
              </w:tc>
              <w:tc>
                <w:tcPr>
                  <w:tcW w:w="752" w:type="pct"/>
                </w:tcPr>
                <w:p w14:paraId="4AF2AC84">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0.0016</w:t>
                  </w:r>
                </w:p>
              </w:tc>
            </w:tr>
            <w:tr w14:paraId="12C9B4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14:paraId="6EE4432F">
                  <w:pPr>
                    <w:keepNext w:val="0"/>
                    <w:keepLines w:val="0"/>
                    <w:suppressLineNumbers w:val="0"/>
                    <w:bidi w:val="0"/>
                    <w:spacing w:before="0" w:beforeAutospacing="0" w:after="0" w:afterAutospacing="0"/>
                    <w:ind w:left="0" w:right="0"/>
                    <w:jc w:val="both"/>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注：表中进塔大气温度指冷却塔设计干球温度</w:t>
                  </w:r>
                </w:p>
              </w:tc>
            </w:tr>
          </w:tbl>
          <w:p w14:paraId="4512ED03">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2" w:firstLineChars="200"/>
              <w:textAlignment w:val="auto"/>
              <w:rPr>
                <w:rFonts w:hint="eastAsia" w:ascii="Times New Roman" w:hAnsi="Times New Roman" w:eastAsia="宋体" w:cs="Times New Roman"/>
                <w:b/>
                <w:color w:val="000000" w:themeColor="text1"/>
                <w:sz w:val="24"/>
                <w:highlight w:val="none"/>
                <w:lang w:eastAsia="zh-CN"/>
                <w14:textFill>
                  <w14:solidFill>
                    <w14:schemeClr w14:val="tx1"/>
                  </w14:solidFill>
                </w14:textFill>
              </w:rPr>
            </w:pPr>
            <w:r>
              <w:rPr>
                <w:rFonts w:hint="eastAsia" w:eastAsia="宋体" w:cs="Times New Roman"/>
                <w:b/>
                <w:color w:val="000000" w:themeColor="text1"/>
                <w:sz w:val="24"/>
                <w:highlight w:val="none"/>
                <w:lang w:eastAsia="zh-CN"/>
                <w14:textFill>
                  <w14:solidFill>
                    <w14:schemeClr w14:val="tx1"/>
                  </w14:solidFill>
                </w14:textFill>
              </w:rPr>
              <w:t>（</w:t>
            </w:r>
            <w:r>
              <w:rPr>
                <w:rFonts w:hint="eastAsia" w:eastAsia="宋体" w:cs="Times New Roman"/>
                <w:b/>
                <w:color w:val="000000" w:themeColor="text1"/>
                <w:sz w:val="24"/>
                <w:highlight w:val="none"/>
                <w:lang w:val="en-US" w:eastAsia="zh-CN"/>
                <w14:textFill>
                  <w14:solidFill>
                    <w14:schemeClr w14:val="tx1"/>
                  </w14:solidFill>
                </w14:textFill>
              </w:rPr>
              <w:t>2）生活污水</w:t>
            </w:r>
          </w:p>
          <w:p w14:paraId="242BF02C">
            <w:pPr>
              <w:keepNext w:val="0"/>
              <w:keepLines w:val="0"/>
              <w:suppressLineNumbers w:val="0"/>
              <w:adjustRightInd w:val="0"/>
              <w:snapToGrid w:val="0"/>
              <w:spacing w:before="0" w:beforeAutospacing="0" w:after="0" w:afterAutospacing="0" w:line="360" w:lineRule="auto"/>
              <w:ind w:left="0" w:right="0" w:firstLine="480" w:firstLineChars="200"/>
              <w:rPr>
                <w:rFonts w:hint="eastAsia" w:eastAsia="宋体" w:cs="Times New Roman"/>
                <w:color w:val="auto"/>
                <w:sz w:val="24"/>
                <w:highlight w:val="none"/>
                <w:lang w:eastAsia="zh-CN"/>
              </w:rPr>
            </w:pPr>
            <w:r>
              <w:rPr>
                <w:rFonts w:hint="eastAsia" w:ascii="Times New Roman" w:hAnsi="Times New Roman" w:eastAsia="宋体" w:cs="Times New Roman"/>
                <w:color w:val="auto"/>
                <w:sz w:val="24"/>
                <w:lang w:val="en-US" w:eastAsia="zh-CN"/>
              </w:rPr>
              <w:t>项目生产过程中用水主要为生活用水，包括食堂用水和其他生活用水，本项目员工为2</w:t>
            </w:r>
            <w:r>
              <w:rPr>
                <w:rFonts w:hint="eastAsia" w:cs="Times New Roman"/>
                <w:color w:val="auto"/>
                <w:sz w:val="24"/>
                <w:lang w:val="en-US" w:eastAsia="zh-CN"/>
              </w:rPr>
              <w:t>7</w:t>
            </w:r>
            <w:r>
              <w:rPr>
                <w:rFonts w:hint="eastAsia" w:ascii="Times New Roman" w:hAnsi="Times New Roman" w:eastAsia="宋体" w:cs="Times New Roman"/>
                <w:color w:val="auto"/>
                <w:sz w:val="24"/>
                <w:lang w:val="en-US" w:eastAsia="zh-CN"/>
              </w:rPr>
              <w:t>人</w:t>
            </w:r>
            <w:r>
              <w:rPr>
                <w:rFonts w:hint="eastAsia" w:cs="Times New Roman"/>
                <w:color w:val="auto"/>
                <w:sz w:val="24"/>
                <w:lang w:val="en-US" w:eastAsia="zh-CN"/>
              </w:rPr>
              <w:t>（其中8人在厂区食宿），设置有洗浴设施，</w:t>
            </w:r>
            <w:r>
              <w:rPr>
                <w:rFonts w:hint="eastAsia" w:ascii="Times New Roman" w:hAnsi="Times New Roman" w:eastAsia="宋体" w:cs="Times New Roman"/>
                <w:color w:val="auto"/>
                <w:sz w:val="24"/>
                <w:lang w:val="en-US" w:eastAsia="zh-CN"/>
              </w:rPr>
              <w:t>参考《工业与城镇生活用水定额》（DB41/T 385-2020），员工生活用水量按城镇居民生活用水定额，以90L/人·d计，则员工生活用水量为</w:t>
            </w:r>
            <w:r>
              <w:rPr>
                <w:rFonts w:hint="eastAsia" w:cs="Times New Roman"/>
                <w:color w:val="auto"/>
                <w:sz w:val="24"/>
                <w:lang w:val="en-US" w:eastAsia="zh-CN"/>
              </w:rPr>
              <w:t>729</w:t>
            </w:r>
            <w:r>
              <w:rPr>
                <w:rFonts w:hint="eastAsia" w:ascii="Times New Roman" w:hAnsi="Times New Roman" w:eastAsia="宋体" w:cs="Times New Roman"/>
                <w:color w:val="auto"/>
                <w:sz w:val="24"/>
                <w:lang w:val="en-US" w:eastAsia="zh-CN"/>
              </w:rPr>
              <w:t>m</w:t>
            </w:r>
            <w:r>
              <w:rPr>
                <w:rFonts w:hint="eastAsia" w:ascii="Times New Roman" w:hAnsi="Times New Roman" w:eastAsia="宋体" w:cs="Times New Roman"/>
                <w:color w:val="auto"/>
                <w:sz w:val="24"/>
                <w:vertAlign w:val="superscript"/>
                <w:lang w:val="en-US" w:eastAsia="zh-CN"/>
              </w:rPr>
              <w:t>3</w:t>
            </w:r>
            <w:r>
              <w:rPr>
                <w:rFonts w:hint="eastAsia" w:ascii="Times New Roman" w:hAnsi="Times New Roman" w:eastAsia="宋体" w:cs="Times New Roman"/>
                <w:color w:val="auto"/>
                <w:sz w:val="24"/>
                <w:lang w:val="en-US" w:eastAsia="zh-CN"/>
              </w:rPr>
              <w:t>/a；食堂用水量按公共管理和社会组织用水定额有无食堂差值，以4m</w:t>
            </w:r>
            <w:r>
              <w:rPr>
                <w:rFonts w:hint="eastAsia" w:ascii="Times New Roman" w:hAnsi="Times New Roman" w:eastAsia="宋体" w:cs="Times New Roman"/>
                <w:color w:val="auto"/>
                <w:sz w:val="24"/>
                <w:vertAlign w:val="superscript"/>
                <w:lang w:val="en-US" w:eastAsia="zh-CN"/>
              </w:rPr>
              <w:t>3</w:t>
            </w:r>
            <w:r>
              <w:rPr>
                <w:rFonts w:hint="eastAsia" w:ascii="Times New Roman" w:hAnsi="Times New Roman" w:eastAsia="宋体" w:cs="Times New Roman"/>
                <w:color w:val="auto"/>
                <w:sz w:val="24"/>
                <w:lang w:val="en-US" w:eastAsia="zh-CN"/>
              </w:rPr>
              <w:t>/人·a计，则食堂用水量为</w:t>
            </w:r>
            <w:r>
              <w:rPr>
                <w:rFonts w:hint="eastAsia" w:cs="Times New Roman"/>
                <w:color w:val="auto"/>
                <w:sz w:val="24"/>
                <w:lang w:val="en-US" w:eastAsia="zh-CN"/>
              </w:rPr>
              <w:t>32</w:t>
            </w:r>
            <w:r>
              <w:rPr>
                <w:rFonts w:hint="eastAsia" w:ascii="Times New Roman" w:hAnsi="Times New Roman" w:eastAsia="宋体" w:cs="Times New Roman"/>
                <w:color w:val="auto"/>
                <w:sz w:val="24"/>
                <w:lang w:val="en-US" w:eastAsia="zh-CN"/>
              </w:rPr>
              <w:t>m</w:t>
            </w:r>
            <w:r>
              <w:rPr>
                <w:rFonts w:hint="eastAsia" w:ascii="Times New Roman" w:hAnsi="Times New Roman" w:eastAsia="宋体" w:cs="Times New Roman"/>
                <w:color w:val="auto"/>
                <w:sz w:val="24"/>
                <w:vertAlign w:val="superscript"/>
                <w:lang w:val="en-US" w:eastAsia="zh-CN"/>
              </w:rPr>
              <w:t>3</w:t>
            </w:r>
            <w:r>
              <w:rPr>
                <w:rFonts w:hint="eastAsia" w:ascii="Times New Roman" w:hAnsi="Times New Roman" w:eastAsia="宋体" w:cs="Times New Roman"/>
                <w:color w:val="auto"/>
                <w:sz w:val="24"/>
                <w:lang w:val="en-US" w:eastAsia="zh-CN"/>
              </w:rPr>
              <w:t>/a。则运营期间项目用水量为</w:t>
            </w:r>
            <w:r>
              <w:rPr>
                <w:rFonts w:hint="eastAsia" w:cs="Times New Roman"/>
                <w:color w:val="auto"/>
                <w:sz w:val="24"/>
                <w:lang w:val="en-US" w:eastAsia="zh-CN"/>
              </w:rPr>
              <w:t>761</w:t>
            </w:r>
            <w:r>
              <w:rPr>
                <w:rFonts w:hint="eastAsia" w:ascii="Times New Roman" w:hAnsi="Times New Roman" w:eastAsia="宋体" w:cs="Times New Roman"/>
                <w:color w:val="auto"/>
                <w:sz w:val="24"/>
                <w:lang w:val="en-US" w:eastAsia="zh-CN"/>
              </w:rPr>
              <w:t>m</w:t>
            </w:r>
            <w:r>
              <w:rPr>
                <w:rFonts w:hint="eastAsia" w:ascii="Times New Roman" w:hAnsi="Times New Roman" w:eastAsia="宋体" w:cs="Times New Roman"/>
                <w:color w:val="auto"/>
                <w:sz w:val="24"/>
                <w:vertAlign w:val="superscript"/>
                <w:lang w:val="en-US" w:eastAsia="zh-CN"/>
              </w:rPr>
              <w:t>3</w:t>
            </w:r>
            <w:r>
              <w:rPr>
                <w:rFonts w:hint="eastAsia" w:ascii="Times New Roman" w:hAnsi="Times New Roman" w:eastAsia="宋体" w:cs="Times New Roman"/>
                <w:color w:val="auto"/>
                <w:sz w:val="24"/>
                <w:lang w:val="en-US" w:eastAsia="zh-CN"/>
              </w:rPr>
              <w:t>/a，生活污水的损耗率以20%计，则生活污水的产生量为</w:t>
            </w:r>
            <w:r>
              <w:rPr>
                <w:rFonts w:hint="eastAsia" w:cs="Times New Roman"/>
                <w:color w:val="auto"/>
                <w:sz w:val="24"/>
                <w:lang w:val="en-US" w:eastAsia="zh-CN"/>
              </w:rPr>
              <w:t>608.8</w:t>
            </w:r>
            <w:r>
              <w:rPr>
                <w:rFonts w:hint="eastAsia" w:ascii="Times New Roman" w:hAnsi="Times New Roman" w:eastAsia="宋体" w:cs="Times New Roman"/>
                <w:color w:val="auto"/>
                <w:sz w:val="24"/>
                <w:lang w:val="en-US" w:eastAsia="zh-CN"/>
              </w:rPr>
              <w:t>m</w:t>
            </w:r>
            <w:r>
              <w:rPr>
                <w:rFonts w:hint="eastAsia" w:ascii="Times New Roman" w:hAnsi="Times New Roman" w:eastAsia="宋体" w:cs="Times New Roman"/>
                <w:color w:val="auto"/>
                <w:sz w:val="24"/>
                <w:vertAlign w:val="superscript"/>
                <w:lang w:val="en-US" w:eastAsia="zh-CN"/>
              </w:rPr>
              <w:t>3</w:t>
            </w:r>
            <w:r>
              <w:rPr>
                <w:rFonts w:hint="eastAsia" w:ascii="Times New Roman" w:hAnsi="Times New Roman" w:eastAsia="宋体" w:cs="Times New Roman"/>
                <w:color w:val="auto"/>
                <w:sz w:val="24"/>
                <w:lang w:val="en-US" w:eastAsia="zh-CN"/>
              </w:rPr>
              <w:t>/a。食堂废水经隔油池（</w:t>
            </w:r>
            <w:r>
              <w:rPr>
                <w:rFonts w:hint="eastAsia" w:cs="Times New Roman"/>
                <w:color w:val="auto"/>
                <w:sz w:val="24"/>
                <w:lang w:val="en-US" w:eastAsia="zh-CN"/>
              </w:rPr>
              <w:t>1</w:t>
            </w:r>
            <w:r>
              <w:rPr>
                <w:rFonts w:hint="eastAsia" w:ascii="Times New Roman" w:hAnsi="Times New Roman" w:eastAsia="宋体" w:cs="Times New Roman"/>
                <w:color w:val="auto"/>
                <w:sz w:val="24"/>
                <w:lang w:val="en-US" w:eastAsia="zh-CN"/>
              </w:rPr>
              <w:t>m</w:t>
            </w:r>
            <w:r>
              <w:rPr>
                <w:rFonts w:hint="eastAsia" w:ascii="Times New Roman" w:hAnsi="Times New Roman" w:eastAsia="宋体" w:cs="Times New Roman"/>
                <w:color w:val="auto"/>
                <w:sz w:val="24"/>
                <w:vertAlign w:val="superscript"/>
                <w:lang w:val="en-US" w:eastAsia="zh-CN"/>
              </w:rPr>
              <w:t>3</w:t>
            </w:r>
            <w:r>
              <w:rPr>
                <w:rFonts w:hint="eastAsia" w:ascii="Times New Roman" w:hAnsi="Times New Roman" w:eastAsia="宋体" w:cs="Times New Roman"/>
                <w:color w:val="auto"/>
                <w:sz w:val="24"/>
                <w:lang w:val="en-US" w:eastAsia="zh-CN"/>
              </w:rPr>
              <w:t>）预处理后与经化粪池（</w:t>
            </w:r>
            <w:r>
              <w:rPr>
                <w:rFonts w:hint="eastAsia" w:cs="Times New Roman"/>
                <w:color w:val="auto"/>
                <w:sz w:val="24"/>
                <w:lang w:val="en-US" w:eastAsia="zh-CN"/>
              </w:rPr>
              <w:t>5</w:t>
            </w:r>
            <w:r>
              <w:rPr>
                <w:rFonts w:hint="eastAsia" w:ascii="Times New Roman" w:hAnsi="Times New Roman" w:eastAsia="宋体" w:cs="Times New Roman"/>
                <w:color w:val="auto"/>
                <w:sz w:val="24"/>
                <w:lang w:val="en-US" w:eastAsia="zh-CN"/>
              </w:rPr>
              <w:t>m</w:t>
            </w:r>
            <w:r>
              <w:rPr>
                <w:rFonts w:hint="eastAsia" w:ascii="Times New Roman" w:hAnsi="Times New Roman" w:eastAsia="宋体" w:cs="Times New Roman"/>
                <w:color w:val="auto"/>
                <w:sz w:val="24"/>
                <w:vertAlign w:val="superscript"/>
                <w:lang w:val="en-US" w:eastAsia="zh-CN"/>
              </w:rPr>
              <w:t>3</w:t>
            </w:r>
            <w:r>
              <w:rPr>
                <w:rFonts w:hint="eastAsia" w:ascii="Times New Roman" w:hAnsi="Times New Roman" w:eastAsia="宋体" w:cs="Times New Roman"/>
                <w:color w:val="auto"/>
                <w:sz w:val="24"/>
                <w:lang w:val="en-US" w:eastAsia="zh-CN"/>
              </w:rPr>
              <w:t>）处理后的其他生活污水一同通过生活污水排放口（DW001）纳入市政管网，</w:t>
            </w:r>
            <w:r>
              <w:rPr>
                <w:rFonts w:hint="eastAsia" w:eastAsia="宋体"/>
                <w:color w:val="auto"/>
                <w:sz w:val="24"/>
                <w:szCs w:val="24"/>
                <w:lang w:val="en-US" w:eastAsia="zh-CN"/>
              </w:rPr>
              <w:t>排入</w:t>
            </w:r>
            <w:r>
              <w:rPr>
                <w:rFonts w:hint="eastAsia" w:ascii="Times New Roman" w:hAnsi="Times New Roman" w:eastAsia="宋体" w:cs="Times New Roman"/>
                <w:color w:val="auto"/>
                <w:sz w:val="24"/>
                <w:szCs w:val="24"/>
                <w:lang w:eastAsia="zh-CN"/>
              </w:rPr>
              <w:t>汤阴</w:t>
            </w:r>
            <w:r>
              <w:rPr>
                <w:rFonts w:hint="eastAsia" w:cs="Times New Roman"/>
                <w:color w:val="auto"/>
                <w:sz w:val="24"/>
                <w:szCs w:val="24"/>
                <w:lang w:eastAsia="zh-CN"/>
              </w:rPr>
              <w:t>天雨污水净化有限公司</w:t>
            </w:r>
            <w:r>
              <w:rPr>
                <w:rFonts w:hint="eastAsia" w:ascii="Times New Roman" w:hAnsi="Times New Roman" w:cs="仿宋_GB2312"/>
                <w:b w:val="0"/>
                <w:bCs w:val="0"/>
                <w:color w:val="auto"/>
                <w:sz w:val="24"/>
                <w:szCs w:val="24"/>
                <w:highlight w:val="none"/>
                <w:u w:val="none"/>
                <w:lang w:val="en-US" w:eastAsia="zh-CN"/>
              </w:rPr>
              <w:t>深度处理。</w:t>
            </w:r>
            <w:r>
              <w:rPr>
                <w:rFonts w:hint="default" w:ascii="Times New Roman" w:hAnsi="Times New Roman" w:eastAsia="Times New Roman" w:cs="Times New Roman"/>
                <w:color w:val="auto"/>
                <w:sz w:val="24"/>
                <w:highlight w:val="none"/>
              </w:rPr>
              <w:t>项目水平衡分析图如下</w:t>
            </w:r>
            <w:r>
              <w:rPr>
                <w:rFonts w:hint="eastAsia" w:eastAsia="宋体" w:cs="Times New Roman"/>
                <w:color w:val="auto"/>
                <w:sz w:val="24"/>
                <w:highlight w:val="none"/>
                <w:lang w:eastAsia="zh-CN"/>
              </w:rPr>
              <w:t>：</w:t>
            </w:r>
          </w:p>
          <w:p w14:paraId="7F69F45E">
            <w:pPr>
              <w:keepNext w:val="0"/>
              <w:keepLines w:val="0"/>
              <w:suppressLineNumbers w:val="0"/>
              <w:adjustRightInd w:val="0"/>
              <w:snapToGrid w:val="0"/>
              <w:spacing w:before="0" w:beforeAutospacing="0" w:after="0" w:afterAutospacing="0" w:line="360" w:lineRule="auto"/>
              <w:ind w:left="0" w:right="0" w:firstLine="480" w:firstLineChars="200"/>
              <w:rPr>
                <w:rFonts w:hint="eastAsia" w:eastAsia="宋体" w:cs="Times New Roman"/>
                <w:color w:val="000000" w:themeColor="text1"/>
                <w:sz w:val="24"/>
                <w:highlight w:val="none"/>
                <w:lang w:eastAsia="zh-CN"/>
                <w14:textFill>
                  <w14:solidFill>
                    <w14:schemeClr w14:val="tx1"/>
                  </w14:solidFill>
                </w14:textFill>
              </w:rPr>
            </w:pPr>
          </w:p>
          <w:p w14:paraId="1C276921">
            <w:pPr>
              <w:keepNext w:val="0"/>
              <w:keepLines w:val="0"/>
              <w:suppressLineNumbers w:val="0"/>
              <w:adjustRightInd w:val="0"/>
              <w:snapToGrid w:val="0"/>
              <w:spacing w:before="0" w:beforeAutospacing="0" w:after="0" w:afterAutospacing="0" w:line="360" w:lineRule="auto"/>
              <w:ind w:left="0" w:right="0" w:firstLine="480" w:firstLineChars="200"/>
              <w:rPr>
                <w:rFonts w:hint="eastAsia" w:eastAsia="宋体" w:cs="Times New Roman"/>
                <w:color w:val="000000" w:themeColor="text1"/>
                <w:sz w:val="24"/>
                <w:highlight w:val="none"/>
                <w:lang w:eastAsia="zh-CN"/>
                <w14:textFill>
                  <w14:solidFill>
                    <w14:schemeClr w14:val="tx1"/>
                  </w14:solidFill>
                </w14:textFill>
              </w:rPr>
            </w:pPr>
          </w:p>
          <w:p w14:paraId="5688EFFE">
            <w:pPr>
              <w:keepNext w:val="0"/>
              <w:keepLines w:val="0"/>
              <w:suppressLineNumbers w:val="0"/>
              <w:adjustRightInd w:val="0"/>
              <w:snapToGrid w:val="0"/>
              <w:spacing w:before="0" w:beforeAutospacing="0" w:after="0" w:afterAutospacing="0" w:line="360" w:lineRule="auto"/>
              <w:ind w:left="0" w:right="0" w:firstLine="480" w:firstLineChars="200"/>
              <w:rPr>
                <w:rFonts w:hint="eastAsia" w:eastAsia="宋体" w:cs="Times New Roman"/>
                <w:color w:val="000000" w:themeColor="text1"/>
                <w:sz w:val="24"/>
                <w:highlight w:val="none"/>
                <w:lang w:eastAsia="zh-CN"/>
                <w14:textFill>
                  <w14:solidFill>
                    <w14:schemeClr w14:val="tx1"/>
                  </w14:solidFill>
                </w14:textFill>
              </w:rPr>
            </w:pPr>
          </w:p>
          <w:p w14:paraId="2FB7645A">
            <w:pPr>
              <w:keepNext w:val="0"/>
              <w:keepLines w:val="0"/>
              <w:suppressLineNumbers w:val="0"/>
              <w:adjustRightInd w:val="0"/>
              <w:snapToGrid w:val="0"/>
              <w:spacing w:before="0" w:beforeAutospacing="0" w:after="0" w:afterAutospacing="0" w:line="360" w:lineRule="auto"/>
              <w:ind w:left="0" w:right="0" w:firstLine="480" w:firstLineChars="200"/>
              <w:rPr>
                <w:rFonts w:hint="eastAsia" w:eastAsia="宋体" w:cs="Times New Roman"/>
                <w:color w:val="000000" w:themeColor="text1"/>
                <w:sz w:val="24"/>
                <w:highlight w:val="none"/>
                <w:lang w:eastAsia="zh-CN"/>
                <w14:textFill>
                  <w14:solidFill>
                    <w14:schemeClr w14:val="tx1"/>
                  </w14:solidFill>
                </w14:textFill>
              </w:rPr>
            </w:pPr>
          </w:p>
          <w:p w14:paraId="56BDB4D9">
            <w:pPr>
              <w:keepNext w:val="0"/>
              <w:keepLines w:val="0"/>
              <w:suppressLineNumbers w:val="0"/>
              <w:adjustRightInd w:val="0"/>
              <w:snapToGrid w:val="0"/>
              <w:spacing w:before="0" w:beforeAutospacing="0" w:after="0" w:afterAutospacing="0" w:line="360" w:lineRule="auto"/>
              <w:ind w:left="0" w:right="0"/>
              <w:rPr>
                <w:rFonts w:hint="eastAsia" w:eastAsia="宋体" w:cs="Times New Roman"/>
                <w:color w:val="000000" w:themeColor="text1"/>
                <w:sz w:val="24"/>
                <w:highlight w:val="none"/>
                <w:lang w:eastAsia="zh-CN"/>
                <w14:textFill>
                  <w14:solidFill>
                    <w14:schemeClr w14:val="tx1"/>
                  </w14:solidFill>
                </w14:textFill>
              </w:rPr>
            </w:pPr>
          </w:p>
          <w:p w14:paraId="1C84439B">
            <w:pPr>
              <w:keepNext w:val="0"/>
              <w:keepLines w:val="0"/>
              <w:suppressLineNumbers w:val="0"/>
              <w:adjustRightInd w:val="0"/>
              <w:snapToGrid w:val="0"/>
              <w:spacing w:before="0" w:beforeAutospacing="0" w:after="0" w:afterAutospacing="0" w:line="360" w:lineRule="auto"/>
              <w:ind w:left="0" w:right="0"/>
              <w:jc w:val="center"/>
              <w:rPr>
                <w:rFonts w:hint="default" w:eastAsia="宋体" w:cs="Times New Roman"/>
                <w:b/>
                <w:bCs/>
                <w:color w:val="000000" w:themeColor="text1"/>
                <w:sz w:val="24"/>
                <w:highlight w:val="none"/>
                <w:lang w:eastAsia="zh-CN"/>
                <w14:textFill>
                  <w14:solidFill>
                    <w14:schemeClr w14:val="tx1"/>
                  </w14:solidFill>
                </w14:textFill>
              </w:rPr>
            </w:pPr>
            <w:r>
              <w:rPr>
                <w:rFonts w:hint="eastAsia" w:eastAsiaTheme="minorEastAsia"/>
                <w:lang w:eastAsia="zh-CN"/>
              </w:rPr>
              <w:drawing>
                <wp:inline distT="0" distB="0" distL="114300" distR="114300">
                  <wp:extent cx="4995545" cy="2089785"/>
                  <wp:effectExtent l="0" t="0" r="0" b="0"/>
                  <wp:docPr id="13" name="E657119C-6982-421D-8BA7-E74DEB70A7D9-1" descr="C:/Users/Administrator/AppData/Local/Temp/wps.wIvlaX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657119C-6982-421D-8BA7-E74DEB70A7D9-1" descr="C:/Users/Administrator/AppData/Local/Temp/wps.wIvlaXwps"/>
                          <pic:cNvPicPr>
                            <a:picLocks noChangeAspect="1"/>
                          </pic:cNvPicPr>
                        </pic:nvPicPr>
                        <pic:blipFill>
                          <a:blip r:embed="rId10"/>
                          <a:srcRect t="3896" b="4431"/>
                          <a:stretch>
                            <a:fillRect/>
                          </a:stretch>
                        </pic:blipFill>
                        <pic:spPr>
                          <a:xfrm>
                            <a:off x="0" y="0"/>
                            <a:ext cx="4995545" cy="2089785"/>
                          </a:xfrm>
                          <a:prstGeom prst="rect">
                            <a:avLst/>
                          </a:prstGeom>
                        </pic:spPr>
                      </pic:pic>
                    </a:graphicData>
                  </a:graphic>
                </wp:inline>
              </w:drawing>
            </w:r>
          </w:p>
          <w:p w14:paraId="6F83676F">
            <w:pPr>
              <w:keepNext w:val="0"/>
              <w:keepLines w:val="0"/>
              <w:suppressLineNumbers w:val="0"/>
              <w:adjustRightInd w:val="0"/>
              <w:snapToGrid w:val="0"/>
              <w:spacing w:before="0" w:beforeAutospacing="0" w:after="0" w:afterAutospacing="0" w:line="360" w:lineRule="auto"/>
              <w:ind w:left="0" w:right="0" w:firstLine="480" w:firstLineChars="200"/>
              <w:jc w:val="center"/>
              <w:rPr>
                <w:rFonts w:hint="eastAsia" w:ascii="Times New Roman" w:hAnsi="Times New Roman" w:eastAsia="宋体" w:cs="Times New Roman"/>
                <w:b/>
                <w:color w:val="auto"/>
                <w:sz w:val="24"/>
                <w:highlight w:val="none"/>
                <w:lang w:val="en-US" w:eastAsia="zh-CN"/>
              </w:rPr>
            </w:pPr>
            <w:r>
              <w:rPr>
                <w:rFonts w:hint="default" w:ascii="Times New Roman" w:hAnsi="Times New Roman" w:eastAsia="Times New Roman" w:cs="Times New Roman"/>
                <w:b/>
                <w:color w:val="auto"/>
                <w:sz w:val="24"/>
                <w:highlight w:val="none"/>
              </w:rPr>
              <w:t>水平衡图    单位：m</w:t>
            </w:r>
            <w:r>
              <w:rPr>
                <w:rFonts w:hint="default" w:ascii="Times New Roman" w:hAnsi="Times New Roman" w:eastAsia="Times New Roman" w:cs="Times New Roman"/>
                <w:b/>
                <w:color w:val="auto"/>
                <w:sz w:val="24"/>
                <w:highlight w:val="none"/>
                <w:vertAlign w:val="superscript"/>
              </w:rPr>
              <w:t>3</w:t>
            </w:r>
            <w:r>
              <w:rPr>
                <w:rFonts w:hint="default" w:ascii="Times New Roman" w:hAnsi="Times New Roman" w:eastAsia="Times New Roman" w:cs="Times New Roman"/>
                <w:b/>
                <w:color w:val="auto"/>
                <w:sz w:val="24"/>
                <w:highlight w:val="none"/>
              </w:rPr>
              <w:t>/</w:t>
            </w:r>
            <w:r>
              <w:rPr>
                <w:rFonts w:hint="eastAsia" w:eastAsia="宋体" w:cs="Times New Roman"/>
                <w:b/>
                <w:color w:val="auto"/>
                <w:sz w:val="24"/>
                <w:highlight w:val="none"/>
                <w:lang w:val="en-US" w:eastAsia="zh-CN"/>
              </w:rPr>
              <w:t>a</w:t>
            </w:r>
          </w:p>
          <w:p w14:paraId="18765803">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pPr>
            <w:r>
              <w:rPr>
                <w:rFonts w:hint="eastAsia" w:eastAsia="Times New Roman" w:cs="Times New Roman"/>
                <w:b/>
                <w:color w:val="000000" w:themeColor="text1"/>
                <w:sz w:val="24"/>
                <w:highlight w:val="none"/>
                <w:lang w:val="en-US" w:eastAsia="zh-CN"/>
                <w14:textFill>
                  <w14:solidFill>
                    <w14:schemeClr w14:val="tx1"/>
                  </w14:solidFill>
                </w14:textFill>
              </w:rPr>
              <w:t>9</w:t>
            </w:r>
            <w: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t>.项目物料平衡</w:t>
            </w:r>
            <w:r>
              <w:rPr>
                <w:rFonts w:hint="eastAsia" w:eastAsia="Times New Roman" w:cs="Times New Roman"/>
                <w:b/>
                <w:color w:val="000000" w:themeColor="text1"/>
                <w:sz w:val="24"/>
                <w:highlight w:val="none"/>
                <w:lang w:val="en-US" w:eastAsia="zh-CN"/>
                <w14:textFill>
                  <w14:solidFill>
                    <w14:schemeClr w14:val="tx1"/>
                  </w14:solidFill>
                </w14:textFill>
              </w:rPr>
              <w:t>表</w:t>
            </w:r>
          </w:p>
          <w:p w14:paraId="4B36E0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Times New Roman" w:cs="Times New Roman"/>
                <w:b w:val="0"/>
                <w:bCs/>
                <w:color w:val="000000" w:themeColor="text1"/>
                <w:sz w:val="24"/>
                <w:highlight w:val="none"/>
                <w:lang w:val="en-US" w:eastAsia="zh-CN"/>
                <w14:textFill>
                  <w14:solidFill>
                    <w14:schemeClr w14:val="tx1"/>
                  </w14:solidFill>
                </w14:textFill>
              </w:rPr>
            </w:pPr>
            <w:r>
              <w:rPr>
                <w:rFonts w:hint="default" w:ascii="Times New Roman" w:hAnsi="Times New Roman" w:eastAsia="Times New Roman" w:cs="Times New Roman"/>
                <w:b w:val="0"/>
                <w:bCs/>
                <w:color w:val="000000" w:themeColor="text1"/>
                <w:sz w:val="24"/>
                <w:highlight w:val="none"/>
                <w:lang w:val="en-US" w:eastAsia="zh-CN"/>
                <w14:textFill>
                  <w14:solidFill>
                    <w14:schemeClr w14:val="tx1"/>
                  </w14:solidFill>
                </w14:textFill>
              </w:rPr>
              <w:t>项目物料平衡分析</w:t>
            </w:r>
            <w:r>
              <w:rPr>
                <w:rFonts w:hint="eastAsia" w:eastAsia="Times New Roman" w:cs="Times New Roman"/>
                <w:b w:val="0"/>
                <w:bCs/>
                <w:color w:val="000000" w:themeColor="text1"/>
                <w:sz w:val="24"/>
                <w:highlight w:val="none"/>
                <w:lang w:val="en-US" w:eastAsia="zh-CN"/>
                <w14:textFill>
                  <w14:solidFill>
                    <w14:schemeClr w14:val="tx1"/>
                  </w14:solidFill>
                </w14:textFill>
              </w:rPr>
              <w:t>表</w:t>
            </w:r>
            <w:r>
              <w:rPr>
                <w:rFonts w:hint="default" w:ascii="Times New Roman" w:hAnsi="Times New Roman" w:eastAsia="Times New Roman" w:cs="Times New Roman"/>
                <w:b w:val="0"/>
                <w:bCs/>
                <w:color w:val="000000" w:themeColor="text1"/>
                <w:sz w:val="24"/>
                <w:highlight w:val="none"/>
                <w:lang w:val="en-US" w:eastAsia="zh-CN"/>
                <w14:textFill>
                  <w14:solidFill>
                    <w14:schemeClr w14:val="tx1"/>
                  </w14:solidFill>
                </w14:textFill>
              </w:rPr>
              <w:t>如下：</w:t>
            </w:r>
          </w:p>
          <w:p w14:paraId="7D53DB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Times New Roman" w:cs="Times New Roman"/>
                <w:b/>
                <w:bCs w:val="0"/>
                <w:color w:val="000000" w:themeColor="text1"/>
                <w:sz w:val="24"/>
                <w:highlight w:val="none"/>
                <w:lang w:val="en-US" w:eastAsia="zh-CN"/>
                <w14:textFill>
                  <w14:solidFill>
                    <w14:schemeClr w14:val="tx1"/>
                  </w14:solidFill>
                </w14:textFill>
              </w:rPr>
            </w:pPr>
            <w:r>
              <w:rPr>
                <w:rFonts w:hint="default" w:ascii="Times New Roman" w:hAnsi="Times New Roman" w:eastAsia="Times New Roman" w:cs="Times New Roman"/>
                <w:b/>
                <w:bCs w:val="0"/>
                <w:color w:val="000000" w:themeColor="text1"/>
                <w:sz w:val="24"/>
                <w:highlight w:val="none"/>
                <w:lang w:val="en-US" w:eastAsia="zh-CN"/>
                <w14:textFill>
                  <w14:solidFill>
                    <w14:schemeClr w14:val="tx1"/>
                  </w14:solidFill>
                </w14:textFill>
              </w:rPr>
              <w:t>项目物料平衡分析</w:t>
            </w:r>
            <w:r>
              <w:rPr>
                <w:rFonts w:hint="eastAsia" w:eastAsia="Times New Roman" w:cs="Times New Roman"/>
                <w:b/>
                <w:bCs w:val="0"/>
                <w:color w:val="000000" w:themeColor="text1"/>
                <w:sz w:val="24"/>
                <w:highlight w:val="none"/>
                <w:lang w:val="en-US" w:eastAsia="zh-CN"/>
                <w14:textFill>
                  <w14:solidFill>
                    <w14:schemeClr w14:val="tx1"/>
                  </w14:solidFill>
                </w14:textFill>
              </w:rPr>
              <w:t>表</w:t>
            </w:r>
          </w:p>
          <w:tbl>
            <w:tblPr>
              <w:tblStyle w:val="3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45"/>
              <w:gridCol w:w="1732"/>
              <w:gridCol w:w="2613"/>
              <w:gridCol w:w="1639"/>
            </w:tblGrid>
            <w:tr w14:paraId="42E748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84" w:type="pct"/>
                  <w:gridSpan w:val="2"/>
                  <w:tcBorders>
                    <w:tl2br w:val="nil"/>
                    <w:tr2bl w:val="nil"/>
                  </w:tcBorders>
                  <w:noWrap w:val="0"/>
                  <w:vAlign w:val="center"/>
                </w:tcPr>
                <w:p w14:paraId="615F21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val="0"/>
                      <w:color w:val="auto"/>
                      <w:kern w:val="21"/>
                      <w:sz w:val="21"/>
                      <w:szCs w:val="21"/>
                      <w:u w:val="none"/>
                      <w:vertAlign w:val="baseline"/>
                      <w:lang w:val="en-US" w:eastAsia="zh-CN"/>
                    </w:rPr>
                  </w:pPr>
                  <w:r>
                    <w:rPr>
                      <w:rFonts w:hint="eastAsia" w:ascii="Times New Roman" w:hAnsi="Times New Roman" w:eastAsia="宋体" w:cs="Times New Roman"/>
                      <w:b/>
                      <w:bCs/>
                      <w:snapToGrid w:val="0"/>
                      <w:color w:val="auto"/>
                      <w:kern w:val="21"/>
                      <w:sz w:val="21"/>
                      <w:szCs w:val="21"/>
                      <w:u w:val="none"/>
                      <w:vertAlign w:val="baseline"/>
                      <w:lang w:val="en-US" w:eastAsia="zh-CN"/>
                    </w:rPr>
                    <w:t>投入</w:t>
                  </w:r>
                </w:p>
              </w:tc>
              <w:tc>
                <w:tcPr>
                  <w:tcW w:w="2615" w:type="pct"/>
                  <w:gridSpan w:val="2"/>
                  <w:tcBorders>
                    <w:tl2br w:val="nil"/>
                    <w:tr2bl w:val="nil"/>
                  </w:tcBorders>
                  <w:noWrap w:val="0"/>
                  <w:vAlign w:val="center"/>
                </w:tcPr>
                <w:p w14:paraId="726A2B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napToGrid w:val="0"/>
                      <w:color w:val="auto"/>
                      <w:kern w:val="21"/>
                      <w:sz w:val="21"/>
                      <w:szCs w:val="21"/>
                      <w:u w:val="none"/>
                      <w:vertAlign w:val="baseline"/>
                      <w:lang w:val="en-US" w:eastAsia="zh-CN"/>
                    </w:rPr>
                  </w:pPr>
                  <w:r>
                    <w:rPr>
                      <w:rFonts w:hint="eastAsia" w:ascii="Times New Roman" w:hAnsi="Times New Roman" w:eastAsia="宋体" w:cs="Times New Roman"/>
                      <w:b/>
                      <w:bCs/>
                      <w:snapToGrid w:val="0"/>
                      <w:color w:val="auto"/>
                      <w:kern w:val="21"/>
                      <w:sz w:val="21"/>
                      <w:szCs w:val="21"/>
                      <w:u w:val="none"/>
                      <w:vertAlign w:val="baseline"/>
                      <w:lang w:val="en-US" w:eastAsia="zh-CN"/>
                    </w:rPr>
                    <w:t>产出</w:t>
                  </w:r>
                </w:p>
              </w:tc>
            </w:tr>
            <w:tr w14:paraId="5D0345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19" w:type="pct"/>
                  <w:tcBorders>
                    <w:tl2br w:val="nil"/>
                    <w:tr2bl w:val="nil"/>
                  </w:tcBorders>
                  <w:noWrap w:val="0"/>
                  <w:vAlign w:val="center"/>
                </w:tcPr>
                <w:p w14:paraId="42E88F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Style w:val="91"/>
                      <w:rFonts w:hint="eastAsia"/>
                      <w:color w:val="auto"/>
                      <w:sz w:val="21"/>
                      <w:szCs w:val="21"/>
                      <w:u w:val="none"/>
                      <w:lang w:eastAsia="zh-CN"/>
                    </w:rPr>
                  </w:pPr>
                  <w:bookmarkStart w:id="15" w:name="OLE_LINK70" w:colFirst="3" w:colLast="3"/>
                  <w:bookmarkStart w:id="16" w:name="OLE_LINK304" w:colFirst="3" w:colLast="3"/>
                  <w:r>
                    <w:rPr>
                      <w:rStyle w:val="91"/>
                      <w:rFonts w:hint="eastAsia"/>
                      <w:color w:val="auto"/>
                      <w:sz w:val="21"/>
                      <w:szCs w:val="21"/>
                      <w:u w:val="none"/>
                      <w:lang w:eastAsia="zh-CN"/>
                    </w:rPr>
                    <w:t>名称</w:t>
                  </w:r>
                </w:p>
              </w:tc>
              <w:tc>
                <w:tcPr>
                  <w:tcW w:w="1064" w:type="pct"/>
                  <w:tcBorders>
                    <w:tl2br w:val="nil"/>
                    <w:tr2bl w:val="nil"/>
                  </w:tcBorders>
                  <w:noWrap w:val="0"/>
                  <w:vAlign w:val="center"/>
                </w:tcPr>
                <w:p w14:paraId="44D777D8">
                  <w:pPr>
                    <w:keepNext w:val="0"/>
                    <w:keepLines w:val="0"/>
                    <w:suppressLineNumbers w:val="0"/>
                    <w:autoSpaceDE w:val="0"/>
                    <w:autoSpaceDN w:val="0"/>
                    <w:adjustRightInd w:val="0"/>
                    <w:snapToGrid w:val="0"/>
                    <w:spacing w:before="0" w:beforeAutospacing="0" w:after="0" w:afterAutospacing="0"/>
                    <w:ind w:left="0" w:leftChars="0" w:right="0" w:rightChars="0"/>
                    <w:jc w:val="center"/>
                    <w:rPr>
                      <w:rFonts w:hint="eastAsia" w:cs="Times New Roman"/>
                      <w:snapToGrid w:val="0"/>
                      <w:color w:val="auto"/>
                      <w:kern w:val="21"/>
                      <w:sz w:val="21"/>
                      <w:szCs w:val="21"/>
                      <w:u w:val="none"/>
                      <w:vertAlign w:val="baseline"/>
                      <w:lang w:val="en-US" w:eastAsia="zh-CN"/>
                    </w:rPr>
                  </w:pPr>
                  <w:r>
                    <w:rPr>
                      <w:rFonts w:hint="eastAsia" w:cs="Times New Roman"/>
                      <w:snapToGrid w:val="0"/>
                      <w:color w:val="auto"/>
                      <w:kern w:val="21"/>
                      <w:sz w:val="21"/>
                      <w:szCs w:val="21"/>
                      <w:u w:val="none"/>
                      <w:vertAlign w:val="baseline"/>
                      <w:lang w:val="en-US" w:eastAsia="zh-CN"/>
                    </w:rPr>
                    <w:t>投入量（t/a）</w:t>
                  </w:r>
                </w:p>
              </w:tc>
              <w:tc>
                <w:tcPr>
                  <w:tcW w:w="1607" w:type="pct"/>
                  <w:tcBorders>
                    <w:tl2br w:val="nil"/>
                    <w:tr2bl w:val="nil"/>
                  </w:tcBorders>
                  <w:noWrap w:val="0"/>
                  <w:vAlign w:val="center"/>
                </w:tcPr>
                <w:p w14:paraId="18A257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cs="Times New Roman"/>
                      <w:color w:val="auto"/>
                      <w:kern w:val="2"/>
                      <w:sz w:val="21"/>
                      <w:szCs w:val="21"/>
                      <w:u w:val="none"/>
                      <w:lang w:val="en-US" w:eastAsia="zh-CN"/>
                    </w:rPr>
                  </w:pPr>
                  <w:r>
                    <w:rPr>
                      <w:rFonts w:hint="eastAsia" w:cs="Times New Roman"/>
                      <w:color w:val="auto"/>
                      <w:kern w:val="2"/>
                      <w:sz w:val="21"/>
                      <w:szCs w:val="21"/>
                      <w:u w:val="none"/>
                      <w:lang w:val="en-US" w:eastAsia="zh-CN"/>
                    </w:rPr>
                    <w:t>名称</w:t>
                  </w:r>
                </w:p>
              </w:tc>
              <w:tc>
                <w:tcPr>
                  <w:tcW w:w="1008" w:type="pct"/>
                  <w:tcBorders>
                    <w:tl2br w:val="nil"/>
                    <w:tr2bl w:val="nil"/>
                  </w:tcBorders>
                  <w:noWrap w:val="0"/>
                  <w:vAlign w:val="center"/>
                </w:tcPr>
                <w:p w14:paraId="703752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snapToGrid w:val="0"/>
                      <w:color w:val="auto"/>
                      <w:kern w:val="21"/>
                      <w:sz w:val="21"/>
                      <w:szCs w:val="21"/>
                      <w:u w:val="none"/>
                      <w:vertAlign w:val="baseline"/>
                      <w:lang w:val="en-US" w:eastAsia="zh-CN"/>
                    </w:rPr>
                  </w:pPr>
                  <w:r>
                    <w:rPr>
                      <w:rFonts w:hint="eastAsia" w:cs="Times New Roman"/>
                      <w:snapToGrid w:val="0"/>
                      <w:color w:val="auto"/>
                      <w:kern w:val="21"/>
                      <w:sz w:val="21"/>
                      <w:szCs w:val="21"/>
                      <w:u w:val="none"/>
                      <w:vertAlign w:val="baseline"/>
                      <w:lang w:val="en-US" w:eastAsia="zh-CN"/>
                    </w:rPr>
                    <w:t>产生量（t/a）</w:t>
                  </w:r>
                </w:p>
              </w:tc>
            </w:tr>
            <w:tr w14:paraId="58A346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9" w:type="pct"/>
                  <w:tcBorders>
                    <w:tl2br w:val="nil"/>
                    <w:tr2bl w:val="nil"/>
                  </w:tcBorders>
                  <w:noWrap w:val="0"/>
                  <w:vAlign w:val="center"/>
                </w:tcPr>
                <w:p w14:paraId="1D2CA88F">
                  <w:pPr>
                    <w:keepNext w:val="0"/>
                    <w:keepLines w:val="0"/>
                    <w:suppressLineNumbers w:val="0"/>
                    <w:autoSpaceDE w:val="0"/>
                    <w:autoSpaceDN w:val="0"/>
                    <w:adjustRightInd w:val="0"/>
                    <w:snapToGrid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21"/>
                      <w:sz w:val="21"/>
                      <w:szCs w:val="21"/>
                      <w:u w:val="none"/>
                      <w:vertAlign w:val="baseline"/>
                      <w:lang w:val="en-US" w:eastAsia="zh-CN"/>
                    </w:rPr>
                  </w:pPr>
                  <w:r>
                    <w:rPr>
                      <w:rFonts w:hint="default" w:ascii="Times New Roman" w:hAnsi="Times New Roman" w:cs="Times New Roman"/>
                      <w:color w:val="auto"/>
                      <w:sz w:val="21"/>
                      <w:szCs w:val="21"/>
                    </w:rPr>
                    <w:t>聚乙烯颗粒</w:t>
                  </w:r>
                </w:p>
              </w:tc>
              <w:tc>
                <w:tcPr>
                  <w:tcW w:w="1775" w:type="dxa"/>
                  <w:tcBorders>
                    <w:tl2br w:val="nil"/>
                    <w:tr2bl w:val="nil"/>
                  </w:tcBorders>
                  <w:noWrap w:val="0"/>
                  <w:vAlign w:val="center"/>
                </w:tcPr>
                <w:p w14:paraId="0E7D74D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u w:val="none" w:color="auto"/>
                      <w:lang w:val="en-US" w:eastAsia="zh-CN" w:bidi="ar-SA"/>
                    </w:rPr>
                  </w:pPr>
                  <w:r>
                    <w:rPr>
                      <w:rFonts w:hint="eastAsia" w:cs="Times New Roman"/>
                      <w:color w:val="auto"/>
                      <w:sz w:val="21"/>
                      <w:szCs w:val="21"/>
                      <w:lang w:val="en-US" w:eastAsia="zh-CN"/>
                    </w:rPr>
                    <w:t>160.725</w:t>
                  </w:r>
                </w:p>
              </w:tc>
              <w:tc>
                <w:tcPr>
                  <w:tcW w:w="1607" w:type="pct"/>
                  <w:vMerge w:val="restart"/>
                  <w:tcBorders>
                    <w:tl2br w:val="nil"/>
                    <w:tr2bl w:val="nil"/>
                  </w:tcBorders>
                  <w:noWrap w:val="0"/>
                  <w:vAlign w:val="center"/>
                </w:tcPr>
                <w:p w14:paraId="2936F0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auto"/>
                      <w:kern w:val="21"/>
                      <w:sz w:val="21"/>
                      <w:szCs w:val="21"/>
                      <w:u w:val="none"/>
                      <w:vertAlign w:val="baseline"/>
                      <w:lang w:val="en-US" w:eastAsia="zh-CN"/>
                    </w:rPr>
                  </w:pPr>
                  <w:r>
                    <w:rPr>
                      <w:rFonts w:hint="eastAsia" w:ascii="Times New Roman" w:hAnsi="Times New Roman" w:eastAsia="宋体" w:cs="Times New Roman"/>
                      <w:snapToGrid w:val="0"/>
                      <w:color w:val="auto"/>
                      <w:kern w:val="21"/>
                      <w:sz w:val="21"/>
                      <w:szCs w:val="21"/>
                      <w:u w:val="none"/>
                      <w:vertAlign w:val="baseline"/>
                      <w:lang w:val="en-US" w:eastAsia="zh-CN"/>
                    </w:rPr>
                    <w:t>编织水带</w:t>
                  </w:r>
                </w:p>
              </w:tc>
              <w:tc>
                <w:tcPr>
                  <w:tcW w:w="1639" w:type="dxa"/>
                  <w:vMerge w:val="restart"/>
                  <w:tcBorders>
                    <w:tl2br w:val="nil"/>
                    <w:tr2bl w:val="nil"/>
                  </w:tcBorders>
                  <w:noWrap w:val="0"/>
                  <w:vAlign w:val="center"/>
                </w:tcPr>
                <w:p w14:paraId="17624F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 w:val="21"/>
                      <w:szCs w:val="21"/>
                      <w:u w:val="none"/>
                      <w:vertAlign w:val="baseline"/>
                      <w:lang w:val="en-US" w:eastAsia="zh-CN"/>
                    </w:rPr>
                  </w:pPr>
                  <w:r>
                    <w:rPr>
                      <w:rFonts w:hint="eastAsia" w:cs="Times New Roman"/>
                      <w:snapToGrid w:val="0"/>
                      <w:color w:val="auto"/>
                      <w:kern w:val="21"/>
                      <w:sz w:val="21"/>
                      <w:szCs w:val="21"/>
                      <w:u w:val="none"/>
                      <w:vertAlign w:val="baseline"/>
                      <w:lang w:val="en-US" w:eastAsia="zh-CN"/>
                    </w:rPr>
                    <w:t>690.01</w:t>
                  </w:r>
                </w:p>
              </w:tc>
            </w:tr>
            <w:tr w14:paraId="649A37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19" w:type="pct"/>
                  <w:tcBorders>
                    <w:tl2br w:val="nil"/>
                    <w:tr2bl w:val="nil"/>
                  </w:tcBorders>
                  <w:noWrap w:val="0"/>
                  <w:vAlign w:val="center"/>
                </w:tcPr>
                <w:p w14:paraId="50EB60C5">
                  <w:pPr>
                    <w:keepNext w:val="0"/>
                    <w:keepLines w:val="0"/>
                    <w:suppressLineNumbers w:val="0"/>
                    <w:autoSpaceDE w:val="0"/>
                    <w:autoSpaceDN w:val="0"/>
                    <w:adjustRightInd w:val="0"/>
                    <w:snapToGrid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21"/>
                      <w:sz w:val="21"/>
                      <w:szCs w:val="21"/>
                      <w:u w:val="none"/>
                      <w:vertAlign w:val="baseline"/>
                      <w:lang w:val="en-US" w:eastAsia="zh-CN"/>
                    </w:rPr>
                  </w:pPr>
                  <w:r>
                    <w:rPr>
                      <w:rFonts w:hint="default" w:ascii="Times New Roman" w:hAnsi="Times New Roman" w:cs="Times New Roman"/>
                      <w:color w:val="auto"/>
                      <w:sz w:val="21"/>
                      <w:szCs w:val="21"/>
                    </w:rPr>
                    <w:t>热熔胶颗粒</w:t>
                  </w:r>
                </w:p>
              </w:tc>
              <w:tc>
                <w:tcPr>
                  <w:tcW w:w="1775" w:type="dxa"/>
                  <w:tcBorders>
                    <w:tl2br w:val="nil"/>
                    <w:tr2bl w:val="nil"/>
                  </w:tcBorders>
                  <w:noWrap w:val="0"/>
                  <w:vAlign w:val="center"/>
                </w:tcPr>
                <w:p w14:paraId="1EA694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u w:val="none" w:color="auto"/>
                      <w:lang w:val="en-US" w:eastAsia="zh-CN" w:bidi="ar-SA"/>
                    </w:rPr>
                  </w:pPr>
                  <w:r>
                    <w:rPr>
                      <w:rFonts w:hint="eastAsia" w:cs="Times New Roman"/>
                      <w:color w:val="auto"/>
                      <w:sz w:val="21"/>
                      <w:szCs w:val="21"/>
                      <w:lang w:val="en-US" w:eastAsia="zh-CN"/>
                    </w:rPr>
                    <w:t>130</w:t>
                  </w:r>
                </w:p>
              </w:tc>
              <w:tc>
                <w:tcPr>
                  <w:tcW w:w="1607" w:type="pct"/>
                  <w:vMerge w:val="continue"/>
                  <w:tcBorders>
                    <w:tl2br w:val="nil"/>
                    <w:tr2bl w:val="nil"/>
                  </w:tcBorders>
                  <w:noWrap w:val="0"/>
                  <w:vAlign w:val="center"/>
                </w:tcPr>
                <w:p w14:paraId="251C53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auto"/>
                      <w:kern w:val="21"/>
                      <w:sz w:val="21"/>
                      <w:szCs w:val="21"/>
                      <w:u w:val="none"/>
                      <w:vertAlign w:val="baseline"/>
                      <w:lang w:val="en-US" w:eastAsia="zh-CN"/>
                    </w:rPr>
                  </w:pPr>
                </w:p>
              </w:tc>
              <w:tc>
                <w:tcPr>
                  <w:tcW w:w="1008" w:type="pct"/>
                  <w:vMerge w:val="continue"/>
                  <w:tcBorders>
                    <w:tl2br w:val="nil"/>
                    <w:tr2bl w:val="nil"/>
                  </w:tcBorders>
                  <w:noWrap w:val="0"/>
                  <w:vAlign w:val="center"/>
                </w:tcPr>
                <w:p w14:paraId="250B29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auto"/>
                      <w:kern w:val="21"/>
                      <w:sz w:val="21"/>
                      <w:szCs w:val="21"/>
                      <w:u w:val="none"/>
                      <w:vertAlign w:val="baseline"/>
                      <w:lang w:val="en-US" w:eastAsia="zh-CN"/>
                    </w:rPr>
                  </w:pPr>
                </w:p>
              </w:tc>
            </w:tr>
            <w:tr w14:paraId="2A6BF6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19" w:type="pct"/>
                  <w:tcBorders>
                    <w:tl2br w:val="nil"/>
                    <w:tr2bl w:val="nil"/>
                  </w:tcBorders>
                  <w:noWrap w:val="0"/>
                  <w:vAlign w:val="center"/>
                </w:tcPr>
                <w:p w14:paraId="61140C93">
                  <w:pPr>
                    <w:keepNext w:val="0"/>
                    <w:keepLines w:val="0"/>
                    <w:suppressLineNumbers w:val="0"/>
                    <w:autoSpaceDE w:val="0"/>
                    <w:autoSpaceDN w:val="0"/>
                    <w:adjustRightInd w:val="0"/>
                    <w:snapToGrid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21"/>
                      <w:sz w:val="21"/>
                      <w:szCs w:val="21"/>
                      <w:u w:val="none"/>
                      <w:vertAlign w:val="baseline"/>
                      <w:lang w:val="en-US" w:eastAsia="zh-CN"/>
                    </w:rPr>
                  </w:pPr>
                  <w:r>
                    <w:rPr>
                      <w:rFonts w:hint="default" w:ascii="Times New Roman" w:hAnsi="Times New Roman" w:cs="Times New Roman"/>
                      <w:color w:val="auto"/>
                      <w:sz w:val="21"/>
                      <w:szCs w:val="21"/>
                    </w:rPr>
                    <w:t>丙纶丝</w:t>
                  </w:r>
                </w:p>
              </w:tc>
              <w:tc>
                <w:tcPr>
                  <w:tcW w:w="1775" w:type="dxa"/>
                  <w:tcBorders>
                    <w:tl2br w:val="nil"/>
                    <w:tr2bl w:val="nil"/>
                  </w:tcBorders>
                  <w:noWrap w:val="0"/>
                  <w:vAlign w:val="center"/>
                </w:tcPr>
                <w:p w14:paraId="40AF19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21"/>
                      <w:szCs w:val="21"/>
                      <w:highlight w:val="none"/>
                      <w:u w:val="none" w:color="auto"/>
                      <w:lang w:val="en-US" w:eastAsia="zh-CN"/>
                    </w:rPr>
                  </w:pPr>
                  <w:r>
                    <w:rPr>
                      <w:rFonts w:hint="default" w:ascii="Times New Roman" w:hAnsi="Times New Roman" w:cs="Times New Roman"/>
                      <w:color w:val="auto"/>
                      <w:sz w:val="21"/>
                      <w:szCs w:val="21"/>
                      <w:lang w:val="en-US" w:eastAsia="zh-CN"/>
                    </w:rPr>
                    <w:t>200</w:t>
                  </w:r>
                </w:p>
              </w:tc>
              <w:tc>
                <w:tcPr>
                  <w:tcW w:w="1607" w:type="pct"/>
                  <w:tcBorders>
                    <w:tl2br w:val="nil"/>
                    <w:tr2bl w:val="nil"/>
                  </w:tcBorders>
                  <w:noWrap w:val="0"/>
                  <w:vAlign w:val="center"/>
                </w:tcPr>
                <w:p w14:paraId="174D89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 w:val="21"/>
                      <w:szCs w:val="21"/>
                      <w:u w:val="none"/>
                      <w:vertAlign w:val="baseline"/>
                      <w:lang w:val="en-US" w:eastAsia="zh-CN"/>
                    </w:rPr>
                  </w:pPr>
                  <w:r>
                    <w:rPr>
                      <w:rFonts w:hint="eastAsia" w:ascii="Times New Roman" w:hAnsi="Times New Roman" w:eastAsia="宋体" w:cs="Times New Roman"/>
                      <w:snapToGrid w:val="0"/>
                      <w:color w:val="auto"/>
                      <w:kern w:val="21"/>
                      <w:sz w:val="21"/>
                      <w:szCs w:val="21"/>
                      <w:u w:val="none"/>
                      <w:vertAlign w:val="baseline"/>
                      <w:lang w:val="en-US" w:eastAsia="zh-CN"/>
                    </w:rPr>
                    <w:t>有组织排放VOCs</w:t>
                  </w:r>
                </w:p>
              </w:tc>
              <w:tc>
                <w:tcPr>
                  <w:tcW w:w="1639" w:type="dxa"/>
                  <w:tcBorders>
                    <w:tl2br w:val="nil"/>
                    <w:tr2bl w:val="nil"/>
                  </w:tcBorders>
                  <w:noWrap w:val="0"/>
                  <w:vAlign w:val="center"/>
                </w:tcPr>
                <w:p w14:paraId="1ABD53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 w:val="21"/>
                      <w:szCs w:val="21"/>
                      <w:u w:val="none"/>
                      <w:vertAlign w:val="baseline"/>
                      <w:lang w:val="en-US" w:eastAsia="zh-CN"/>
                    </w:rPr>
                  </w:pPr>
                  <w:r>
                    <w:rPr>
                      <w:rFonts w:hint="eastAsia" w:cs="Times New Roman"/>
                      <w:snapToGrid w:val="0"/>
                      <w:color w:val="auto"/>
                      <w:kern w:val="21"/>
                      <w:sz w:val="21"/>
                      <w:szCs w:val="21"/>
                      <w:u w:val="none"/>
                      <w:vertAlign w:val="baseline"/>
                      <w:lang w:val="en-US" w:eastAsia="zh-CN"/>
                    </w:rPr>
                    <w:t>0.0348</w:t>
                  </w:r>
                </w:p>
              </w:tc>
            </w:tr>
            <w:tr w14:paraId="7DCC69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9" w:type="pct"/>
                  <w:tcBorders>
                    <w:tl2br w:val="nil"/>
                    <w:tr2bl w:val="nil"/>
                  </w:tcBorders>
                  <w:noWrap w:val="0"/>
                  <w:vAlign w:val="center"/>
                </w:tcPr>
                <w:p w14:paraId="0E95DE7D">
                  <w:pPr>
                    <w:keepNext w:val="0"/>
                    <w:keepLines w:val="0"/>
                    <w:suppressLineNumbers w:val="0"/>
                    <w:autoSpaceDE w:val="0"/>
                    <w:autoSpaceDN w:val="0"/>
                    <w:adjustRightInd w:val="0"/>
                    <w:snapToGrid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21"/>
                      <w:sz w:val="21"/>
                      <w:szCs w:val="21"/>
                      <w:u w:val="none"/>
                      <w:vertAlign w:val="baseline"/>
                      <w:lang w:val="en-US" w:eastAsia="zh-CN"/>
                    </w:rPr>
                  </w:pPr>
                  <w:r>
                    <w:rPr>
                      <w:rFonts w:hint="eastAsia" w:cs="Times New Roman"/>
                      <w:color w:val="auto"/>
                      <w:sz w:val="21"/>
                      <w:szCs w:val="21"/>
                      <w:lang w:eastAsia="zh-CN"/>
                    </w:rPr>
                    <w:t>聚乙烯丝</w:t>
                  </w:r>
                </w:p>
              </w:tc>
              <w:tc>
                <w:tcPr>
                  <w:tcW w:w="1775" w:type="dxa"/>
                  <w:tcBorders>
                    <w:tl2br w:val="nil"/>
                    <w:tr2bl w:val="nil"/>
                  </w:tcBorders>
                  <w:noWrap w:val="0"/>
                  <w:vAlign w:val="center"/>
                </w:tcPr>
                <w:p w14:paraId="11A8CB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napToGrid w:val="0"/>
                      <w:color w:val="auto"/>
                      <w:kern w:val="21"/>
                      <w:sz w:val="21"/>
                      <w:szCs w:val="21"/>
                      <w:u w:val="none"/>
                      <w:vertAlign w:val="baseline"/>
                      <w:lang w:val="en-US" w:eastAsia="zh-CN"/>
                    </w:rPr>
                  </w:pPr>
                  <w:r>
                    <w:rPr>
                      <w:rFonts w:hint="default" w:ascii="Times New Roman" w:hAnsi="Times New Roman" w:cs="Times New Roman"/>
                      <w:color w:val="auto"/>
                      <w:sz w:val="21"/>
                      <w:szCs w:val="21"/>
                      <w:lang w:val="en-US" w:eastAsia="zh-CN"/>
                    </w:rPr>
                    <w:t>2</w:t>
                  </w:r>
                  <w:r>
                    <w:rPr>
                      <w:rFonts w:hint="eastAsia" w:cs="Times New Roman"/>
                      <w:color w:val="auto"/>
                      <w:sz w:val="21"/>
                      <w:szCs w:val="21"/>
                      <w:lang w:val="en-US" w:eastAsia="zh-CN"/>
                    </w:rPr>
                    <w:t>00</w:t>
                  </w:r>
                </w:p>
              </w:tc>
              <w:tc>
                <w:tcPr>
                  <w:tcW w:w="1607" w:type="pct"/>
                  <w:tcBorders>
                    <w:tl2br w:val="nil"/>
                    <w:tr2bl w:val="nil"/>
                  </w:tcBorders>
                  <w:noWrap w:val="0"/>
                  <w:vAlign w:val="center"/>
                </w:tcPr>
                <w:p w14:paraId="02BF95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 w:val="21"/>
                      <w:szCs w:val="21"/>
                      <w:u w:val="none"/>
                      <w:vertAlign w:val="baseline"/>
                      <w:lang w:val="en-US" w:eastAsia="zh-CN"/>
                    </w:rPr>
                  </w:pPr>
                  <w:r>
                    <w:rPr>
                      <w:rFonts w:hint="eastAsia" w:cs="Times New Roman"/>
                      <w:snapToGrid w:val="0"/>
                      <w:color w:val="auto"/>
                      <w:kern w:val="21"/>
                      <w:sz w:val="21"/>
                      <w:szCs w:val="21"/>
                      <w:u w:val="none"/>
                      <w:vertAlign w:val="baseline"/>
                      <w:lang w:val="en-US" w:eastAsia="zh-CN"/>
                    </w:rPr>
                    <w:t>无组织排放</w:t>
                  </w:r>
                  <w:r>
                    <w:rPr>
                      <w:rFonts w:hint="eastAsia" w:ascii="Times New Roman" w:hAnsi="Times New Roman" w:eastAsia="宋体" w:cs="Times New Roman"/>
                      <w:snapToGrid w:val="0"/>
                      <w:color w:val="auto"/>
                      <w:kern w:val="21"/>
                      <w:sz w:val="21"/>
                      <w:szCs w:val="21"/>
                      <w:u w:val="none"/>
                      <w:vertAlign w:val="baseline"/>
                      <w:lang w:val="en-US" w:eastAsia="zh-CN"/>
                    </w:rPr>
                    <w:t>VOCs</w:t>
                  </w:r>
                </w:p>
              </w:tc>
              <w:tc>
                <w:tcPr>
                  <w:tcW w:w="1639" w:type="dxa"/>
                  <w:tcBorders>
                    <w:tl2br w:val="nil"/>
                    <w:tr2bl w:val="nil"/>
                  </w:tcBorders>
                  <w:noWrap w:val="0"/>
                  <w:vAlign w:val="center"/>
                </w:tcPr>
                <w:p w14:paraId="58FD4A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 w:val="21"/>
                      <w:szCs w:val="21"/>
                      <w:u w:val="none"/>
                      <w:vertAlign w:val="baseline"/>
                      <w:lang w:val="en-US" w:eastAsia="zh-CN"/>
                    </w:rPr>
                  </w:pPr>
                  <w:r>
                    <w:rPr>
                      <w:rFonts w:hint="eastAsia" w:cs="Times New Roman"/>
                      <w:snapToGrid w:val="0"/>
                      <w:color w:val="auto"/>
                      <w:kern w:val="21"/>
                      <w:sz w:val="21"/>
                      <w:szCs w:val="21"/>
                      <w:u w:val="none"/>
                      <w:vertAlign w:val="baseline"/>
                      <w:lang w:val="en-US" w:eastAsia="zh-CN"/>
                    </w:rPr>
                    <w:t>0.145</w:t>
                  </w:r>
                </w:p>
              </w:tc>
            </w:tr>
            <w:tr w14:paraId="2AA630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1319" w:type="pct"/>
                  <w:tcBorders>
                    <w:tl2br w:val="nil"/>
                    <w:tr2bl w:val="nil"/>
                  </w:tcBorders>
                  <w:noWrap w:val="0"/>
                  <w:vAlign w:val="center"/>
                </w:tcPr>
                <w:p w14:paraId="1FBFFF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auto"/>
                      <w:kern w:val="21"/>
                      <w:sz w:val="21"/>
                      <w:szCs w:val="21"/>
                      <w:u w:val="none"/>
                      <w:vertAlign w:val="baseline"/>
                      <w:lang w:val="en-US" w:eastAsia="zh-CN"/>
                    </w:rPr>
                  </w:pPr>
                  <w:r>
                    <w:rPr>
                      <w:rFonts w:hint="eastAsia" w:ascii="Times New Roman" w:hAnsi="Times New Roman" w:eastAsia="宋体" w:cs="Times New Roman"/>
                      <w:snapToGrid w:val="0"/>
                      <w:color w:val="auto"/>
                      <w:kern w:val="21"/>
                      <w:sz w:val="21"/>
                      <w:szCs w:val="21"/>
                      <w:u w:val="none"/>
                      <w:vertAlign w:val="baseline"/>
                      <w:lang w:val="en-US" w:eastAsia="zh-CN"/>
                    </w:rPr>
                    <w:t>水性</w:t>
                  </w:r>
                  <w:r>
                    <w:rPr>
                      <w:rFonts w:hint="eastAsia" w:cs="Times New Roman"/>
                      <w:snapToGrid w:val="0"/>
                      <w:color w:val="auto"/>
                      <w:kern w:val="21"/>
                      <w:sz w:val="21"/>
                      <w:szCs w:val="21"/>
                      <w:u w:val="none"/>
                      <w:vertAlign w:val="baseline"/>
                      <w:lang w:val="en-US" w:eastAsia="zh-CN"/>
                    </w:rPr>
                    <w:t>油墨</w:t>
                  </w:r>
                </w:p>
              </w:tc>
              <w:tc>
                <w:tcPr>
                  <w:tcW w:w="1732" w:type="dxa"/>
                  <w:tcBorders>
                    <w:tl2br w:val="nil"/>
                    <w:tr2bl w:val="nil"/>
                  </w:tcBorders>
                  <w:noWrap w:val="0"/>
                  <w:vAlign w:val="center"/>
                </w:tcPr>
                <w:p w14:paraId="1AE6E2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 w:val="21"/>
                      <w:szCs w:val="21"/>
                      <w:u w:val="none"/>
                      <w:vertAlign w:val="baseline"/>
                      <w:lang w:val="en-US" w:eastAsia="zh-CN"/>
                    </w:rPr>
                  </w:pPr>
                  <w:r>
                    <w:rPr>
                      <w:rFonts w:hint="eastAsia" w:ascii="Times New Roman" w:hAnsi="Times New Roman" w:eastAsia="宋体" w:cs="Times New Roman"/>
                      <w:snapToGrid w:val="0"/>
                      <w:color w:val="auto"/>
                      <w:kern w:val="21"/>
                      <w:sz w:val="21"/>
                      <w:szCs w:val="21"/>
                      <w:u w:val="none"/>
                      <w:vertAlign w:val="baseline"/>
                      <w:lang w:val="en-US" w:eastAsia="zh-CN"/>
                    </w:rPr>
                    <w:t>0.01</w:t>
                  </w:r>
                </w:p>
              </w:tc>
              <w:tc>
                <w:tcPr>
                  <w:tcW w:w="1607" w:type="pct"/>
                  <w:tcBorders>
                    <w:tl2br w:val="nil"/>
                    <w:tr2bl w:val="nil"/>
                  </w:tcBorders>
                  <w:noWrap w:val="0"/>
                  <w:vAlign w:val="center"/>
                </w:tcPr>
                <w:p w14:paraId="780922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 w:val="21"/>
                      <w:szCs w:val="21"/>
                      <w:u w:val="none"/>
                      <w:vertAlign w:val="baseline"/>
                      <w:lang w:val="en-US" w:eastAsia="zh-CN"/>
                    </w:rPr>
                  </w:pPr>
                  <w:r>
                    <w:rPr>
                      <w:rFonts w:hint="eastAsia" w:cs="Times New Roman"/>
                      <w:snapToGrid w:val="0"/>
                      <w:color w:val="auto"/>
                      <w:kern w:val="21"/>
                      <w:sz w:val="21"/>
                      <w:szCs w:val="21"/>
                      <w:u w:val="none"/>
                      <w:vertAlign w:val="baseline"/>
                      <w:lang w:val="en-US" w:eastAsia="zh-CN"/>
                    </w:rPr>
                    <w:t>边角料、不合格产品</w:t>
                  </w:r>
                </w:p>
              </w:tc>
              <w:tc>
                <w:tcPr>
                  <w:tcW w:w="1639" w:type="dxa"/>
                  <w:tcBorders>
                    <w:tl2br w:val="nil"/>
                    <w:tr2bl w:val="nil"/>
                  </w:tcBorders>
                  <w:noWrap w:val="0"/>
                  <w:vAlign w:val="center"/>
                </w:tcPr>
                <w:p w14:paraId="291188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 w:val="21"/>
                      <w:szCs w:val="21"/>
                      <w:u w:val="none"/>
                      <w:vertAlign w:val="baseline"/>
                      <w:lang w:val="en-US" w:eastAsia="zh-CN"/>
                    </w:rPr>
                  </w:pPr>
                  <w:r>
                    <w:rPr>
                      <w:rFonts w:hint="eastAsia" w:cs="Times New Roman"/>
                      <w:snapToGrid w:val="0"/>
                      <w:color w:val="auto"/>
                      <w:kern w:val="21"/>
                      <w:sz w:val="21"/>
                      <w:szCs w:val="21"/>
                      <w:u w:val="none"/>
                      <w:vertAlign w:val="baseline"/>
                      <w:lang w:val="en-US" w:eastAsia="zh-CN"/>
                    </w:rPr>
                    <w:t>2.415</w:t>
                  </w:r>
                </w:p>
              </w:tc>
            </w:tr>
            <w:tr w14:paraId="29813E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9" w:type="pct"/>
                  <w:tcBorders>
                    <w:tl2br w:val="nil"/>
                    <w:tr2bl w:val="nil"/>
                  </w:tcBorders>
                  <w:noWrap w:val="0"/>
                  <w:vAlign w:val="center"/>
                </w:tcPr>
                <w:p w14:paraId="6D996A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auto"/>
                      <w:kern w:val="21"/>
                      <w:sz w:val="21"/>
                      <w:szCs w:val="21"/>
                      <w:u w:val="none"/>
                      <w:vertAlign w:val="baseline"/>
                      <w:lang w:val="en-US" w:eastAsia="zh-CN"/>
                    </w:rPr>
                  </w:pPr>
                  <w:r>
                    <w:rPr>
                      <w:rFonts w:hint="eastAsia" w:cs="Times New Roman"/>
                      <w:snapToGrid w:val="0"/>
                      <w:color w:val="auto"/>
                      <w:kern w:val="21"/>
                      <w:sz w:val="21"/>
                      <w:szCs w:val="21"/>
                      <w:u w:val="none"/>
                      <w:vertAlign w:val="baseline"/>
                      <w:lang w:val="en-US" w:eastAsia="zh-CN"/>
                    </w:rPr>
                    <w:t>边角料、不合格产品</w:t>
                  </w:r>
                </w:p>
              </w:tc>
              <w:tc>
                <w:tcPr>
                  <w:tcW w:w="1732" w:type="dxa"/>
                  <w:tcBorders>
                    <w:tl2br w:val="nil"/>
                    <w:tr2bl w:val="nil"/>
                  </w:tcBorders>
                  <w:noWrap w:val="0"/>
                  <w:vAlign w:val="center"/>
                </w:tcPr>
                <w:p w14:paraId="16B1EB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 w:val="21"/>
                      <w:szCs w:val="21"/>
                      <w:u w:val="none"/>
                      <w:vertAlign w:val="baseline"/>
                      <w:lang w:val="en-US" w:eastAsia="zh-CN"/>
                    </w:rPr>
                  </w:pPr>
                  <w:r>
                    <w:rPr>
                      <w:rFonts w:hint="eastAsia" w:cs="Times New Roman"/>
                      <w:snapToGrid w:val="0"/>
                      <w:color w:val="auto"/>
                      <w:kern w:val="21"/>
                      <w:sz w:val="21"/>
                      <w:szCs w:val="21"/>
                      <w:u w:val="none"/>
                      <w:vertAlign w:val="baseline"/>
                      <w:lang w:val="en-US" w:eastAsia="zh-CN"/>
                    </w:rPr>
                    <w:t>2.415</w:t>
                  </w:r>
                </w:p>
              </w:tc>
              <w:tc>
                <w:tcPr>
                  <w:tcW w:w="1607" w:type="pct"/>
                  <w:tcBorders>
                    <w:tl2br w:val="nil"/>
                    <w:tr2bl w:val="nil"/>
                  </w:tcBorders>
                  <w:noWrap w:val="0"/>
                  <w:vAlign w:val="center"/>
                </w:tcPr>
                <w:p w14:paraId="5AA4EB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cs="Times New Roman"/>
                      <w:snapToGrid w:val="0"/>
                      <w:color w:val="auto"/>
                      <w:kern w:val="21"/>
                      <w:sz w:val="21"/>
                      <w:szCs w:val="21"/>
                      <w:u w:val="none"/>
                      <w:vertAlign w:val="baseline"/>
                      <w:lang w:val="en-US" w:eastAsia="zh-CN"/>
                    </w:rPr>
                  </w:pPr>
                  <w:r>
                    <w:rPr>
                      <w:rFonts w:hint="eastAsia" w:cs="Times New Roman"/>
                      <w:snapToGrid w:val="0"/>
                      <w:color w:val="auto"/>
                      <w:kern w:val="21"/>
                      <w:sz w:val="21"/>
                      <w:szCs w:val="21"/>
                      <w:u w:val="none"/>
                      <w:vertAlign w:val="baseline"/>
                      <w:lang w:val="en-US" w:eastAsia="zh-CN"/>
                    </w:rPr>
                    <w:t>活性炭脱附</w:t>
                  </w:r>
                  <w:r>
                    <w:rPr>
                      <w:rFonts w:hint="eastAsia" w:ascii="Times New Roman" w:hAnsi="Times New Roman" w:eastAsia="宋体" w:cs="Times New Roman"/>
                      <w:snapToGrid w:val="0"/>
                      <w:color w:val="auto"/>
                      <w:kern w:val="21"/>
                      <w:sz w:val="21"/>
                      <w:szCs w:val="21"/>
                      <w:u w:val="none"/>
                      <w:vertAlign w:val="baseline"/>
                      <w:lang w:val="en-US" w:eastAsia="zh-CN"/>
                    </w:rPr>
                    <w:t>VOCs</w:t>
                  </w:r>
                </w:p>
              </w:tc>
              <w:tc>
                <w:tcPr>
                  <w:tcW w:w="1639" w:type="dxa"/>
                  <w:tcBorders>
                    <w:tl2br w:val="nil"/>
                    <w:tr2bl w:val="nil"/>
                  </w:tcBorders>
                  <w:noWrap w:val="0"/>
                  <w:vAlign w:val="center"/>
                </w:tcPr>
                <w:p w14:paraId="6AAEDC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val="0"/>
                      <w:color w:val="auto"/>
                      <w:kern w:val="21"/>
                      <w:sz w:val="21"/>
                      <w:szCs w:val="21"/>
                      <w:u w:val="none"/>
                      <w:vertAlign w:val="baseline"/>
                      <w:lang w:val="en-US" w:eastAsia="zh-CN"/>
                    </w:rPr>
                  </w:pPr>
                  <w:r>
                    <w:rPr>
                      <w:rFonts w:hint="eastAsia" w:cs="Times New Roman"/>
                      <w:snapToGrid w:val="0"/>
                      <w:color w:val="auto"/>
                      <w:kern w:val="21"/>
                      <w:sz w:val="21"/>
                      <w:szCs w:val="21"/>
                      <w:u w:val="none"/>
                      <w:vertAlign w:val="baseline"/>
                      <w:lang w:val="en-US" w:eastAsia="zh-CN"/>
                    </w:rPr>
                    <w:t>0.5452</w:t>
                  </w:r>
                </w:p>
              </w:tc>
            </w:tr>
            <w:bookmarkEnd w:id="15"/>
            <w:tr w14:paraId="3F40F8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19" w:type="pct"/>
                  <w:tcBorders>
                    <w:tl2br w:val="nil"/>
                    <w:tr2bl w:val="nil"/>
                  </w:tcBorders>
                  <w:noWrap w:val="0"/>
                  <w:vAlign w:val="center"/>
                </w:tcPr>
                <w:p w14:paraId="5029FC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cs="Times New Roman"/>
                      <w:snapToGrid w:val="0"/>
                      <w:color w:val="auto"/>
                      <w:kern w:val="21"/>
                      <w:sz w:val="21"/>
                      <w:szCs w:val="21"/>
                      <w:u w:val="none"/>
                      <w:vertAlign w:val="baseline"/>
                      <w:lang w:val="en-US" w:eastAsia="zh-CN"/>
                    </w:rPr>
                  </w:pPr>
                  <w:r>
                    <w:rPr>
                      <w:rFonts w:hint="eastAsia" w:cs="Times New Roman"/>
                      <w:snapToGrid w:val="0"/>
                      <w:color w:val="auto"/>
                      <w:kern w:val="21"/>
                      <w:sz w:val="21"/>
                      <w:szCs w:val="21"/>
                      <w:u w:val="none"/>
                      <w:vertAlign w:val="baseline"/>
                      <w:lang w:val="en-US" w:eastAsia="zh-CN"/>
                    </w:rPr>
                    <w:t>合计</w:t>
                  </w:r>
                </w:p>
              </w:tc>
              <w:tc>
                <w:tcPr>
                  <w:tcW w:w="1732" w:type="dxa"/>
                  <w:tcBorders>
                    <w:tl2br w:val="nil"/>
                    <w:tr2bl w:val="nil"/>
                  </w:tcBorders>
                  <w:noWrap w:val="0"/>
                  <w:vAlign w:val="center"/>
                </w:tcPr>
                <w:p w14:paraId="166C62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cs="Times New Roman"/>
                      <w:snapToGrid w:val="0"/>
                      <w:color w:val="auto"/>
                      <w:kern w:val="21"/>
                      <w:sz w:val="21"/>
                      <w:szCs w:val="21"/>
                      <w:u w:val="none"/>
                      <w:vertAlign w:val="baseline"/>
                      <w:lang w:val="en-US" w:eastAsia="zh-CN"/>
                    </w:rPr>
                  </w:pPr>
                  <w:r>
                    <w:rPr>
                      <w:rFonts w:hint="eastAsia" w:cs="Times New Roman"/>
                      <w:snapToGrid w:val="0"/>
                      <w:color w:val="auto"/>
                      <w:kern w:val="21"/>
                      <w:sz w:val="21"/>
                      <w:szCs w:val="21"/>
                      <w:u w:val="none"/>
                      <w:vertAlign w:val="baseline"/>
                      <w:lang w:val="en-US" w:eastAsia="zh-CN"/>
                    </w:rPr>
                    <w:t>693.15</w:t>
                  </w:r>
                </w:p>
              </w:tc>
              <w:tc>
                <w:tcPr>
                  <w:tcW w:w="1607" w:type="pct"/>
                  <w:tcBorders>
                    <w:tl2br w:val="nil"/>
                    <w:tr2bl w:val="nil"/>
                  </w:tcBorders>
                  <w:noWrap w:val="0"/>
                  <w:vAlign w:val="center"/>
                </w:tcPr>
                <w:p w14:paraId="352070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cs="Times New Roman"/>
                      <w:snapToGrid w:val="0"/>
                      <w:color w:val="auto"/>
                      <w:kern w:val="21"/>
                      <w:sz w:val="21"/>
                      <w:szCs w:val="21"/>
                      <w:u w:val="none"/>
                      <w:vertAlign w:val="baseline"/>
                      <w:lang w:val="en-US" w:eastAsia="zh-CN"/>
                    </w:rPr>
                  </w:pPr>
                  <w:r>
                    <w:rPr>
                      <w:rFonts w:hint="eastAsia" w:cs="Times New Roman"/>
                      <w:snapToGrid w:val="0"/>
                      <w:color w:val="auto"/>
                      <w:kern w:val="21"/>
                      <w:sz w:val="21"/>
                      <w:szCs w:val="21"/>
                      <w:u w:val="none"/>
                      <w:vertAlign w:val="baseline"/>
                      <w:lang w:val="en-US" w:eastAsia="zh-CN"/>
                    </w:rPr>
                    <w:t>合计</w:t>
                  </w:r>
                </w:p>
              </w:tc>
              <w:tc>
                <w:tcPr>
                  <w:tcW w:w="1639" w:type="dxa"/>
                  <w:tcBorders>
                    <w:tl2br w:val="nil"/>
                    <w:tr2bl w:val="nil"/>
                  </w:tcBorders>
                  <w:noWrap w:val="0"/>
                  <w:vAlign w:val="center"/>
                </w:tcPr>
                <w:p w14:paraId="0942D1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cs="Times New Roman"/>
                      <w:snapToGrid w:val="0"/>
                      <w:color w:val="auto"/>
                      <w:kern w:val="21"/>
                      <w:sz w:val="21"/>
                      <w:szCs w:val="21"/>
                      <w:u w:val="none"/>
                      <w:vertAlign w:val="baseline"/>
                      <w:lang w:val="en-US" w:eastAsia="zh-CN"/>
                    </w:rPr>
                  </w:pPr>
                  <w:r>
                    <w:rPr>
                      <w:rFonts w:hint="eastAsia" w:cs="Times New Roman"/>
                      <w:snapToGrid w:val="0"/>
                      <w:color w:val="auto"/>
                      <w:kern w:val="21"/>
                      <w:sz w:val="21"/>
                      <w:szCs w:val="21"/>
                      <w:u w:val="none"/>
                      <w:vertAlign w:val="baseline"/>
                      <w:lang w:val="en-US" w:eastAsia="zh-CN"/>
                    </w:rPr>
                    <w:t>693.15</w:t>
                  </w:r>
                </w:p>
              </w:tc>
            </w:tr>
            <w:bookmarkEnd w:id="16"/>
          </w:tbl>
          <w:p w14:paraId="41975DDE">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pPr>
            <w:r>
              <w:rPr>
                <w:rFonts w:hint="eastAsia" w:eastAsia="Times New Roman" w:cs="Times New Roman"/>
                <w:b/>
                <w:color w:val="000000" w:themeColor="text1"/>
                <w:sz w:val="24"/>
                <w:highlight w:val="none"/>
                <w:lang w:val="en-US" w:eastAsia="zh-CN"/>
                <w14:textFill>
                  <w14:solidFill>
                    <w14:schemeClr w14:val="tx1"/>
                  </w14:solidFill>
                </w14:textFill>
              </w:rPr>
              <w:t>10</w:t>
            </w:r>
            <w: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t>.劳动定员及生产班制</w:t>
            </w:r>
          </w:p>
          <w:p w14:paraId="303FE4D4">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highlight w:val="none"/>
                <w14:textFill>
                  <w14:solidFill>
                    <w14:schemeClr w14:val="tx1"/>
                  </w14:solidFill>
                </w14:textFill>
              </w:rPr>
            </w:pPr>
            <w:r>
              <w:rPr>
                <w:rFonts w:hint="default" w:ascii="Times New Roman" w:hAnsi="Times New Roman" w:eastAsia="Times New Roman" w:cs="Times New Roman"/>
                <w:color w:val="000000" w:themeColor="text1"/>
                <w:sz w:val="24"/>
                <w:highlight w:val="none"/>
                <w:lang w:val="en-US" w:eastAsia="zh-CN"/>
                <w14:textFill>
                  <w14:solidFill>
                    <w14:schemeClr w14:val="tx1"/>
                  </w14:solidFill>
                </w14:textFill>
              </w:rPr>
              <w:t>企业劳动定员</w:t>
            </w:r>
            <w:r>
              <w:rPr>
                <w:rFonts w:hint="eastAsia" w:eastAsia="Times New Roman" w:cs="Times New Roman"/>
                <w:color w:val="000000" w:themeColor="text1"/>
                <w:sz w:val="24"/>
                <w:highlight w:val="none"/>
                <w:lang w:val="en-US" w:eastAsia="zh-CN"/>
                <w14:textFill>
                  <w14:solidFill>
                    <w14:schemeClr w14:val="tx1"/>
                  </w14:solidFill>
                </w14:textFill>
              </w:rPr>
              <w:t>27</w:t>
            </w:r>
            <w:r>
              <w:rPr>
                <w:rFonts w:hint="default" w:ascii="Times New Roman" w:hAnsi="Times New Roman" w:eastAsia="Times New Roman" w:cs="Times New Roman"/>
                <w:color w:val="000000" w:themeColor="text1"/>
                <w:sz w:val="24"/>
                <w:highlight w:val="none"/>
                <w:lang w:val="en-US" w:eastAsia="zh-CN"/>
                <w14:textFill>
                  <w14:solidFill>
                    <w14:schemeClr w14:val="tx1"/>
                  </w14:solidFill>
                </w14:textFill>
              </w:rPr>
              <w:t>人，</w:t>
            </w:r>
            <w:r>
              <w:rPr>
                <w:rFonts w:hint="eastAsia" w:eastAsia="Times New Roman" w:cs="Times New Roman"/>
                <w:color w:val="000000" w:themeColor="text1"/>
                <w:sz w:val="24"/>
                <w:highlight w:val="none"/>
                <w:lang w:val="en-US" w:eastAsia="zh-CN"/>
                <w14:textFill>
                  <w14:solidFill>
                    <w14:schemeClr w14:val="tx1"/>
                  </w14:solidFill>
                </w14:textFill>
              </w:rPr>
              <w:t>8人在厂区内食宿</w:t>
            </w:r>
            <w:r>
              <w:rPr>
                <w:rFonts w:hint="default" w:ascii="Times New Roman" w:hAnsi="Times New Roman" w:eastAsia="Times New Roman" w:cs="Times New Roman"/>
                <w:color w:val="000000" w:themeColor="text1"/>
                <w:sz w:val="24"/>
                <w:highlight w:val="none"/>
                <w14:textFill>
                  <w14:solidFill>
                    <w14:schemeClr w14:val="tx1"/>
                  </w14:solidFill>
                </w14:textFill>
              </w:rPr>
              <w:t>，</w:t>
            </w:r>
            <w:r>
              <w:rPr>
                <w:rFonts w:hint="eastAsia" w:eastAsia="宋体" w:cs="Times New Roman"/>
                <w:color w:val="000000" w:themeColor="text1"/>
                <w:sz w:val="24"/>
                <w:highlight w:val="none"/>
                <w:lang w:eastAsia="zh-CN"/>
                <w14:textFill>
                  <w14:solidFill>
                    <w14:schemeClr w14:val="tx1"/>
                  </w14:solidFill>
                </w14:textFill>
              </w:rPr>
              <w:t>设置</w:t>
            </w:r>
            <w:r>
              <w:rPr>
                <w:rFonts w:hint="eastAsia" w:cs="Times New Roman"/>
                <w:color w:val="000000" w:themeColor="text1"/>
                <w:sz w:val="24"/>
                <w:highlight w:val="none"/>
                <w:lang w:val="en-US" w:eastAsia="zh-CN"/>
                <w14:textFill>
                  <w14:solidFill>
                    <w14:schemeClr w14:val="tx1"/>
                  </w14:solidFill>
                </w14:textFill>
              </w:rPr>
              <w:t>1</w:t>
            </w:r>
            <w:r>
              <w:rPr>
                <w:rFonts w:hint="eastAsia" w:eastAsia="宋体" w:cs="Times New Roman"/>
                <w:color w:val="000000" w:themeColor="text1"/>
                <w:sz w:val="24"/>
                <w:highlight w:val="none"/>
                <w:lang w:eastAsia="zh-CN"/>
                <w14:textFill>
                  <w14:solidFill>
                    <w14:schemeClr w14:val="tx1"/>
                  </w14:solidFill>
                </w14:textFill>
              </w:rPr>
              <w:t>个灶头，</w:t>
            </w:r>
            <w:r>
              <w:rPr>
                <w:rFonts w:hint="default" w:ascii="Times New Roman" w:hAnsi="Times New Roman" w:eastAsia="Times New Roman" w:cs="Times New Roman"/>
                <w:color w:val="000000" w:themeColor="text1"/>
                <w:sz w:val="24"/>
                <w:highlight w:val="none"/>
                <w14:textFill>
                  <w14:solidFill>
                    <w14:schemeClr w14:val="tx1"/>
                  </w14:solidFill>
                </w14:textFill>
              </w:rPr>
              <w:t>厂区实行</w:t>
            </w:r>
            <w:r>
              <w:rPr>
                <w:rFonts w:hint="eastAsia" w:eastAsia="宋体" w:cs="Times New Roman"/>
                <w:color w:val="000000" w:themeColor="text1"/>
                <w:sz w:val="24"/>
                <w:highlight w:val="none"/>
                <w:lang w:eastAsia="zh-CN"/>
                <w14:textFill>
                  <w14:solidFill>
                    <w14:schemeClr w14:val="tx1"/>
                  </w14:solidFill>
                </w14:textFill>
              </w:rPr>
              <w:t>两班</w:t>
            </w:r>
            <w:r>
              <w:rPr>
                <w:rFonts w:hint="default" w:ascii="Times New Roman" w:hAnsi="Times New Roman" w:eastAsia="Times New Roman" w:cs="Times New Roman"/>
                <w:color w:val="000000" w:themeColor="text1"/>
                <w:sz w:val="24"/>
                <w:highlight w:val="none"/>
                <w:lang w:val="en-US" w:eastAsia="zh-CN"/>
                <w14:textFill>
                  <w14:solidFill>
                    <w14:schemeClr w14:val="tx1"/>
                  </w14:solidFill>
                </w14:textFill>
              </w:rPr>
              <w:t>工作制，</w:t>
            </w:r>
            <w:r>
              <w:rPr>
                <w:rFonts w:hint="eastAsia" w:eastAsia="Times New Roman" w:cs="Times New Roman"/>
                <w:color w:val="000000" w:themeColor="text1"/>
                <w:sz w:val="24"/>
                <w:highlight w:val="none"/>
                <w:lang w:val="en-US" w:eastAsia="zh-CN"/>
                <w14:textFill>
                  <w14:solidFill>
                    <w14:schemeClr w14:val="tx1"/>
                  </w14:solidFill>
                </w14:textFill>
              </w:rPr>
              <w:t>每班</w:t>
            </w:r>
            <w:r>
              <w:rPr>
                <w:rFonts w:hint="default" w:ascii="Times New Roman" w:hAnsi="Times New Roman" w:eastAsia="Times New Roman" w:cs="Times New Roman"/>
                <w:color w:val="000000" w:themeColor="text1"/>
                <w:sz w:val="24"/>
                <w:highlight w:val="none"/>
                <w:lang w:val="en-US" w:eastAsia="zh-CN"/>
                <w14:textFill>
                  <w14:solidFill>
                    <w14:schemeClr w14:val="tx1"/>
                  </w14:solidFill>
                </w14:textFill>
              </w:rPr>
              <w:t>工作8h</w:t>
            </w:r>
            <w:r>
              <w:rPr>
                <w:rFonts w:hint="default" w:ascii="Times New Roman" w:hAnsi="Times New Roman" w:eastAsia="Times New Roman" w:cs="Times New Roman"/>
                <w:color w:val="000000" w:themeColor="text1"/>
                <w:sz w:val="24"/>
                <w:highlight w:val="none"/>
                <w14:textFill>
                  <w14:solidFill>
                    <w14:schemeClr w14:val="tx1"/>
                  </w14:solidFill>
                </w14:textFill>
              </w:rPr>
              <w:t>，年生产</w:t>
            </w:r>
            <w:r>
              <w:rPr>
                <w:rFonts w:hint="eastAsia" w:eastAsia="宋体" w:cs="Times New Roman"/>
                <w:color w:val="000000" w:themeColor="text1"/>
                <w:sz w:val="24"/>
                <w:highlight w:val="none"/>
                <w:lang w:val="en-US" w:eastAsia="zh-CN"/>
                <w14:textFill>
                  <w14:solidFill>
                    <w14:schemeClr w14:val="tx1"/>
                  </w14:solidFill>
                </w14:textFill>
              </w:rPr>
              <w:t>300</w:t>
            </w:r>
            <w:r>
              <w:rPr>
                <w:rFonts w:hint="default" w:ascii="Times New Roman" w:hAnsi="Times New Roman" w:eastAsia="Times New Roman" w:cs="Times New Roman"/>
                <w:color w:val="000000" w:themeColor="text1"/>
                <w:sz w:val="24"/>
                <w:highlight w:val="none"/>
                <w14:textFill>
                  <w14:solidFill>
                    <w14:schemeClr w14:val="tx1"/>
                  </w14:solidFill>
                </w14:textFill>
              </w:rPr>
              <w:t>天。</w:t>
            </w:r>
          </w:p>
          <w:p w14:paraId="53069DBB">
            <w:pPr>
              <w:pStyle w:val="11"/>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default" w:ascii="Times New Roman" w:hAnsi="Times New Roman" w:eastAsia="宋体" w:cs="Times New Roman"/>
                <w:b/>
                <w:bCs/>
                <w:color w:val="000000" w:themeColor="text1"/>
                <w:sz w:val="24"/>
                <w:szCs w:val="24"/>
                <w:highlight w:val="none"/>
                <w:u w:val="none" w:color="auto"/>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u w:val="none" w:color="auto"/>
                <w:lang w:val="en-US" w:eastAsia="zh-CN"/>
                <w14:textFill>
                  <w14:solidFill>
                    <w14:schemeClr w14:val="tx1"/>
                  </w14:solidFill>
                </w14:textFill>
              </w:rPr>
              <w:t>1</w:t>
            </w:r>
            <w:r>
              <w:rPr>
                <w:rFonts w:hint="eastAsia" w:cs="Times New Roman"/>
                <w:b/>
                <w:bCs/>
                <w:color w:val="000000" w:themeColor="text1"/>
                <w:sz w:val="24"/>
                <w:szCs w:val="24"/>
                <w:highlight w:val="none"/>
                <w:u w:val="none" w:color="auto"/>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szCs w:val="24"/>
                <w:highlight w:val="none"/>
                <w:u w:val="none" w:color="auto"/>
                <w:lang w:val="en-US" w:eastAsia="zh-CN"/>
                <w14:textFill>
                  <w14:solidFill>
                    <w14:schemeClr w14:val="tx1"/>
                  </w14:solidFill>
                </w14:textFill>
              </w:rPr>
              <w:t>.平面布置</w:t>
            </w:r>
          </w:p>
          <w:p w14:paraId="17E153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eastAsia="宋体"/>
                <w:lang w:val="en-US" w:eastAsia="zh-CN"/>
              </w:rPr>
            </w:pPr>
            <w:bookmarkStart w:id="17" w:name="_Toc139393165"/>
            <w:r>
              <w:rPr>
                <w:rFonts w:hint="eastAsia" w:eastAsia="宋体"/>
                <w:b w:val="0"/>
                <w:bCs w:val="0"/>
                <w:color w:val="auto"/>
                <w:kern w:val="2"/>
                <w:sz w:val="24"/>
                <w:szCs w:val="24"/>
              </w:rPr>
              <w:t>本项目</w:t>
            </w:r>
            <w:bookmarkEnd w:id="17"/>
            <w:r>
              <w:rPr>
                <w:rFonts w:hint="eastAsia" w:eastAsia="宋体"/>
                <w:b w:val="0"/>
                <w:bCs w:val="0"/>
                <w:color w:val="auto"/>
                <w:kern w:val="2"/>
                <w:sz w:val="24"/>
                <w:szCs w:val="24"/>
              </w:rPr>
              <w:t>车间内平面布置分区明确，车间内按照工艺流程，物料输送方向布置，工艺路线短捷、降低能耗，满足工艺流程、安全生产、检修、运输的要求，保证人员安全。</w:t>
            </w:r>
            <w:r>
              <w:rPr>
                <w:rFonts w:hint="eastAsia" w:eastAsia="宋体"/>
                <w:b w:val="0"/>
                <w:bCs w:val="0"/>
                <w:color w:val="auto"/>
                <w:kern w:val="2"/>
                <w:sz w:val="24"/>
                <w:szCs w:val="24"/>
                <w:lang w:eastAsia="zh-CN"/>
              </w:rPr>
              <w:t>平面布局见附图</w:t>
            </w:r>
            <w:r>
              <w:rPr>
                <w:rFonts w:hint="eastAsia" w:eastAsia="宋体"/>
                <w:b w:val="0"/>
                <w:bCs w:val="0"/>
                <w:color w:val="auto"/>
                <w:kern w:val="2"/>
                <w:sz w:val="24"/>
                <w:szCs w:val="24"/>
                <w:lang w:val="en-US" w:eastAsia="zh-CN"/>
              </w:rPr>
              <w:t>3</w:t>
            </w:r>
            <w:r>
              <w:rPr>
                <w:rFonts w:hint="eastAsia"/>
                <w:lang w:eastAsia="zh-CN"/>
              </w:rPr>
              <w:t>。</w:t>
            </w:r>
          </w:p>
        </w:tc>
      </w:tr>
      <w:tr w14:paraId="535044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655" w:type="dxa"/>
            <w:noWrap w:val="0"/>
            <w:vAlign w:val="center"/>
          </w:tcPr>
          <w:p w14:paraId="057661FC">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Cs w:val="24"/>
                <w:highlight w:val="none"/>
                <w14:textFill>
                  <w14:solidFill>
                    <w14:schemeClr w14:val="tx1"/>
                  </w14:solidFill>
                </w14:textFill>
              </w:rPr>
            </w:pPr>
            <w:r>
              <w:rPr>
                <w:rFonts w:hint="default" w:ascii="Times New Roman" w:hAnsi="Times New Roman" w:eastAsia="Times New Roman" w:cs="Times New Roman"/>
                <w:color w:val="000000" w:themeColor="text1"/>
                <w:szCs w:val="24"/>
                <w:highlight w:val="none"/>
                <w14:textFill>
                  <w14:solidFill>
                    <w14:schemeClr w14:val="tx1"/>
                  </w14:solidFill>
                </w14:textFill>
              </w:rPr>
              <w:t>工艺流程和产排污环节</w:t>
            </w:r>
          </w:p>
        </w:tc>
        <w:tc>
          <w:tcPr>
            <w:tcW w:w="8348" w:type="dxa"/>
            <w:noWrap w:val="0"/>
            <w:vAlign w:val="top"/>
          </w:tcPr>
          <w:p w14:paraId="3C4EB401">
            <w:pPr>
              <w:keepNext w:val="0"/>
              <w:keepLines w:val="0"/>
              <w:suppressLineNumbers w:val="0"/>
              <w:adjustRightInd w:val="0"/>
              <w:snapToGrid w:val="0"/>
              <w:spacing w:before="120" w:beforeLines="50" w:beforeAutospacing="0" w:after="0" w:afterAutospacing="0" w:line="360" w:lineRule="auto"/>
              <w:ind w:left="0" w:right="0"/>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14:textFill>
                  <w14:solidFill>
                    <w14:schemeClr w14:val="tx1"/>
                  </w14:solidFill>
                </w14:textFill>
              </w:rPr>
              <w:t>1.施工期工艺流程及产污环节</w:t>
            </w:r>
          </w:p>
          <w:p w14:paraId="642EED8A">
            <w:pPr>
              <w:keepNext w:val="0"/>
              <w:keepLines w:val="0"/>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Times New Roman" w:cs="Times New Roman"/>
                <w:color w:val="000000" w:themeColor="text1"/>
                <w:sz w:val="24"/>
                <w:highlight w:val="none"/>
                <w14:textFill>
                  <w14:solidFill>
                    <w14:schemeClr w14:val="tx1"/>
                  </w14:solidFill>
                </w14:textFill>
              </w:rPr>
            </w:pPr>
            <w:r>
              <w:rPr>
                <w:rFonts w:hint="default" w:ascii="Times New Roman" w:hAnsi="Times New Roman" w:eastAsia="Times New Roman" w:cs="Times New Roman"/>
                <w:color w:val="000000" w:themeColor="text1"/>
                <w:sz w:val="24"/>
                <w:highlight w:val="none"/>
                <w14:textFill>
                  <w14:solidFill>
                    <w14:schemeClr w14:val="tx1"/>
                  </w14:solidFill>
                </w14:textFill>
              </w:rPr>
              <w:t>项目</w:t>
            </w:r>
            <w:r>
              <w:rPr>
                <w:rFonts w:hint="eastAsia" w:eastAsia="宋体" w:cs="Times New Roman"/>
                <w:color w:val="000000" w:themeColor="text1"/>
                <w:sz w:val="24"/>
                <w:highlight w:val="none"/>
                <w:lang w:eastAsia="zh-CN"/>
                <w14:textFill>
                  <w14:solidFill>
                    <w14:schemeClr w14:val="tx1"/>
                  </w14:solidFill>
                </w14:textFill>
              </w:rPr>
              <w:t>租赁</w:t>
            </w:r>
            <w:r>
              <w:rPr>
                <w:rFonts w:hint="eastAsia" w:cs="Times New Roman"/>
                <w:color w:val="000000" w:themeColor="text1"/>
                <w:sz w:val="24"/>
                <w:highlight w:val="none"/>
                <w:lang w:eastAsia="zh-CN"/>
                <w14:textFill>
                  <w14:solidFill>
                    <w14:schemeClr w14:val="tx1"/>
                  </w14:solidFill>
                </w14:textFill>
              </w:rPr>
              <w:t>现有</w:t>
            </w:r>
            <w:r>
              <w:rPr>
                <w:rFonts w:hint="eastAsia" w:eastAsia="宋体" w:cs="Times New Roman"/>
                <w:color w:val="000000" w:themeColor="text1"/>
                <w:sz w:val="24"/>
                <w:highlight w:val="none"/>
                <w:lang w:eastAsia="zh-CN"/>
                <w14:textFill>
                  <w14:solidFill>
                    <w14:schemeClr w14:val="tx1"/>
                  </w14:solidFill>
                </w14:textFill>
              </w:rPr>
              <w:t>厂房</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eastAsia="Times New Roman" w:cs="Times New Roman"/>
                <w:color w:val="000000" w:themeColor="text1"/>
                <w:sz w:val="24"/>
                <w:highlight w:val="none"/>
                <w14:textFill>
                  <w14:solidFill>
                    <w14:schemeClr w14:val="tx1"/>
                  </w14:solidFill>
                </w14:textFill>
              </w:rPr>
              <w:t>施工期主要建设内容为</w:t>
            </w:r>
            <w:r>
              <w:rPr>
                <w:rFonts w:hint="default" w:ascii="Times New Roman" w:hAnsi="Times New Roman" w:eastAsia="Times New Roman" w:cs="Times New Roman"/>
                <w:color w:val="000000" w:themeColor="text1"/>
                <w:sz w:val="24"/>
                <w:highlight w:val="none"/>
                <w:lang w:val="en-US" w:eastAsia="zh-CN"/>
                <w14:textFill>
                  <w14:solidFill>
                    <w14:schemeClr w14:val="tx1"/>
                  </w14:solidFill>
                </w14:textFill>
              </w:rPr>
              <w:t>安装</w:t>
            </w:r>
            <w:r>
              <w:rPr>
                <w:rFonts w:hint="default" w:ascii="Times New Roman" w:hAnsi="Times New Roman" w:eastAsia="Times New Roman" w:cs="Times New Roman"/>
                <w:color w:val="000000" w:themeColor="text1"/>
                <w:sz w:val="24"/>
                <w:highlight w:val="none"/>
                <w14:textFill>
                  <w14:solidFill>
                    <w14:schemeClr w14:val="tx1"/>
                  </w14:solidFill>
                </w14:textFill>
              </w:rPr>
              <w:t>生产设备及环保设施。</w:t>
            </w:r>
            <w:r>
              <w:rPr>
                <w:rFonts w:hint="default" w:ascii="Times New Roman" w:hAnsi="Times New Roman" w:eastAsia="Times New Roman" w:cs="Times New Roman"/>
                <w:color w:val="000000" w:themeColor="text1"/>
                <w:sz w:val="24"/>
                <w:highlight w:val="none"/>
                <w:lang w:val="en-US" w:eastAsia="zh-CN"/>
                <w14:textFill>
                  <w14:solidFill>
                    <w14:schemeClr w14:val="tx1"/>
                  </w14:solidFill>
                </w14:textFill>
              </w:rPr>
              <w:t>施工期</w:t>
            </w:r>
            <w:r>
              <w:rPr>
                <w:rFonts w:hint="default" w:ascii="Times New Roman" w:hAnsi="Times New Roman" w:eastAsia="Times New Roman" w:cs="Times New Roman"/>
                <w:color w:val="000000" w:themeColor="text1"/>
                <w:sz w:val="24"/>
                <w:highlight w:val="none"/>
                <w14:textFill>
                  <w14:solidFill>
                    <w14:schemeClr w14:val="tx1"/>
                  </w14:solidFill>
                </w14:textFill>
              </w:rPr>
              <w:t>主要污染为噪声，对周边环境造成的影响很小。</w:t>
            </w:r>
          </w:p>
          <w:p w14:paraId="7452AE11">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14:textFill>
                  <w14:solidFill>
                    <w14:schemeClr w14:val="tx1"/>
                  </w14:solidFill>
                </w14:textFill>
              </w:rPr>
              <w:t>2.营运期工艺流程及产污环节</w:t>
            </w:r>
          </w:p>
          <w:p w14:paraId="5E264DAF">
            <w:pPr>
              <w:keepNext w:val="0"/>
              <w:keepLines w:val="0"/>
              <w:suppressLineNumbers w:val="0"/>
              <w:adjustRightInd w:val="0"/>
              <w:snapToGrid w:val="0"/>
              <w:spacing w:before="0" w:beforeAutospacing="0" w:after="0" w:afterAutospacing="0" w:line="360" w:lineRule="auto"/>
              <w:ind w:left="0" w:right="0" w:firstLine="482"/>
              <w:jc w:val="left"/>
              <w:rPr>
                <w:rFonts w:hint="eastAsia" w:ascii="Times New Roman" w:hAnsi="Times New Roman" w:eastAsia="宋体" w:cs="Times New Roman"/>
                <w:b/>
                <w:color w:val="000000" w:themeColor="text1"/>
                <w:sz w:val="24"/>
                <w:highlight w:val="none"/>
                <w:lang w:eastAsia="zh-CN"/>
                <w14:textFill>
                  <w14:solidFill>
                    <w14:schemeClr w14:val="tx1"/>
                  </w14:solidFill>
                </w14:textFill>
              </w:rPr>
            </w:pPr>
            <w:r>
              <w:rPr>
                <w:rFonts w:hint="default" w:ascii="Times New Roman" w:hAnsi="Times New Roman" w:eastAsia="Times New Roman" w:cs="Times New Roman"/>
                <w:b/>
                <w:color w:val="000000" w:themeColor="text1"/>
                <w:sz w:val="24"/>
                <w:highlight w:val="none"/>
                <w14:textFill>
                  <w14:solidFill>
                    <w14:schemeClr w14:val="tx1"/>
                  </w14:solidFill>
                </w14:textFill>
              </w:rPr>
              <w:t>（1）工艺流程</w:t>
            </w:r>
          </w:p>
          <w:p w14:paraId="4912D0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82"/>
              <w:jc w:val="left"/>
              <w:textAlignment w:val="auto"/>
              <w:rPr>
                <w:rFonts w:hint="eastAsia" w:eastAsia="Times New Roman"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highlight w:val="none"/>
                <w14:textFill>
                  <w14:solidFill>
                    <w14:schemeClr w14:val="tx1"/>
                  </w14:solidFill>
                </w14:textFill>
              </w:rPr>
              <w:t>项目</w:t>
            </w:r>
            <w:r>
              <w:rPr>
                <w:rFonts w:hint="default" w:ascii="Times New Roman" w:hAnsi="Times New Roman" w:eastAsia="Times New Roman" w:cs="Times New Roman"/>
                <w:color w:val="000000" w:themeColor="text1"/>
                <w:sz w:val="24"/>
                <w:highlight w:val="none"/>
                <w:lang w:val="en-US" w:eastAsia="zh-CN"/>
                <w14:textFill>
                  <w14:solidFill>
                    <w14:schemeClr w14:val="tx1"/>
                  </w14:solidFill>
                </w14:textFill>
              </w:rPr>
              <w:t>具体工艺见下图</w:t>
            </w:r>
            <w:r>
              <w:rPr>
                <w:rFonts w:hint="eastAsia" w:eastAsia="Times New Roman" w:cs="Times New Roman"/>
                <w:color w:val="000000" w:themeColor="text1"/>
                <w:sz w:val="24"/>
                <w:highlight w:val="none"/>
                <w:lang w:val="en-US" w:eastAsia="zh-CN"/>
                <w14:textFill>
                  <w14:solidFill>
                    <w14:schemeClr w14:val="tx1"/>
                  </w14:solidFill>
                </w14:textFill>
              </w:rPr>
              <w:t>：</w:t>
            </w:r>
          </w:p>
          <w:p w14:paraId="19DCF8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eastAsiaTheme="minorEastAsia"/>
                <w:lang w:eastAsia="zh-CN"/>
              </w:rPr>
              <w:drawing>
                <wp:inline distT="0" distB="0" distL="114300" distR="114300">
                  <wp:extent cx="2598420" cy="3543935"/>
                  <wp:effectExtent l="0" t="0" r="0" b="18415"/>
                  <wp:docPr id="14" name="E657119C-6982-421D-8BA7-E74DEB70A7D9-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657119C-6982-421D-8BA7-E74DEB70A7D9-2" descr="wps"/>
                          <pic:cNvPicPr>
                            <a:picLocks noChangeAspect="1"/>
                          </pic:cNvPicPr>
                        </pic:nvPicPr>
                        <pic:blipFill>
                          <a:blip r:embed="rId11"/>
                          <a:srcRect t="2570" b="3201"/>
                          <a:stretch>
                            <a:fillRect/>
                          </a:stretch>
                        </pic:blipFill>
                        <pic:spPr>
                          <a:xfrm>
                            <a:off x="0" y="0"/>
                            <a:ext cx="2598420" cy="3543935"/>
                          </a:xfrm>
                          <a:prstGeom prst="rect">
                            <a:avLst/>
                          </a:prstGeom>
                        </pic:spPr>
                      </pic:pic>
                    </a:graphicData>
                  </a:graphic>
                </wp:inline>
              </w:drawing>
            </w:r>
          </w:p>
          <w:p w14:paraId="14AEF0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Times New Roman" w:cs="Times New Roman"/>
                <w:b/>
                <w:color w:val="000000" w:themeColor="text1"/>
                <w:sz w:val="24"/>
                <w:highlight w:val="yellow"/>
                <w14:textFill>
                  <w14:solidFill>
                    <w14:schemeClr w14:val="tx1"/>
                  </w14:solidFill>
                </w14:textFill>
              </w:rPr>
            </w:pPr>
            <w:r>
              <w:rPr>
                <w:rFonts w:hint="default" w:ascii="Times New Roman" w:hAnsi="Times New Roman" w:eastAsia="Times New Roman" w:cs="Times New Roman"/>
                <w:b/>
                <w:color w:val="000000" w:themeColor="text1"/>
                <w:sz w:val="24"/>
                <w:szCs w:val="24"/>
                <w:highlight w:val="none"/>
                <w:lang w:val="en-US" w:eastAsia="zh-CN"/>
                <w14:textFill>
                  <w14:solidFill>
                    <w14:schemeClr w14:val="tx1"/>
                  </w14:solidFill>
                </w14:textFill>
              </w:rPr>
              <w:t>生产工艺流程及产污环节图</w:t>
            </w:r>
          </w:p>
          <w:p w14:paraId="36320C9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72" w:firstLineChars="196"/>
              <w:textAlignment w:val="auto"/>
              <w:rPr>
                <w:rFonts w:hint="eastAsia" w:asciiTheme="minorEastAsia" w:hAnsiTheme="minorEastAsia" w:eastAsiaTheme="minorEastAsia" w:cs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工艺说明：</w:t>
            </w:r>
          </w:p>
          <w:p w14:paraId="3AE48697">
            <w:pPr>
              <w:keepNext w:val="0"/>
              <w:keepLines w:val="0"/>
              <w:numPr>
                <w:ilvl w:val="0"/>
                <w:numId w:val="6"/>
              </w:numPr>
              <w:suppressLineNumbers w:val="0"/>
              <w:spacing w:before="0" w:beforeAutospacing="0" w:after="0" w:afterAutospacing="0" w:line="360" w:lineRule="auto"/>
              <w:ind w:left="0" w:right="0" w:firstLine="480" w:firstLineChars="200"/>
              <w:rPr>
                <w:rFonts w:hint="eastAsia" w:ascii="Times New Roman" w:hAnsi="Times New Roman"/>
                <w:color w:val="auto"/>
                <w:sz w:val="24"/>
                <w:szCs w:val="24"/>
                <w:lang w:eastAsia="zh-CN"/>
              </w:rPr>
            </w:pPr>
            <w:r>
              <w:rPr>
                <w:rFonts w:hint="eastAsia" w:ascii="Times New Roman" w:hAnsi="Times New Roman"/>
                <w:color w:val="auto"/>
                <w:sz w:val="24"/>
                <w:szCs w:val="24"/>
                <w:lang w:eastAsia="zh-CN"/>
              </w:rPr>
              <w:t>吹膜：将外购的原料聚乙烯颗粒、热熔胶颗粒按照一定比例采取气力输送（自动投料器）的方式分别投加至吹膜机料斗内，经加热融化后吹成薄膜状内膜，吹膜温度控制在160℃~200℃；内膜经冷却水槽降温后定型。</w:t>
            </w:r>
          </w:p>
          <w:p w14:paraId="0C3568B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color w:val="auto"/>
                <w:sz w:val="24"/>
                <w:szCs w:val="24"/>
                <w:lang w:eastAsia="zh-CN"/>
              </w:rPr>
            </w:pPr>
            <w:r>
              <w:rPr>
                <w:rFonts w:hint="eastAsia" w:ascii="Times New Roman" w:hAnsi="Times New Roman"/>
                <w:color w:val="auto"/>
                <w:sz w:val="24"/>
                <w:szCs w:val="24"/>
                <w:lang w:eastAsia="zh-CN"/>
              </w:rPr>
              <w:t>吹膜机工作原理：将聚乙烯颗粒及热熔胶颗粒加入下料斗中（使用外购颗粒料，投料过程无粉尘产生），依靠粒料本身的重量从料斗进入螺杆，当粒料与螺纹斜棱接触后，旋转的斜棱面对塑料产生与斜棱面相垂直的推力，将塑料粒子向前推移，推移过程中，由于塑料与螺杆、塑料与机筒之间的摩擦以及粒子间的碰撞</w:t>
            </w:r>
            <w:r>
              <w:rPr>
                <w:rFonts w:hint="eastAsia"/>
                <w:color w:val="auto"/>
                <w:sz w:val="24"/>
                <w:szCs w:val="24"/>
                <w:lang w:eastAsia="zh-CN"/>
              </w:rPr>
              <w:t>摩擦</w:t>
            </w:r>
            <w:r>
              <w:rPr>
                <w:rFonts w:hint="eastAsia" w:ascii="Times New Roman" w:hAnsi="Times New Roman"/>
                <w:color w:val="auto"/>
                <w:sz w:val="24"/>
                <w:szCs w:val="24"/>
                <w:lang w:eastAsia="zh-CN"/>
              </w:rPr>
              <w:t>，同时还由于料筒外部加热而逐步熔化。熔融的塑料经机头从模头模口出来，经冷却水槽降温后收卷即为半成品。</w:t>
            </w:r>
          </w:p>
          <w:p w14:paraId="45702840">
            <w:pPr>
              <w:keepNext w:val="0"/>
              <w:keepLines w:val="0"/>
              <w:numPr>
                <w:ilvl w:val="0"/>
                <w:numId w:val="6"/>
              </w:numPr>
              <w:suppressLineNumbers w:val="0"/>
              <w:spacing w:before="0" w:beforeAutospacing="0" w:after="0" w:afterAutospacing="0" w:line="360" w:lineRule="auto"/>
              <w:ind w:left="0" w:right="0" w:firstLine="480" w:firstLineChars="200"/>
              <w:rPr>
                <w:rFonts w:hint="eastAsia" w:ascii="Times New Roman" w:hAnsi="Times New Roman"/>
                <w:color w:val="auto"/>
                <w:sz w:val="24"/>
                <w:szCs w:val="24"/>
                <w:lang w:eastAsia="zh-CN"/>
              </w:rPr>
            </w:pPr>
            <w:r>
              <w:rPr>
                <w:rFonts w:hint="eastAsia" w:ascii="Times New Roman" w:hAnsi="Times New Roman"/>
                <w:color w:val="auto"/>
                <w:sz w:val="24"/>
                <w:szCs w:val="24"/>
                <w:lang w:eastAsia="zh-CN"/>
              </w:rPr>
              <w:t>编织：先将外购丙纶丝</w:t>
            </w:r>
            <w:r>
              <w:rPr>
                <w:rFonts w:hint="eastAsia"/>
                <w:color w:val="auto"/>
                <w:sz w:val="24"/>
                <w:szCs w:val="24"/>
                <w:lang w:eastAsia="zh-CN"/>
              </w:rPr>
              <w:t>、聚乙烯丝</w:t>
            </w:r>
            <w:r>
              <w:rPr>
                <w:rFonts w:hint="eastAsia" w:ascii="Times New Roman" w:hAnsi="Times New Roman"/>
                <w:color w:val="auto"/>
                <w:sz w:val="24"/>
                <w:szCs w:val="24"/>
                <w:lang w:eastAsia="zh-CN"/>
              </w:rPr>
              <w:t>倒丝成小卷，再利用圆周编织机围绕内膜进行编织，该过程无废气产生。</w:t>
            </w:r>
          </w:p>
          <w:p w14:paraId="36AA6A19">
            <w:pPr>
              <w:keepNext w:val="0"/>
              <w:keepLines w:val="0"/>
              <w:numPr>
                <w:ilvl w:val="0"/>
                <w:numId w:val="6"/>
              </w:numPr>
              <w:suppressLineNumbers w:val="0"/>
              <w:spacing w:before="0" w:beforeAutospacing="0" w:after="0" w:afterAutospacing="0" w:line="360" w:lineRule="auto"/>
              <w:ind w:left="0" w:right="0" w:firstLine="480" w:firstLineChars="200"/>
              <w:rPr>
                <w:rFonts w:hint="eastAsia"/>
                <w:lang w:eastAsia="zh-CN"/>
              </w:rPr>
            </w:pPr>
            <w:r>
              <w:rPr>
                <w:rFonts w:hint="eastAsia"/>
                <w:color w:val="auto"/>
                <w:sz w:val="24"/>
                <w:szCs w:val="24"/>
                <w:lang w:eastAsia="zh-CN"/>
              </w:rPr>
              <w:t>高频物理合成（高频复合）、粘合：由于项目产品的厚度不同，项目内膜与编织外层连接的方式有两种，一种是通过高频物理合成（高频复合）进行连接</w:t>
            </w:r>
            <w:r>
              <w:rPr>
                <w:rFonts w:hint="eastAsia" w:ascii="Times New Roman" w:hAnsi="Times New Roman"/>
                <w:color w:val="auto"/>
                <w:sz w:val="24"/>
                <w:szCs w:val="24"/>
                <w:lang w:eastAsia="zh-CN"/>
              </w:rPr>
              <w:t>：编织成型的水带通过高频复合机进行复合，高频复合机利用水为介质，采用电加热方式，温度控制在50℃~</w:t>
            </w:r>
            <w:r>
              <w:rPr>
                <w:rFonts w:hint="eastAsia"/>
                <w:color w:val="auto"/>
                <w:sz w:val="24"/>
                <w:szCs w:val="24"/>
                <w:lang w:val="en-US" w:eastAsia="zh-CN"/>
              </w:rPr>
              <w:t>6</w:t>
            </w:r>
            <w:r>
              <w:rPr>
                <w:rFonts w:hint="eastAsia" w:ascii="Times New Roman" w:hAnsi="Times New Roman"/>
                <w:color w:val="auto"/>
                <w:sz w:val="24"/>
                <w:szCs w:val="24"/>
                <w:lang w:eastAsia="zh-CN"/>
              </w:rPr>
              <w:t>0℃，将内膜中的热熔胶软化，使内膜与编织外层复合</w:t>
            </w:r>
            <w:r>
              <w:rPr>
                <w:rFonts w:hint="eastAsia"/>
                <w:color w:val="auto"/>
                <w:sz w:val="24"/>
                <w:szCs w:val="24"/>
                <w:lang w:eastAsia="zh-CN"/>
              </w:rPr>
              <w:t>。一种是通过</w:t>
            </w:r>
            <w:r>
              <w:rPr>
                <w:rFonts w:hint="eastAsia" w:ascii="Times New Roman" w:hAnsi="Times New Roman" w:eastAsia="宋体" w:cs="Times New Roman"/>
                <w:b w:val="0"/>
                <w:bCs w:val="0"/>
                <w:color w:val="auto"/>
                <w:sz w:val="24"/>
                <w:lang w:val="en-US" w:eastAsia="zh-CN"/>
              </w:rPr>
              <w:t>水带</w:t>
            </w:r>
            <w:r>
              <w:rPr>
                <w:rFonts w:hint="eastAsia" w:cs="Times New Roman"/>
                <w:b w:val="0"/>
                <w:bCs w:val="0"/>
                <w:color w:val="auto"/>
                <w:sz w:val="24"/>
                <w:lang w:val="en-US" w:eastAsia="zh-CN"/>
              </w:rPr>
              <w:t>粘合机进行连接：</w:t>
            </w:r>
            <w:r>
              <w:rPr>
                <w:rFonts w:hint="eastAsia" w:ascii="Times New Roman" w:hAnsi="Times New Roman" w:eastAsia="宋体" w:cs="Times New Roman"/>
                <w:b w:val="0"/>
                <w:bCs w:val="0"/>
                <w:color w:val="auto"/>
                <w:sz w:val="24"/>
                <w:lang w:val="en-US" w:eastAsia="zh-CN"/>
              </w:rPr>
              <w:t>水粘机水粘段利用电热丝将内膜外侧热熔胶</w:t>
            </w:r>
            <w:r>
              <w:rPr>
                <w:rFonts w:hint="eastAsia" w:cs="Times New Roman"/>
                <w:b w:val="0"/>
                <w:bCs w:val="0"/>
                <w:color w:val="auto"/>
                <w:sz w:val="24"/>
                <w:lang w:val="en-US" w:eastAsia="zh-CN"/>
              </w:rPr>
              <w:t>软化</w:t>
            </w:r>
            <w:r>
              <w:rPr>
                <w:rFonts w:hint="eastAsia" w:ascii="Times New Roman" w:hAnsi="Times New Roman" w:eastAsia="宋体" w:cs="Times New Roman"/>
                <w:b w:val="0"/>
                <w:bCs w:val="0"/>
                <w:color w:val="auto"/>
                <w:sz w:val="24"/>
                <w:lang w:val="en-US" w:eastAsia="zh-CN"/>
              </w:rPr>
              <w:t>，</w:t>
            </w:r>
            <w:r>
              <w:rPr>
                <w:rFonts w:hint="eastAsia" w:cs="Times New Roman"/>
                <w:b w:val="0"/>
                <w:bCs w:val="0"/>
                <w:color w:val="auto"/>
                <w:sz w:val="24"/>
                <w:lang w:val="en-US" w:eastAsia="zh-CN"/>
              </w:rPr>
              <w:t>温度控制在</w:t>
            </w:r>
            <w:r>
              <w:rPr>
                <w:rFonts w:hint="eastAsia" w:ascii="Times New Roman" w:hAnsi="Times New Roman"/>
                <w:color w:val="auto"/>
                <w:sz w:val="24"/>
                <w:szCs w:val="24"/>
                <w:lang w:eastAsia="zh-CN"/>
              </w:rPr>
              <w:t>50℃~</w:t>
            </w:r>
            <w:r>
              <w:rPr>
                <w:rFonts w:hint="eastAsia"/>
                <w:color w:val="auto"/>
                <w:sz w:val="24"/>
                <w:szCs w:val="24"/>
                <w:lang w:val="en-US" w:eastAsia="zh-CN"/>
              </w:rPr>
              <w:t>80</w:t>
            </w:r>
            <w:r>
              <w:rPr>
                <w:rFonts w:hint="eastAsia" w:ascii="Times New Roman" w:hAnsi="Times New Roman"/>
                <w:color w:val="auto"/>
                <w:sz w:val="24"/>
                <w:szCs w:val="24"/>
                <w:lang w:eastAsia="zh-CN"/>
              </w:rPr>
              <w:t>℃，</w:t>
            </w:r>
            <w:r>
              <w:rPr>
                <w:rFonts w:hint="eastAsia" w:ascii="Times New Roman" w:hAnsi="Times New Roman" w:eastAsia="宋体" w:cs="Times New Roman"/>
                <w:b w:val="0"/>
                <w:bCs w:val="0"/>
                <w:color w:val="auto"/>
                <w:sz w:val="24"/>
                <w:lang w:val="en-US" w:eastAsia="zh-CN"/>
              </w:rPr>
              <w:t>将水带内膜外侧与水带外编织网粘合在一起</w:t>
            </w:r>
            <w:r>
              <w:rPr>
                <w:rFonts w:hint="eastAsia" w:cs="Times New Roman"/>
                <w:b w:val="0"/>
                <w:bCs w:val="0"/>
                <w:color w:val="auto"/>
                <w:sz w:val="24"/>
                <w:lang w:val="en-US" w:eastAsia="zh-CN"/>
              </w:rPr>
              <w:t>，不会达到热熔胶和聚乙烯的熔化温度。</w:t>
            </w:r>
            <w:r>
              <w:rPr>
                <w:rFonts w:hint="eastAsia"/>
                <w:sz w:val="24"/>
                <w:szCs w:val="24"/>
                <w:lang w:eastAsia="zh-CN"/>
              </w:rPr>
              <w:t>该过程温度较低，产生的挥发性有机物的量很少。</w:t>
            </w:r>
          </w:p>
          <w:p w14:paraId="6A4F322F">
            <w:pPr>
              <w:keepNext w:val="0"/>
              <w:keepLines w:val="0"/>
              <w:numPr>
                <w:ilvl w:val="0"/>
                <w:numId w:val="6"/>
              </w:numPr>
              <w:suppressLineNumbers w:val="0"/>
              <w:spacing w:before="0" w:beforeAutospacing="0" w:after="0" w:afterAutospacing="0" w:line="360" w:lineRule="auto"/>
              <w:ind w:left="0" w:right="0" w:firstLine="480" w:firstLineChars="200"/>
              <w:rPr>
                <w:rFonts w:hint="eastAsia"/>
                <w:lang w:eastAsia="zh-CN"/>
              </w:rPr>
            </w:pPr>
            <w:r>
              <w:rPr>
                <w:rFonts w:hint="eastAsia"/>
                <w:color w:val="auto"/>
                <w:sz w:val="24"/>
                <w:szCs w:val="24"/>
                <w:lang w:eastAsia="zh-CN"/>
              </w:rPr>
              <w:t>收卷：</w:t>
            </w:r>
            <w:r>
              <w:rPr>
                <w:rFonts w:hint="eastAsia" w:ascii="Times New Roman" w:hAnsi="Times New Roman" w:eastAsia="宋体" w:cs="Times New Roman"/>
                <w:b w:val="0"/>
                <w:bCs w:val="0"/>
                <w:color w:val="auto"/>
                <w:sz w:val="24"/>
                <w:lang w:val="en-US" w:eastAsia="zh-CN"/>
              </w:rPr>
              <w:t>通过打卷形成编织水带。</w:t>
            </w:r>
          </w:p>
          <w:p w14:paraId="3624F88D">
            <w:pPr>
              <w:keepNext w:val="0"/>
              <w:keepLines w:val="0"/>
              <w:numPr>
                <w:ilvl w:val="0"/>
                <w:numId w:val="6"/>
              </w:numPr>
              <w:suppressLineNumbers w:val="0"/>
              <w:spacing w:before="0" w:beforeAutospacing="0" w:after="0" w:afterAutospacing="0" w:line="360" w:lineRule="auto"/>
              <w:ind w:left="0" w:right="0" w:firstLine="480" w:firstLineChars="200"/>
              <w:rPr>
                <w:rFonts w:hint="eastAsia" w:ascii="Times New Roman" w:hAnsi="Times New Roman"/>
                <w:color w:val="auto"/>
                <w:sz w:val="24"/>
                <w:szCs w:val="24"/>
                <w:highlight w:val="none"/>
                <w:lang w:eastAsia="zh-CN"/>
              </w:rPr>
            </w:pPr>
            <w:r>
              <w:rPr>
                <w:rFonts w:hint="eastAsia"/>
                <w:color w:val="auto"/>
                <w:sz w:val="24"/>
                <w:szCs w:val="24"/>
                <w:lang w:eastAsia="zh-CN"/>
              </w:rPr>
              <w:t>覆膜、喷码、包装</w:t>
            </w:r>
            <w:r>
              <w:rPr>
                <w:rFonts w:hint="eastAsia" w:ascii="Times New Roman" w:hAnsi="Times New Roman"/>
                <w:color w:val="auto"/>
                <w:sz w:val="24"/>
                <w:szCs w:val="24"/>
                <w:lang w:eastAsia="zh-CN"/>
              </w:rPr>
              <w:t>：</w:t>
            </w:r>
            <w:r>
              <w:rPr>
                <w:rFonts w:hint="eastAsia"/>
                <w:color w:val="auto"/>
                <w:sz w:val="24"/>
                <w:szCs w:val="24"/>
                <w:lang w:eastAsia="zh-CN"/>
              </w:rPr>
              <w:t>收卷后的编织水带使用覆膜机进行封膜，通过喷码机进行喷码，随后进行包装成</w:t>
            </w:r>
            <w:r>
              <w:rPr>
                <w:rFonts w:hint="eastAsia" w:ascii="Times New Roman" w:hAnsi="Times New Roman"/>
                <w:color w:val="auto"/>
                <w:sz w:val="24"/>
                <w:szCs w:val="24"/>
                <w:lang w:eastAsia="zh-CN"/>
              </w:rPr>
              <w:t>为成品</w:t>
            </w:r>
            <w:r>
              <w:rPr>
                <w:rFonts w:hint="eastAsia"/>
                <w:color w:val="auto"/>
                <w:sz w:val="24"/>
                <w:szCs w:val="24"/>
                <w:lang w:eastAsia="zh-CN"/>
              </w:rPr>
              <w:t>，覆膜工序不涉及加热，不产生废气</w:t>
            </w:r>
            <w:r>
              <w:rPr>
                <w:rFonts w:hint="eastAsia" w:ascii="Times New Roman" w:hAnsi="Times New Roman"/>
                <w:color w:val="auto"/>
                <w:sz w:val="24"/>
                <w:szCs w:val="24"/>
                <w:lang w:eastAsia="zh-CN"/>
              </w:rPr>
              <w:t>。</w:t>
            </w:r>
          </w:p>
          <w:p w14:paraId="0E1E6808">
            <w:pPr>
              <w:keepNext w:val="0"/>
              <w:keepLines w:val="0"/>
              <w:numPr>
                <w:ilvl w:val="0"/>
                <w:numId w:val="6"/>
              </w:numPr>
              <w:suppressLineNumbers w:val="0"/>
              <w:spacing w:before="0" w:beforeAutospacing="0" w:after="0" w:afterAutospacing="0" w:line="360" w:lineRule="auto"/>
              <w:ind w:left="0" w:right="0" w:firstLine="480" w:firstLineChars="200"/>
              <w:rPr>
                <w:rFonts w:hint="eastAsia" w:ascii="Times New Roman" w:hAnsi="Times New Roman"/>
                <w:color w:val="auto"/>
                <w:sz w:val="24"/>
                <w:szCs w:val="24"/>
                <w:highlight w:val="none"/>
                <w:lang w:eastAsia="zh-CN"/>
              </w:rPr>
            </w:pPr>
            <w:r>
              <w:rPr>
                <w:rFonts w:hint="eastAsia"/>
                <w:color w:val="auto"/>
                <w:sz w:val="24"/>
                <w:szCs w:val="24"/>
                <w:highlight w:val="none"/>
                <w:lang w:eastAsia="zh-CN"/>
              </w:rPr>
              <w:t>企业设置有食堂，产生食堂油烟和食堂污水。</w:t>
            </w:r>
          </w:p>
          <w:p w14:paraId="739E91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eastAsia" w:ascii="Times New Roman" w:hAnsi="Times New Roman" w:cs="Times New Roman" w:eastAsiaTheme="minorEastAsia"/>
                <w:b/>
                <w:color w:val="000000" w:themeColor="text1"/>
                <w:sz w:val="24"/>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产污环节</w:t>
            </w:r>
            <w:r>
              <w:rPr>
                <w:rFonts w:hint="eastAsia" w:asciiTheme="minorEastAsia" w:hAnsiTheme="minorEastAsia" w:eastAsiaTheme="minorEastAsia" w:cstheme="minorEastAsia"/>
                <w:b/>
                <w:color w:val="000000" w:themeColor="text1"/>
                <w:sz w:val="24"/>
                <w:highlight w:val="none"/>
                <w:lang w:eastAsia="zh-CN"/>
                <w14:textFill>
                  <w14:solidFill>
                    <w14:schemeClr w14:val="tx1"/>
                  </w14:solidFill>
                </w14:textFill>
              </w:rPr>
              <w:t>：</w:t>
            </w:r>
          </w:p>
          <w:p w14:paraId="4C56E8B6">
            <w:pPr>
              <w:keepNext w:val="0"/>
              <w:keepLines w:val="0"/>
              <w:suppressLineNumbers w:val="0"/>
              <w:tabs>
                <w:tab w:val="left" w:pos="734"/>
              </w:tabs>
              <w:spacing w:before="0" w:beforeAutospacing="0" w:after="0" w:afterAutospacing="0" w:line="360" w:lineRule="auto"/>
              <w:ind w:left="0" w:right="0" w:firstLine="480" w:firstLineChars="200"/>
              <w:rPr>
                <w:rFonts w:hint="default"/>
                <w:b/>
                <w:bCs/>
                <w:color w:val="auto"/>
                <w:kern w:val="0"/>
                <w:sz w:val="24"/>
                <w:szCs w:val="24"/>
              </w:rPr>
            </w:pPr>
            <w:r>
              <w:rPr>
                <w:rFonts w:hint="default"/>
                <w:color w:val="auto"/>
                <w:sz w:val="24"/>
                <w:szCs w:val="24"/>
              </w:rPr>
              <w:t>项目营运期主要污染工序见</w:t>
            </w:r>
            <w:r>
              <w:rPr>
                <w:rFonts w:hint="eastAsia"/>
                <w:color w:val="auto"/>
                <w:sz w:val="24"/>
                <w:szCs w:val="24"/>
                <w:lang w:eastAsia="zh-CN"/>
              </w:rPr>
              <w:t>下表</w:t>
            </w:r>
            <w:r>
              <w:rPr>
                <w:rFonts w:hint="default"/>
                <w:color w:val="auto"/>
                <w:sz w:val="24"/>
                <w:szCs w:val="24"/>
              </w:rPr>
              <w:t>。</w:t>
            </w:r>
          </w:p>
          <w:p w14:paraId="24DBA77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eastAsia" w:eastAsia="宋体"/>
                <w:b/>
                <w:bCs/>
                <w:color w:val="auto"/>
                <w:kern w:val="0"/>
                <w:sz w:val="24"/>
                <w:szCs w:val="24"/>
                <w:lang w:eastAsia="zh-CN"/>
              </w:rPr>
            </w:pPr>
            <w:r>
              <w:rPr>
                <w:rFonts w:hint="default"/>
                <w:b/>
                <w:bCs/>
                <w:color w:val="auto"/>
                <w:kern w:val="0"/>
                <w:sz w:val="24"/>
                <w:szCs w:val="24"/>
              </w:rPr>
              <w:t>营运期主要污染</w:t>
            </w:r>
            <w:r>
              <w:rPr>
                <w:rFonts w:hint="eastAsia"/>
                <w:b/>
                <w:bCs/>
                <w:color w:val="auto"/>
                <w:kern w:val="0"/>
                <w:sz w:val="24"/>
                <w:szCs w:val="24"/>
                <w:lang w:eastAsia="zh-CN"/>
              </w:rPr>
              <w:t>环节及治理措施一览表</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16"/>
              <w:gridCol w:w="698"/>
              <w:gridCol w:w="1542"/>
              <w:gridCol w:w="1926"/>
              <w:gridCol w:w="1395"/>
              <w:gridCol w:w="1952"/>
            </w:tblGrid>
            <w:tr w14:paraId="7C0BF2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379" w:type="pct"/>
                  <w:noWrap w:val="0"/>
                  <w:vAlign w:val="center"/>
                </w:tcPr>
                <w:p w14:paraId="467F760C">
                  <w:pPr>
                    <w:keepNext w:val="0"/>
                    <w:keepLines w:val="0"/>
                    <w:suppressLineNumbers w:val="0"/>
                    <w:spacing w:before="0" w:beforeAutospacing="0" w:after="0" w:afterAutospacing="0" w:line="0" w:lineRule="atLeast"/>
                    <w:ind w:left="0" w:right="0"/>
                    <w:jc w:val="center"/>
                    <w:rPr>
                      <w:rFonts w:hint="default"/>
                      <w:color w:val="auto"/>
                      <w:sz w:val="21"/>
                      <w:szCs w:val="21"/>
                    </w:rPr>
                  </w:pPr>
                  <w:r>
                    <w:rPr>
                      <w:rFonts w:hint="default"/>
                      <w:color w:val="auto"/>
                      <w:sz w:val="21"/>
                      <w:szCs w:val="21"/>
                    </w:rPr>
                    <w:t>时段</w:t>
                  </w:r>
                </w:p>
              </w:tc>
              <w:tc>
                <w:tcPr>
                  <w:tcW w:w="429" w:type="pct"/>
                  <w:noWrap w:val="0"/>
                  <w:vAlign w:val="center"/>
                </w:tcPr>
                <w:p w14:paraId="1FE198FF">
                  <w:pPr>
                    <w:keepNext w:val="0"/>
                    <w:keepLines w:val="0"/>
                    <w:suppressLineNumbers w:val="0"/>
                    <w:spacing w:before="0" w:beforeAutospacing="0" w:after="0" w:afterAutospacing="0" w:line="0" w:lineRule="atLeast"/>
                    <w:ind w:left="0" w:right="0"/>
                    <w:jc w:val="center"/>
                    <w:rPr>
                      <w:rFonts w:hint="default"/>
                      <w:color w:val="auto"/>
                      <w:sz w:val="21"/>
                      <w:szCs w:val="21"/>
                    </w:rPr>
                  </w:pPr>
                  <w:r>
                    <w:rPr>
                      <w:rFonts w:hint="default"/>
                      <w:color w:val="auto"/>
                      <w:sz w:val="21"/>
                      <w:szCs w:val="21"/>
                    </w:rPr>
                    <w:t>污染类别</w:t>
                  </w:r>
                </w:p>
              </w:tc>
              <w:tc>
                <w:tcPr>
                  <w:tcW w:w="948" w:type="pct"/>
                  <w:noWrap w:val="0"/>
                  <w:vAlign w:val="center"/>
                </w:tcPr>
                <w:p w14:paraId="280BB534">
                  <w:pPr>
                    <w:keepNext w:val="0"/>
                    <w:keepLines w:val="0"/>
                    <w:suppressLineNumbers w:val="0"/>
                    <w:spacing w:before="0" w:beforeAutospacing="0" w:after="0" w:afterAutospacing="0" w:line="0" w:lineRule="atLeast"/>
                    <w:ind w:left="0" w:right="0"/>
                    <w:jc w:val="center"/>
                    <w:rPr>
                      <w:rFonts w:hint="default"/>
                      <w:color w:val="auto"/>
                      <w:sz w:val="21"/>
                      <w:szCs w:val="21"/>
                    </w:rPr>
                  </w:pPr>
                  <w:r>
                    <w:rPr>
                      <w:rFonts w:hint="default"/>
                      <w:color w:val="auto"/>
                      <w:sz w:val="21"/>
                      <w:szCs w:val="21"/>
                    </w:rPr>
                    <w:t>名称</w:t>
                  </w:r>
                </w:p>
              </w:tc>
              <w:tc>
                <w:tcPr>
                  <w:tcW w:w="1184" w:type="pct"/>
                  <w:noWrap w:val="0"/>
                  <w:vAlign w:val="center"/>
                </w:tcPr>
                <w:p w14:paraId="73D70319">
                  <w:pPr>
                    <w:keepNext w:val="0"/>
                    <w:keepLines w:val="0"/>
                    <w:suppressLineNumbers w:val="0"/>
                    <w:spacing w:before="0" w:beforeAutospacing="0" w:after="0" w:afterAutospacing="0" w:line="0" w:lineRule="atLeast"/>
                    <w:ind w:left="0" w:right="0"/>
                    <w:jc w:val="center"/>
                    <w:rPr>
                      <w:rFonts w:hint="default"/>
                      <w:color w:val="auto"/>
                      <w:sz w:val="21"/>
                      <w:szCs w:val="21"/>
                    </w:rPr>
                  </w:pPr>
                  <w:r>
                    <w:rPr>
                      <w:rFonts w:hint="default"/>
                      <w:color w:val="auto"/>
                      <w:sz w:val="21"/>
                      <w:szCs w:val="21"/>
                    </w:rPr>
                    <w:t>产生工序</w:t>
                  </w:r>
                </w:p>
              </w:tc>
              <w:tc>
                <w:tcPr>
                  <w:tcW w:w="858" w:type="pct"/>
                  <w:noWrap w:val="0"/>
                  <w:vAlign w:val="center"/>
                </w:tcPr>
                <w:p w14:paraId="206D0BF4">
                  <w:pPr>
                    <w:keepNext w:val="0"/>
                    <w:keepLines w:val="0"/>
                    <w:suppressLineNumbers w:val="0"/>
                    <w:spacing w:before="0" w:beforeAutospacing="0" w:after="0" w:afterAutospacing="0" w:line="0" w:lineRule="atLeast"/>
                    <w:ind w:left="0" w:right="0"/>
                    <w:jc w:val="center"/>
                    <w:rPr>
                      <w:rFonts w:hint="default"/>
                      <w:color w:val="auto"/>
                      <w:sz w:val="21"/>
                      <w:szCs w:val="21"/>
                    </w:rPr>
                  </w:pPr>
                  <w:r>
                    <w:rPr>
                      <w:rFonts w:hint="default"/>
                      <w:color w:val="auto"/>
                      <w:sz w:val="21"/>
                      <w:szCs w:val="21"/>
                    </w:rPr>
                    <w:t>主要污染因子</w:t>
                  </w:r>
                </w:p>
              </w:tc>
              <w:tc>
                <w:tcPr>
                  <w:tcW w:w="1200" w:type="pct"/>
                  <w:noWrap w:val="0"/>
                  <w:vAlign w:val="center"/>
                </w:tcPr>
                <w:p w14:paraId="36E3AC58">
                  <w:pPr>
                    <w:keepNext w:val="0"/>
                    <w:keepLines w:val="0"/>
                    <w:suppressLineNumbers w:val="0"/>
                    <w:spacing w:before="0" w:beforeAutospacing="0" w:after="0" w:afterAutospacing="0" w:line="0" w:lineRule="atLeast"/>
                    <w:ind w:left="0" w:right="0"/>
                    <w:jc w:val="center"/>
                    <w:rPr>
                      <w:rFonts w:hint="eastAsia" w:eastAsia="宋体"/>
                      <w:color w:val="auto"/>
                      <w:sz w:val="21"/>
                      <w:szCs w:val="21"/>
                      <w:lang w:eastAsia="zh-CN"/>
                    </w:rPr>
                  </w:pPr>
                  <w:r>
                    <w:rPr>
                      <w:rFonts w:hint="eastAsia"/>
                      <w:color w:val="auto"/>
                      <w:sz w:val="21"/>
                      <w:szCs w:val="21"/>
                      <w:lang w:eastAsia="zh-CN"/>
                    </w:rPr>
                    <w:t>治理措施</w:t>
                  </w:r>
                </w:p>
              </w:tc>
            </w:tr>
            <w:tr w14:paraId="37B3A6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379" w:type="pct"/>
                  <w:vMerge w:val="restart"/>
                  <w:noWrap w:val="0"/>
                  <w:vAlign w:val="center"/>
                </w:tcPr>
                <w:p w14:paraId="40B147F6">
                  <w:pPr>
                    <w:keepNext w:val="0"/>
                    <w:keepLines w:val="0"/>
                    <w:suppressLineNumbers w:val="0"/>
                    <w:spacing w:before="0" w:beforeAutospacing="0" w:after="0" w:afterAutospacing="0" w:line="0" w:lineRule="atLeast"/>
                    <w:ind w:left="0" w:right="0"/>
                    <w:jc w:val="center"/>
                    <w:rPr>
                      <w:rFonts w:hint="default"/>
                      <w:color w:val="auto"/>
                      <w:sz w:val="21"/>
                      <w:szCs w:val="21"/>
                    </w:rPr>
                  </w:pPr>
                  <w:r>
                    <w:rPr>
                      <w:rFonts w:hint="default"/>
                      <w:color w:val="auto"/>
                      <w:sz w:val="21"/>
                      <w:szCs w:val="21"/>
                    </w:rPr>
                    <w:t>营运期</w:t>
                  </w:r>
                </w:p>
              </w:tc>
              <w:tc>
                <w:tcPr>
                  <w:tcW w:w="429" w:type="pct"/>
                  <w:vMerge w:val="restart"/>
                  <w:noWrap w:val="0"/>
                  <w:vAlign w:val="center"/>
                </w:tcPr>
                <w:p w14:paraId="4FF35C1C">
                  <w:pPr>
                    <w:keepNext w:val="0"/>
                    <w:keepLines w:val="0"/>
                    <w:suppressLineNumbers w:val="0"/>
                    <w:spacing w:before="0" w:beforeAutospacing="0" w:after="0" w:afterAutospacing="0" w:line="0" w:lineRule="atLeast"/>
                    <w:ind w:left="0" w:right="0"/>
                    <w:jc w:val="center"/>
                    <w:rPr>
                      <w:rFonts w:hint="default"/>
                      <w:color w:val="auto"/>
                      <w:sz w:val="21"/>
                      <w:szCs w:val="21"/>
                    </w:rPr>
                  </w:pPr>
                  <w:r>
                    <w:rPr>
                      <w:rFonts w:hint="default"/>
                      <w:color w:val="auto"/>
                      <w:sz w:val="21"/>
                      <w:szCs w:val="21"/>
                    </w:rPr>
                    <w:t>废水</w:t>
                  </w:r>
                </w:p>
              </w:tc>
              <w:tc>
                <w:tcPr>
                  <w:tcW w:w="948" w:type="pct"/>
                  <w:noWrap w:val="0"/>
                  <w:vAlign w:val="center"/>
                </w:tcPr>
                <w:p w14:paraId="3D398504">
                  <w:pPr>
                    <w:keepNext w:val="0"/>
                    <w:keepLines w:val="0"/>
                    <w:suppressLineNumbers w:val="0"/>
                    <w:spacing w:before="0" w:beforeAutospacing="0" w:after="0" w:afterAutospacing="0" w:line="0" w:lineRule="atLeast"/>
                    <w:ind w:left="0" w:right="0"/>
                    <w:jc w:val="center"/>
                    <w:rPr>
                      <w:rFonts w:hint="default"/>
                      <w:color w:val="auto"/>
                      <w:kern w:val="2"/>
                      <w:sz w:val="21"/>
                      <w:szCs w:val="21"/>
                      <w:lang w:val="en-US" w:eastAsia="zh-CN" w:bidi="ar-SA"/>
                    </w:rPr>
                  </w:pPr>
                  <w:r>
                    <w:rPr>
                      <w:rFonts w:hint="default"/>
                      <w:color w:val="auto"/>
                      <w:sz w:val="21"/>
                      <w:szCs w:val="21"/>
                    </w:rPr>
                    <w:t>生活污水</w:t>
                  </w:r>
                </w:p>
              </w:tc>
              <w:tc>
                <w:tcPr>
                  <w:tcW w:w="1184" w:type="pct"/>
                  <w:noWrap w:val="0"/>
                  <w:vAlign w:val="center"/>
                </w:tcPr>
                <w:p w14:paraId="580C9C45">
                  <w:pPr>
                    <w:keepNext w:val="0"/>
                    <w:keepLines w:val="0"/>
                    <w:suppressLineNumbers w:val="0"/>
                    <w:spacing w:before="0" w:beforeAutospacing="0" w:after="0" w:afterAutospacing="0" w:line="0" w:lineRule="atLeast"/>
                    <w:ind w:left="0" w:right="0"/>
                    <w:jc w:val="center"/>
                    <w:rPr>
                      <w:rFonts w:hint="eastAsia" w:eastAsia="宋体"/>
                      <w:color w:val="auto"/>
                      <w:kern w:val="2"/>
                      <w:sz w:val="21"/>
                      <w:szCs w:val="21"/>
                      <w:lang w:val="en-US" w:eastAsia="zh-CN" w:bidi="ar-SA"/>
                    </w:rPr>
                  </w:pPr>
                  <w:r>
                    <w:rPr>
                      <w:rFonts w:hint="eastAsia" w:eastAsia="宋体"/>
                      <w:color w:val="auto"/>
                      <w:kern w:val="2"/>
                      <w:sz w:val="21"/>
                      <w:szCs w:val="21"/>
                      <w:lang w:val="en-US" w:eastAsia="zh-CN" w:bidi="ar-SA"/>
                    </w:rPr>
                    <w:t>员工生活</w:t>
                  </w:r>
                  <w:r>
                    <w:rPr>
                      <w:rFonts w:hint="eastAsia"/>
                      <w:color w:val="auto"/>
                      <w:kern w:val="2"/>
                      <w:sz w:val="21"/>
                      <w:szCs w:val="21"/>
                      <w:lang w:val="en-US" w:eastAsia="zh-CN" w:bidi="ar-SA"/>
                    </w:rPr>
                    <w:t>、食堂污水</w:t>
                  </w:r>
                </w:p>
              </w:tc>
              <w:tc>
                <w:tcPr>
                  <w:tcW w:w="858" w:type="pct"/>
                  <w:noWrap w:val="0"/>
                  <w:vAlign w:val="center"/>
                </w:tcPr>
                <w:p w14:paraId="13AB7056">
                  <w:pPr>
                    <w:keepNext w:val="0"/>
                    <w:keepLines w:val="0"/>
                    <w:suppressLineNumbers w:val="0"/>
                    <w:spacing w:before="0" w:beforeAutospacing="0" w:after="0" w:afterAutospacing="0" w:line="0" w:lineRule="atLeast"/>
                    <w:ind w:left="0" w:right="0"/>
                    <w:jc w:val="center"/>
                    <w:rPr>
                      <w:rFonts w:hint="default" w:eastAsia="宋体"/>
                      <w:color w:val="auto"/>
                      <w:kern w:val="2"/>
                      <w:sz w:val="21"/>
                      <w:szCs w:val="21"/>
                      <w:lang w:val="en-US" w:eastAsia="zh-CN" w:bidi="ar-SA"/>
                    </w:rPr>
                  </w:pPr>
                  <w:bookmarkStart w:id="18" w:name="OLE_LINK102"/>
                  <w:r>
                    <w:rPr>
                      <w:rFonts w:hint="eastAsia"/>
                      <w:color w:val="auto"/>
                      <w:kern w:val="2"/>
                      <w:sz w:val="21"/>
                      <w:szCs w:val="21"/>
                      <w:lang w:val="en-US" w:eastAsia="zh-CN" w:bidi="ar-SA"/>
                    </w:rPr>
                    <w:t>COD、BOD</w:t>
                  </w:r>
                  <w:r>
                    <w:rPr>
                      <w:rFonts w:hint="eastAsia"/>
                      <w:color w:val="auto"/>
                      <w:kern w:val="2"/>
                      <w:sz w:val="21"/>
                      <w:szCs w:val="21"/>
                      <w:vertAlign w:val="subscript"/>
                      <w:lang w:val="en-US" w:eastAsia="zh-CN" w:bidi="ar-SA"/>
                    </w:rPr>
                    <w:t>5</w:t>
                  </w:r>
                  <w:r>
                    <w:rPr>
                      <w:rFonts w:hint="eastAsia"/>
                      <w:color w:val="auto"/>
                      <w:kern w:val="2"/>
                      <w:sz w:val="21"/>
                      <w:szCs w:val="21"/>
                      <w:lang w:val="en-US" w:eastAsia="zh-CN" w:bidi="ar-SA"/>
                    </w:rPr>
                    <w:t>、SS、</w:t>
                  </w:r>
                  <w:r>
                    <w:rPr>
                      <w:rFonts w:hint="default"/>
                      <w:color w:val="auto"/>
                      <w:sz w:val="21"/>
                      <w:szCs w:val="21"/>
                    </w:rPr>
                    <w:t>氨氮</w:t>
                  </w:r>
                  <w:bookmarkEnd w:id="18"/>
                  <w:r>
                    <w:rPr>
                      <w:rFonts w:hint="eastAsia"/>
                      <w:color w:val="auto"/>
                      <w:sz w:val="21"/>
                      <w:szCs w:val="21"/>
                      <w:lang w:eastAsia="zh-CN"/>
                    </w:rPr>
                    <w:t>、</w:t>
                  </w:r>
                  <w:r>
                    <w:rPr>
                      <w:rFonts w:hint="eastAsia"/>
                      <w:color w:val="auto"/>
                      <w:sz w:val="21"/>
                      <w:szCs w:val="21"/>
                      <w:lang w:val="en-US" w:eastAsia="zh-CN"/>
                    </w:rPr>
                    <w:t>pH、总磷、总氮、动植物油类、阴离子表面活性剂</w:t>
                  </w:r>
                </w:p>
              </w:tc>
              <w:tc>
                <w:tcPr>
                  <w:tcW w:w="1200" w:type="pct"/>
                  <w:noWrap w:val="0"/>
                  <w:vAlign w:val="center"/>
                </w:tcPr>
                <w:p w14:paraId="15AF6DFB">
                  <w:pPr>
                    <w:keepNext w:val="0"/>
                    <w:keepLines w:val="0"/>
                    <w:suppressLineNumbers w:val="0"/>
                    <w:spacing w:before="0" w:beforeAutospacing="0" w:after="0" w:afterAutospacing="0" w:line="0" w:lineRule="atLeast"/>
                    <w:ind w:left="0" w:right="0"/>
                    <w:jc w:val="center"/>
                    <w:rPr>
                      <w:rFonts w:hint="default"/>
                      <w:color w:val="auto"/>
                      <w:kern w:val="2"/>
                      <w:sz w:val="21"/>
                      <w:szCs w:val="21"/>
                      <w:lang w:val="en-US" w:eastAsia="zh-CN" w:bidi="ar-SA"/>
                    </w:rPr>
                  </w:pPr>
                  <w:r>
                    <w:rPr>
                      <w:rFonts w:hint="eastAsia"/>
                      <w:color w:val="auto"/>
                      <w:kern w:val="2"/>
                      <w:sz w:val="21"/>
                      <w:szCs w:val="21"/>
                      <w:lang w:val="en-US" w:eastAsia="zh-CN" w:bidi="ar-SA"/>
                    </w:rPr>
                    <w:t>食堂污水经隔油池（1m</w:t>
                  </w:r>
                  <w:r>
                    <w:rPr>
                      <w:rFonts w:hint="eastAsia"/>
                      <w:color w:val="auto"/>
                      <w:kern w:val="2"/>
                      <w:sz w:val="21"/>
                      <w:szCs w:val="21"/>
                      <w:vertAlign w:val="superscript"/>
                      <w:lang w:val="en-US" w:eastAsia="zh-CN" w:bidi="ar-SA"/>
                    </w:rPr>
                    <w:t>3</w:t>
                  </w:r>
                  <w:r>
                    <w:rPr>
                      <w:rFonts w:hint="eastAsia"/>
                      <w:color w:val="auto"/>
                      <w:kern w:val="2"/>
                      <w:sz w:val="21"/>
                      <w:szCs w:val="21"/>
                      <w:lang w:val="en-US" w:eastAsia="zh-CN" w:bidi="ar-SA"/>
                    </w:rPr>
                    <w:t>）处理后与经化粪池（5m</w:t>
                  </w:r>
                  <w:r>
                    <w:rPr>
                      <w:rFonts w:hint="eastAsia"/>
                      <w:color w:val="auto"/>
                      <w:kern w:val="2"/>
                      <w:sz w:val="21"/>
                      <w:szCs w:val="21"/>
                      <w:vertAlign w:val="superscript"/>
                      <w:lang w:val="en-US" w:eastAsia="zh-CN" w:bidi="ar-SA"/>
                    </w:rPr>
                    <w:t>3</w:t>
                  </w:r>
                  <w:r>
                    <w:rPr>
                      <w:rFonts w:hint="eastAsia"/>
                      <w:color w:val="auto"/>
                      <w:kern w:val="2"/>
                      <w:sz w:val="21"/>
                      <w:szCs w:val="21"/>
                      <w:lang w:val="en-US" w:eastAsia="zh-CN" w:bidi="ar-SA"/>
                    </w:rPr>
                    <w:t>）处理后的生活污水一同</w:t>
                  </w:r>
                </w:p>
                <w:p w14:paraId="6003048B">
                  <w:pPr>
                    <w:keepNext w:val="0"/>
                    <w:keepLines w:val="0"/>
                    <w:suppressLineNumbers w:val="0"/>
                    <w:spacing w:before="0" w:beforeAutospacing="0" w:after="0" w:afterAutospacing="0" w:line="0" w:lineRule="atLeast"/>
                    <w:ind w:left="0" w:right="0"/>
                    <w:jc w:val="center"/>
                    <w:rPr>
                      <w:rFonts w:hint="eastAsia"/>
                      <w:color w:val="auto"/>
                      <w:kern w:val="2"/>
                      <w:sz w:val="21"/>
                      <w:szCs w:val="21"/>
                      <w:lang w:val="en-US" w:eastAsia="zh-CN" w:bidi="ar-SA"/>
                    </w:rPr>
                  </w:pPr>
                  <w:r>
                    <w:rPr>
                      <w:rFonts w:hint="eastAsia"/>
                      <w:color w:val="auto"/>
                      <w:kern w:val="2"/>
                      <w:sz w:val="21"/>
                      <w:szCs w:val="21"/>
                      <w:lang w:val="en-US" w:eastAsia="zh-CN" w:bidi="ar-SA"/>
                    </w:rPr>
                    <w:t>排入汤阴天雨污水净化有限公司</w:t>
                  </w:r>
                </w:p>
              </w:tc>
            </w:tr>
            <w:tr w14:paraId="6BDD35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379" w:type="pct"/>
                  <w:vMerge w:val="continue"/>
                  <w:noWrap w:val="0"/>
                  <w:vAlign w:val="center"/>
                </w:tcPr>
                <w:p w14:paraId="7A335E4F">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429" w:type="pct"/>
                  <w:vMerge w:val="continue"/>
                  <w:noWrap w:val="0"/>
                  <w:vAlign w:val="center"/>
                </w:tcPr>
                <w:p w14:paraId="5BD34526">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948" w:type="pct"/>
                  <w:noWrap w:val="0"/>
                  <w:vAlign w:val="center"/>
                </w:tcPr>
                <w:p w14:paraId="7F8D8F32">
                  <w:pPr>
                    <w:keepNext w:val="0"/>
                    <w:keepLines w:val="0"/>
                    <w:suppressLineNumbers w:val="0"/>
                    <w:spacing w:before="0" w:beforeAutospacing="0" w:after="0" w:afterAutospacing="0" w:line="0" w:lineRule="atLeast"/>
                    <w:ind w:left="0" w:right="0"/>
                    <w:jc w:val="center"/>
                    <w:rPr>
                      <w:rFonts w:hint="eastAsia" w:eastAsia="宋体"/>
                      <w:color w:val="auto"/>
                      <w:sz w:val="21"/>
                      <w:szCs w:val="21"/>
                      <w:lang w:eastAsia="zh-CN"/>
                    </w:rPr>
                  </w:pPr>
                  <w:r>
                    <w:rPr>
                      <w:rFonts w:hint="eastAsia"/>
                      <w:color w:val="auto"/>
                      <w:sz w:val="21"/>
                      <w:szCs w:val="21"/>
                      <w:lang w:eastAsia="zh-CN"/>
                    </w:rPr>
                    <w:t>冷却水</w:t>
                  </w:r>
                </w:p>
              </w:tc>
              <w:tc>
                <w:tcPr>
                  <w:tcW w:w="1184" w:type="pct"/>
                  <w:noWrap w:val="0"/>
                  <w:vAlign w:val="center"/>
                </w:tcPr>
                <w:p w14:paraId="0FBAC128">
                  <w:pPr>
                    <w:keepNext w:val="0"/>
                    <w:keepLines w:val="0"/>
                    <w:suppressLineNumbers w:val="0"/>
                    <w:spacing w:before="0" w:beforeAutospacing="0" w:after="0" w:afterAutospacing="0" w:line="0" w:lineRule="atLeast"/>
                    <w:ind w:left="0" w:right="0"/>
                    <w:jc w:val="center"/>
                    <w:rPr>
                      <w:rFonts w:hint="eastAsia"/>
                      <w:color w:val="auto"/>
                      <w:sz w:val="21"/>
                      <w:szCs w:val="21"/>
                    </w:rPr>
                  </w:pPr>
                  <w:r>
                    <w:rPr>
                      <w:rFonts w:hint="eastAsia" w:eastAsia="宋体"/>
                      <w:color w:val="auto"/>
                      <w:sz w:val="21"/>
                      <w:szCs w:val="21"/>
                      <w:lang w:eastAsia="zh-CN"/>
                    </w:rPr>
                    <w:t>挤出（吹塑）、高频复合</w:t>
                  </w:r>
                </w:p>
              </w:tc>
              <w:tc>
                <w:tcPr>
                  <w:tcW w:w="858" w:type="pct"/>
                  <w:noWrap w:val="0"/>
                  <w:vAlign w:val="center"/>
                </w:tcPr>
                <w:p w14:paraId="147A06B6">
                  <w:pPr>
                    <w:keepNext w:val="0"/>
                    <w:keepLines w:val="0"/>
                    <w:suppressLineNumbers w:val="0"/>
                    <w:spacing w:before="0" w:beforeAutospacing="0" w:after="0" w:afterAutospacing="0" w:line="0" w:lineRule="atLeast"/>
                    <w:ind w:left="0" w:right="0"/>
                    <w:jc w:val="center"/>
                    <w:rPr>
                      <w:rFonts w:hint="default"/>
                      <w:color w:val="auto"/>
                      <w:kern w:val="2"/>
                      <w:sz w:val="21"/>
                      <w:szCs w:val="21"/>
                      <w:lang w:val="en-US" w:eastAsia="zh-CN" w:bidi="ar-SA"/>
                    </w:rPr>
                  </w:pPr>
                  <w:r>
                    <w:rPr>
                      <w:rFonts w:hint="eastAsia"/>
                      <w:color w:val="auto"/>
                      <w:kern w:val="2"/>
                      <w:sz w:val="21"/>
                      <w:szCs w:val="21"/>
                      <w:lang w:val="en-US" w:eastAsia="zh-CN" w:bidi="ar-SA"/>
                    </w:rPr>
                    <w:t>SS</w:t>
                  </w:r>
                </w:p>
              </w:tc>
              <w:tc>
                <w:tcPr>
                  <w:tcW w:w="1200" w:type="pct"/>
                  <w:noWrap w:val="0"/>
                  <w:vAlign w:val="center"/>
                </w:tcPr>
                <w:p w14:paraId="6A5C2F0F">
                  <w:pPr>
                    <w:keepNext w:val="0"/>
                    <w:keepLines w:val="0"/>
                    <w:suppressLineNumbers w:val="0"/>
                    <w:spacing w:before="0" w:beforeAutospacing="0" w:after="0" w:afterAutospacing="0" w:line="0" w:lineRule="atLeast"/>
                    <w:ind w:left="0" w:right="0"/>
                    <w:jc w:val="center"/>
                    <w:rPr>
                      <w:rFonts w:hint="default"/>
                      <w:color w:val="auto"/>
                      <w:kern w:val="2"/>
                      <w:sz w:val="21"/>
                      <w:szCs w:val="21"/>
                      <w:lang w:val="en-US" w:eastAsia="zh-CN" w:bidi="ar-SA"/>
                    </w:rPr>
                  </w:pPr>
                  <w:r>
                    <w:rPr>
                      <w:rFonts w:hint="eastAsia"/>
                      <w:color w:val="auto"/>
                      <w:kern w:val="2"/>
                      <w:sz w:val="21"/>
                      <w:szCs w:val="21"/>
                      <w:lang w:val="en-US" w:eastAsia="zh-CN" w:bidi="ar-SA"/>
                    </w:rPr>
                    <w:t>循环使用，不外排</w:t>
                  </w:r>
                </w:p>
              </w:tc>
            </w:tr>
            <w:tr w14:paraId="02A716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379" w:type="pct"/>
                  <w:vMerge w:val="continue"/>
                  <w:noWrap w:val="0"/>
                  <w:vAlign w:val="center"/>
                </w:tcPr>
                <w:p w14:paraId="4F8B8541">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429" w:type="pct"/>
                  <w:vMerge w:val="restart"/>
                  <w:noWrap w:val="0"/>
                  <w:vAlign w:val="center"/>
                </w:tcPr>
                <w:p w14:paraId="7647BF97">
                  <w:pPr>
                    <w:keepNext w:val="0"/>
                    <w:keepLines w:val="0"/>
                    <w:suppressLineNumbers w:val="0"/>
                    <w:spacing w:before="0" w:beforeAutospacing="0" w:after="0" w:afterAutospacing="0" w:line="0" w:lineRule="atLeast"/>
                    <w:ind w:left="0" w:right="0"/>
                    <w:jc w:val="center"/>
                    <w:rPr>
                      <w:rFonts w:hint="default"/>
                      <w:color w:val="auto"/>
                      <w:sz w:val="21"/>
                      <w:szCs w:val="21"/>
                    </w:rPr>
                  </w:pPr>
                  <w:r>
                    <w:rPr>
                      <w:rFonts w:hint="default"/>
                      <w:color w:val="auto"/>
                      <w:sz w:val="21"/>
                      <w:szCs w:val="21"/>
                    </w:rPr>
                    <w:t>废气</w:t>
                  </w:r>
                </w:p>
              </w:tc>
              <w:tc>
                <w:tcPr>
                  <w:tcW w:w="948" w:type="pct"/>
                  <w:noWrap w:val="0"/>
                  <w:vAlign w:val="center"/>
                </w:tcPr>
                <w:p w14:paraId="5350CB5A">
                  <w:pPr>
                    <w:keepNext w:val="0"/>
                    <w:keepLines w:val="0"/>
                    <w:suppressLineNumbers w:val="0"/>
                    <w:spacing w:before="0" w:beforeAutospacing="0" w:after="0" w:afterAutospacing="0" w:line="0" w:lineRule="atLeast"/>
                    <w:ind w:left="0" w:right="0"/>
                    <w:jc w:val="both"/>
                    <w:rPr>
                      <w:rFonts w:hint="eastAsia" w:eastAsia="宋体"/>
                      <w:color w:val="auto"/>
                      <w:sz w:val="21"/>
                      <w:szCs w:val="21"/>
                      <w:lang w:eastAsia="zh-CN"/>
                    </w:rPr>
                  </w:pPr>
                  <w:r>
                    <w:rPr>
                      <w:rFonts w:hint="eastAsia" w:eastAsia="宋体"/>
                      <w:color w:val="auto"/>
                      <w:sz w:val="21"/>
                      <w:szCs w:val="21"/>
                      <w:lang w:eastAsia="zh-CN"/>
                    </w:rPr>
                    <w:t>挤出（吹塑）废气</w:t>
                  </w:r>
                </w:p>
              </w:tc>
              <w:tc>
                <w:tcPr>
                  <w:tcW w:w="1184" w:type="pct"/>
                  <w:noWrap w:val="0"/>
                  <w:vAlign w:val="center"/>
                </w:tcPr>
                <w:p w14:paraId="305CFE4E">
                  <w:pPr>
                    <w:keepNext w:val="0"/>
                    <w:keepLines w:val="0"/>
                    <w:suppressLineNumbers w:val="0"/>
                    <w:spacing w:before="0" w:beforeAutospacing="0" w:after="0" w:afterAutospacing="0" w:line="0" w:lineRule="atLeast"/>
                    <w:ind w:left="0" w:right="0"/>
                    <w:jc w:val="center"/>
                    <w:rPr>
                      <w:rFonts w:hint="eastAsia" w:eastAsia="宋体"/>
                      <w:color w:val="auto"/>
                      <w:sz w:val="21"/>
                      <w:szCs w:val="21"/>
                      <w:lang w:eastAsia="zh-CN"/>
                    </w:rPr>
                  </w:pPr>
                  <w:r>
                    <w:rPr>
                      <w:rFonts w:hint="eastAsia" w:eastAsia="宋体"/>
                      <w:color w:val="auto"/>
                      <w:sz w:val="21"/>
                      <w:szCs w:val="21"/>
                      <w:lang w:eastAsia="zh-CN"/>
                    </w:rPr>
                    <w:t>挤出（吹塑）</w:t>
                  </w:r>
                </w:p>
              </w:tc>
              <w:tc>
                <w:tcPr>
                  <w:tcW w:w="858" w:type="pct"/>
                  <w:noWrap w:val="0"/>
                  <w:vAlign w:val="center"/>
                </w:tcPr>
                <w:p w14:paraId="3FEA517C">
                  <w:pPr>
                    <w:keepNext w:val="0"/>
                    <w:keepLines w:val="0"/>
                    <w:suppressLineNumbers w:val="0"/>
                    <w:spacing w:before="0" w:beforeAutospacing="0" w:after="0" w:afterAutospacing="0" w:line="0" w:lineRule="atLeast"/>
                    <w:ind w:left="0" w:right="0"/>
                    <w:jc w:val="center"/>
                    <w:rPr>
                      <w:rFonts w:hint="default" w:eastAsia="宋体"/>
                      <w:color w:val="auto"/>
                      <w:sz w:val="21"/>
                      <w:szCs w:val="21"/>
                      <w:vertAlign w:val="baseline"/>
                      <w:lang w:val="en-US" w:eastAsia="zh-CN"/>
                    </w:rPr>
                  </w:pPr>
                  <w:r>
                    <w:rPr>
                      <w:rFonts w:hint="eastAsia" w:eastAsia="宋体"/>
                      <w:color w:val="auto"/>
                      <w:sz w:val="21"/>
                      <w:szCs w:val="21"/>
                      <w:vertAlign w:val="baseline"/>
                      <w:lang w:val="en-US" w:eastAsia="zh-CN"/>
                    </w:rPr>
                    <w:t>VOCs</w:t>
                  </w:r>
                </w:p>
              </w:tc>
              <w:tc>
                <w:tcPr>
                  <w:tcW w:w="1200" w:type="pct"/>
                  <w:vMerge w:val="restart"/>
                  <w:noWrap w:val="0"/>
                  <w:vAlign w:val="center"/>
                </w:tcPr>
                <w:p w14:paraId="1E555AE4">
                  <w:pPr>
                    <w:keepNext w:val="0"/>
                    <w:keepLines w:val="0"/>
                    <w:suppressLineNumbers w:val="0"/>
                    <w:spacing w:before="0" w:beforeAutospacing="0" w:after="0" w:afterAutospacing="0" w:line="0" w:lineRule="atLeast"/>
                    <w:ind w:left="0" w:right="0"/>
                    <w:jc w:val="both"/>
                    <w:rPr>
                      <w:rFonts w:hint="default"/>
                      <w:color w:val="auto"/>
                      <w:sz w:val="21"/>
                      <w:szCs w:val="21"/>
                      <w:lang w:val="en-US" w:eastAsia="zh-CN"/>
                    </w:rPr>
                  </w:pPr>
                  <w:r>
                    <w:rPr>
                      <w:rFonts w:hint="eastAsia"/>
                      <w:color w:val="auto"/>
                      <w:sz w:val="21"/>
                      <w:szCs w:val="21"/>
                      <w:lang w:eastAsia="zh-CN"/>
                    </w:rPr>
                    <w:t>密闭集气罩正压收集</w:t>
                  </w:r>
                  <w:r>
                    <w:rPr>
                      <w:rFonts w:hint="eastAsia"/>
                      <w:color w:val="auto"/>
                      <w:sz w:val="21"/>
                      <w:szCs w:val="21"/>
                      <w:lang w:val="en-US" w:eastAsia="zh-CN"/>
                    </w:rPr>
                    <w:t>+1套吸附、脱附+催化燃烧装置+1根15m高排气筒（DA001）</w:t>
                  </w:r>
                </w:p>
              </w:tc>
            </w:tr>
            <w:tr w14:paraId="21ED9C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379" w:type="pct"/>
                  <w:vMerge w:val="continue"/>
                  <w:noWrap w:val="0"/>
                  <w:vAlign w:val="center"/>
                </w:tcPr>
                <w:p w14:paraId="095EA839">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429" w:type="pct"/>
                  <w:vMerge w:val="continue"/>
                  <w:noWrap w:val="0"/>
                  <w:vAlign w:val="center"/>
                </w:tcPr>
                <w:p w14:paraId="39D5BFF3">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948" w:type="pct"/>
                  <w:noWrap w:val="0"/>
                  <w:vAlign w:val="center"/>
                </w:tcPr>
                <w:p w14:paraId="1D4CF10C">
                  <w:pPr>
                    <w:keepNext w:val="0"/>
                    <w:keepLines w:val="0"/>
                    <w:suppressLineNumbers w:val="0"/>
                    <w:spacing w:before="0" w:beforeAutospacing="0" w:after="0" w:afterAutospacing="0" w:line="0" w:lineRule="atLeast"/>
                    <w:ind w:left="0" w:right="0"/>
                    <w:jc w:val="center"/>
                    <w:rPr>
                      <w:rFonts w:hint="eastAsia" w:eastAsia="宋体"/>
                      <w:color w:val="auto"/>
                      <w:sz w:val="21"/>
                      <w:szCs w:val="21"/>
                      <w:lang w:eastAsia="zh-CN"/>
                    </w:rPr>
                  </w:pPr>
                  <w:r>
                    <w:rPr>
                      <w:rFonts w:hint="eastAsia"/>
                      <w:color w:val="auto"/>
                      <w:sz w:val="21"/>
                      <w:szCs w:val="21"/>
                      <w:lang w:eastAsia="zh-CN"/>
                    </w:rPr>
                    <w:t>高频复合废气</w:t>
                  </w:r>
                </w:p>
              </w:tc>
              <w:tc>
                <w:tcPr>
                  <w:tcW w:w="1184" w:type="pct"/>
                  <w:noWrap w:val="0"/>
                  <w:vAlign w:val="center"/>
                </w:tcPr>
                <w:p w14:paraId="3CB6F4CE">
                  <w:pPr>
                    <w:keepNext w:val="0"/>
                    <w:keepLines w:val="0"/>
                    <w:suppressLineNumbers w:val="0"/>
                    <w:spacing w:before="0" w:beforeAutospacing="0" w:after="0" w:afterAutospacing="0" w:line="0" w:lineRule="atLeast"/>
                    <w:ind w:left="0" w:right="0"/>
                    <w:jc w:val="center"/>
                    <w:rPr>
                      <w:rFonts w:hint="eastAsia" w:eastAsia="宋体"/>
                      <w:color w:val="auto"/>
                      <w:sz w:val="21"/>
                      <w:szCs w:val="21"/>
                      <w:lang w:eastAsia="zh-CN"/>
                    </w:rPr>
                  </w:pPr>
                  <w:r>
                    <w:rPr>
                      <w:rFonts w:hint="eastAsia"/>
                      <w:color w:val="auto"/>
                      <w:sz w:val="21"/>
                      <w:szCs w:val="21"/>
                      <w:lang w:eastAsia="zh-CN"/>
                    </w:rPr>
                    <w:t>高频复合</w:t>
                  </w:r>
                </w:p>
              </w:tc>
              <w:tc>
                <w:tcPr>
                  <w:tcW w:w="858" w:type="pct"/>
                  <w:noWrap w:val="0"/>
                  <w:vAlign w:val="center"/>
                </w:tcPr>
                <w:p w14:paraId="1DDF1FDE">
                  <w:pPr>
                    <w:keepNext w:val="0"/>
                    <w:keepLines w:val="0"/>
                    <w:suppressLineNumbers w:val="0"/>
                    <w:spacing w:before="0" w:beforeAutospacing="0" w:after="0" w:afterAutospacing="0" w:line="0" w:lineRule="atLeast"/>
                    <w:ind w:left="0" w:right="0"/>
                    <w:jc w:val="center"/>
                    <w:rPr>
                      <w:rFonts w:hint="eastAsia" w:eastAsia="宋体"/>
                      <w:color w:val="auto"/>
                      <w:sz w:val="21"/>
                      <w:szCs w:val="21"/>
                      <w:vertAlign w:val="baseline"/>
                      <w:lang w:val="en-US" w:eastAsia="zh-CN"/>
                    </w:rPr>
                  </w:pPr>
                  <w:r>
                    <w:rPr>
                      <w:rFonts w:hint="eastAsia" w:eastAsia="宋体"/>
                      <w:color w:val="auto"/>
                      <w:sz w:val="21"/>
                      <w:szCs w:val="21"/>
                      <w:vertAlign w:val="baseline"/>
                      <w:lang w:val="en-US" w:eastAsia="zh-CN"/>
                    </w:rPr>
                    <w:t>VOCs</w:t>
                  </w:r>
                </w:p>
              </w:tc>
              <w:tc>
                <w:tcPr>
                  <w:tcW w:w="1200" w:type="pct"/>
                  <w:vMerge w:val="continue"/>
                  <w:noWrap w:val="0"/>
                  <w:vAlign w:val="center"/>
                </w:tcPr>
                <w:p w14:paraId="23FE073E">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p>
              </w:tc>
            </w:tr>
            <w:tr w14:paraId="3927E3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379" w:type="pct"/>
                  <w:vMerge w:val="continue"/>
                  <w:noWrap w:val="0"/>
                  <w:vAlign w:val="center"/>
                </w:tcPr>
                <w:p w14:paraId="650B2AA8">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429" w:type="pct"/>
                  <w:vMerge w:val="continue"/>
                  <w:noWrap w:val="0"/>
                  <w:vAlign w:val="center"/>
                </w:tcPr>
                <w:p w14:paraId="59011BFE">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948" w:type="pct"/>
                  <w:noWrap w:val="0"/>
                  <w:vAlign w:val="center"/>
                </w:tcPr>
                <w:p w14:paraId="4639F276">
                  <w:pPr>
                    <w:keepNext w:val="0"/>
                    <w:keepLines w:val="0"/>
                    <w:suppressLineNumbers w:val="0"/>
                    <w:spacing w:before="0" w:beforeAutospacing="0" w:after="0" w:afterAutospacing="0" w:line="0" w:lineRule="atLeast"/>
                    <w:ind w:left="0" w:right="0"/>
                    <w:jc w:val="center"/>
                    <w:rPr>
                      <w:rFonts w:hint="eastAsia" w:eastAsia="宋体"/>
                      <w:color w:val="auto"/>
                      <w:sz w:val="21"/>
                      <w:szCs w:val="21"/>
                      <w:lang w:eastAsia="zh-CN"/>
                    </w:rPr>
                  </w:pPr>
                  <w:r>
                    <w:rPr>
                      <w:rFonts w:hint="eastAsia"/>
                      <w:color w:val="auto"/>
                      <w:sz w:val="21"/>
                      <w:szCs w:val="21"/>
                      <w:lang w:eastAsia="zh-CN"/>
                    </w:rPr>
                    <w:t>粘合废气</w:t>
                  </w:r>
                </w:p>
              </w:tc>
              <w:tc>
                <w:tcPr>
                  <w:tcW w:w="1184" w:type="pct"/>
                  <w:noWrap w:val="0"/>
                  <w:vAlign w:val="center"/>
                </w:tcPr>
                <w:p w14:paraId="2B904B76">
                  <w:pPr>
                    <w:keepNext w:val="0"/>
                    <w:keepLines w:val="0"/>
                    <w:suppressLineNumbers w:val="0"/>
                    <w:spacing w:before="0" w:beforeAutospacing="0" w:after="0" w:afterAutospacing="0" w:line="0" w:lineRule="atLeast"/>
                    <w:ind w:left="0" w:right="0"/>
                    <w:jc w:val="center"/>
                    <w:rPr>
                      <w:rFonts w:hint="eastAsia" w:eastAsia="宋体"/>
                      <w:color w:val="auto"/>
                      <w:sz w:val="21"/>
                      <w:szCs w:val="21"/>
                      <w:lang w:eastAsia="zh-CN"/>
                    </w:rPr>
                  </w:pPr>
                  <w:r>
                    <w:rPr>
                      <w:rFonts w:hint="eastAsia"/>
                      <w:color w:val="auto"/>
                      <w:sz w:val="21"/>
                      <w:szCs w:val="21"/>
                      <w:lang w:eastAsia="zh-CN"/>
                    </w:rPr>
                    <w:t>粘合</w:t>
                  </w:r>
                </w:p>
              </w:tc>
              <w:tc>
                <w:tcPr>
                  <w:tcW w:w="858" w:type="pct"/>
                  <w:noWrap w:val="0"/>
                  <w:vAlign w:val="center"/>
                </w:tcPr>
                <w:p w14:paraId="6CC44E89">
                  <w:pPr>
                    <w:keepNext w:val="0"/>
                    <w:keepLines w:val="0"/>
                    <w:suppressLineNumbers w:val="0"/>
                    <w:spacing w:before="0" w:beforeAutospacing="0" w:after="0" w:afterAutospacing="0" w:line="0" w:lineRule="atLeast"/>
                    <w:ind w:left="0" w:right="0"/>
                    <w:jc w:val="center"/>
                    <w:rPr>
                      <w:rFonts w:hint="eastAsia" w:eastAsia="宋体"/>
                      <w:color w:val="auto"/>
                      <w:sz w:val="21"/>
                      <w:szCs w:val="21"/>
                      <w:vertAlign w:val="baseline"/>
                      <w:lang w:val="en-US" w:eastAsia="zh-CN"/>
                    </w:rPr>
                  </w:pPr>
                  <w:r>
                    <w:rPr>
                      <w:rFonts w:hint="eastAsia" w:eastAsia="宋体"/>
                      <w:color w:val="auto"/>
                      <w:sz w:val="21"/>
                      <w:szCs w:val="21"/>
                      <w:vertAlign w:val="baseline"/>
                      <w:lang w:val="en-US" w:eastAsia="zh-CN"/>
                    </w:rPr>
                    <w:t>VOCs</w:t>
                  </w:r>
                </w:p>
              </w:tc>
              <w:tc>
                <w:tcPr>
                  <w:tcW w:w="1200" w:type="pct"/>
                  <w:vMerge w:val="continue"/>
                  <w:noWrap w:val="0"/>
                  <w:vAlign w:val="center"/>
                </w:tcPr>
                <w:p w14:paraId="6E412BC2">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p>
              </w:tc>
            </w:tr>
            <w:tr w14:paraId="2FB508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379" w:type="pct"/>
                  <w:vMerge w:val="continue"/>
                  <w:noWrap w:val="0"/>
                  <w:vAlign w:val="center"/>
                </w:tcPr>
                <w:p w14:paraId="69B819A0">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429" w:type="pct"/>
                  <w:vMerge w:val="continue"/>
                  <w:noWrap w:val="0"/>
                  <w:vAlign w:val="center"/>
                </w:tcPr>
                <w:p w14:paraId="0E1237D8">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948" w:type="pct"/>
                  <w:noWrap w:val="0"/>
                  <w:vAlign w:val="center"/>
                </w:tcPr>
                <w:p w14:paraId="0DAFB048">
                  <w:pPr>
                    <w:keepNext w:val="0"/>
                    <w:keepLines w:val="0"/>
                    <w:suppressLineNumbers w:val="0"/>
                    <w:spacing w:before="0" w:beforeAutospacing="0" w:after="0" w:afterAutospacing="0" w:line="0" w:lineRule="atLeast"/>
                    <w:ind w:left="0" w:right="0"/>
                    <w:jc w:val="center"/>
                    <w:rPr>
                      <w:rFonts w:hint="eastAsia" w:eastAsia="宋体"/>
                      <w:color w:val="auto"/>
                      <w:sz w:val="21"/>
                      <w:szCs w:val="21"/>
                      <w:lang w:eastAsia="zh-CN"/>
                    </w:rPr>
                  </w:pPr>
                  <w:r>
                    <w:rPr>
                      <w:rFonts w:hint="eastAsia" w:eastAsia="宋体"/>
                      <w:color w:val="auto"/>
                      <w:sz w:val="21"/>
                      <w:szCs w:val="21"/>
                      <w:lang w:eastAsia="zh-CN"/>
                    </w:rPr>
                    <w:t>喷码废气</w:t>
                  </w:r>
                </w:p>
              </w:tc>
              <w:tc>
                <w:tcPr>
                  <w:tcW w:w="1184" w:type="pct"/>
                  <w:noWrap w:val="0"/>
                  <w:vAlign w:val="center"/>
                </w:tcPr>
                <w:p w14:paraId="3EDDAB06">
                  <w:pPr>
                    <w:keepNext w:val="0"/>
                    <w:keepLines w:val="0"/>
                    <w:suppressLineNumbers w:val="0"/>
                    <w:spacing w:before="0" w:beforeAutospacing="0" w:after="0" w:afterAutospacing="0" w:line="0" w:lineRule="atLeast"/>
                    <w:ind w:left="0" w:right="0"/>
                    <w:jc w:val="center"/>
                    <w:rPr>
                      <w:rFonts w:hint="eastAsia" w:eastAsia="宋体"/>
                      <w:color w:val="auto"/>
                      <w:sz w:val="21"/>
                      <w:szCs w:val="21"/>
                      <w:lang w:eastAsia="zh-CN"/>
                    </w:rPr>
                  </w:pPr>
                  <w:r>
                    <w:rPr>
                      <w:rFonts w:hint="eastAsia" w:eastAsia="宋体"/>
                      <w:color w:val="auto"/>
                      <w:sz w:val="21"/>
                      <w:szCs w:val="21"/>
                      <w:lang w:eastAsia="zh-CN"/>
                    </w:rPr>
                    <w:t>喷码</w:t>
                  </w:r>
                </w:p>
              </w:tc>
              <w:tc>
                <w:tcPr>
                  <w:tcW w:w="858" w:type="pct"/>
                  <w:noWrap w:val="0"/>
                  <w:vAlign w:val="center"/>
                </w:tcPr>
                <w:p w14:paraId="4241D575">
                  <w:pPr>
                    <w:keepNext w:val="0"/>
                    <w:keepLines w:val="0"/>
                    <w:suppressLineNumbers w:val="0"/>
                    <w:spacing w:before="0" w:beforeAutospacing="0" w:after="0" w:afterAutospacing="0" w:line="0" w:lineRule="atLeast"/>
                    <w:ind w:left="0" w:right="0"/>
                    <w:jc w:val="center"/>
                    <w:rPr>
                      <w:rFonts w:hint="eastAsia" w:eastAsia="宋体"/>
                      <w:color w:val="auto"/>
                      <w:sz w:val="21"/>
                      <w:szCs w:val="21"/>
                      <w:vertAlign w:val="baseline"/>
                      <w:lang w:val="en-US" w:eastAsia="zh-CN"/>
                    </w:rPr>
                  </w:pPr>
                  <w:r>
                    <w:rPr>
                      <w:rFonts w:hint="eastAsia" w:eastAsia="宋体"/>
                      <w:color w:val="auto"/>
                      <w:sz w:val="21"/>
                      <w:szCs w:val="21"/>
                      <w:vertAlign w:val="baseline"/>
                      <w:lang w:val="en-US" w:eastAsia="zh-CN"/>
                    </w:rPr>
                    <w:t>VOCs</w:t>
                  </w:r>
                </w:p>
              </w:tc>
              <w:tc>
                <w:tcPr>
                  <w:tcW w:w="1200" w:type="pct"/>
                  <w:vMerge w:val="continue"/>
                  <w:noWrap w:val="0"/>
                  <w:vAlign w:val="center"/>
                </w:tcPr>
                <w:p w14:paraId="1CCDFFF2">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p>
              </w:tc>
            </w:tr>
            <w:tr w14:paraId="5A7DB8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379" w:type="pct"/>
                  <w:vMerge w:val="continue"/>
                  <w:noWrap w:val="0"/>
                  <w:vAlign w:val="center"/>
                </w:tcPr>
                <w:p w14:paraId="2B7673F8">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429" w:type="pct"/>
                  <w:vMerge w:val="continue"/>
                  <w:noWrap w:val="0"/>
                  <w:vAlign w:val="center"/>
                </w:tcPr>
                <w:p w14:paraId="2A904C76">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948" w:type="pct"/>
                  <w:noWrap w:val="0"/>
                  <w:vAlign w:val="center"/>
                </w:tcPr>
                <w:p w14:paraId="20C5748E">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r>
                    <w:rPr>
                      <w:rFonts w:hint="eastAsia"/>
                      <w:color w:val="auto"/>
                      <w:sz w:val="21"/>
                      <w:szCs w:val="21"/>
                      <w:lang w:eastAsia="zh-CN"/>
                    </w:rPr>
                    <w:t>食堂油烟</w:t>
                  </w:r>
                </w:p>
              </w:tc>
              <w:tc>
                <w:tcPr>
                  <w:tcW w:w="1184" w:type="pct"/>
                  <w:noWrap w:val="0"/>
                  <w:vAlign w:val="center"/>
                </w:tcPr>
                <w:p w14:paraId="7570E736">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r>
                    <w:rPr>
                      <w:rFonts w:hint="eastAsia"/>
                      <w:color w:val="auto"/>
                      <w:sz w:val="21"/>
                      <w:szCs w:val="21"/>
                      <w:lang w:eastAsia="zh-CN"/>
                    </w:rPr>
                    <w:t>食堂</w:t>
                  </w:r>
                </w:p>
              </w:tc>
              <w:tc>
                <w:tcPr>
                  <w:tcW w:w="858" w:type="pct"/>
                  <w:noWrap w:val="0"/>
                  <w:vAlign w:val="center"/>
                </w:tcPr>
                <w:p w14:paraId="6C688300">
                  <w:pPr>
                    <w:keepNext w:val="0"/>
                    <w:keepLines w:val="0"/>
                    <w:suppressLineNumbers w:val="0"/>
                    <w:spacing w:before="0" w:beforeAutospacing="0" w:after="0" w:afterAutospacing="0" w:line="0" w:lineRule="atLeast"/>
                    <w:ind w:left="0" w:right="0"/>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油烟</w:t>
                  </w:r>
                </w:p>
              </w:tc>
              <w:tc>
                <w:tcPr>
                  <w:tcW w:w="1200" w:type="pct"/>
                  <w:noWrap w:val="0"/>
                  <w:vAlign w:val="center"/>
                </w:tcPr>
                <w:p w14:paraId="0F333AE9">
                  <w:pPr>
                    <w:keepNext w:val="0"/>
                    <w:keepLines w:val="0"/>
                    <w:suppressLineNumbers w:val="0"/>
                    <w:spacing w:before="0" w:beforeAutospacing="0" w:after="0" w:afterAutospacing="0" w:line="0" w:lineRule="atLeast"/>
                    <w:ind w:left="0" w:right="0"/>
                    <w:jc w:val="both"/>
                    <w:rPr>
                      <w:rFonts w:hint="default"/>
                      <w:color w:val="auto"/>
                      <w:sz w:val="21"/>
                      <w:szCs w:val="21"/>
                      <w:lang w:val="en-US" w:eastAsia="zh-CN"/>
                    </w:rPr>
                  </w:pPr>
                  <w:r>
                    <w:rPr>
                      <w:rFonts w:hint="eastAsia"/>
                      <w:color w:val="auto"/>
                      <w:sz w:val="21"/>
                      <w:szCs w:val="21"/>
                      <w:lang w:eastAsia="zh-CN"/>
                    </w:rPr>
                    <w:t>集气罩</w:t>
                  </w:r>
                  <w:r>
                    <w:rPr>
                      <w:rFonts w:hint="eastAsia"/>
                      <w:color w:val="auto"/>
                      <w:sz w:val="21"/>
                      <w:szCs w:val="21"/>
                      <w:lang w:val="en-US" w:eastAsia="zh-CN"/>
                    </w:rPr>
                    <w:t>+1套静电油烟净化器+房顶排气筒排放（DA002）</w:t>
                  </w:r>
                </w:p>
              </w:tc>
            </w:tr>
            <w:tr w14:paraId="281A74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379" w:type="pct"/>
                  <w:vMerge w:val="continue"/>
                  <w:noWrap w:val="0"/>
                  <w:vAlign w:val="center"/>
                </w:tcPr>
                <w:p w14:paraId="50F033CA">
                  <w:pPr>
                    <w:pStyle w:val="86"/>
                    <w:keepNext w:val="0"/>
                    <w:keepLines w:val="0"/>
                    <w:suppressLineNumbers w:val="0"/>
                    <w:spacing w:before="0" w:beforeAutospacing="0" w:after="0" w:afterAutospacing="0" w:line="0" w:lineRule="atLeast"/>
                    <w:ind w:left="0" w:right="0"/>
                    <w:rPr>
                      <w:rFonts w:hint="default" w:ascii="Times New Roman" w:hAnsi="Times New Roman"/>
                      <w:color w:val="auto"/>
                      <w:sz w:val="21"/>
                      <w:szCs w:val="21"/>
                    </w:rPr>
                  </w:pPr>
                </w:p>
              </w:tc>
              <w:tc>
                <w:tcPr>
                  <w:tcW w:w="429" w:type="pct"/>
                  <w:noWrap w:val="0"/>
                  <w:vAlign w:val="center"/>
                </w:tcPr>
                <w:p w14:paraId="3EDD728A">
                  <w:pPr>
                    <w:pStyle w:val="86"/>
                    <w:keepNext w:val="0"/>
                    <w:keepLines w:val="0"/>
                    <w:suppressLineNumbers w:val="0"/>
                    <w:spacing w:before="0" w:beforeAutospacing="0" w:after="0" w:afterAutospacing="0" w:line="0" w:lineRule="atLeast"/>
                    <w:ind w:left="0" w:right="0"/>
                    <w:rPr>
                      <w:rFonts w:hint="default" w:ascii="Times New Roman" w:hAnsi="Times New Roman"/>
                      <w:color w:val="auto"/>
                      <w:sz w:val="21"/>
                      <w:szCs w:val="21"/>
                    </w:rPr>
                  </w:pPr>
                  <w:r>
                    <w:rPr>
                      <w:rFonts w:hint="default" w:ascii="Times New Roman" w:hAnsi="Times New Roman"/>
                      <w:color w:val="auto"/>
                      <w:sz w:val="21"/>
                      <w:szCs w:val="21"/>
                    </w:rPr>
                    <w:t>噪声</w:t>
                  </w:r>
                </w:p>
              </w:tc>
              <w:tc>
                <w:tcPr>
                  <w:tcW w:w="948" w:type="pct"/>
                  <w:noWrap w:val="0"/>
                  <w:vAlign w:val="center"/>
                </w:tcPr>
                <w:p w14:paraId="79D4497C">
                  <w:pPr>
                    <w:keepNext w:val="0"/>
                    <w:keepLines w:val="0"/>
                    <w:suppressLineNumbers w:val="0"/>
                    <w:spacing w:before="0" w:beforeAutospacing="0" w:after="0" w:afterAutospacing="0" w:line="0" w:lineRule="atLeast"/>
                    <w:ind w:left="0" w:right="0"/>
                    <w:jc w:val="center"/>
                    <w:rPr>
                      <w:rFonts w:hint="default"/>
                      <w:color w:val="auto"/>
                      <w:sz w:val="21"/>
                      <w:szCs w:val="21"/>
                    </w:rPr>
                  </w:pPr>
                  <w:r>
                    <w:rPr>
                      <w:rFonts w:hint="default"/>
                      <w:color w:val="auto"/>
                      <w:sz w:val="21"/>
                      <w:szCs w:val="21"/>
                    </w:rPr>
                    <w:t>噪声</w:t>
                  </w:r>
                </w:p>
              </w:tc>
              <w:tc>
                <w:tcPr>
                  <w:tcW w:w="1184" w:type="pct"/>
                  <w:noWrap w:val="0"/>
                  <w:vAlign w:val="center"/>
                </w:tcPr>
                <w:p w14:paraId="640939AC">
                  <w:pPr>
                    <w:keepNext w:val="0"/>
                    <w:keepLines w:val="0"/>
                    <w:suppressLineNumbers w:val="0"/>
                    <w:spacing w:before="0" w:beforeAutospacing="0" w:after="0" w:afterAutospacing="0" w:line="0" w:lineRule="atLeast"/>
                    <w:ind w:left="0" w:right="0"/>
                    <w:jc w:val="center"/>
                    <w:rPr>
                      <w:rFonts w:hint="eastAsia"/>
                      <w:color w:val="auto"/>
                      <w:sz w:val="21"/>
                      <w:szCs w:val="21"/>
                    </w:rPr>
                  </w:pPr>
                  <w:r>
                    <w:rPr>
                      <w:rFonts w:hint="eastAsia"/>
                      <w:color w:val="auto"/>
                      <w:sz w:val="21"/>
                      <w:szCs w:val="21"/>
                    </w:rPr>
                    <w:t>设备噪声</w:t>
                  </w:r>
                </w:p>
              </w:tc>
              <w:tc>
                <w:tcPr>
                  <w:tcW w:w="858" w:type="pct"/>
                  <w:noWrap w:val="0"/>
                  <w:vAlign w:val="center"/>
                </w:tcPr>
                <w:p w14:paraId="6DD712BA">
                  <w:pPr>
                    <w:pStyle w:val="6"/>
                    <w:keepNext w:val="0"/>
                    <w:keepLines w:val="0"/>
                    <w:suppressLineNumbers w:val="0"/>
                    <w:spacing w:before="0" w:beforeAutospacing="0" w:after="0" w:afterAutospacing="0" w:line="0" w:lineRule="atLeast"/>
                    <w:ind w:left="0" w:right="0"/>
                    <w:rPr>
                      <w:rFonts w:hint="default"/>
                      <w:color w:val="auto"/>
                      <w:sz w:val="21"/>
                      <w:szCs w:val="21"/>
                    </w:rPr>
                  </w:pPr>
                  <w:r>
                    <w:rPr>
                      <w:rFonts w:hint="default"/>
                      <w:color w:val="auto"/>
                      <w:sz w:val="21"/>
                      <w:szCs w:val="21"/>
                    </w:rPr>
                    <w:t>噪声</w:t>
                  </w:r>
                </w:p>
              </w:tc>
              <w:tc>
                <w:tcPr>
                  <w:tcW w:w="1200" w:type="pct"/>
                  <w:noWrap w:val="0"/>
                  <w:vAlign w:val="center"/>
                </w:tcPr>
                <w:p w14:paraId="74475845">
                  <w:pPr>
                    <w:pStyle w:val="6"/>
                    <w:keepNext w:val="0"/>
                    <w:keepLines w:val="0"/>
                    <w:suppressLineNumbers w:val="0"/>
                    <w:spacing w:before="0" w:beforeAutospacing="0" w:after="0" w:afterAutospacing="0" w:line="0" w:lineRule="atLeast"/>
                    <w:ind w:left="0" w:right="0"/>
                    <w:rPr>
                      <w:rFonts w:hint="eastAsia" w:eastAsia="宋体"/>
                      <w:color w:val="auto"/>
                      <w:sz w:val="21"/>
                      <w:szCs w:val="21"/>
                      <w:lang w:eastAsia="zh-CN"/>
                    </w:rPr>
                  </w:pPr>
                  <w:r>
                    <w:rPr>
                      <w:rFonts w:hint="eastAsia"/>
                      <w:color w:val="auto"/>
                      <w:sz w:val="21"/>
                      <w:szCs w:val="21"/>
                      <w:lang w:eastAsia="zh-CN"/>
                    </w:rPr>
                    <w:t>减振、隔声</w:t>
                  </w:r>
                </w:p>
              </w:tc>
            </w:tr>
            <w:tr w14:paraId="38137E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379" w:type="pct"/>
                  <w:vMerge w:val="continue"/>
                  <w:noWrap w:val="0"/>
                  <w:vAlign w:val="center"/>
                </w:tcPr>
                <w:p w14:paraId="3B53F828">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429" w:type="pct"/>
                  <w:vMerge w:val="restart"/>
                  <w:noWrap w:val="0"/>
                  <w:vAlign w:val="center"/>
                </w:tcPr>
                <w:p w14:paraId="08EA1619">
                  <w:pPr>
                    <w:keepNext w:val="0"/>
                    <w:keepLines w:val="0"/>
                    <w:suppressLineNumbers w:val="0"/>
                    <w:spacing w:before="0" w:beforeAutospacing="0" w:after="0" w:afterAutospacing="0" w:line="0" w:lineRule="atLeast"/>
                    <w:ind w:left="0" w:right="0"/>
                    <w:jc w:val="center"/>
                    <w:rPr>
                      <w:rFonts w:hint="default"/>
                      <w:color w:val="auto"/>
                      <w:sz w:val="21"/>
                      <w:szCs w:val="21"/>
                      <w:u w:val="single"/>
                    </w:rPr>
                  </w:pPr>
                  <w:r>
                    <w:rPr>
                      <w:rFonts w:hint="default"/>
                      <w:color w:val="auto"/>
                      <w:sz w:val="21"/>
                      <w:szCs w:val="21"/>
                    </w:rPr>
                    <w:t>固废</w:t>
                  </w:r>
                </w:p>
              </w:tc>
              <w:tc>
                <w:tcPr>
                  <w:tcW w:w="948" w:type="pct"/>
                  <w:noWrap w:val="0"/>
                  <w:vAlign w:val="center"/>
                </w:tcPr>
                <w:p w14:paraId="452974D4">
                  <w:pPr>
                    <w:pStyle w:val="86"/>
                    <w:keepNext w:val="0"/>
                    <w:keepLines w:val="0"/>
                    <w:suppressLineNumbers w:val="0"/>
                    <w:spacing w:before="0" w:beforeAutospacing="0" w:after="0" w:afterAutospacing="0" w:line="0" w:lineRule="atLeast"/>
                    <w:ind w:left="0" w:right="0"/>
                    <w:rPr>
                      <w:rFonts w:hint="default" w:ascii="Times New Roman" w:hAnsi="Times New Roman"/>
                      <w:color w:val="auto"/>
                      <w:sz w:val="21"/>
                      <w:szCs w:val="21"/>
                    </w:rPr>
                  </w:pPr>
                  <w:r>
                    <w:rPr>
                      <w:rFonts w:hint="default" w:ascii="Times New Roman" w:hAnsi="Times New Roman"/>
                      <w:color w:val="auto"/>
                      <w:sz w:val="21"/>
                      <w:szCs w:val="21"/>
                    </w:rPr>
                    <w:t>生活垃圾</w:t>
                  </w:r>
                </w:p>
              </w:tc>
              <w:tc>
                <w:tcPr>
                  <w:tcW w:w="1184" w:type="pct"/>
                  <w:noWrap w:val="0"/>
                  <w:vAlign w:val="center"/>
                </w:tcPr>
                <w:p w14:paraId="253DB689">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default" w:ascii="Times New Roman" w:hAnsi="Times New Roman" w:eastAsia="宋体" w:cs="Times New Roman"/>
                      <w:color w:val="auto"/>
                      <w:kern w:val="0"/>
                      <w:sz w:val="21"/>
                      <w:szCs w:val="21"/>
                      <w:vertAlign w:val="baseline"/>
                      <w:lang w:val="en-US" w:eastAsia="zh-CN" w:bidi="ar-SA"/>
                    </w:rPr>
                  </w:pPr>
                  <w:r>
                    <w:rPr>
                      <w:rFonts w:hint="default" w:ascii="Times New Roman" w:hAnsi="Times New Roman" w:eastAsia="宋体" w:cs="Times New Roman"/>
                      <w:color w:val="auto"/>
                      <w:sz w:val="21"/>
                      <w:szCs w:val="21"/>
                      <w:vertAlign w:val="baseline"/>
                      <w:lang w:eastAsia="zh-CN"/>
                    </w:rPr>
                    <w:t>员工办公</w:t>
                  </w:r>
                </w:p>
              </w:tc>
              <w:tc>
                <w:tcPr>
                  <w:tcW w:w="858" w:type="pct"/>
                  <w:noWrap w:val="0"/>
                  <w:vAlign w:val="center"/>
                </w:tcPr>
                <w:p w14:paraId="1D1CB062">
                  <w:pPr>
                    <w:keepNext w:val="0"/>
                    <w:keepLines w:val="0"/>
                    <w:suppressLineNumbers w:val="0"/>
                    <w:spacing w:before="0" w:beforeAutospacing="0" w:after="0" w:afterAutospacing="0" w:line="0" w:lineRule="atLeast"/>
                    <w:ind w:left="0" w:right="0"/>
                    <w:jc w:val="center"/>
                    <w:rPr>
                      <w:rFonts w:hint="default"/>
                      <w:color w:val="auto"/>
                      <w:sz w:val="21"/>
                      <w:szCs w:val="21"/>
                    </w:rPr>
                  </w:pPr>
                  <w:r>
                    <w:rPr>
                      <w:rFonts w:hint="default"/>
                      <w:color w:val="auto"/>
                      <w:sz w:val="21"/>
                      <w:szCs w:val="21"/>
                    </w:rPr>
                    <w:t>生活垃圾</w:t>
                  </w:r>
                </w:p>
              </w:tc>
              <w:tc>
                <w:tcPr>
                  <w:tcW w:w="1200" w:type="pct"/>
                  <w:noWrap w:val="0"/>
                  <w:vAlign w:val="center"/>
                </w:tcPr>
                <w:p w14:paraId="4D3B7D4E">
                  <w:pPr>
                    <w:keepNext w:val="0"/>
                    <w:keepLines w:val="0"/>
                    <w:suppressLineNumbers w:val="0"/>
                    <w:spacing w:before="0" w:beforeAutospacing="0" w:after="0" w:afterAutospacing="0" w:line="0" w:lineRule="atLeast"/>
                    <w:ind w:left="0" w:right="0"/>
                    <w:jc w:val="center"/>
                    <w:rPr>
                      <w:rFonts w:hint="eastAsia" w:eastAsia="宋体"/>
                      <w:color w:val="auto"/>
                      <w:sz w:val="21"/>
                      <w:szCs w:val="21"/>
                      <w:lang w:eastAsia="zh-CN"/>
                    </w:rPr>
                  </w:pPr>
                  <w:bookmarkStart w:id="19" w:name="OLE_LINK103"/>
                  <w:r>
                    <w:rPr>
                      <w:rFonts w:hint="eastAsia"/>
                      <w:color w:val="auto"/>
                      <w:sz w:val="21"/>
                      <w:szCs w:val="21"/>
                      <w:lang w:eastAsia="zh-CN"/>
                    </w:rPr>
                    <w:t>环卫部门清运</w:t>
                  </w:r>
                  <w:bookmarkEnd w:id="19"/>
                </w:p>
              </w:tc>
            </w:tr>
            <w:tr w14:paraId="5F3E23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379" w:type="pct"/>
                  <w:vMerge w:val="continue"/>
                  <w:noWrap w:val="0"/>
                  <w:vAlign w:val="center"/>
                </w:tcPr>
                <w:p w14:paraId="0D588406">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429" w:type="pct"/>
                  <w:vMerge w:val="continue"/>
                  <w:noWrap w:val="0"/>
                  <w:vAlign w:val="center"/>
                </w:tcPr>
                <w:p w14:paraId="65D150E8">
                  <w:pPr>
                    <w:keepNext w:val="0"/>
                    <w:keepLines w:val="0"/>
                    <w:suppressLineNumbers w:val="0"/>
                    <w:spacing w:before="0" w:beforeAutospacing="0" w:after="0" w:afterAutospacing="0" w:line="0" w:lineRule="atLeast"/>
                    <w:ind w:left="0" w:right="0"/>
                    <w:jc w:val="center"/>
                    <w:rPr>
                      <w:rFonts w:hint="default"/>
                      <w:color w:val="auto"/>
                      <w:sz w:val="21"/>
                      <w:szCs w:val="21"/>
                      <w:u w:val="single"/>
                    </w:rPr>
                  </w:pPr>
                </w:p>
              </w:tc>
              <w:tc>
                <w:tcPr>
                  <w:tcW w:w="948" w:type="pct"/>
                  <w:noWrap w:val="0"/>
                  <w:vAlign w:val="center"/>
                </w:tcPr>
                <w:p w14:paraId="6BB9DC78">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bCs/>
                      <w:color w:val="auto"/>
                      <w:kern w:val="0"/>
                      <w:sz w:val="21"/>
                      <w:szCs w:val="21"/>
                      <w:lang w:eastAsia="zh-CN"/>
                    </w:rPr>
                  </w:pPr>
                  <w:r>
                    <w:rPr>
                      <w:rFonts w:hint="eastAsia" w:ascii="宋体" w:hAnsi="宋体" w:eastAsia="宋体" w:cs="宋体"/>
                      <w:bCs/>
                      <w:color w:val="auto"/>
                      <w:kern w:val="0"/>
                      <w:sz w:val="21"/>
                      <w:szCs w:val="21"/>
                      <w:lang w:eastAsia="zh-CN"/>
                    </w:rPr>
                    <w:t>废</w:t>
                  </w:r>
                  <w:r>
                    <w:rPr>
                      <w:rFonts w:hint="eastAsia" w:ascii="宋体" w:hAnsi="宋体" w:cs="宋体"/>
                      <w:bCs/>
                      <w:color w:val="auto"/>
                      <w:kern w:val="0"/>
                      <w:sz w:val="21"/>
                      <w:szCs w:val="21"/>
                      <w:lang w:eastAsia="zh-CN"/>
                    </w:rPr>
                    <w:t>包装</w:t>
                  </w:r>
                </w:p>
              </w:tc>
              <w:tc>
                <w:tcPr>
                  <w:tcW w:w="1184" w:type="pct"/>
                  <w:noWrap w:val="0"/>
                  <w:vAlign w:val="center"/>
                </w:tcPr>
                <w:p w14:paraId="217D51E8">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Times New Roman" w:hAnsi="Times New Roman" w:eastAsia="宋体" w:cs="Times New Roman"/>
                      <w:color w:val="auto"/>
                      <w:kern w:val="0"/>
                      <w:sz w:val="21"/>
                      <w:szCs w:val="21"/>
                      <w:vertAlign w:val="baseline"/>
                      <w:lang w:val="en-US" w:eastAsia="zh-CN" w:bidi="ar-SA"/>
                    </w:rPr>
                  </w:pPr>
                  <w:r>
                    <w:rPr>
                      <w:rFonts w:hint="eastAsia" w:cs="Times New Roman"/>
                      <w:color w:val="auto"/>
                      <w:kern w:val="0"/>
                      <w:sz w:val="21"/>
                      <w:szCs w:val="21"/>
                      <w:vertAlign w:val="baseline"/>
                      <w:lang w:val="en-US" w:eastAsia="zh-CN" w:bidi="ar-SA"/>
                    </w:rPr>
                    <w:t>原料使用</w:t>
                  </w:r>
                </w:p>
              </w:tc>
              <w:tc>
                <w:tcPr>
                  <w:tcW w:w="858" w:type="pct"/>
                  <w:noWrap w:val="0"/>
                  <w:vAlign w:val="center"/>
                </w:tcPr>
                <w:p w14:paraId="0C94601F">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r>
                    <w:rPr>
                      <w:rFonts w:hint="eastAsia"/>
                      <w:color w:val="auto"/>
                      <w:sz w:val="21"/>
                      <w:szCs w:val="21"/>
                      <w:lang w:eastAsia="zh-CN"/>
                    </w:rPr>
                    <w:t>包装袋</w:t>
                  </w:r>
                </w:p>
              </w:tc>
              <w:tc>
                <w:tcPr>
                  <w:tcW w:w="1200" w:type="pct"/>
                  <w:noWrap w:val="0"/>
                  <w:vAlign w:val="center"/>
                </w:tcPr>
                <w:p w14:paraId="67BC628C">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r>
                    <w:rPr>
                      <w:rFonts w:hint="eastAsia"/>
                      <w:color w:val="auto"/>
                      <w:sz w:val="21"/>
                      <w:szCs w:val="21"/>
                      <w:lang w:eastAsia="zh-CN"/>
                    </w:rPr>
                    <w:t>一般固废间暂存，外售相关物资回收部门</w:t>
                  </w:r>
                </w:p>
              </w:tc>
            </w:tr>
            <w:tr w14:paraId="1D5726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379" w:type="pct"/>
                  <w:vMerge w:val="continue"/>
                  <w:noWrap w:val="0"/>
                  <w:vAlign w:val="center"/>
                </w:tcPr>
                <w:p w14:paraId="6DAB23A7">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429" w:type="pct"/>
                  <w:vMerge w:val="continue"/>
                  <w:noWrap w:val="0"/>
                  <w:vAlign w:val="center"/>
                </w:tcPr>
                <w:p w14:paraId="1E4D8AF8">
                  <w:pPr>
                    <w:keepNext w:val="0"/>
                    <w:keepLines w:val="0"/>
                    <w:suppressLineNumbers w:val="0"/>
                    <w:spacing w:before="0" w:beforeAutospacing="0" w:after="0" w:afterAutospacing="0" w:line="0" w:lineRule="atLeast"/>
                    <w:ind w:left="0" w:right="0"/>
                    <w:jc w:val="center"/>
                    <w:rPr>
                      <w:rFonts w:hint="default"/>
                      <w:color w:val="auto"/>
                      <w:sz w:val="21"/>
                      <w:szCs w:val="21"/>
                      <w:u w:val="single"/>
                    </w:rPr>
                  </w:pPr>
                </w:p>
              </w:tc>
              <w:tc>
                <w:tcPr>
                  <w:tcW w:w="948" w:type="pct"/>
                  <w:noWrap w:val="0"/>
                  <w:vAlign w:val="center"/>
                </w:tcPr>
                <w:p w14:paraId="7B070AEF">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bCs/>
                      <w:color w:val="auto"/>
                      <w:kern w:val="0"/>
                      <w:sz w:val="21"/>
                      <w:szCs w:val="21"/>
                      <w:lang w:eastAsia="zh-CN"/>
                    </w:rPr>
                  </w:pPr>
                  <w:r>
                    <w:rPr>
                      <w:rFonts w:hint="eastAsia" w:ascii="宋体" w:hAnsi="宋体" w:cs="宋体"/>
                      <w:bCs/>
                      <w:color w:val="auto"/>
                      <w:kern w:val="0"/>
                      <w:sz w:val="21"/>
                      <w:szCs w:val="21"/>
                      <w:lang w:eastAsia="zh-CN"/>
                    </w:rPr>
                    <w:t>边角料、不合格产品</w:t>
                  </w:r>
                </w:p>
              </w:tc>
              <w:tc>
                <w:tcPr>
                  <w:tcW w:w="1184" w:type="pct"/>
                  <w:noWrap w:val="0"/>
                  <w:vAlign w:val="center"/>
                </w:tcPr>
                <w:p w14:paraId="0D6722C8">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Times New Roman" w:hAnsi="Times New Roman" w:eastAsia="宋体" w:cs="Times New Roman"/>
                      <w:color w:val="auto"/>
                      <w:kern w:val="0"/>
                      <w:sz w:val="21"/>
                      <w:szCs w:val="21"/>
                      <w:vertAlign w:val="baseline"/>
                      <w:lang w:val="en-US" w:eastAsia="zh-CN" w:bidi="ar-SA"/>
                    </w:rPr>
                  </w:pPr>
                  <w:r>
                    <w:rPr>
                      <w:rFonts w:hint="eastAsia" w:cs="Times New Roman"/>
                      <w:color w:val="auto"/>
                      <w:kern w:val="0"/>
                      <w:sz w:val="21"/>
                      <w:szCs w:val="21"/>
                      <w:vertAlign w:val="baseline"/>
                      <w:lang w:val="en-US" w:eastAsia="zh-CN" w:bidi="ar-SA"/>
                    </w:rPr>
                    <w:t>编织、高频复合、收卷、</w:t>
                  </w:r>
                </w:p>
              </w:tc>
              <w:tc>
                <w:tcPr>
                  <w:tcW w:w="858" w:type="pct"/>
                  <w:noWrap w:val="0"/>
                  <w:vAlign w:val="center"/>
                </w:tcPr>
                <w:p w14:paraId="04B38AAE">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r>
                    <w:rPr>
                      <w:rFonts w:hint="eastAsia" w:ascii="宋体" w:hAnsi="宋体" w:cs="宋体"/>
                      <w:bCs/>
                      <w:color w:val="auto"/>
                      <w:kern w:val="0"/>
                      <w:sz w:val="21"/>
                      <w:szCs w:val="21"/>
                      <w:lang w:eastAsia="zh-CN"/>
                    </w:rPr>
                    <w:t>边角料、不合格产品</w:t>
                  </w:r>
                </w:p>
              </w:tc>
              <w:tc>
                <w:tcPr>
                  <w:tcW w:w="1200" w:type="pct"/>
                  <w:noWrap w:val="0"/>
                  <w:vAlign w:val="center"/>
                </w:tcPr>
                <w:p w14:paraId="2680BDAF">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r>
                    <w:rPr>
                      <w:rFonts w:hint="eastAsia"/>
                      <w:color w:val="auto"/>
                      <w:sz w:val="21"/>
                      <w:szCs w:val="21"/>
                      <w:lang w:eastAsia="zh-CN"/>
                    </w:rPr>
                    <w:t>回用于生产</w:t>
                  </w:r>
                </w:p>
              </w:tc>
            </w:tr>
            <w:tr w14:paraId="6E08D4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379" w:type="pct"/>
                  <w:vMerge w:val="continue"/>
                  <w:noWrap w:val="0"/>
                  <w:vAlign w:val="center"/>
                </w:tcPr>
                <w:p w14:paraId="0BE2120E">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429" w:type="pct"/>
                  <w:vMerge w:val="continue"/>
                  <w:noWrap w:val="0"/>
                  <w:vAlign w:val="center"/>
                </w:tcPr>
                <w:p w14:paraId="7D177815">
                  <w:pPr>
                    <w:keepNext w:val="0"/>
                    <w:keepLines w:val="0"/>
                    <w:suppressLineNumbers w:val="0"/>
                    <w:spacing w:before="0" w:beforeAutospacing="0" w:after="0" w:afterAutospacing="0" w:line="0" w:lineRule="atLeast"/>
                    <w:ind w:left="0" w:right="0"/>
                    <w:jc w:val="center"/>
                    <w:rPr>
                      <w:rFonts w:hint="default"/>
                      <w:color w:val="auto"/>
                      <w:sz w:val="21"/>
                      <w:szCs w:val="21"/>
                      <w:u w:val="single"/>
                    </w:rPr>
                  </w:pPr>
                </w:p>
              </w:tc>
              <w:tc>
                <w:tcPr>
                  <w:tcW w:w="948" w:type="pct"/>
                  <w:noWrap w:val="0"/>
                  <w:vAlign w:val="center"/>
                </w:tcPr>
                <w:p w14:paraId="150768DC">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bCs/>
                      <w:color w:val="auto"/>
                      <w:kern w:val="0"/>
                      <w:sz w:val="21"/>
                      <w:szCs w:val="21"/>
                      <w:lang w:eastAsia="zh-CN"/>
                    </w:rPr>
                  </w:pPr>
                  <w:r>
                    <w:rPr>
                      <w:rFonts w:hint="eastAsia" w:ascii="宋体" w:hAnsi="宋体" w:eastAsia="宋体" w:cs="宋体"/>
                      <w:bCs/>
                      <w:color w:val="auto"/>
                      <w:kern w:val="0"/>
                      <w:sz w:val="21"/>
                      <w:szCs w:val="21"/>
                      <w:lang w:eastAsia="zh-CN"/>
                    </w:rPr>
                    <w:t>废活性炭</w:t>
                  </w:r>
                </w:p>
              </w:tc>
              <w:tc>
                <w:tcPr>
                  <w:tcW w:w="1184" w:type="pct"/>
                  <w:noWrap w:val="0"/>
                  <w:vAlign w:val="center"/>
                </w:tcPr>
                <w:p w14:paraId="2F125F95">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Times New Roman" w:hAnsi="Times New Roman" w:eastAsia="宋体" w:cs="Times New Roman"/>
                      <w:color w:val="auto"/>
                      <w:kern w:val="0"/>
                      <w:sz w:val="21"/>
                      <w:szCs w:val="21"/>
                      <w:vertAlign w:val="baseline"/>
                      <w:lang w:val="en-US" w:eastAsia="zh-CN" w:bidi="ar-SA"/>
                    </w:rPr>
                  </w:pPr>
                  <w:r>
                    <w:rPr>
                      <w:rFonts w:hint="eastAsia" w:cs="Times New Roman"/>
                      <w:color w:val="auto"/>
                      <w:kern w:val="0"/>
                      <w:sz w:val="21"/>
                      <w:szCs w:val="21"/>
                      <w:vertAlign w:val="baseline"/>
                      <w:lang w:val="en-US" w:eastAsia="zh-CN" w:bidi="ar-SA"/>
                    </w:rPr>
                    <w:t>废气处理</w:t>
                  </w:r>
                </w:p>
              </w:tc>
              <w:tc>
                <w:tcPr>
                  <w:tcW w:w="858" w:type="pct"/>
                  <w:noWrap w:val="0"/>
                  <w:vAlign w:val="center"/>
                </w:tcPr>
                <w:p w14:paraId="1BF50BCD">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r>
                    <w:rPr>
                      <w:rFonts w:hint="eastAsia" w:ascii="宋体" w:hAnsi="宋体" w:eastAsia="宋体" w:cs="宋体"/>
                      <w:bCs/>
                      <w:color w:val="auto"/>
                      <w:kern w:val="0"/>
                      <w:sz w:val="21"/>
                      <w:szCs w:val="21"/>
                      <w:lang w:eastAsia="zh-CN"/>
                    </w:rPr>
                    <w:t>废活性炭</w:t>
                  </w:r>
                </w:p>
              </w:tc>
              <w:tc>
                <w:tcPr>
                  <w:tcW w:w="1200" w:type="pct"/>
                  <w:noWrap w:val="0"/>
                  <w:vAlign w:val="center"/>
                </w:tcPr>
                <w:p w14:paraId="138EC85A">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r>
                    <w:rPr>
                      <w:rFonts w:hint="eastAsia"/>
                      <w:color w:val="auto"/>
                      <w:sz w:val="21"/>
                      <w:szCs w:val="21"/>
                      <w:lang w:eastAsia="zh-CN"/>
                    </w:rPr>
                    <w:t>危废间暂存，委托有资质单位处置</w:t>
                  </w:r>
                </w:p>
              </w:tc>
            </w:tr>
            <w:tr w14:paraId="406B39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379" w:type="pct"/>
                  <w:vMerge w:val="continue"/>
                  <w:noWrap w:val="0"/>
                  <w:vAlign w:val="center"/>
                </w:tcPr>
                <w:p w14:paraId="6A2E90EF">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429" w:type="pct"/>
                  <w:vMerge w:val="continue"/>
                  <w:noWrap w:val="0"/>
                  <w:vAlign w:val="center"/>
                </w:tcPr>
                <w:p w14:paraId="46BBD992">
                  <w:pPr>
                    <w:keepNext w:val="0"/>
                    <w:keepLines w:val="0"/>
                    <w:suppressLineNumbers w:val="0"/>
                    <w:spacing w:before="0" w:beforeAutospacing="0" w:after="0" w:afterAutospacing="0" w:line="0" w:lineRule="atLeast"/>
                    <w:ind w:left="0" w:right="0"/>
                    <w:jc w:val="center"/>
                    <w:rPr>
                      <w:rFonts w:hint="default"/>
                      <w:color w:val="auto"/>
                      <w:sz w:val="21"/>
                      <w:szCs w:val="21"/>
                      <w:u w:val="single"/>
                    </w:rPr>
                  </w:pPr>
                </w:p>
              </w:tc>
              <w:tc>
                <w:tcPr>
                  <w:tcW w:w="948" w:type="pct"/>
                  <w:noWrap w:val="0"/>
                  <w:vAlign w:val="center"/>
                </w:tcPr>
                <w:p w14:paraId="61D5E5BE">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bCs/>
                      <w:color w:val="auto"/>
                      <w:kern w:val="0"/>
                      <w:sz w:val="21"/>
                      <w:szCs w:val="21"/>
                      <w:lang w:eastAsia="zh-CN"/>
                    </w:rPr>
                  </w:pPr>
                  <w:r>
                    <w:rPr>
                      <w:rFonts w:hint="eastAsia" w:ascii="宋体" w:hAnsi="宋体" w:cs="宋体"/>
                      <w:bCs/>
                      <w:color w:val="auto"/>
                      <w:kern w:val="0"/>
                      <w:sz w:val="21"/>
                      <w:szCs w:val="21"/>
                      <w:lang w:eastAsia="zh-CN"/>
                    </w:rPr>
                    <w:t>废催化剂</w:t>
                  </w:r>
                </w:p>
              </w:tc>
              <w:tc>
                <w:tcPr>
                  <w:tcW w:w="1184" w:type="pct"/>
                  <w:noWrap w:val="0"/>
                  <w:vAlign w:val="center"/>
                </w:tcPr>
                <w:p w14:paraId="1E3B73E3">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cs="Times New Roman"/>
                      <w:color w:val="auto"/>
                      <w:kern w:val="0"/>
                      <w:sz w:val="21"/>
                      <w:szCs w:val="21"/>
                      <w:vertAlign w:val="baseline"/>
                      <w:lang w:val="en-US" w:eastAsia="zh-CN" w:bidi="ar-SA"/>
                    </w:rPr>
                  </w:pPr>
                  <w:r>
                    <w:rPr>
                      <w:rFonts w:hint="eastAsia" w:cs="Times New Roman"/>
                      <w:color w:val="auto"/>
                      <w:kern w:val="0"/>
                      <w:sz w:val="21"/>
                      <w:szCs w:val="21"/>
                      <w:vertAlign w:val="baseline"/>
                      <w:lang w:val="en-US" w:eastAsia="zh-CN" w:bidi="ar-SA"/>
                    </w:rPr>
                    <w:t>废气处理</w:t>
                  </w:r>
                </w:p>
              </w:tc>
              <w:tc>
                <w:tcPr>
                  <w:tcW w:w="858" w:type="pct"/>
                  <w:noWrap w:val="0"/>
                  <w:vAlign w:val="center"/>
                </w:tcPr>
                <w:p w14:paraId="4719878C">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r>
                    <w:rPr>
                      <w:rFonts w:hint="eastAsia" w:ascii="宋体" w:hAnsi="宋体" w:cs="宋体"/>
                      <w:bCs/>
                      <w:color w:val="auto"/>
                      <w:kern w:val="0"/>
                      <w:sz w:val="21"/>
                      <w:szCs w:val="21"/>
                      <w:lang w:eastAsia="zh-CN"/>
                    </w:rPr>
                    <w:t>废催化剂</w:t>
                  </w:r>
                </w:p>
              </w:tc>
              <w:tc>
                <w:tcPr>
                  <w:tcW w:w="1200" w:type="pct"/>
                  <w:noWrap w:val="0"/>
                  <w:vAlign w:val="center"/>
                </w:tcPr>
                <w:p w14:paraId="69A0D3AB">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r>
                    <w:rPr>
                      <w:rFonts w:hint="eastAsia"/>
                      <w:color w:val="auto"/>
                      <w:sz w:val="21"/>
                      <w:szCs w:val="21"/>
                      <w:lang w:eastAsia="zh-CN"/>
                    </w:rPr>
                    <w:t>危废间暂存，委托有资质单位处置</w:t>
                  </w:r>
                </w:p>
              </w:tc>
            </w:tr>
            <w:tr w14:paraId="319CD3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379" w:type="pct"/>
                  <w:vMerge w:val="continue"/>
                  <w:noWrap w:val="0"/>
                  <w:vAlign w:val="center"/>
                </w:tcPr>
                <w:p w14:paraId="2D5FFB55">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429" w:type="pct"/>
                  <w:vMerge w:val="continue"/>
                  <w:noWrap w:val="0"/>
                  <w:vAlign w:val="center"/>
                </w:tcPr>
                <w:p w14:paraId="05ED6388">
                  <w:pPr>
                    <w:keepNext w:val="0"/>
                    <w:keepLines w:val="0"/>
                    <w:suppressLineNumbers w:val="0"/>
                    <w:spacing w:before="0" w:beforeAutospacing="0" w:after="0" w:afterAutospacing="0" w:line="0" w:lineRule="atLeast"/>
                    <w:ind w:left="0" w:right="0"/>
                    <w:jc w:val="center"/>
                    <w:rPr>
                      <w:rFonts w:hint="default"/>
                      <w:color w:val="auto"/>
                      <w:sz w:val="21"/>
                      <w:szCs w:val="21"/>
                      <w:u w:val="single"/>
                    </w:rPr>
                  </w:pPr>
                </w:p>
              </w:tc>
              <w:tc>
                <w:tcPr>
                  <w:tcW w:w="948" w:type="pct"/>
                  <w:noWrap w:val="0"/>
                  <w:vAlign w:val="center"/>
                </w:tcPr>
                <w:p w14:paraId="07B08D2D">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cs="宋体"/>
                      <w:bCs/>
                      <w:color w:val="auto"/>
                      <w:kern w:val="0"/>
                      <w:sz w:val="21"/>
                      <w:szCs w:val="21"/>
                      <w:lang w:eastAsia="zh-CN"/>
                    </w:rPr>
                  </w:pPr>
                  <w:r>
                    <w:rPr>
                      <w:rFonts w:hint="eastAsia" w:ascii="宋体" w:hAnsi="宋体" w:cs="宋体"/>
                      <w:bCs/>
                      <w:color w:val="auto"/>
                      <w:kern w:val="0"/>
                      <w:sz w:val="21"/>
                      <w:szCs w:val="21"/>
                      <w:lang w:eastAsia="zh-CN"/>
                    </w:rPr>
                    <w:t>废油脂</w:t>
                  </w:r>
                </w:p>
              </w:tc>
              <w:tc>
                <w:tcPr>
                  <w:tcW w:w="1184" w:type="pct"/>
                  <w:noWrap w:val="0"/>
                  <w:vAlign w:val="center"/>
                </w:tcPr>
                <w:p w14:paraId="13F8F3DD">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cs="Times New Roman"/>
                      <w:color w:val="auto"/>
                      <w:kern w:val="0"/>
                      <w:sz w:val="21"/>
                      <w:szCs w:val="21"/>
                      <w:vertAlign w:val="baseline"/>
                      <w:lang w:val="en-US" w:eastAsia="zh-CN" w:bidi="ar-SA"/>
                    </w:rPr>
                  </w:pPr>
                  <w:r>
                    <w:rPr>
                      <w:rFonts w:hint="eastAsia" w:cs="Times New Roman"/>
                      <w:color w:val="auto"/>
                      <w:kern w:val="0"/>
                      <w:sz w:val="21"/>
                      <w:szCs w:val="21"/>
                      <w:vertAlign w:val="baseline"/>
                      <w:lang w:val="en-US" w:eastAsia="zh-CN" w:bidi="ar-SA"/>
                    </w:rPr>
                    <w:t>食堂</w:t>
                  </w:r>
                </w:p>
              </w:tc>
              <w:tc>
                <w:tcPr>
                  <w:tcW w:w="858" w:type="pct"/>
                  <w:noWrap w:val="0"/>
                  <w:vAlign w:val="center"/>
                </w:tcPr>
                <w:p w14:paraId="70B01308">
                  <w:pPr>
                    <w:keepNext w:val="0"/>
                    <w:keepLines w:val="0"/>
                    <w:suppressLineNumbers w:val="0"/>
                    <w:spacing w:before="0" w:beforeAutospacing="0" w:after="0" w:afterAutospacing="0" w:line="0" w:lineRule="atLeast"/>
                    <w:ind w:left="0" w:right="0"/>
                    <w:jc w:val="center"/>
                    <w:rPr>
                      <w:rFonts w:hint="eastAsia" w:ascii="宋体" w:hAnsi="宋体" w:cs="宋体"/>
                      <w:bCs/>
                      <w:color w:val="auto"/>
                      <w:kern w:val="0"/>
                      <w:sz w:val="21"/>
                      <w:szCs w:val="21"/>
                      <w:lang w:eastAsia="zh-CN"/>
                    </w:rPr>
                  </w:pPr>
                  <w:r>
                    <w:rPr>
                      <w:rFonts w:hint="eastAsia" w:ascii="宋体" w:hAnsi="宋体" w:cs="宋体"/>
                      <w:bCs/>
                      <w:color w:val="auto"/>
                      <w:kern w:val="0"/>
                      <w:sz w:val="21"/>
                      <w:szCs w:val="21"/>
                      <w:lang w:eastAsia="zh-CN"/>
                    </w:rPr>
                    <w:t>油脂</w:t>
                  </w:r>
                </w:p>
              </w:tc>
              <w:tc>
                <w:tcPr>
                  <w:tcW w:w="1200" w:type="pct"/>
                  <w:noWrap w:val="0"/>
                  <w:vAlign w:val="center"/>
                </w:tcPr>
                <w:p w14:paraId="7461D640">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r>
                    <w:rPr>
                      <w:rFonts w:hint="eastAsia"/>
                      <w:color w:val="auto"/>
                      <w:sz w:val="21"/>
                      <w:szCs w:val="21"/>
                      <w:lang w:eastAsia="zh-CN"/>
                    </w:rPr>
                    <w:t>一般固废间暂存，</w:t>
                  </w:r>
                  <w:r>
                    <w:rPr>
                      <w:rFonts w:hint="eastAsia"/>
                      <w:color w:val="auto"/>
                      <w:sz w:val="21"/>
                      <w:szCs w:val="21"/>
                      <w:lang w:val="en-US" w:eastAsia="zh-CN"/>
                    </w:rPr>
                    <w:t>定期由市政部门收运处置</w:t>
                  </w:r>
                </w:p>
              </w:tc>
            </w:tr>
            <w:tr w14:paraId="0AD974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379" w:type="pct"/>
                  <w:vMerge w:val="continue"/>
                  <w:noWrap w:val="0"/>
                  <w:vAlign w:val="center"/>
                </w:tcPr>
                <w:p w14:paraId="3AE3D963">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429" w:type="pct"/>
                  <w:vMerge w:val="continue"/>
                  <w:noWrap w:val="0"/>
                  <w:vAlign w:val="center"/>
                </w:tcPr>
                <w:p w14:paraId="23DB68F9">
                  <w:pPr>
                    <w:keepNext w:val="0"/>
                    <w:keepLines w:val="0"/>
                    <w:suppressLineNumbers w:val="0"/>
                    <w:spacing w:before="0" w:beforeAutospacing="0" w:after="0" w:afterAutospacing="0" w:line="0" w:lineRule="atLeast"/>
                    <w:ind w:left="0" w:right="0"/>
                    <w:jc w:val="center"/>
                    <w:rPr>
                      <w:rFonts w:hint="default"/>
                      <w:color w:val="auto"/>
                      <w:sz w:val="21"/>
                      <w:szCs w:val="21"/>
                      <w:u w:val="single"/>
                    </w:rPr>
                  </w:pPr>
                </w:p>
              </w:tc>
              <w:tc>
                <w:tcPr>
                  <w:tcW w:w="948" w:type="pct"/>
                  <w:noWrap w:val="0"/>
                  <w:vAlign w:val="center"/>
                </w:tcPr>
                <w:p w14:paraId="01C24D65">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cs="宋体"/>
                      <w:bCs/>
                      <w:color w:val="auto"/>
                      <w:kern w:val="0"/>
                      <w:sz w:val="21"/>
                      <w:szCs w:val="21"/>
                      <w:lang w:eastAsia="zh-CN"/>
                    </w:rPr>
                  </w:pPr>
                  <w:r>
                    <w:rPr>
                      <w:rFonts w:hint="eastAsia" w:ascii="宋体" w:hAnsi="宋体" w:cs="宋体"/>
                      <w:bCs/>
                      <w:color w:val="auto"/>
                      <w:kern w:val="0"/>
                      <w:sz w:val="21"/>
                      <w:szCs w:val="21"/>
                      <w:lang w:eastAsia="zh-CN"/>
                    </w:rPr>
                    <w:t>废过滤器</w:t>
                  </w:r>
                </w:p>
              </w:tc>
              <w:tc>
                <w:tcPr>
                  <w:tcW w:w="1184" w:type="pct"/>
                  <w:noWrap w:val="0"/>
                  <w:vAlign w:val="center"/>
                </w:tcPr>
                <w:p w14:paraId="5EEFC408">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cs="Times New Roman"/>
                      <w:color w:val="auto"/>
                      <w:kern w:val="0"/>
                      <w:sz w:val="21"/>
                      <w:szCs w:val="21"/>
                      <w:vertAlign w:val="baseline"/>
                      <w:lang w:val="en-US" w:eastAsia="zh-CN" w:bidi="ar-SA"/>
                    </w:rPr>
                  </w:pPr>
                  <w:r>
                    <w:rPr>
                      <w:rFonts w:hint="eastAsia" w:cs="Times New Roman"/>
                      <w:color w:val="auto"/>
                      <w:kern w:val="0"/>
                      <w:sz w:val="21"/>
                      <w:szCs w:val="21"/>
                      <w:vertAlign w:val="baseline"/>
                      <w:lang w:val="en-US" w:eastAsia="zh-CN" w:bidi="ar-SA"/>
                    </w:rPr>
                    <w:t>食堂</w:t>
                  </w:r>
                </w:p>
              </w:tc>
              <w:tc>
                <w:tcPr>
                  <w:tcW w:w="858" w:type="pct"/>
                  <w:noWrap w:val="0"/>
                  <w:vAlign w:val="center"/>
                </w:tcPr>
                <w:p w14:paraId="09606063">
                  <w:pPr>
                    <w:keepNext w:val="0"/>
                    <w:keepLines w:val="0"/>
                    <w:suppressLineNumbers w:val="0"/>
                    <w:spacing w:before="0" w:beforeAutospacing="0" w:after="0" w:afterAutospacing="0" w:line="0" w:lineRule="atLeast"/>
                    <w:ind w:left="0" w:right="0"/>
                    <w:jc w:val="center"/>
                    <w:rPr>
                      <w:rFonts w:hint="eastAsia" w:ascii="宋体" w:hAnsi="宋体" w:cs="宋体"/>
                      <w:bCs/>
                      <w:color w:val="auto"/>
                      <w:kern w:val="0"/>
                      <w:sz w:val="21"/>
                      <w:szCs w:val="21"/>
                      <w:lang w:eastAsia="zh-CN"/>
                    </w:rPr>
                  </w:pPr>
                  <w:r>
                    <w:rPr>
                      <w:rFonts w:hint="eastAsia" w:ascii="宋体" w:hAnsi="宋体" w:cs="宋体"/>
                      <w:bCs/>
                      <w:color w:val="auto"/>
                      <w:kern w:val="0"/>
                      <w:sz w:val="21"/>
                      <w:szCs w:val="21"/>
                      <w:lang w:eastAsia="zh-CN"/>
                    </w:rPr>
                    <w:t>油脂</w:t>
                  </w:r>
                </w:p>
              </w:tc>
              <w:tc>
                <w:tcPr>
                  <w:tcW w:w="1200" w:type="pct"/>
                  <w:noWrap w:val="0"/>
                  <w:vAlign w:val="center"/>
                </w:tcPr>
                <w:p w14:paraId="3FD8901C">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r>
                    <w:rPr>
                      <w:rFonts w:hint="eastAsia"/>
                      <w:color w:val="auto"/>
                      <w:sz w:val="21"/>
                      <w:szCs w:val="21"/>
                      <w:lang w:eastAsia="zh-CN"/>
                    </w:rPr>
                    <w:t>一般固废间暂存，外售相关物资回收部门</w:t>
                  </w:r>
                </w:p>
              </w:tc>
            </w:tr>
            <w:tr w14:paraId="4EB74A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379" w:type="pct"/>
                  <w:vMerge w:val="continue"/>
                  <w:noWrap w:val="0"/>
                  <w:vAlign w:val="center"/>
                </w:tcPr>
                <w:p w14:paraId="435284D4">
                  <w:pPr>
                    <w:keepNext w:val="0"/>
                    <w:keepLines w:val="0"/>
                    <w:suppressLineNumbers w:val="0"/>
                    <w:spacing w:before="0" w:beforeAutospacing="0" w:after="0" w:afterAutospacing="0" w:line="0" w:lineRule="atLeast"/>
                    <w:ind w:left="0" w:right="0"/>
                    <w:jc w:val="center"/>
                    <w:rPr>
                      <w:rFonts w:hint="default"/>
                      <w:color w:val="auto"/>
                      <w:sz w:val="21"/>
                      <w:szCs w:val="21"/>
                    </w:rPr>
                  </w:pPr>
                </w:p>
              </w:tc>
              <w:tc>
                <w:tcPr>
                  <w:tcW w:w="429" w:type="pct"/>
                  <w:vMerge w:val="continue"/>
                  <w:noWrap w:val="0"/>
                  <w:vAlign w:val="center"/>
                </w:tcPr>
                <w:p w14:paraId="3B611EB7">
                  <w:pPr>
                    <w:keepNext w:val="0"/>
                    <w:keepLines w:val="0"/>
                    <w:suppressLineNumbers w:val="0"/>
                    <w:spacing w:before="0" w:beforeAutospacing="0" w:after="0" w:afterAutospacing="0" w:line="0" w:lineRule="atLeast"/>
                    <w:ind w:left="0" w:right="0"/>
                    <w:jc w:val="center"/>
                    <w:rPr>
                      <w:rFonts w:hint="default"/>
                      <w:color w:val="auto"/>
                      <w:sz w:val="21"/>
                      <w:szCs w:val="21"/>
                      <w:u w:val="single"/>
                    </w:rPr>
                  </w:pPr>
                </w:p>
              </w:tc>
              <w:tc>
                <w:tcPr>
                  <w:tcW w:w="948" w:type="pct"/>
                  <w:noWrap w:val="0"/>
                  <w:vAlign w:val="center"/>
                </w:tcPr>
                <w:p w14:paraId="7E8679A0">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宋体" w:hAnsi="宋体" w:eastAsia="宋体" w:cs="宋体"/>
                      <w:bCs/>
                      <w:color w:val="auto"/>
                      <w:kern w:val="0"/>
                      <w:sz w:val="21"/>
                      <w:szCs w:val="21"/>
                      <w:lang w:eastAsia="zh-CN"/>
                    </w:rPr>
                  </w:pPr>
                  <w:r>
                    <w:rPr>
                      <w:rFonts w:hint="eastAsia" w:ascii="宋体" w:hAnsi="宋体" w:eastAsia="宋体" w:cs="宋体"/>
                      <w:bCs/>
                      <w:color w:val="auto"/>
                      <w:kern w:val="0"/>
                      <w:sz w:val="21"/>
                      <w:szCs w:val="21"/>
                      <w:lang w:eastAsia="zh-CN"/>
                    </w:rPr>
                    <w:t>废润滑油桶</w:t>
                  </w:r>
                </w:p>
              </w:tc>
              <w:tc>
                <w:tcPr>
                  <w:tcW w:w="1184" w:type="pct"/>
                  <w:noWrap w:val="0"/>
                  <w:vAlign w:val="center"/>
                </w:tcPr>
                <w:p w14:paraId="0B110EB1">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textAlignment w:val="auto"/>
                    <w:rPr>
                      <w:rFonts w:hint="eastAsia" w:ascii="Times New Roman" w:hAnsi="Times New Roman" w:eastAsia="宋体" w:cs="Times New Roman"/>
                      <w:color w:val="auto"/>
                      <w:sz w:val="21"/>
                      <w:szCs w:val="21"/>
                      <w:vertAlign w:val="baseline"/>
                      <w:lang w:eastAsia="zh-CN"/>
                    </w:rPr>
                  </w:pPr>
                  <w:r>
                    <w:rPr>
                      <w:rFonts w:hint="eastAsia" w:cs="Times New Roman"/>
                      <w:color w:val="auto"/>
                      <w:sz w:val="21"/>
                      <w:szCs w:val="21"/>
                      <w:vertAlign w:val="baseline"/>
                      <w:lang w:eastAsia="zh-CN"/>
                    </w:rPr>
                    <w:t>设备润滑</w:t>
                  </w:r>
                </w:p>
              </w:tc>
              <w:tc>
                <w:tcPr>
                  <w:tcW w:w="858" w:type="pct"/>
                  <w:noWrap w:val="0"/>
                  <w:vAlign w:val="center"/>
                </w:tcPr>
                <w:p w14:paraId="6F6F99D8">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r>
                    <w:rPr>
                      <w:rFonts w:hint="eastAsia" w:ascii="宋体" w:hAnsi="宋体" w:eastAsia="宋体" w:cs="宋体"/>
                      <w:bCs/>
                      <w:color w:val="auto"/>
                      <w:kern w:val="0"/>
                      <w:sz w:val="21"/>
                      <w:szCs w:val="21"/>
                      <w:lang w:eastAsia="zh-CN"/>
                    </w:rPr>
                    <w:t>废润滑油桶</w:t>
                  </w:r>
                </w:p>
              </w:tc>
              <w:tc>
                <w:tcPr>
                  <w:tcW w:w="1200" w:type="pct"/>
                  <w:noWrap w:val="0"/>
                  <w:vAlign w:val="center"/>
                </w:tcPr>
                <w:p w14:paraId="424E4D0A">
                  <w:pPr>
                    <w:keepNext w:val="0"/>
                    <w:keepLines w:val="0"/>
                    <w:suppressLineNumbers w:val="0"/>
                    <w:spacing w:before="0" w:beforeAutospacing="0" w:after="0" w:afterAutospacing="0" w:line="0" w:lineRule="atLeast"/>
                    <w:ind w:left="0" w:right="0"/>
                    <w:jc w:val="center"/>
                    <w:rPr>
                      <w:rFonts w:hint="eastAsia"/>
                      <w:color w:val="auto"/>
                      <w:sz w:val="21"/>
                      <w:szCs w:val="21"/>
                      <w:lang w:eastAsia="zh-CN"/>
                    </w:rPr>
                  </w:pPr>
                  <w:r>
                    <w:rPr>
                      <w:rFonts w:hint="eastAsia"/>
                      <w:color w:val="auto"/>
                      <w:sz w:val="21"/>
                      <w:szCs w:val="21"/>
                      <w:lang w:eastAsia="zh-CN"/>
                    </w:rPr>
                    <w:t>危废间暂存，委托有资质单位处置</w:t>
                  </w:r>
                </w:p>
              </w:tc>
            </w:tr>
          </w:tbl>
          <w:p w14:paraId="1AF859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Times New Roman" w:cs="Times New Roman"/>
                <w:color w:val="000000" w:themeColor="text1"/>
                <w:sz w:val="24"/>
                <w:highlight w:val="none"/>
                <w14:textFill>
                  <w14:solidFill>
                    <w14:schemeClr w14:val="tx1"/>
                  </w14:solidFill>
                </w14:textFill>
              </w:rPr>
            </w:pPr>
          </w:p>
        </w:tc>
      </w:tr>
      <w:tr w14:paraId="4B1D98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2" w:hRule="atLeast"/>
          <w:jc w:val="center"/>
        </w:trPr>
        <w:tc>
          <w:tcPr>
            <w:tcW w:w="655" w:type="dxa"/>
            <w:noWrap w:val="0"/>
            <w:vAlign w:val="center"/>
          </w:tcPr>
          <w:p w14:paraId="0EEDE7DA">
            <w:pPr>
              <w:pStyle w:val="26"/>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Cs w:val="24"/>
                <w:highlight w:val="none"/>
                <w14:textFill>
                  <w14:solidFill>
                    <w14:schemeClr w14:val="tx1"/>
                  </w14:solidFill>
                </w14:textFill>
              </w:rPr>
            </w:pPr>
            <w:r>
              <w:rPr>
                <w:rFonts w:hint="default" w:ascii="Times New Roman" w:hAnsi="Times New Roman" w:eastAsia="Times New Roman" w:cs="Times New Roman"/>
                <w:bCs/>
                <w:color w:val="000000" w:themeColor="text1"/>
                <w:kern w:val="2"/>
                <w:szCs w:val="24"/>
                <w:highlight w:val="none"/>
                <w14:textFill>
                  <w14:solidFill>
                    <w14:schemeClr w14:val="tx1"/>
                  </w14:solidFill>
                </w14:textFill>
              </w:rPr>
              <w:t>与项目有关的原有环境污染问题</w:t>
            </w:r>
          </w:p>
        </w:tc>
        <w:tc>
          <w:tcPr>
            <w:tcW w:w="8348" w:type="dxa"/>
            <w:noWrap w:val="0"/>
            <w:vAlign w:val="center"/>
          </w:tcPr>
          <w:p w14:paraId="0036B4D7">
            <w:pPr>
              <w:pStyle w:val="13"/>
              <w:keepNext w:val="0"/>
              <w:keepLines w:val="0"/>
              <w:suppressLineNumbers w:val="0"/>
              <w:autoSpaceDE w:val="0"/>
              <w:autoSpaceDN w:val="0"/>
              <w:adjustRightInd w:val="0"/>
              <w:snapToGrid w:val="0"/>
              <w:spacing w:before="0" w:beforeAutospacing="0" w:after="0" w:afterAutospacing="0" w:line="360" w:lineRule="auto"/>
              <w:ind w:left="0" w:right="0" w:firstLine="420" w:firstLineChars="200"/>
              <w:jc w:val="both"/>
              <w:rPr>
                <w:rFonts w:hint="eastAsia" w:ascii="Times New Roman" w:hAnsi="Times New Roman" w:eastAsia="宋体" w:cs="Times New Roman"/>
                <w:b w:val="0"/>
                <w:bCs w:val="0"/>
                <w:color w:val="auto"/>
                <w:kern w:val="2"/>
                <w:sz w:val="21"/>
                <w:szCs w:val="21"/>
                <w:u w:val="none" w:color="auto"/>
                <w:lang w:val="en-US" w:eastAsia="zh-CN" w:bidi="ar-SA"/>
              </w:rPr>
            </w:pPr>
          </w:p>
          <w:p w14:paraId="4B28C848">
            <w:pPr>
              <w:pStyle w:val="13"/>
              <w:keepNext w:val="0"/>
              <w:keepLines w:val="0"/>
              <w:suppressLineNumbers w:val="0"/>
              <w:autoSpaceDE w:val="0"/>
              <w:autoSpaceDN w:val="0"/>
              <w:adjustRightInd w:val="0"/>
              <w:snapToGrid w:val="0"/>
              <w:spacing w:before="0" w:beforeAutospacing="0" w:after="0" w:afterAutospacing="0" w:line="360" w:lineRule="auto"/>
              <w:ind w:left="0" w:right="0" w:firstLine="420" w:firstLineChars="200"/>
              <w:jc w:val="both"/>
              <w:rPr>
                <w:rFonts w:hint="eastAsia" w:ascii="Times New Roman" w:hAnsi="Times New Roman" w:eastAsia="宋体" w:cs="Times New Roman"/>
                <w:b w:val="0"/>
                <w:bCs w:val="0"/>
                <w:color w:val="auto"/>
                <w:kern w:val="2"/>
                <w:sz w:val="21"/>
                <w:szCs w:val="21"/>
                <w:u w:val="none" w:color="auto"/>
                <w:lang w:val="en-US" w:eastAsia="zh-CN" w:bidi="ar-SA"/>
              </w:rPr>
            </w:pPr>
          </w:p>
          <w:p w14:paraId="6EF139AD">
            <w:pPr>
              <w:pStyle w:val="13"/>
              <w:keepNext w:val="0"/>
              <w:keepLines w:val="0"/>
              <w:suppressLineNumbers w:val="0"/>
              <w:autoSpaceDE w:val="0"/>
              <w:autoSpaceDN w:val="0"/>
              <w:adjustRightInd w:val="0"/>
              <w:snapToGrid w:val="0"/>
              <w:spacing w:before="0" w:beforeAutospacing="0" w:after="0" w:afterAutospacing="0" w:line="360" w:lineRule="auto"/>
              <w:ind w:left="0" w:right="0"/>
              <w:jc w:val="both"/>
              <w:rPr>
                <w:rFonts w:hint="eastAsia" w:ascii="Times New Roman" w:hAnsi="Times New Roman" w:eastAsia="宋体" w:cs="Times New Roman"/>
                <w:b w:val="0"/>
                <w:bCs w:val="0"/>
                <w:color w:val="auto"/>
                <w:kern w:val="2"/>
                <w:sz w:val="21"/>
                <w:szCs w:val="21"/>
                <w:u w:val="none" w:color="auto"/>
                <w:lang w:val="en-US" w:eastAsia="zh-CN" w:bidi="ar-SA"/>
              </w:rPr>
            </w:pPr>
          </w:p>
          <w:p w14:paraId="7663468A">
            <w:pPr>
              <w:pStyle w:val="13"/>
              <w:keepNext w:val="0"/>
              <w:keepLines w:val="0"/>
              <w:suppressLineNumbers w:val="0"/>
              <w:autoSpaceDE w:val="0"/>
              <w:autoSpaceDN w:val="0"/>
              <w:adjustRightInd w:val="0"/>
              <w:snapToGrid w:val="0"/>
              <w:spacing w:before="0" w:beforeAutospacing="0" w:after="0" w:afterAutospacing="0" w:line="360" w:lineRule="auto"/>
              <w:ind w:left="0" w:right="0"/>
              <w:jc w:val="both"/>
              <w:rPr>
                <w:rFonts w:hint="eastAsia" w:ascii="Times New Roman" w:hAnsi="Times New Roman" w:eastAsia="宋体" w:cs="Times New Roman"/>
                <w:b w:val="0"/>
                <w:bCs w:val="0"/>
                <w:color w:val="auto"/>
                <w:kern w:val="2"/>
                <w:sz w:val="21"/>
                <w:szCs w:val="21"/>
                <w:u w:val="none" w:color="auto"/>
                <w:lang w:val="en-US" w:eastAsia="zh-CN" w:bidi="ar-SA"/>
              </w:rPr>
            </w:pPr>
          </w:p>
          <w:p w14:paraId="7297E1B2">
            <w:pPr>
              <w:pStyle w:val="13"/>
              <w:keepNext w:val="0"/>
              <w:keepLines w:val="0"/>
              <w:suppressLineNumbers w:val="0"/>
              <w:autoSpaceDE w:val="0"/>
              <w:autoSpaceDN w:val="0"/>
              <w:adjustRightInd w:val="0"/>
              <w:snapToGrid w:val="0"/>
              <w:spacing w:before="0" w:beforeAutospacing="0" w:after="0" w:afterAutospacing="0" w:line="360" w:lineRule="auto"/>
              <w:ind w:left="0" w:right="0"/>
              <w:jc w:val="both"/>
              <w:rPr>
                <w:rFonts w:hint="eastAsia" w:ascii="Times New Roman" w:hAnsi="Times New Roman" w:eastAsia="宋体" w:cs="Times New Roman"/>
                <w:b w:val="0"/>
                <w:bCs w:val="0"/>
                <w:color w:val="auto"/>
                <w:kern w:val="2"/>
                <w:sz w:val="21"/>
                <w:szCs w:val="21"/>
                <w:u w:val="none" w:color="auto"/>
                <w:lang w:val="en-US" w:eastAsia="zh-CN" w:bidi="ar-SA"/>
              </w:rPr>
            </w:pPr>
          </w:p>
          <w:p w14:paraId="3DE1E43E">
            <w:pPr>
              <w:pStyle w:val="13"/>
              <w:keepNext w:val="0"/>
              <w:keepLines w:val="0"/>
              <w:suppressLineNumbers w:val="0"/>
              <w:autoSpaceDE w:val="0"/>
              <w:autoSpaceDN w:val="0"/>
              <w:adjustRightInd w:val="0"/>
              <w:snapToGrid w:val="0"/>
              <w:spacing w:before="0" w:beforeAutospacing="0" w:after="0" w:afterAutospacing="0" w:line="360" w:lineRule="auto"/>
              <w:ind w:left="0" w:right="0"/>
              <w:jc w:val="both"/>
              <w:rPr>
                <w:rFonts w:hint="eastAsia" w:ascii="Times New Roman" w:hAnsi="Times New Roman" w:eastAsia="宋体" w:cs="Times New Roman"/>
                <w:b w:val="0"/>
                <w:bCs w:val="0"/>
                <w:color w:val="auto"/>
                <w:kern w:val="2"/>
                <w:sz w:val="21"/>
                <w:szCs w:val="21"/>
                <w:u w:val="none" w:color="auto"/>
                <w:lang w:val="en-US" w:eastAsia="zh-CN" w:bidi="ar-SA"/>
              </w:rPr>
            </w:pPr>
          </w:p>
          <w:p w14:paraId="19508DEF">
            <w:pPr>
              <w:pStyle w:val="13"/>
              <w:keepNext w:val="0"/>
              <w:keepLines w:val="0"/>
              <w:suppressLineNumbers w:val="0"/>
              <w:autoSpaceDE w:val="0"/>
              <w:autoSpaceDN w:val="0"/>
              <w:adjustRightInd w:val="0"/>
              <w:snapToGrid w:val="0"/>
              <w:spacing w:before="0" w:beforeAutospacing="0" w:after="0" w:afterAutospacing="0" w:line="360" w:lineRule="auto"/>
              <w:ind w:left="0" w:right="0"/>
              <w:jc w:val="both"/>
              <w:rPr>
                <w:rFonts w:hint="eastAsia" w:ascii="Times New Roman" w:hAnsi="Times New Roman" w:eastAsia="宋体" w:cs="Times New Roman"/>
                <w:b w:val="0"/>
                <w:bCs w:val="0"/>
                <w:color w:val="auto"/>
                <w:kern w:val="2"/>
                <w:sz w:val="21"/>
                <w:szCs w:val="21"/>
                <w:u w:val="none" w:color="auto"/>
                <w:lang w:val="en-US" w:eastAsia="zh-CN" w:bidi="ar-SA"/>
              </w:rPr>
            </w:pPr>
          </w:p>
          <w:p w14:paraId="05F79363">
            <w:pPr>
              <w:pStyle w:val="13"/>
              <w:keepNext w:val="0"/>
              <w:keepLines w:val="0"/>
              <w:suppressLineNumbers w:val="0"/>
              <w:autoSpaceDE w:val="0"/>
              <w:autoSpaceDN w:val="0"/>
              <w:adjustRightInd w:val="0"/>
              <w:snapToGrid w:val="0"/>
              <w:spacing w:before="0" w:beforeAutospacing="0" w:after="0" w:afterAutospacing="0" w:line="360" w:lineRule="auto"/>
              <w:ind w:left="0" w:right="0"/>
              <w:jc w:val="both"/>
              <w:rPr>
                <w:rFonts w:hint="eastAsia" w:ascii="Times New Roman" w:hAnsi="Times New Roman" w:eastAsia="宋体" w:cs="Times New Roman"/>
                <w:b w:val="0"/>
                <w:bCs w:val="0"/>
                <w:color w:val="auto"/>
                <w:kern w:val="2"/>
                <w:sz w:val="21"/>
                <w:szCs w:val="21"/>
                <w:u w:val="none" w:color="auto"/>
                <w:lang w:val="en-US" w:eastAsia="zh-CN" w:bidi="ar-SA"/>
              </w:rPr>
            </w:pPr>
          </w:p>
          <w:p w14:paraId="5273C761">
            <w:pPr>
              <w:pStyle w:val="13"/>
              <w:keepNext w:val="0"/>
              <w:keepLines w:val="0"/>
              <w:suppressLineNumbers w:val="0"/>
              <w:autoSpaceDE w:val="0"/>
              <w:autoSpaceDN w:val="0"/>
              <w:adjustRightInd w:val="0"/>
              <w:snapToGrid w:val="0"/>
              <w:spacing w:before="0" w:beforeAutospacing="0" w:after="0" w:afterAutospacing="0" w:line="360" w:lineRule="auto"/>
              <w:ind w:left="0" w:right="0"/>
              <w:jc w:val="both"/>
              <w:rPr>
                <w:rFonts w:hint="eastAsia" w:ascii="Times New Roman" w:hAnsi="Times New Roman" w:eastAsia="宋体" w:cs="Times New Roman"/>
                <w:b w:val="0"/>
                <w:bCs w:val="0"/>
                <w:color w:val="auto"/>
                <w:kern w:val="2"/>
                <w:sz w:val="21"/>
                <w:szCs w:val="21"/>
                <w:u w:val="none" w:color="auto"/>
                <w:lang w:val="en-US" w:eastAsia="zh-CN" w:bidi="ar-SA"/>
              </w:rPr>
            </w:pPr>
          </w:p>
          <w:p w14:paraId="12E019FC">
            <w:pPr>
              <w:pStyle w:val="13"/>
              <w:keepNext w:val="0"/>
              <w:keepLines w:val="0"/>
              <w:suppressLineNumbers w:val="0"/>
              <w:autoSpaceDE w:val="0"/>
              <w:autoSpaceDN w:val="0"/>
              <w:adjustRightInd w:val="0"/>
              <w:snapToGrid w:val="0"/>
              <w:spacing w:before="0" w:beforeAutospacing="0" w:after="0" w:afterAutospacing="0" w:line="360" w:lineRule="auto"/>
              <w:ind w:left="0" w:right="0"/>
              <w:jc w:val="both"/>
              <w:rPr>
                <w:rFonts w:hint="eastAsia" w:ascii="Times New Roman" w:hAnsi="Times New Roman" w:eastAsia="宋体" w:cs="Times New Roman"/>
                <w:b w:val="0"/>
                <w:bCs w:val="0"/>
                <w:color w:val="auto"/>
                <w:kern w:val="2"/>
                <w:sz w:val="21"/>
                <w:szCs w:val="21"/>
                <w:u w:val="none" w:color="auto"/>
                <w:lang w:val="en-US" w:eastAsia="zh-CN" w:bidi="ar-SA"/>
              </w:rPr>
            </w:pPr>
          </w:p>
          <w:p w14:paraId="5CBE7723">
            <w:pPr>
              <w:pStyle w:val="13"/>
              <w:keepNext w:val="0"/>
              <w:keepLines w:val="0"/>
              <w:suppressLineNumbers w:val="0"/>
              <w:autoSpaceDE w:val="0"/>
              <w:autoSpaceDN w:val="0"/>
              <w:adjustRightInd w:val="0"/>
              <w:snapToGrid w:val="0"/>
              <w:spacing w:before="0" w:beforeAutospacing="0" w:after="0" w:afterAutospacing="0" w:line="360" w:lineRule="auto"/>
              <w:ind w:left="0" w:right="0"/>
              <w:jc w:val="both"/>
              <w:rPr>
                <w:rFonts w:hint="eastAsia" w:ascii="Times New Roman" w:hAnsi="Times New Roman" w:eastAsia="宋体" w:cs="Times New Roman"/>
                <w:b w:val="0"/>
                <w:bCs w:val="0"/>
                <w:color w:val="auto"/>
                <w:kern w:val="2"/>
                <w:sz w:val="21"/>
                <w:szCs w:val="21"/>
                <w:u w:val="none" w:color="auto"/>
                <w:lang w:val="en-US" w:eastAsia="zh-CN" w:bidi="ar-SA"/>
              </w:rPr>
            </w:pPr>
          </w:p>
          <w:p w14:paraId="11D9BB18">
            <w:pPr>
              <w:pStyle w:val="13"/>
              <w:keepNext w:val="0"/>
              <w:keepLines w:val="0"/>
              <w:suppressLineNumbers w:val="0"/>
              <w:autoSpaceDE w:val="0"/>
              <w:autoSpaceDN w:val="0"/>
              <w:adjustRightInd w:val="0"/>
              <w:snapToGrid w:val="0"/>
              <w:spacing w:before="0" w:beforeAutospacing="0" w:after="0" w:afterAutospacing="0" w:line="360" w:lineRule="auto"/>
              <w:ind w:left="0" w:right="0"/>
              <w:jc w:val="both"/>
              <w:rPr>
                <w:rFonts w:hint="eastAsia" w:ascii="Times New Roman" w:hAnsi="Times New Roman" w:eastAsia="宋体" w:cs="Times New Roman"/>
                <w:b w:val="0"/>
                <w:bCs w:val="0"/>
                <w:color w:val="auto"/>
                <w:kern w:val="2"/>
                <w:sz w:val="21"/>
                <w:szCs w:val="21"/>
                <w:u w:val="none" w:color="auto"/>
                <w:lang w:val="en-US" w:eastAsia="zh-CN" w:bidi="ar-SA"/>
              </w:rPr>
            </w:pPr>
          </w:p>
          <w:p w14:paraId="7511B4AF">
            <w:pPr>
              <w:pStyle w:val="13"/>
              <w:keepNext w:val="0"/>
              <w:keepLines w:val="0"/>
              <w:suppressLineNumbers w:val="0"/>
              <w:autoSpaceDE w:val="0"/>
              <w:autoSpaceDN w:val="0"/>
              <w:adjustRightInd w:val="0"/>
              <w:snapToGrid w:val="0"/>
              <w:spacing w:before="0" w:beforeAutospacing="0" w:after="0" w:afterAutospacing="0" w:line="360" w:lineRule="auto"/>
              <w:ind w:left="0" w:right="0"/>
              <w:jc w:val="both"/>
              <w:rPr>
                <w:rFonts w:hint="eastAsia" w:ascii="Times New Roman" w:hAnsi="Times New Roman" w:eastAsia="宋体" w:cs="Times New Roman"/>
                <w:b w:val="0"/>
                <w:bCs w:val="0"/>
                <w:color w:val="auto"/>
                <w:kern w:val="2"/>
                <w:sz w:val="21"/>
                <w:szCs w:val="21"/>
                <w:u w:val="none" w:color="auto"/>
                <w:lang w:val="en-US" w:eastAsia="zh-CN" w:bidi="ar-SA"/>
              </w:rPr>
            </w:pPr>
          </w:p>
          <w:p w14:paraId="3EA8FD5A">
            <w:pPr>
              <w:pStyle w:val="13"/>
              <w:keepNext w:val="0"/>
              <w:keepLines w:val="0"/>
              <w:suppressLineNumbers w:val="0"/>
              <w:autoSpaceDE w:val="0"/>
              <w:autoSpaceDN w:val="0"/>
              <w:adjustRightInd w:val="0"/>
              <w:snapToGrid w:val="0"/>
              <w:spacing w:before="0" w:beforeAutospacing="0" w:after="0" w:afterAutospacing="0" w:line="360" w:lineRule="auto"/>
              <w:ind w:left="0" w:right="0"/>
              <w:jc w:val="both"/>
              <w:rPr>
                <w:rFonts w:hint="eastAsia" w:ascii="Times New Roman" w:hAnsi="Times New Roman" w:eastAsia="宋体" w:cs="Times New Roman"/>
                <w:b w:val="0"/>
                <w:bCs w:val="0"/>
                <w:color w:val="auto"/>
                <w:kern w:val="2"/>
                <w:sz w:val="21"/>
                <w:szCs w:val="21"/>
                <w:u w:val="none" w:color="auto"/>
                <w:lang w:val="en-US" w:eastAsia="zh-CN" w:bidi="ar-SA"/>
              </w:rPr>
            </w:pPr>
          </w:p>
          <w:p w14:paraId="162257CF">
            <w:pPr>
              <w:pStyle w:val="13"/>
              <w:keepNext w:val="0"/>
              <w:keepLines w:val="0"/>
              <w:suppressLineNumbers w:val="0"/>
              <w:autoSpaceDE w:val="0"/>
              <w:autoSpaceDN w:val="0"/>
              <w:adjustRightInd w:val="0"/>
              <w:snapToGrid w:val="0"/>
              <w:spacing w:before="0" w:beforeAutospacing="0" w:after="0" w:afterAutospacing="0" w:line="360" w:lineRule="auto"/>
              <w:ind w:left="0" w:right="0"/>
              <w:jc w:val="both"/>
              <w:rPr>
                <w:rFonts w:hint="eastAsia" w:ascii="Times New Roman" w:hAnsi="Times New Roman" w:eastAsia="宋体" w:cs="Times New Roman"/>
                <w:b w:val="0"/>
                <w:bCs w:val="0"/>
                <w:color w:val="auto"/>
                <w:kern w:val="2"/>
                <w:sz w:val="21"/>
                <w:szCs w:val="21"/>
                <w:u w:val="none" w:color="auto"/>
                <w:lang w:val="en-US" w:eastAsia="zh-CN" w:bidi="ar-SA"/>
              </w:rPr>
            </w:pPr>
          </w:p>
          <w:p w14:paraId="2E5AAB1A">
            <w:pPr>
              <w:pStyle w:val="13"/>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b w:val="0"/>
                <w:bCs w:val="0"/>
                <w:color w:val="auto"/>
                <w:kern w:val="2"/>
                <w:sz w:val="24"/>
                <w:szCs w:val="24"/>
                <w:u w:val="none" w:color="auto"/>
                <w:lang w:val="en-US" w:eastAsia="zh-CN" w:bidi="ar-SA"/>
              </w:rPr>
            </w:pPr>
            <w:r>
              <w:rPr>
                <w:rFonts w:hint="eastAsia" w:ascii="Times New Roman" w:hAnsi="Times New Roman" w:eastAsia="宋体" w:cs="Times New Roman"/>
                <w:b w:val="0"/>
                <w:bCs w:val="0"/>
                <w:color w:val="auto"/>
                <w:kern w:val="2"/>
                <w:sz w:val="24"/>
                <w:szCs w:val="24"/>
                <w:u w:val="none" w:color="auto"/>
                <w:lang w:val="en-US" w:eastAsia="zh-CN" w:bidi="ar-SA"/>
              </w:rPr>
              <w:t>本次项目利用现有厂房建设，建设性质为新建。原厂房为汤阴县色非家具厂生产厂房，根据现场调查，厂房内地面均已硬化，</w:t>
            </w:r>
            <w:r>
              <w:rPr>
                <w:rFonts w:hint="eastAsia" w:ascii="Times New Roman" w:hAnsi="Times New Roman" w:cs="Times New Roman"/>
                <w:b w:val="0"/>
                <w:bCs w:val="0"/>
                <w:color w:val="auto"/>
                <w:kern w:val="2"/>
                <w:sz w:val="24"/>
                <w:szCs w:val="24"/>
                <w:u w:val="none" w:color="auto"/>
                <w:lang w:val="en-US" w:eastAsia="zh-CN" w:bidi="ar-SA"/>
              </w:rPr>
              <w:t>汤阴县色非家具厂生产设备等均已搬离，</w:t>
            </w:r>
            <w:r>
              <w:rPr>
                <w:rFonts w:hint="eastAsia" w:ascii="Times New Roman" w:hAnsi="Times New Roman" w:eastAsia="宋体" w:cs="Times New Roman"/>
                <w:b w:val="0"/>
                <w:bCs w:val="0"/>
                <w:color w:val="auto"/>
                <w:kern w:val="2"/>
                <w:sz w:val="24"/>
                <w:szCs w:val="24"/>
                <w:u w:val="none" w:color="auto"/>
                <w:lang w:val="en-US" w:eastAsia="zh-CN" w:bidi="ar-SA"/>
              </w:rPr>
              <w:t>现场未发现遗留的污染问题</w:t>
            </w:r>
            <w:r>
              <w:rPr>
                <w:rFonts w:hint="eastAsia" w:ascii="Times New Roman" w:hAnsi="Times New Roman" w:cs="Times New Roman"/>
                <w:b w:val="0"/>
                <w:bCs w:val="0"/>
                <w:color w:val="auto"/>
                <w:kern w:val="2"/>
                <w:sz w:val="24"/>
                <w:szCs w:val="24"/>
                <w:u w:val="none" w:color="auto"/>
                <w:lang w:val="en-US" w:eastAsia="zh-CN" w:bidi="ar-SA"/>
              </w:rPr>
              <w:t>。</w:t>
            </w:r>
          </w:p>
          <w:p w14:paraId="61C27F21">
            <w:pPr>
              <w:pStyle w:val="8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b w:val="0"/>
                <w:bCs w:val="0"/>
                <w:color w:val="000000"/>
                <w:lang w:val="en-US" w:eastAsia="zh-CN"/>
              </w:rPr>
            </w:pPr>
          </w:p>
          <w:p w14:paraId="07BBFB40">
            <w:pPr>
              <w:pStyle w:val="8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b w:val="0"/>
                <w:bCs w:val="0"/>
                <w:color w:val="000000"/>
                <w:lang w:val="en-US" w:eastAsia="zh-CN"/>
              </w:rPr>
            </w:pPr>
          </w:p>
          <w:p w14:paraId="5FAC8BF5">
            <w:pPr>
              <w:pStyle w:val="8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b w:val="0"/>
                <w:bCs w:val="0"/>
                <w:color w:val="000000"/>
                <w:lang w:val="en-US" w:eastAsia="zh-CN"/>
              </w:rPr>
            </w:pPr>
          </w:p>
          <w:p w14:paraId="3180E936">
            <w:pPr>
              <w:pStyle w:val="8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b w:val="0"/>
                <w:bCs w:val="0"/>
                <w:color w:val="000000"/>
                <w:lang w:val="en-US" w:eastAsia="zh-CN"/>
              </w:rPr>
            </w:pPr>
          </w:p>
          <w:p w14:paraId="20C8321A">
            <w:pPr>
              <w:pStyle w:val="8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b w:val="0"/>
                <w:bCs w:val="0"/>
                <w:color w:val="000000"/>
                <w:lang w:val="en-US" w:eastAsia="zh-CN"/>
              </w:rPr>
            </w:pPr>
          </w:p>
          <w:p w14:paraId="3C604352">
            <w:pPr>
              <w:pStyle w:val="8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b w:val="0"/>
                <w:bCs w:val="0"/>
                <w:color w:val="000000"/>
                <w:lang w:val="en-US" w:eastAsia="zh-CN"/>
              </w:rPr>
            </w:pPr>
          </w:p>
          <w:p w14:paraId="7BCF8450">
            <w:pPr>
              <w:pStyle w:val="8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b w:val="0"/>
                <w:bCs w:val="0"/>
                <w:color w:val="000000"/>
                <w:lang w:val="en-US" w:eastAsia="zh-CN"/>
              </w:rPr>
            </w:pPr>
          </w:p>
          <w:p w14:paraId="68ECDE2C">
            <w:pPr>
              <w:pStyle w:val="8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b w:val="0"/>
                <w:bCs w:val="0"/>
                <w:color w:val="000000"/>
                <w:lang w:val="en-US" w:eastAsia="zh-CN"/>
              </w:rPr>
            </w:pPr>
          </w:p>
          <w:p w14:paraId="218A0068">
            <w:pPr>
              <w:pStyle w:val="8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b w:val="0"/>
                <w:bCs w:val="0"/>
                <w:color w:val="000000"/>
                <w:lang w:val="en-US" w:eastAsia="zh-CN"/>
              </w:rPr>
            </w:pPr>
          </w:p>
          <w:p w14:paraId="19F44005">
            <w:pPr>
              <w:pStyle w:val="8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b w:val="0"/>
                <w:bCs w:val="0"/>
                <w:color w:val="000000"/>
                <w:lang w:val="en-US" w:eastAsia="zh-CN"/>
              </w:rPr>
            </w:pPr>
          </w:p>
          <w:p w14:paraId="7B1BEB55">
            <w:pPr>
              <w:pStyle w:val="8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b w:val="0"/>
                <w:bCs w:val="0"/>
                <w:color w:val="000000"/>
                <w:lang w:val="en-US" w:eastAsia="zh-CN"/>
              </w:rPr>
            </w:pPr>
          </w:p>
        </w:tc>
      </w:tr>
    </w:tbl>
    <w:p w14:paraId="1811DABE">
      <w:pPr>
        <w:pStyle w:val="26"/>
        <w:spacing w:before="0" w:beforeAutospacing="0" w:after="0" w:afterAutospacing="0"/>
        <w:jc w:val="center"/>
        <w:outlineLvl w:val="0"/>
        <w:rPr>
          <w:rFonts w:hint="default" w:ascii="Times New Roman" w:hAnsi="Times New Roman" w:eastAsia="黑体" w:cs="Times New Roman"/>
          <w:snapToGrid w:val="0"/>
          <w:color w:val="000000" w:themeColor="text1"/>
          <w:sz w:val="36"/>
          <w:szCs w:val="36"/>
          <w:highlight w:val="none"/>
          <w14:textFill>
            <w14:solidFill>
              <w14:schemeClr w14:val="tx1"/>
            </w14:solidFill>
          </w14:textFill>
        </w:rPr>
      </w:pPr>
      <w:bookmarkStart w:id="20" w:name="_Toc2821"/>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br w:type="page"/>
      </w:r>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三、区域环境质量现状、环境保护目标及评价标准</w:t>
      </w:r>
      <w:bookmarkEnd w:id="20"/>
    </w:p>
    <w:tbl>
      <w:tblPr>
        <w:tblStyle w:val="29"/>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547"/>
      </w:tblGrid>
      <w:tr w14:paraId="32EB04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3" w:type="pct"/>
            <w:noWrap w:val="0"/>
            <w:vAlign w:val="center"/>
          </w:tcPr>
          <w:p w14:paraId="6DB9A45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kern w:val="0"/>
                <w:sz w:val="24"/>
                <w:highlight w:val="none"/>
                <w14:textFill>
                  <w14:solidFill>
                    <w14:schemeClr w14:val="tx1"/>
                  </w14:solidFill>
                </w14:textFill>
              </w:rPr>
            </w:pPr>
            <w:r>
              <w:rPr>
                <w:rFonts w:hint="default" w:ascii="Times New Roman" w:hAnsi="Times New Roman" w:eastAsia="Times New Roman" w:cs="Times New Roman"/>
                <w:color w:val="000000" w:themeColor="text1"/>
                <w:kern w:val="0"/>
                <w:sz w:val="24"/>
                <w:highlight w:val="none"/>
                <w14:textFill>
                  <w14:solidFill>
                    <w14:schemeClr w14:val="tx1"/>
                  </w14:solidFill>
                </w14:textFill>
              </w:rPr>
              <w:t>区域</w:t>
            </w:r>
          </w:p>
          <w:p w14:paraId="1495A2E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kern w:val="0"/>
                <w:sz w:val="24"/>
                <w:highlight w:val="none"/>
                <w14:textFill>
                  <w14:solidFill>
                    <w14:schemeClr w14:val="tx1"/>
                  </w14:solidFill>
                </w14:textFill>
              </w:rPr>
            </w:pPr>
            <w:r>
              <w:rPr>
                <w:rFonts w:hint="default" w:ascii="Times New Roman" w:hAnsi="Times New Roman" w:eastAsia="Times New Roman" w:cs="Times New Roman"/>
                <w:color w:val="000000" w:themeColor="text1"/>
                <w:kern w:val="0"/>
                <w:sz w:val="24"/>
                <w:highlight w:val="none"/>
                <w14:textFill>
                  <w14:solidFill>
                    <w14:schemeClr w14:val="tx1"/>
                  </w14:solidFill>
                </w14:textFill>
              </w:rPr>
              <w:t>环境</w:t>
            </w:r>
          </w:p>
          <w:p w14:paraId="3CF41B2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kern w:val="0"/>
                <w:sz w:val="24"/>
                <w:highlight w:val="none"/>
                <w14:textFill>
                  <w14:solidFill>
                    <w14:schemeClr w14:val="tx1"/>
                  </w14:solidFill>
                </w14:textFill>
              </w:rPr>
            </w:pPr>
            <w:r>
              <w:rPr>
                <w:rFonts w:hint="default" w:ascii="Times New Roman" w:hAnsi="Times New Roman" w:eastAsia="Times New Roman" w:cs="Times New Roman"/>
                <w:color w:val="000000" w:themeColor="text1"/>
                <w:kern w:val="0"/>
                <w:sz w:val="24"/>
                <w:highlight w:val="none"/>
                <w14:textFill>
                  <w14:solidFill>
                    <w14:schemeClr w14:val="tx1"/>
                  </w14:solidFill>
                </w14:textFill>
              </w:rPr>
              <w:t>质量</w:t>
            </w:r>
          </w:p>
          <w:p w14:paraId="078A86F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kern w:val="0"/>
                <w:sz w:val="24"/>
                <w:highlight w:val="none"/>
                <w14:textFill>
                  <w14:solidFill>
                    <w14:schemeClr w14:val="tx1"/>
                  </w14:solidFill>
                </w14:textFill>
              </w:rPr>
            </w:pPr>
            <w:r>
              <w:rPr>
                <w:rFonts w:hint="default" w:ascii="Times New Roman" w:hAnsi="Times New Roman" w:eastAsia="Times New Roman" w:cs="Times New Roman"/>
                <w:color w:val="000000" w:themeColor="text1"/>
                <w:kern w:val="0"/>
                <w:sz w:val="24"/>
                <w:highlight w:val="none"/>
                <w14:textFill>
                  <w14:solidFill>
                    <w14:schemeClr w14:val="tx1"/>
                  </w14:solidFill>
                </w14:textFill>
              </w:rPr>
              <w:t>现状</w:t>
            </w:r>
          </w:p>
        </w:tc>
        <w:tc>
          <w:tcPr>
            <w:tcW w:w="4746" w:type="pct"/>
            <w:noWrap w:val="0"/>
            <w:vAlign w:val="center"/>
          </w:tcPr>
          <w:p w14:paraId="6561CB8D">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Times New Roman" w:cs="Times New Roman"/>
                <w:b/>
                <w:bCs/>
                <w:color w:val="000000" w:themeColor="text1"/>
                <w:sz w:val="24"/>
                <w:highlight w:val="none"/>
                <w14:textFill>
                  <w14:solidFill>
                    <w14:schemeClr w14:val="tx1"/>
                  </w14:solidFill>
                </w14:textFill>
              </w:rPr>
            </w:pPr>
            <w:r>
              <w:rPr>
                <w:rFonts w:hint="default" w:ascii="Times New Roman" w:hAnsi="Times New Roman" w:eastAsia="Times New Roman" w:cs="Times New Roman"/>
                <w:b/>
                <w:bCs/>
                <w:color w:val="000000" w:themeColor="text1"/>
                <w:sz w:val="24"/>
                <w:highlight w:val="none"/>
                <w14:textFill>
                  <w14:solidFill>
                    <w14:schemeClr w14:val="tx1"/>
                  </w14:solidFill>
                </w14:textFill>
              </w:rPr>
              <w:t>1.大气环境质量现状</w:t>
            </w:r>
          </w:p>
          <w:p w14:paraId="338D8CD9">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szCs w:val="24"/>
                <w:lang w:eastAsia="zh-CN"/>
              </w:rPr>
            </w:pPr>
            <w:r>
              <w:rPr>
                <w:rFonts w:hint="eastAsia"/>
                <w:color w:val="auto"/>
                <w:sz w:val="24"/>
                <w:szCs w:val="24"/>
                <w:lang w:eastAsia="zh-CN"/>
              </w:rPr>
              <w:t>根据安阳市人民政府办公室《关于印发安阳市环境空气质量功能区划（2021-2025年）的通知》（安政办</w:t>
            </w:r>
            <w:r>
              <w:rPr>
                <w:rFonts w:hint="default" w:ascii="Times New Roman" w:hAnsi="Times New Roman" w:cs="Times New Roman"/>
                <w:color w:val="auto"/>
                <w:sz w:val="24"/>
                <w:szCs w:val="24"/>
                <w:lang w:val="en-US" w:eastAsia="zh-CN"/>
              </w:rPr>
              <w:t>〔</w:t>
            </w:r>
            <w:r>
              <w:rPr>
                <w:rFonts w:hint="eastAsia" w:cs="Times New Roman"/>
                <w:color w:val="auto"/>
                <w:sz w:val="24"/>
                <w:szCs w:val="24"/>
                <w:lang w:val="en-US" w:eastAsia="zh-CN"/>
              </w:rPr>
              <w:t>2022</w:t>
            </w:r>
            <w:r>
              <w:rPr>
                <w:rFonts w:hint="default" w:ascii="Times New Roman" w:hAnsi="Times New Roman" w:cs="Times New Roman"/>
                <w:color w:val="auto"/>
                <w:sz w:val="24"/>
                <w:szCs w:val="24"/>
                <w:lang w:val="en-US" w:eastAsia="zh-CN"/>
              </w:rPr>
              <w:t>〕</w:t>
            </w:r>
            <w:r>
              <w:rPr>
                <w:rFonts w:hint="eastAsia" w:cs="Times New Roman"/>
                <w:color w:val="auto"/>
                <w:sz w:val="24"/>
                <w:szCs w:val="24"/>
                <w:lang w:val="en-US" w:eastAsia="zh-CN"/>
              </w:rPr>
              <w:t>3</w:t>
            </w:r>
            <w:r>
              <w:rPr>
                <w:rFonts w:hint="eastAsia"/>
                <w:color w:val="auto"/>
                <w:sz w:val="24"/>
                <w:szCs w:val="24"/>
                <w:lang w:eastAsia="zh-CN"/>
              </w:rPr>
              <w:t>9号）可知，本项目所在区域属于《环境空气质量标准》（GB3095-2026）二类区，应执行《环境空气质量标准》（GB3095-2026）中的二级标准。</w:t>
            </w:r>
          </w:p>
          <w:p w14:paraId="1A05A5FF">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szCs w:val="24"/>
                <w:lang w:eastAsia="zh-CN"/>
              </w:rPr>
            </w:pPr>
            <w:bookmarkStart w:id="21" w:name="OLE_LINK371"/>
            <w:r>
              <w:rPr>
                <w:rFonts w:hint="eastAsia"/>
                <w:color w:val="auto"/>
                <w:sz w:val="24"/>
                <w:szCs w:val="24"/>
                <w:lang w:eastAsia="zh-CN"/>
              </w:rPr>
              <w:t>根据汤阴一中常规监测点，汤阴县202</w:t>
            </w:r>
            <w:r>
              <w:rPr>
                <w:rFonts w:hint="eastAsia"/>
                <w:color w:val="auto"/>
                <w:sz w:val="24"/>
                <w:szCs w:val="24"/>
                <w:lang w:val="en-US" w:eastAsia="zh-CN"/>
              </w:rPr>
              <w:t>4</w:t>
            </w:r>
            <w:r>
              <w:rPr>
                <w:rFonts w:hint="eastAsia"/>
                <w:color w:val="auto"/>
                <w:sz w:val="24"/>
                <w:szCs w:val="24"/>
                <w:lang w:eastAsia="zh-CN"/>
              </w:rPr>
              <w:t>年环境空气质量数据各项指数统计数据见下表。</w:t>
            </w:r>
          </w:p>
          <w:p w14:paraId="3C91EE04">
            <w:pPr>
              <w:pStyle w:val="17"/>
              <w:keepNext w:val="0"/>
              <w:keepLines w:val="0"/>
              <w:suppressLineNumbers w:val="0"/>
              <w:tabs>
                <w:tab w:val="right" w:leader="dot" w:pos="8296"/>
              </w:tabs>
              <w:bidi w:val="0"/>
              <w:spacing w:before="0" w:beforeAutospacing="0" w:after="0" w:afterAutospacing="0"/>
              <w:ind w:right="0"/>
              <w:rPr>
                <w:rFonts w:hint="eastAsia"/>
                <w:color w:val="auto"/>
                <w:lang w:eastAsia="zh-CN"/>
              </w:rPr>
            </w:pPr>
            <w:r>
              <w:rPr>
                <w:rFonts w:hint="eastAsia"/>
                <w:color w:val="auto"/>
                <w:lang w:eastAsia="zh-CN"/>
              </w:rPr>
              <w:t>202</w:t>
            </w:r>
            <w:r>
              <w:rPr>
                <w:rFonts w:hint="eastAsia"/>
                <w:color w:val="auto"/>
                <w:lang w:val="en-US" w:eastAsia="zh-CN"/>
              </w:rPr>
              <w:t>4</w:t>
            </w:r>
            <w:r>
              <w:rPr>
                <w:rFonts w:hint="eastAsia"/>
                <w:color w:val="auto"/>
                <w:lang w:eastAsia="zh-CN"/>
              </w:rPr>
              <w:t>年汤阴县环境空气质量现状基本污染物数据一览表</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75"/>
              <w:gridCol w:w="1522"/>
              <w:gridCol w:w="1918"/>
              <w:gridCol w:w="1042"/>
              <w:gridCol w:w="1166"/>
              <w:gridCol w:w="1089"/>
              <w:gridCol w:w="916"/>
            </w:tblGrid>
            <w:tr w14:paraId="1C973E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1CA7960F">
                  <w:pPr>
                    <w:pStyle w:val="20"/>
                    <w:keepNext w:val="0"/>
                    <w:keepLines w:val="0"/>
                    <w:suppressLineNumbers w:val="0"/>
                    <w:bidi w:val="0"/>
                    <w:spacing w:before="0" w:beforeAutospacing="0" w:after="0" w:afterAutospacing="0"/>
                    <w:ind w:left="0" w:right="0"/>
                    <w:jc w:val="center"/>
                    <w:rPr>
                      <w:rFonts w:hint="default"/>
                      <w:sz w:val="21"/>
                      <w:szCs w:val="21"/>
                      <w:u w:val="none" w:color="auto"/>
                    </w:rPr>
                  </w:pPr>
                  <w:bookmarkStart w:id="22" w:name="OLE_LINK21" w:colFirst="0" w:colLast="6"/>
                  <w:r>
                    <w:rPr>
                      <w:rFonts w:hint="default"/>
                      <w:sz w:val="21"/>
                      <w:szCs w:val="21"/>
                      <w:u w:val="none" w:color="auto"/>
                    </w:rPr>
                    <w:t>污染物</w:t>
                  </w:r>
                </w:p>
              </w:tc>
              <w:tc>
                <w:tcPr>
                  <w:tcW w:w="914" w:type="pct"/>
                  <w:tcBorders>
                    <w:tl2br w:val="nil"/>
                    <w:tr2bl w:val="nil"/>
                  </w:tcBorders>
                  <w:noWrap w:val="0"/>
                  <w:tcMar>
                    <w:top w:w="0" w:type="dxa"/>
                    <w:left w:w="57" w:type="dxa"/>
                    <w:bottom w:w="0" w:type="dxa"/>
                    <w:right w:w="57" w:type="dxa"/>
                  </w:tcMar>
                  <w:vAlign w:val="center"/>
                </w:tcPr>
                <w:p w14:paraId="599A4CB5">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年评价指标</w:t>
                  </w:r>
                </w:p>
              </w:tc>
              <w:tc>
                <w:tcPr>
                  <w:tcW w:w="1151" w:type="pct"/>
                  <w:tcBorders>
                    <w:tl2br w:val="nil"/>
                    <w:tr2bl w:val="nil"/>
                  </w:tcBorders>
                  <w:noWrap w:val="0"/>
                  <w:tcMar>
                    <w:top w:w="0" w:type="dxa"/>
                    <w:left w:w="57" w:type="dxa"/>
                    <w:bottom w:w="0" w:type="dxa"/>
                    <w:right w:w="57" w:type="dxa"/>
                  </w:tcMar>
                  <w:vAlign w:val="center"/>
                </w:tcPr>
                <w:p w14:paraId="56FB3A59">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eastAsia"/>
                      <w:sz w:val="21"/>
                      <w:szCs w:val="21"/>
                      <w:u w:val="none" w:color="auto"/>
                    </w:rPr>
                    <w:t>《环境空气质量标准》（GB3095-2012）表1及修改单</w:t>
                  </w:r>
                  <w:r>
                    <w:rPr>
                      <w:rFonts w:hint="default"/>
                      <w:sz w:val="21"/>
                      <w:szCs w:val="21"/>
                      <w:u w:val="none" w:color="auto"/>
                    </w:rPr>
                    <w:t>评价标准值（μg/m</w:t>
                  </w:r>
                  <w:r>
                    <w:rPr>
                      <w:rFonts w:hint="default"/>
                      <w:sz w:val="21"/>
                      <w:szCs w:val="21"/>
                      <w:u w:val="none" w:color="auto"/>
                      <w:vertAlign w:val="superscript"/>
                    </w:rPr>
                    <w:t>3</w:t>
                  </w:r>
                  <w:r>
                    <w:rPr>
                      <w:rFonts w:hint="default"/>
                      <w:sz w:val="21"/>
                      <w:szCs w:val="21"/>
                      <w:u w:val="none" w:color="auto"/>
                    </w:rPr>
                    <w:t>）</w:t>
                  </w:r>
                </w:p>
              </w:tc>
              <w:tc>
                <w:tcPr>
                  <w:tcW w:w="621" w:type="pct"/>
                  <w:tcBorders>
                    <w:tl2br w:val="nil"/>
                    <w:tr2bl w:val="nil"/>
                  </w:tcBorders>
                  <w:noWrap w:val="0"/>
                  <w:tcMar>
                    <w:top w:w="0" w:type="dxa"/>
                    <w:left w:w="57" w:type="dxa"/>
                    <w:bottom w:w="0" w:type="dxa"/>
                    <w:right w:w="57" w:type="dxa"/>
                  </w:tcMar>
                  <w:vAlign w:val="center"/>
                </w:tcPr>
                <w:p w14:paraId="16611024">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现状浓度（μg/m</w:t>
                  </w:r>
                  <w:r>
                    <w:rPr>
                      <w:rFonts w:hint="default"/>
                      <w:sz w:val="21"/>
                      <w:szCs w:val="21"/>
                      <w:u w:val="none" w:color="auto"/>
                      <w:vertAlign w:val="superscript"/>
                    </w:rPr>
                    <w:t>3</w:t>
                  </w:r>
                  <w:r>
                    <w:rPr>
                      <w:rFonts w:hint="default"/>
                      <w:sz w:val="21"/>
                      <w:szCs w:val="21"/>
                      <w:u w:val="none" w:color="auto"/>
                    </w:rPr>
                    <w:t>）</w:t>
                  </w:r>
                </w:p>
              </w:tc>
              <w:tc>
                <w:tcPr>
                  <w:tcW w:w="700" w:type="pct"/>
                  <w:tcBorders>
                    <w:tl2br w:val="nil"/>
                    <w:tr2bl w:val="nil"/>
                  </w:tcBorders>
                  <w:noWrap w:val="0"/>
                  <w:tcMar>
                    <w:top w:w="0" w:type="dxa"/>
                    <w:left w:w="57" w:type="dxa"/>
                    <w:bottom w:w="0" w:type="dxa"/>
                    <w:right w:w="57" w:type="dxa"/>
                  </w:tcMar>
                  <w:vAlign w:val="center"/>
                </w:tcPr>
                <w:p w14:paraId="0E5A2091">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最大浓度占标率/%</w:t>
                  </w:r>
                </w:p>
              </w:tc>
              <w:tc>
                <w:tcPr>
                  <w:tcW w:w="654" w:type="pct"/>
                  <w:tcBorders>
                    <w:tl2br w:val="nil"/>
                    <w:tr2bl w:val="nil"/>
                  </w:tcBorders>
                  <w:noWrap w:val="0"/>
                  <w:tcMar>
                    <w:top w:w="0" w:type="dxa"/>
                    <w:left w:w="57" w:type="dxa"/>
                    <w:bottom w:w="0" w:type="dxa"/>
                    <w:right w:w="57" w:type="dxa"/>
                  </w:tcMar>
                  <w:vAlign w:val="center"/>
                </w:tcPr>
                <w:p w14:paraId="373BAC79">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超标率/%</w:t>
                  </w:r>
                </w:p>
              </w:tc>
              <w:tc>
                <w:tcPr>
                  <w:tcW w:w="550" w:type="pct"/>
                  <w:tcBorders>
                    <w:tl2br w:val="nil"/>
                    <w:tr2bl w:val="nil"/>
                  </w:tcBorders>
                  <w:noWrap w:val="0"/>
                  <w:tcMar>
                    <w:top w:w="0" w:type="dxa"/>
                    <w:left w:w="57" w:type="dxa"/>
                    <w:bottom w:w="0" w:type="dxa"/>
                    <w:right w:w="57" w:type="dxa"/>
                  </w:tcMar>
                  <w:vAlign w:val="center"/>
                </w:tcPr>
                <w:p w14:paraId="7B551B81">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达标情况</w:t>
                  </w:r>
                </w:p>
              </w:tc>
            </w:tr>
            <w:bookmarkEnd w:id="22"/>
            <w:tr w14:paraId="613BE8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41AB6BCF">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SO</w:t>
                  </w:r>
                  <w:r>
                    <w:rPr>
                      <w:rFonts w:hint="default"/>
                      <w:sz w:val="21"/>
                      <w:szCs w:val="21"/>
                      <w:u w:val="none" w:color="auto"/>
                      <w:vertAlign w:val="subscript"/>
                    </w:rPr>
                    <w:t>2</w:t>
                  </w:r>
                </w:p>
              </w:tc>
              <w:tc>
                <w:tcPr>
                  <w:tcW w:w="914" w:type="pct"/>
                  <w:tcBorders>
                    <w:tl2br w:val="nil"/>
                    <w:tr2bl w:val="nil"/>
                  </w:tcBorders>
                  <w:noWrap w:val="0"/>
                  <w:tcMar>
                    <w:top w:w="0" w:type="dxa"/>
                    <w:left w:w="57" w:type="dxa"/>
                    <w:bottom w:w="0" w:type="dxa"/>
                    <w:right w:w="57" w:type="dxa"/>
                  </w:tcMar>
                  <w:vAlign w:val="center"/>
                </w:tcPr>
                <w:p w14:paraId="6EA39F0D">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年平均</w:t>
                  </w:r>
                </w:p>
              </w:tc>
              <w:tc>
                <w:tcPr>
                  <w:tcW w:w="1151" w:type="pct"/>
                  <w:tcBorders>
                    <w:tl2br w:val="nil"/>
                    <w:tr2bl w:val="nil"/>
                  </w:tcBorders>
                  <w:noWrap w:val="0"/>
                  <w:tcMar>
                    <w:top w:w="0" w:type="dxa"/>
                    <w:left w:w="57" w:type="dxa"/>
                    <w:bottom w:w="0" w:type="dxa"/>
                    <w:right w:w="57" w:type="dxa"/>
                  </w:tcMar>
                  <w:vAlign w:val="center"/>
                </w:tcPr>
                <w:p w14:paraId="5CE35983">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60</w:t>
                  </w:r>
                </w:p>
              </w:tc>
              <w:tc>
                <w:tcPr>
                  <w:tcW w:w="621" w:type="pct"/>
                  <w:tcBorders>
                    <w:tl2br w:val="nil"/>
                    <w:tr2bl w:val="nil"/>
                  </w:tcBorders>
                  <w:noWrap w:val="0"/>
                  <w:tcMar>
                    <w:top w:w="0" w:type="dxa"/>
                    <w:left w:w="57" w:type="dxa"/>
                    <w:bottom w:w="0" w:type="dxa"/>
                    <w:right w:w="57" w:type="dxa"/>
                  </w:tcMar>
                  <w:vAlign w:val="center"/>
                </w:tcPr>
                <w:p w14:paraId="54C757D0">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color w:val="auto"/>
                      <w:sz w:val="21"/>
                      <w:szCs w:val="21"/>
                      <w:u w:val="none" w:color="auto"/>
                      <w:lang w:val="en-US" w:eastAsia="zh-CN"/>
                    </w:rPr>
                    <w:t>10</w:t>
                  </w:r>
                </w:p>
              </w:tc>
              <w:tc>
                <w:tcPr>
                  <w:tcW w:w="1092" w:type="dxa"/>
                  <w:tcBorders>
                    <w:tl2br w:val="nil"/>
                    <w:tr2bl w:val="nil"/>
                  </w:tcBorders>
                  <w:noWrap w:val="0"/>
                  <w:tcMar>
                    <w:top w:w="0" w:type="dxa"/>
                    <w:left w:w="57" w:type="dxa"/>
                    <w:bottom w:w="0" w:type="dxa"/>
                    <w:right w:w="57" w:type="dxa"/>
                  </w:tcMar>
                  <w:vAlign w:val="center"/>
                </w:tcPr>
                <w:p w14:paraId="201BF7A0">
                  <w:pPr>
                    <w:pStyle w:val="20"/>
                    <w:keepNext w:val="0"/>
                    <w:keepLines w:val="0"/>
                    <w:suppressLineNumbers w:val="0"/>
                    <w:bidi w:val="0"/>
                    <w:spacing w:before="0" w:beforeAutospacing="0" w:after="0" w:afterAutospacing="0"/>
                    <w:ind w:left="0" w:right="0" w:firstLine="0" w:firstLineChars="0"/>
                    <w:jc w:val="center"/>
                    <w:rPr>
                      <w:rFonts w:hint="eastAsia"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16.67</w:t>
                  </w:r>
                </w:p>
              </w:tc>
              <w:tc>
                <w:tcPr>
                  <w:tcW w:w="654" w:type="pct"/>
                  <w:tcBorders>
                    <w:tl2br w:val="nil"/>
                    <w:tr2bl w:val="nil"/>
                  </w:tcBorders>
                  <w:noWrap w:val="0"/>
                  <w:tcMar>
                    <w:top w:w="0" w:type="dxa"/>
                    <w:left w:w="57" w:type="dxa"/>
                    <w:bottom w:w="0" w:type="dxa"/>
                    <w:right w:w="57" w:type="dxa"/>
                  </w:tcMar>
                  <w:vAlign w:val="center"/>
                </w:tcPr>
                <w:p w14:paraId="72FC53C6">
                  <w:pPr>
                    <w:pStyle w:val="20"/>
                    <w:keepNext w:val="0"/>
                    <w:keepLines w:val="0"/>
                    <w:suppressLineNumbers w:val="0"/>
                    <w:bidi w:val="0"/>
                    <w:spacing w:before="0" w:beforeAutospacing="0" w:after="0" w:afterAutospacing="0"/>
                    <w:ind w:left="0" w:right="0" w:firstLine="0" w:firstLineChars="0"/>
                    <w:jc w:val="center"/>
                    <w:rPr>
                      <w:rFonts w:hint="eastAsia"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w:t>
                  </w:r>
                </w:p>
              </w:tc>
              <w:tc>
                <w:tcPr>
                  <w:tcW w:w="550" w:type="pct"/>
                  <w:tcBorders>
                    <w:tl2br w:val="nil"/>
                    <w:tr2bl w:val="nil"/>
                  </w:tcBorders>
                  <w:noWrap w:val="0"/>
                  <w:tcMar>
                    <w:top w:w="0" w:type="dxa"/>
                    <w:left w:w="57" w:type="dxa"/>
                    <w:bottom w:w="0" w:type="dxa"/>
                    <w:right w:w="57" w:type="dxa"/>
                  </w:tcMar>
                  <w:vAlign w:val="center"/>
                </w:tcPr>
                <w:p w14:paraId="28074560">
                  <w:pPr>
                    <w:pStyle w:val="20"/>
                    <w:keepNext w:val="0"/>
                    <w:keepLines w:val="0"/>
                    <w:suppressLineNumbers w:val="0"/>
                    <w:bidi w:val="0"/>
                    <w:spacing w:before="0" w:beforeAutospacing="0" w:after="0" w:afterAutospacing="0"/>
                    <w:ind w:left="0" w:right="0"/>
                    <w:jc w:val="center"/>
                    <w:rPr>
                      <w:rFonts w:hint="default"/>
                      <w:sz w:val="21"/>
                      <w:szCs w:val="21"/>
                      <w:u w:val="none" w:color="auto"/>
                      <w:lang w:val="en-US" w:eastAsia="zh-CN"/>
                    </w:rPr>
                  </w:pPr>
                  <w:r>
                    <w:rPr>
                      <w:rFonts w:hint="default"/>
                      <w:sz w:val="21"/>
                      <w:szCs w:val="21"/>
                      <w:u w:val="none" w:color="auto"/>
                    </w:rPr>
                    <w:t>达标</w:t>
                  </w:r>
                </w:p>
              </w:tc>
            </w:tr>
            <w:tr w14:paraId="5E9C42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7C931A69">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NO</w:t>
                  </w:r>
                  <w:r>
                    <w:rPr>
                      <w:rFonts w:hint="default"/>
                      <w:sz w:val="21"/>
                      <w:szCs w:val="21"/>
                      <w:u w:val="none" w:color="auto"/>
                      <w:vertAlign w:val="subscript"/>
                    </w:rPr>
                    <w:t>2</w:t>
                  </w:r>
                </w:p>
              </w:tc>
              <w:tc>
                <w:tcPr>
                  <w:tcW w:w="914" w:type="pct"/>
                  <w:tcBorders>
                    <w:tl2br w:val="nil"/>
                    <w:tr2bl w:val="nil"/>
                  </w:tcBorders>
                  <w:noWrap w:val="0"/>
                  <w:tcMar>
                    <w:top w:w="0" w:type="dxa"/>
                    <w:left w:w="57" w:type="dxa"/>
                    <w:bottom w:w="0" w:type="dxa"/>
                    <w:right w:w="57" w:type="dxa"/>
                  </w:tcMar>
                  <w:vAlign w:val="center"/>
                </w:tcPr>
                <w:p w14:paraId="0C9C4CC8">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年平均</w:t>
                  </w:r>
                </w:p>
              </w:tc>
              <w:tc>
                <w:tcPr>
                  <w:tcW w:w="1151" w:type="pct"/>
                  <w:tcBorders>
                    <w:tl2br w:val="nil"/>
                    <w:tr2bl w:val="nil"/>
                  </w:tcBorders>
                  <w:noWrap w:val="0"/>
                  <w:tcMar>
                    <w:top w:w="0" w:type="dxa"/>
                    <w:left w:w="57" w:type="dxa"/>
                    <w:bottom w:w="0" w:type="dxa"/>
                    <w:right w:w="57" w:type="dxa"/>
                  </w:tcMar>
                  <w:vAlign w:val="center"/>
                </w:tcPr>
                <w:p w14:paraId="204D2F34">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40</w:t>
                  </w:r>
                </w:p>
              </w:tc>
              <w:tc>
                <w:tcPr>
                  <w:tcW w:w="621" w:type="pct"/>
                  <w:tcBorders>
                    <w:tl2br w:val="nil"/>
                    <w:tr2bl w:val="nil"/>
                  </w:tcBorders>
                  <w:noWrap w:val="0"/>
                  <w:tcMar>
                    <w:top w:w="0" w:type="dxa"/>
                    <w:left w:w="57" w:type="dxa"/>
                    <w:bottom w:w="0" w:type="dxa"/>
                    <w:right w:w="57" w:type="dxa"/>
                  </w:tcMar>
                  <w:vAlign w:val="center"/>
                </w:tcPr>
                <w:p w14:paraId="18B03C83">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color w:val="auto"/>
                      <w:sz w:val="21"/>
                      <w:szCs w:val="21"/>
                      <w:u w:val="none" w:color="auto"/>
                      <w:lang w:val="en-US" w:eastAsia="zh-CN"/>
                    </w:rPr>
                    <w:t>29</w:t>
                  </w:r>
                </w:p>
              </w:tc>
              <w:tc>
                <w:tcPr>
                  <w:tcW w:w="1092" w:type="dxa"/>
                  <w:tcBorders>
                    <w:tl2br w:val="nil"/>
                    <w:tr2bl w:val="nil"/>
                  </w:tcBorders>
                  <w:noWrap w:val="0"/>
                  <w:tcMar>
                    <w:top w:w="0" w:type="dxa"/>
                    <w:left w:w="57" w:type="dxa"/>
                    <w:bottom w:w="0" w:type="dxa"/>
                    <w:right w:w="57" w:type="dxa"/>
                  </w:tcMar>
                  <w:vAlign w:val="center"/>
                </w:tcPr>
                <w:p w14:paraId="2B8470D6">
                  <w:pPr>
                    <w:pStyle w:val="20"/>
                    <w:keepNext w:val="0"/>
                    <w:keepLines w:val="0"/>
                    <w:suppressLineNumbers w:val="0"/>
                    <w:bidi w:val="0"/>
                    <w:spacing w:before="0" w:beforeAutospacing="0" w:after="0" w:afterAutospacing="0"/>
                    <w:ind w:left="0" w:right="0" w:firstLine="0" w:firstLineChars="0"/>
                    <w:jc w:val="center"/>
                    <w:rPr>
                      <w:rFonts w:hint="eastAsia"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72.5</w:t>
                  </w:r>
                </w:p>
              </w:tc>
              <w:tc>
                <w:tcPr>
                  <w:tcW w:w="654" w:type="pct"/>
                  <w:tcBorders>
                    <w:tl2br w:val="nil"/>
                    <w:tr2bl w:val="nil"/>
                  </w:tcBorders>
                  <w:noWrap w:val="0"/>
                  <w:tcMar>
                    <w:top w:w="0" w:type="dxa"/>
                    <w:left w:w="57" w:type="dxa"/>
                    <w:bottom w:w="0" w:type="dxa"/>
                    <w:right w:w="57" w:type="dxa"/>
                  </w:tcMar>
                  <w:vAlign w:val="center"/>
                </w:tcPr>
                <w:p w14:paraId="6FC7FD8B">
                  <w:pPr>
                    <w:pStyle w:val="20"/>
                    <w:keepNext w:val="0"/>
                    <w:keepLines w:val="0"/>
                    <w:suppressLineNumbers w:val="0"/>
                    <w:bidi w:val="0"/>
                    <w:spacing w:before="0" w:beforeAutospacing="0" w:after="0" w:afterAutospacing="0"/>
                    <w:ind w:left="0" w:right="0" w:firstLine="0" w:firstLineChars="0"/>
                    <w:jc w:val="center"/>
                    <w:rPr>
                      <w:rFonts w:hint="eastAsia"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w:t>
                  </w:r>
                </w:p>
              </w:tc>
              <w:tc>
                <w:tcPr>
                  <w:tcW w:w="550" w:type="pct"/>
                  <w:tcBorders>
                    <w:tl2br w:val="nil"/>
                    <w:tr2bl w:val="nil"/>
                  </w:tcBorders>
                  <w:noWrap w:val="0"/>
                  <w:tcMar>
                    <w:top w:w="0" w:type="dxa"/>
                    <w:left w:w="57" w:type="dxa"/>
                    <w:bottom w:w="0" w:type="dxa"/>
                    <w:right w:w="57" w:type="dxa"/>
                  </w:tcMar>
                  <w:vAlign w:val="center"/>
                </w:tcPr>
                <w:p w14:paraId="1F692F28">
                  <w:pPr>
                    <w:pStyle w:val="20"/>
                    <w:keepNext w:val="0"/>
                    <w:keepLines w:val="0"/>
                    <w:suppressLineNumbers w:val="0"/>
                    <w:bidi w:val="0"/>
                    <w:spacing w:before="0" w:beforeAutospacing="0" w:after="0" w:afterAutospacing="0"/>
                    <w:ind w:left="0" w:right="0"/>
                    <w:jc w:val="center"/>
                    <w:rPr>
                      <w:rFonts w:hint="default"/>
                      <w:sz w:val="21"/>
                      <w:szCs w:val="21"/>
                      <w:u w:val="none" w:color="auto"/>
                      <w:lang w:val="en-US" w:eastAsia="zh-CN"/>
                    </w:rPr>
                  </w:pPr>
                  <w:r>
                    <w:rPr>
                      <w:rFonts w:hint="default"/>
                      <w:sz w:val="21"/>
                      <w:szCs w:val="21"/>
                      <w:u w:val="none" w:color="auto"/>
                    </w:rPr>
                    <w:t>达标</w:t>
                  </w:r>
                </w:p>
              </w:tc>
            </w:tr>
            <w:tr w14:paraId="3FAB95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4B3A67D5">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PM</w:t>
                  </w:r>
                  <w:r>
                    <w:rPr>
                      <w:rFonts w:hint="default"/>
                      <w:sz w:val="21"/>
                      <w:szCs w:val="21"/>
                      <w:u w:val="none" w:color="auto"/>
                      <w:vertAlign w:val="subscript"/>
                    </w:rPr>
                    <w:t>10</w:t>
                  </w:r>
                </w:p>
              </w:tc>
              <w:tc>
                <w:tcPr>
                  <w:tcW w:w="914" w:type="pct"/>
                  <w:tcBorders>
                    <w:tl2br w:val="nil"/>
                    <w:tr2bl w:val="nil"/>
                  </w:tcBorders>
                  <w:noWrap w:val="0"/>
                  <w:tcMar>
                    <w:top w:w="0" w:type="dxa"/>
                    <w:left w:w="57" w:type="dxa"/>
                    <w:bottom w:w="0" w:type="dxa"/>
                    <w:right w:w="57" w:type="dxa"/>
                  </w:tcMar>
                  <w:vAlign w:val="center"/>
                </w:tcPr>
                <w:p w14:paraId="7F3044CA">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年平均</w:t>
                  </w:r>
                </w:p>
              </w:tc>
              <w:tc>
                <w:tcPr>
                  <w:tcW w:w="1151" w:type="pct"/>
                  <w:tcBorders>
                    <w:tl2br w:val="nil"/>
                    <w:tr2bl w:val="nil"/>
                  </w:tcBorders>
                  <w:noWrap w:val="0"/>
                  <w:tcMar>
                    <w:top w:w="0" w:type="dxa"/>
                    <w:left w:w="57" w:type="dxa"/>
                    <w:bottom w:w="0" w:type="dxa"/>
                    <w:right w:w="57" w:type="dxa"/>
                  </w:tcMar>
                  <w:vAlign w:val="center"/>
                </w:tcPr>
                <w:p w14:paraId="57782AA3">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color w:val="auto"/>
                      <w:sz w:val="21"/>
                      <w:szCs w:val="21"/>
                      <w:u w:val="none" w:color="auto"/>
                      <w:lang w:val="en-US" w:eastAsia="zh-CN"/>
                    </w:rPr>
                    <w:t>70</w:t>
                  </w:r>
                </w:p>
              </w:tc>
              <w:tc>
                <w:tcPr>
                  <w:tcW w:w="621" w:type="pct"/>
                  <w:tcBorders>
                    <w:tl2br w:val="nil"/>
                    <w:tr2bl w:val="nil"/>
                  </w:tcBorders>
                  <w:noWrap w:val="0"/>
                  <w:tcMar>
                    <w:top w:w="0" w:type="dxa"/>
                    <w:left w:w="57" w:type="dxa"/>
                    <w:bottom w:w="0" w:type="dxa"/>
                    <w:right w:w="57" w:type="dxa"/>
                  </w:tcMar>
                  <w:vAlign w:val="center"/>
                </w:tcPr>
                <w:p w14:paraId="510EB61B">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eastAsia="宋体"/>
                      <w:color w:val="auto"/>
                      <w:sz w:val="21"/>
                      <w:szCs w:val="21"/>
                      <w:u w:val="none" w:color="auto"/>
                      <w:lang w:val="en-US" w:eastAsia="zh-CN"/>
                    </w:rPr>
                    <w:t>81</w:t>
                  </w:r>
                </w:p>
              </w:tc>
              <w:tc>
                <w:tcPr>
                  <w:tcW w:w="1092" w:type="dxa"/>
                  <w:tcBorders>
                    <w:tl2br w:val="nil"/>
                    <w:tr2bl w:val="nil"/>
                  </w:tcBorders>
                  <w:noWrap w:val="0"/>
                  <w:tcMar>
                    <w:top w:w="0" w:type="dxa"/>
                    <w:left w:w="57" w:type="dxa"/>
                    <w:bottom w:w="0" w:type="dxa"/>
                    <w:right w:w="57" w:type="dxa"/>
                  </w:tcMar>
                  <w:vAlign w:val="center"/>
                </w:tcPr>
                <w:p w14:paraId="150EA5F6">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115.71</w:t>
                  </w:r>
                </w:p>
              </w:tc>
              <w:tc>
                <w:tcPr>
                  <w:tcW w:w="654" w:type="pct"/>
                  <w:tcBorders>
                    <w:tl2br w:val="nil"/>
                    <w:tr2bl w:val="nil"/>
                  </w:tcBorders>
                  <w:noWrap w:val="0"/>
                  <w:tcMar>
                    <w:top w:w="0" w:type="dxa"/>
                    <w:left w:w="57" w:type="dxa"/>
                    <w:bottom w:w="0" w:type="dxa"/>
                    <w:right w:w="57" w:type="dxa"/>
                  </w:tcMar>
                  <w:vAlign w:val="center"/>
                </w:tcPr>
                <w:p w14:paraId="2BB3E820">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15.71</w:t>
                  </w:r>
                </w:p>
              </w:tc>
              <w:tc>
                <w:tcPr>
                  <w:tcW w:w="550" w:type="pct"/>
                  <w:tcBorders>
                    <w:tl2br w:val="nil"/>
                    <w:tr2bl w:val="nil"/>
                  </w:tcBorders>
                  <w:noWrap w:val="0"/>
                  <w:tcMar>
                    <w:top w:w="0" w:type="dxa"/>
                    <w:left w:w="57" w:type="dxa"/>
                    <w:bottom w:w="0" w:type="dxa"/>
                    <w:right w:w="57" w:type="dxa"/>
                  </w:tcMar>
                  <w:vAlign w:val="center"/>
                </w:tcPr>
                <w:p w14:paraId="2C6A7830">
                  <w:pPr>
                    <w:pStyle w:val="20"/>
                    <w:keepNext w:val="0"/>
                    <w:keepLines w:val="0"/>
                    <w:suppressLineNumbers w:val="0"/>
                    <w:bidi w:val="0"/>
                    <w:spacing w:before="0" w:beforeAutospacing="0" w:after="0" w:afterAutospacing="0"/>
                    <w:ind w:left="0" w:right="0"/>
                    <w:jc w:val="center"/>
                    <w:rPr>
                      <w:rFonts w:hint="default"/>
                      <w:sz w:val="21"/>
                      <w:szCs w:val="21"/>
                      <w:u w:val="none" w:color="auto"/>
                      <w:lang w:val="en-US" w:eastAsia="zh-CN"/>
                    </w:rPr>
                  </w:pPr>
                  <w:r>
                    <w:rPr>
                      <w:rFonts w:hint="default"/>
                      <w:sz w:val="21"/>
                      <w:szCs w:val="21"/>
                      <w:u w:val="none" w:color="auto"/>
                    </w:rPr>
                    <w:t>超标</w:t>
                  </w:r>
                </w:p>
              </w:tc>
            </w:tr>
            <w:tr w14:paraId="2F6259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6C635CAD">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PM</w:t>
                  </w:r>
                  <w:r>
                    <w:rPr>
                      <w:rFonts w:hint="default"/>
                      <w:sz w:val="21"/>
                      <w:szCs w:val="21"/>
                      <w:u w:val="none" w:color="auto"/>
                      <w:vertAlign w:val="subscript"/>
                    </w:rPr>
                    <w:t>2.5</w:t>
                  </w:r>
                </w:p>
              </w:tc>
              <w:tc>
                <w:tcPr>
                  <w:tcW w:w="914" w:type="pct"/>
                  <w:tcBorders>
                    <w:tl2br w:val="nil"/>
                    <w:tr2bl w:val="nil"/>
                  </w:tcBorders>
                  <w:noWrap w:val="0"/>
                  <w:tcMar>
                    <w:top w:w="0" w:type="dxa"/>
                    <w:left w:w="57" w:type="dxa"/>
                    <w:bottom w:w="0" w:type="dxa"/>
                    <w:right w:w="57" w:type="dxa"/>
                  </w:tcMar>
                  <w:vAlign w:val="center"/>
                </w:tcPr>
                <w:p w14:paraId="4EBA68EB">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年平均</w:t>
                  </w:r>
                </w:p>
              </w:tc>
              <w:tc>
                <w:tcPr>
                  <w:tcW w:w="1151" w:type="pct"/>
                  <w:tcBorders>
                    <w:tl2br w:val="nil"/>
                    <w:tr2bl w:val="nil"/>
                  </w:tcBorders>
                  <w:noWrap w:val="0"/>
                  <w:tcMar>
                    <w:top w:w="0" w:type="dxa"/>
                    <w:left w:w="57" w:type="dxa"/>
                    <w:bottom w:w="0" w:type="dxa"/>
                    <w:right w:w="57" w:type="dxa"/>
                  </w:tcMar>
                  <w:vAlign w:val="center"/>
                </w:tcPr>
                <w:p w14:paraId="72999BDB">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color w:val="auto"/>
                      <w:sz w:val="21"/>
                      <w:szCs w:val="21"/>
                      <w:u w:val="none" w:color="auto"/>
                      <w:lang w:val="en-US" w:eastAsia="zh-CN"/>
                    </w:rPr>
                    <w:t>35</w:t>
                  </w:r>
                </w:p>
              </w:tc>
              <w:tc>
                <w:tcPr>
                  <w:tcW w:w="621" w:type="pct"/>
                  <w:tcBorders>
                    <w:tl2br w:val="nil"/>
                    <w:tr2bl w:val="nil"/>
                  </w:tcBorders>
                  <w:noWrap w:val="0"/>
                  <w:tcMar>
                    <w:top w:w="0" w:type="dxa"/>
                    <w:left w:w="57" w:type="dxa"/>
                    <w:bottom w:w="0" w:type="dxa"/>
                    <w:right w:w="57" w:type="dxa"/>
                  </w:tcMar>
                  <w:vAlign w:val="center"/>
                </w:tcPr>
                <w:p w14:paraId="27AD23EF">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eastAsia="宋体"/>
                      <w:color w:val="auto"/>
                      <w:sz w:val="21"/>
                      <w:szCs w:val="21"/>
                      <w:u w:val="none" w:color="auto"/>
                      <w:lang w:val="en-US" w:eastAsia="zh-CN"/>
                    </w:rPr>
                    <w:t>49</w:t>
                  </w:r>
                </w:p>
              </w:tc>
              <w:tc>
                <w:tcPr>
                  <w:tcW w:w="1092" w:type="dxa"/>
                  <w:tcBorders>
                    <w:tl2br w:val="nil"/>
                    <w:tr2bl w:val="nil"/>
                  </w:tcBorders>
                  <w:noWrap w:val="0"/>
                  <w:tcMar>
                    <w:top w:w="0" w:type="dxa"/>
                    <w:left w:w="57" w:type="dxa"/>
                    <w:bottom w:w="0" w:type="dxa"/>
                    <w:right w:w="57" w:type="dxa"/>
                  </w:tcMar>
                  <w:vAlign w:val="center"/>
                </w:tcPr>
                <w:p w14:paraId="26346E3F">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140</w:t>
                  </w:r>
                </w:p>
              </w:tc>
              <w:tc>
                <w:tcPr>
                  <w:tcW w:w="654" w:type="pct"/>
                  <w:tcBorders>
                    <w:tl2br w:val="nil"/>
                    <w:tr2bl w:val="nil"/>
                  </w:tcBorders>
                  <w:noWrap w:val="0"/>
                  <w:tcMar>
                    <w:top w:w="0" w:type="dxa"/>
                    <w:left w:w="57" w:type="dxa"/>
                    <w:bottom w:w="0" w:type="dxa"/>
                    <w:right w:w="57" w:type="dxa"/>
                  </w:tcMar>
                  <w:vAlign w:val="center"/>
                </w:tcPr>
                <w:p w14:paraId="5C198FBC">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40</w:t>
                  </w:r>
                </w:p>
              </w:tc>
              <w:tc>
                <w:tcPr>
                  <w:tcW w:w="550" w:type="pct"/>
                  <w:tcBorders>
                    <w:tl2br w:val="nil"/>
                    <w:tr2bl w:val="nil"/>
                  </w:tcBorders>
                  <w:noWrap w:val="0"/>
                  <w:tcMar>
                    <w:top w:w="0" w:type="dxa"/>
                    <w:left w:w="57" w:type="dxa"/>
                    <w:bottom w:w="0" w:type="dxa"/>
                    <w:right w:w="57" w:type="dxa"/>
                  </w:tcMar>
                  <w:vAlign w:val="center"/>
                </w:tcPr>
                <w:p w14:paraId="5F53EE3C">
                  <w:pPr>
                    <w:pStyle w:val="20"/>
                    <w:keepNext w:val="0"/>
                    <w:keepLines w:val="0"/>
                    <w:suppressLineNumbers w:val="0"/>
                    <w:bidi w:val="0"/>
                    <w:spacing w:before="0" w:beforeAutospacing="0" w:after="0" w:afterAutospacing="0"/>
                    <w:ind w:left="0" w:right="0"/>
                    <w:jc w:val="center"/>
                    <w:rPr>
                      <w:rFonts w:hint="default"/>
                      <w:sz w:val="21"/>
                      <w:szCs w:val="21"/>
                      <w:u w:val="none" w:color="auto"/>
                      <w:lang w:val="en-US" w:eastAsia="zh-CN"/>
                    </w:rPr>
                  </w:pPr>
                  <w:r>
                    <w:rPr>
                      <w:rFonts w:hint="default"/>
                      <w:sz w:val="21"/>
                      <w:szCs w:val="21"/>
                      <w:u w:val="none" w:color="auto"/>
                    </w:rPr>
                    <w:t>超标</w:t>
                  </w:r>
                </w:p>
              </w:tc>
            </w:tr>
            <w:tr w14:paraId="6D2DC9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408A8078">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CO</w:t>
                  </w:r>
                </w:p>
              </w:tc>
              <w:tc>
                <w:tcPr>
                  <w:tcW w:w="914" w:type="pct"/>
                  <w:tcBorders>
                    <w:tl2br w:val="nil"/>
                    <w:tr2bl w:val="nil"/>
                  </w:tcBorders>
                  <w:noWrap w:val="0"/>
                  <w:tcMar>
                    <w:top w:w="0" w:type="dxa"/>
                    <w:left w:w="57" w:type="dxa"/>
                    <w:bottom w:w="0" w:type="dxa"/>
                    <w:right w:w="57" w:type="dxa"/>
                  </w:tcMar>
                  <w:vAlign w:val="center"/>
                </w:tcPr>
                <w:p w14:paraId="15C22FFC">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24h平均第95百分位数</w:t>
                  </w:r>
                </w:p>
              </w:tc>
              <w:tc>
                <w:tcPr>
                  <w:tcW w:w="1151" w:type="pct"/>
                  <w:tcBorders>
                    <w:tl2br w:val="nil"/>
                    <w:tr2bl w:val="nil"/>
                  </w:tcBorders>
                  <w:noWrap w:val="0"/>
                  <w:tcMar>
                    <w:top w:w="0" w:type="dxa"/>
                    <w:left w:w="57" w:type="dxa"/>
                    <w:bottom w:w="0" w:type="dxa"/>
                    <w:right w:w="57" w:type="dxa"/>
                  </w:tcMar>
                  <w:vAlign w:val="center"/>
                </w:tcPr>
                <w:p w14:paraId="1AF00F75">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4000</w:t>
                  </w:r>
                </w:p>
              </w:tc>
              <w:tc>
                <w:tcPr>
                  <w:tcW w:w="621" w:type="pct"/>
                  <w:tcBorders>
                    <w:tl2br w:val="nil"/>
                    <w:tr2bl w:val="nil"/>
                  </w:tcBorders>
                  <w:noWrap w:val="0"/>
                  <w:tcMar>
                    <w:top w:w="0" w:type="dxa"/>
                    <w:left w:w="57" w:type="dxa"/>
                    <w:bottom w:w="0" w:type="dxa"/>
                    <w:right w:w="57" w:type="dxa"/>
                  </w:tcMar>
                  <w:vAlign w:val="center"/>
                </w:tcPr>
                <w:p w14:paraId="2ADECFF0">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1</w:t>
                  </w:r>
                  <w:r>
                    <w:rPr>
                      <w:rFonts w:hint="eastAsia"/>
                      <w:color w:val="auto"/>
                      <w:sz w:val="21"/>
                      <w:szCs w:val="21"/>
                      <w:u w:val="none" w:color="auto"/>
                      <w:lang w:val="en-US" w:eastAsia="zh-CN"/>
                    </w:rPr>
                    <w:t>4</w:t>
                  </w:r>
                  <w:r>
                    <w:rPr>
                      <w:rFonts w:hint="default"/>
                      <w:color w:val="auto"/>
                      <w:sz w:val="21"/>
                      <w:szCs w:val="21"/>
                      <w:u w:val="none" w:color="auto"/>
                    </w:rPr>
                    <w:t>00</w:t>
                  </w:r>
                </w:p>
              </w:tc>
              <w:tc>
                <w:tcPr>
                  <w:tcW w:w="1092" w:type="dxa"/>
                  <w:tcBorders>
                    <w:tl2br w:val="nil"/>
                    <w:tr2bl w:val="nil"/>
                  </w:tcBorders>
                  <w:noWrap w:val="0"/>
                  <w:tcMar>
                    <w:top w:w="0" w:type="dxa"/>
                    <w:left w:w="57" w:type="dxa"/>
                    <w:bottom w:w="0" w:type="dxa"/>
                    <w:right w:w="57" w:type="dxa"/>
                  </w:tcMar>
                  <w:vAlign w:val="center"/>
                </w:tcPr>
                <w:p w14:paraId="347B69D0">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35</w:t>
                  </w:r>
                </w:p>
              </w:tc>
              <w:tc>
                <w:tcPr>
                  <w:tcW w:w="654" w:type="pct"/>
                  <w:tcBorders>
                    <w:tl2br w:val="nil"/>
                    <w:tr2bl w:val="nil"/>
                  </w:tcBorders>
                  <w:noWrap w:val="0"/>
                  <w:tcMar>
                    <w:top w:w="0" w:type="dxa"/>
                    <w:left w:w="57" w:type="dxa"/>
                    <w:bottom w:w="0" w:type="dxa"/>
                    <w:right w:w="57" w:type="dxa"/>
                  </w:tcMar>
                  <w:vAlign w:val="center"/>
                </w:tcPr>
                <w:p w14:paraId="2AEB7171">
                  <w:pPr>
                    <w:pStyle w:val="20"/>
                    <w:keepNext w:val="0"/>
                    <w:keepLines w:val="0"/>
                    <w:suppressLineNumbers w:val="0"/>
                    <w:bidi w:val="0"/>
                    <w:spacing w:before="0" w:beforeAutospacing="0" w:after="0" w:afterAutospacing="0"/>
                    <w:ind w:left="0" w:right="0" w:firstLine="0" w:firstLineChars="0"/>
                    <w:jc w:val="center"/>
                    <w:rPr>
                      <w:rFonts w:hint="eastAsia" w:ascii="Times New Roman" w:hAnsi="Times New Roman" w:eastAsia="宋体" w:cs="Times New Roman"/>
                      <w:color w:val="auto"/>
                      <w:sz w:val="21"/>
                      <w:szCs w:val="21"/>
                      <w:u w:val="none" w:color="auto"/>
                      <w:lang w:val="zh-CN" w:eastAsia="zh-CN"/>
                    </w:rPr>
                  </w:pPr>
                  <w:r>
                    <w:rPr>
                      <w:rFonts w:hint="eastAsia" w:ascii="Times New Roman" w:hAnsi="Times New Roman" w:eastAsia="宋体" w:cs="Times New Roman"/>
                      <w:color w:val="auto"/>
                      <w:sz w:val="21"/>
                      <w:szCs w:val="21"/>
                      <w:u w:val="none" w:color="auto"/>
                      <w:lang w:val="zh-CN" w:eastAsia="zh-CN"/>
                    </w:rPr>
                    <w:t>/</w:t>
                  </w:r>
                </w:p>
              </w:tc>
              <w:tc>
                <w:tcPr>
                  <w:tcW w:w="550" w:type="pct"/>
                  <w:tcBorders>
                    <w:tl2br w:val="nil"/>
                    <w:tr2bl w:val="nil"/>
                  </w:tcBorders>
                  <w:noWrap w:val="0"/>
                  <w:tcMar>
                    <w:top w:w="0" w:type="dxa"/>
                    <w:left w:w="57" w:type="dxa"/>
                    <w:bottom w:w="0" w:type="dxa"/>
                    <w:right w:w="57" w:type="dxa"/>
                  </w:tcMar>
                  <w:vAlign w:val="center"/>
                </w:tcPr>
                <w:p w14:paraId="14AA787C">
                  <w:pPr>
                    <w:pStyle w:val="20"/>
                    <w:keepNext w:val="0"/>
                    <w:keepLines w:val="0"/>
                    <w:suppressLineNumbers w:val="0"/>
                    <w:bidi w:val="0"/>
                    <w:spacing w:before="0" w:beforeAutospacing="0" w:after="0" w:afterAutospacing="0"/>
                    <w:ind w:left="0" w:right="0"/>
                    <w:jc w:val="center"/>
                    <w:rPr>
                      <w:rFonts w:hint="default"/>
                      <w:sz w:val="21"/>
                      <w:szCs w:val="21"/>
                      <w:u w:val="none" w:color="auto"/>
                      <w:lang w:val="en-US" w:eastAsia="zh-CN"/>
                    </w:rPr>
                  </w:pPr>
                  <w:r>
                    <w:rPr>
                      <w:rFonts w:hint="default"/>
                      <w:sz w:val="21"/>
                      <w:szCs w:val="21"/>
                      <w:u w:val="none" w:color="auto"/>
                    </w:rPr>
                    <w:t>达标</w:t>
                  </w:r>
                </w:p>
              </w:tc>
            </w:tr>
            <w:tr w14:paraId="4EC9E6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7F6A28EC">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O</w:t>
                  </w:r>
                  <w:r>
                    <w:rPr>
                      <w:rFonts w:hint="default"/>
                      <w:sz w:val="21"/>
                      <w:szCs w:val="21"/>
                      <w:u w:val="none" w:color="auto"/>
                      <w:vertAlign w:val="subscript"/>
                    </w:rPr>
                    <w:t>3</w:t>
                  </w:r>
                </w:p>
              </w:tc>
              <w:tc>
                <w:tcPr>
                  <w:tcW w:w="914" w:type="pct"/>
                  <w:tcBorders>
                    <w:tl2br w:val="nil"/>
                    <w:tr2bl w:val="nil"/>
                  </w:tcBorders>
                  <w:noWrap w:val="0"/>
                  <w:tcMar>
                    <w:top w:w="0" w:type="dxa"/>
                    <w:left w:w="57" w:type="dxa"/>
                    <w:bottom w:w="0" w:type="dxa"/>
                    <w:right w:w="57" w:type="dxa"/>
                  </w:tcMar>
                  <w:vAlign w:val="center"/>
                </w:tcPr>
                <w:p w14:paraId="2E3AE761">
                  <w:pPr>
                    <w:pStyle w:val="20"/>
                    <w:keepNext w:val="0"/>
                    <w:keepLines w:val="0"/>
                    <w:suppressLineNumbers w:val="0"/>
                    <w:bidi w:val="0"/>
                    <w:spacing w:before="0" w:beforeAutospacing="0" w:after="0" w:afterAutospacing="0"/>
                    <w:ind w:left="0" w:right="0"/>
                    <w:jc w:val="center"/>
                    <w:rPr>
                      <w:rFonts w:hint="default"/>
                      <w:sz w:val="21"/>
                      <w:szCs w:val="21"/>
                      <w:u w:val="none" w:color="auto"/>
                    </w:rPr>
                  </w:pPr>
                  <w:r>
                    <w:rPr>
                      <w:rFonts w:hint="default"/>
                      <w:sz w:val="21"/>
                      <w:szCs w:val="21"/>
                      <w:u w:val="none" w:color="auto"/>
                    </w:rPr>
                    <w:t>日最大8h平均第90百分位数</w:t>
                  </w:r>
                </w:p>
              </w:tc>
              <w:tc>
                <w:tcPr>
                  <w:tcW w:w="1151" w:type="pct"/>
                  <w:tcBorders>
                    <w:tl2br w:val="nil"/>
                    <w:tr2bl w:val="nil"/>
                  </w:tcBorders>
                  <w:noWrap w:val="0"/>
                  <w:tcMar>
                    <w:top w:w="0" w:type="dxa"/>
                    <w:left w:w="57" w:type="dxa"/>
                    <w:bottom w:w="0" w:type="dxa"/>
                    <w:right w:w="57" w:type="dxa"/>
                  </w:tcMar>
                  <w:vAlign w:val="center"/>
                </w:tcPr>
                <w:p w14:paraId="67201C9B">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160</w:t>
                  </w:r>
                </w:p>
              </w:tc>
              <w:tc>
                <w:tcPr>
                  <w:tcW w:w="621" w:type="pct"/>
                  <w:tcBorders>
                    <w:tl2br w:val="nil"/>
                    <w:tr2bl w:val="nil"/>
                  </w:tcBorders>
                  <w:noWrap w:val="0"/>
                  <w:tcMar>
                    <w:top w:w="0" w:type="dxa"/>
                    <w:left w:w="57" w:type="dxa"/>
                    <w:bottom w:w="0" w:type="dxa"/>
                    <w:right w:w="57" w:type="dxa"/>
                  </w:tcMar>
                  <w:vAlign w:val="center"/>
                </w:tcPr>
                <w:p w14:paraId="2A914402">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1</w:t>
                  </w:r>
                  <w:r>
                    <w:rPr>
                      <w:rFonts w:hint="eastAsia"/>
                      <w:color w:val="auto"/>
                      <w:sz w:val="21"/>
                      <w:szCs w:val="21"/>
                      <w:u w:val="none" w:color="auto"/>
                      <w:lang w:val="en-US" w:eastAsia="zh-CN"/>
                    </w:rPr>
                    <w:t>84</w:t>
                  </w:r>
                </w:p>
              </w:tc>
              <w:tc>
                <w:tcPr>
                  <w:tcW w:w="1092" w:type="dxa"/>
                  <w:tcBorders>
                    <w:tl2br w:val="nil"/>
                    <w:tr2bl w:val="nil"/>
                  </w:tcBorders>
                  <w:noWrap w:val="0"/>
                  <w:tcMar>
                    <w:top w:w="0" w:type="dxa"/>
                    <w:left w:w="57" w:type="dxa"/>
                    <w:bottom w:w="0" w:type="dxa"/>
                    <w:right w:w="57" w:type="dxa"/>
                  </w:tcMar>
                  <w:vAlign w:val="center"/>
                </w:tcPr>
                <w:p w14:paraId="01BE0F39">
                  <w:pPr>
                    <w:pStyle w:val="20"/>
                    <w:keepNext w:val="0"/>
                    <w:keepLines w:val="0"/>
                    <w:suppressLineNumbers w:val="0"/>
                    <w:bidi w:val="0"/>
                    <w:spacing w:before="0" w:beforeAutospacing="0" w:after="0" w:afterAutospacing="0"/>
                    <w:ind w:left="0" w:right="0" w:firstLine="0" w:firstLineChars="0"/>
                    <w:jc w:val="center"/>
                    <w:rPr>
                      <w:rFonts w:hint="eastAsia"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115</w:t>
                  </w:r>
                </w:p>
              </w:tc>
              <w:tc>
                <w:tcPr>
                  <w:tcW w:w="654" w:type="pct"/>
                  <w:tcBorders>
                    <w:tl2br w:val="nil"/>
                    <w:tr2bl w:val="nil"/>
                  </w:tcBorders>
                  <w:noWrap w:val="0"/>
                  <w:tcMar>
                    <w:top w:w="0" w:type="dxa"/>
                    <w:left w:w="57" w:type="dxa"/>
                    <w:bottom w:w="0" w:type="dxa"/>
                    <w:right w:w="57" w:type="dxa"/>
                  </w:tcMar>
                  <w:vAlign w:val="center"/>
                </w:tcPr>
                <w:p w14:paraId="0EBBE940">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15</w:t>
                  </w:r>
                </w:p>
              </w:tc>
              <w:tc>
                <w:tcPr>
                  <w:tcW w:w="550" w:type="pct"/>
                  <w:tcBorders>
                    <w:tl2br w:val="nil"/>
                    <w:tr2bl w:val="nil"/>
                  </w:tcBorders>
                  <w:noWrap w:val="0"/>
                  <w:tcMar>
                    <w:top w:w="0" w:type="dxa"/>
                    <w:left w:w="57" w:type="dxa"/>
                    <w:bottom w:w="0" w:type="dxa"/>
                    <w:right w:w="57" w:type="dxa"/>
                  </w:tcMar>
                  <w:vAlign w:val="center"/>
                </w:tcPr>
                <w:p w14:paraId="375642C1">
                  <w:pPr>
                    <w:pStyle w:val="20"/>
                    <w:keepNext w:val="0"/>
                    <w:keepLines w:val="0"/>
                    <w:suppressLineNumbers w:val="0"/>
                    <w:bidi w:val="0"/>
                    <w:spacing w:before="0" w:beforeAutospacing="0" w:after="0" w:afterAutospacing="0"/>
                    <w:ind w:left="0" w:right="0"/>
                    <w:jc w:val="center"/>
                    <w:rPr>
                      <w:rFonts w:hint="default"/>
                      <w:sz w:val="21"/>
                      <w:szCs w:val="21"/>
                      <w:u w:val="none" w:color="auto"/>
                      <w:lang w:val="en-US" w:eastAsia="zh-CN"/>
                    </w:rPr>
                  </w:pPr>
                  <w:r>
                    <w:rPr>
                      <w:rFonts w:hint="default"/>
                      <w:sz w:val="21"/>
                      <w:szCs w:val="21"/>
                      <w:u w:val="none" w:color="auto"/>
                    </w:rPr>
                    <w:t>超标</w:t>
                  </w:r>
                </w:p>
              </w:tc>
            </w:tr>
            <w:tr w14:paraId="01AA09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28B69AC5">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污染物</w:t>
                  </w:r>
                </w:p>
              </w:tc>
              <w:tc>
                <w:tcPr>
                  <w:tcW w:w="914" w:type="pct"/>
                  <w:tcBorders>
                    <w:tl2br w:val="nil"/>
                    <w:tr2bl w:val="nil"/>
                  </w:tcBorders>
                  <w:noWrap w:val="0"/>
                  <w:tcMar>
                    <w:top w:w="0" w:type="dxa"/>
                    <w:left w:w="57" w:type="dxa"/>
                    <w:bottom w:w="0" w:type="dxa"/>
                    <w:right w:w="57" w:type="dxa"/>
                  </w:tcMar>
                  <w:vAlign w:val="center"/>
                </w:tcPr>
                <w:p w14:paraId="4708AFD2">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年评价指标</w:t>
                  </w:r>
                </w:p>
              </w:tc>
              <w:tc>
                <w:tcPr>
                  <w:tcW w:w="1151" w:type="pct"/>
                  <w:tcBorders>
                    <w:tl2br w:val="nil"/>
                    <w:tr2bl w:val="nil"/>
                  </w:tcBorders>
                  <w:noWrap w:val="0"/>
                  <w:tcMar>
                    <w:top w:w="0" w:type="dxa"/>
                    <w:left w:w="57" w:type="dxa"/>
                    <w:bottom w:w="0" w:type="dxa"/>
                    <w:right w:w="57" w:type="dxa"/>
                  </w:tcMar>
                  <w:vAlign w:val="center"/>
                </w:tcPr>
                <w:p w14:paraId="327197F1">
                  <w:pPr>
                    <w:pStyle w:val="20"/>
                    <w:keepNext w:val="0"/>
                    <w:keepLines w:val="0"/>
                    <w:suppressLineNumbers w:val="0"/>
                    <w:bidi w:val="0"/>
                    <w:spacing w:before="0" w:beforeAutospacing="0" w:after="0" w:afterAutospacing="0"/>
                    <w:ind w:left="0" w:right="0"/>
                    <w:jc w:val="center"/>
                    <w:rPr>
                      <w:rFonts w:hint="default" w:ascii="Times New Roman" w:hAnsi="Times New Roman" w:eastAsia="宋体" w:cs="Times New Roman"/>
                      <w:kern w:val="2"/>
                      <w:sz w:val="21"/>
                      <w:szCs w:val="21"/>
                      <w:u w:val="none" w:color="auto"/>
                      <w:lang w:val="en-US" w:eastAsia="zh-CN" w:bidi="ar-SA"/>
                    </w:rPr>
                  </w:pPr>
                  <w:r>
                    <w:rPr>
                      <w:rFonts w:hint="eastAsia"/>
                      <w:sz w:val="21"/>
                      <w:szCs w:val="21"/>
                      <w:u w:val="none" w:color="auto"/>
                    </w:rPr>
                    <w:t>《环境空气质量标准》（GB3095-2026）</w:t>
                  </w:r>
                  <w:r>
                    <w:rPr>
                      <w:rFonts w:hint="eastAsia"/>
                      <w:sz w:val="21"/>
                      <w:szCs w:val="21"/>
                      <w:u w:val="none" w:color="auto"/>
                      <w:lang w:eastAsia="zh-CN"/>
                    </w:rPr>
                    <w:t>表</w:t>
                  </w:r>
                  <w:r>
                    <w:rPr>
                      <w:rFonts w:hint="eastAsia"/>
                      <w:sz w:val="21"/>
                      <w:szCs w:val="21"/>
                      <w:u w:val="none" w:color="auto"/>
                      <w:lang w:val="en-US" w:eastAsia="zh-CN"/>
                    </w:rPr>
                    <w:t>1</w:t>
                  </w:r>
                  <w:r>
                    <w:rPr>
                      <w:rFonts w:hint="eastAsia"/>
                      <w:sz w:val="21"/>
                      <w:szCs w:val="21"/>
                      <w:u w:val="none" w:color="auto"/>
                      <w:lang w:eastAsia="zh-CN"/>
                    </w:rPr>
                    <w:t>过渡阶段</w:t>
                  </w:r>
                  <w:r>
                    <w:rPr>
                      <w:rFonts w:hint="default"/>
                      <w:sz w:val="21"/>
                      <w:szCs w:val="21"/>
                      <w:u w:val="none" w:color="auto"/>
                    </w:rPr>
                    <w:t>评价标准值（μg/m</w:t>
                  </w:r>
                  <w:r>
                    <w:rPr>
                      <w:rFonts w:hint="default"/>
                      <w:sz w:val="21"/>
                      <w:szCs w:val="21"/>
                      <w:u w:val="none" w:color="auto"/>
                      <w:vertAlign w:val="superscript"/>
                    </w:rPr>
                    <w:t>3</w:t>
                  </w:r>
                  <w:r>
                    <w:rPr>
                      <w:rFonts w:hint="default"/>
                      <w:sz w:val="21"/>
                      <w:szCs w:val="21"/>
                      <w:u w:val="none" w:color="auto"/>
                    </w:rPr>
                    <w:t>）</w:t>
                  </w:r>
                </w:p>
              </w:tc>
              <w:tc>
                <w:tcPr>
                  <w:tcW w:w="621" w:type="pct"/>
                  <w:tcBorders>
                    <w:tl2br w:val="nil"/>
                    <w:tr2bl w:val="nil"/>
                  </w:tcBorders>
                  <w:noWrap w:val="0"/>
                  <w:tcMar>
                    <w:top w:w="0" w:type="dxa"/>
                    <w:left w:w="57" w:type="dxa"/>
                    <w:bottom w:w="0" w:type="dxa"/>
                    <w:right w:w="57" w:type="dxa"/>
                  </w:tcMar>
                  <w:vAlign w:val="center"/>
                </w:tcPr>
                <w:p w14:paraId="4FA45983">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现状浓度（μg/m</w:t>
                  </w:r>
                  <w:r>
                    <w:rPr>
                      <w:rFonts w:hint="default"/>
                      <w:sz w:val="21"/>
                      <w:szCs w:val="21"/>
                      <w:u w:val="none" w:color="auto"/>
                      <w:vertAlign w:val="superscript"/>
                    </w:rPr>
                    <w:t>3</w:t>
                  </w:r>
                  <w:r>
                    <w:rPr>
                      <w:rFonts w:hint="default"/>
                      <w:sz w:val="21"/>
                      <w:szCs w:val="21"/>
                      <w:u w:val="none" w:color="auto"/>
                    </w:rPr>
                    <w:t>）</w:t>
                  </w:r>
                </w:p>
              </w:tc>
              <w:tc>
                <w:tcPr>
                  <w:tcW w:w="700" w:type="pct"/>
                  <w:tcBorders>
                    <w:tl2br w:val="nil"/>
                    <w:tr2bl w:val="nil"/>
                  </w:tcBorders>
                  <w:noWrap w:val="0"/>
                  <w:tcMar>
                    <w:top w:w="0" w:type="dxa"/>
                    <w:left w:w="57" w:type="dxa"/>
                    <w:bottom w:w="0" w:type="dxa"/>
                    <w:right w:w="57" w:type="dxa"/>
                  </w:tcMar>
                  <w:vAlign w:val="center"/>
                </w:tcPr>
                <w:p w14:paraId="29409576">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最大浓度占标率/%</w:t>
                  </w:r>
                </w:p>
              </w:tc>
              <w:tc>
                <w:tcPr>
                  <w:tcW w:w="654" w:type="pct"/>
                  <w:tcBorders>
                    <w:tl2br w:val="nil"/>
                    <w:tr2bl w:val="nil"/>
                  </w:tcBorders>
                  <w:noWrap w:val="0"/>
                  <w:tcMar>
                    <w:top w:w="0" w:type="dxa"/>
                    <w:left w:w="57" w:type="dxa"/>
                    <w:bottom w:w="0" w:type="dxa"/>
                    <w:right w:w="57" w:type="dxa"/>
                  </w:tcMar>
                  <w:vAlign w:val="center"/>
                </w:tcPr>
                <w:p w14:paraId="0776C247">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超标率/%</w:t>
                  </w:r>
                </w:p>
              </w:tc>
              <w:tc>
                <w:tcPr>
                  <w:tcW w:w="550" w:type="pct"/>
                  <w:tcBorders>
                    <w:tl2br w:val="nil"/>
                    <w:tr2bl w:val="nil"/>
                  </w:tcBorders>
                  <w:noWrap w:val="0"/>
                  <w:tcMar>
                    <w:top w:w="0" w:type="dxa"/>
                    <w:left w:w="57" w:type="dxa"/>
                    <w:bottom w:w="0" w:type="dxa"/>
                    <w:right w:w="57" w:type="dxa"/>
                  </w:tcMar>
                  <w:vAlign w:val="center"/>
                </w:tcPr>
                <w:p w14:paraId="04D83B91">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达标情况</w:t>
                  </w:r>
                </w:p>
              </w:tc>
            </w:tr>
            <w:tr w14:paraId="292CB4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6001EF1B">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SO</w:t>
                  </w:r>
                  <w:r>
                    <w:rPr>
                      <w:rFonts w:hint="default"/>
                      <w:sz w:val="21"/>
                      <w:szCs w:val="21"/>
                      <w:u w:val="none" w:color="auto"/>
                      <w:vertAlign w:val="subscript"/>
                    </w:rPr>
                    <w:t>2</w:t>
                  </w:r>
                </w:p>
              </w:tc>
              <w:tc>
                <w:tcPr>
                  <w:tcW w:w="914" w:type="pct"/>
                  <w:tcBorders>
                    <w:tl2br w:val="nil"/>
                    <w:tr2bl w:val="nil"/>
                  </w:tcBorders>
                  <w:noWrap w:val="0"/>
                  <w:tcMar>
                    <w:top w:w="0" w:type="dxa"/>
                    <w:left w:w="57" w:type="dxa"/>
                    <w:bottom w:w="0" w:type="dxa"/>
                    <w:right w:w="57" w:type="dxa"/>
                  </w:tcMar>
                  <w:vAlign w:val="center"/>
                </w:tcPr>
                <w:p w14:paraId="427FF318">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年平均</w:t>
                  </w:r>
                </w:p>
              </w:tc>
              <w:tc>
                <w:tcPr>
                  <w:tcW w:w="1151" w:type="pct"/>
                  <w:tcBorders>
                    <w:tl2br w:val="nil"/>
                    <w:tr2bl w:val="nil"/>
                  </w:tcBorders>
                  <w:noWrap w:val="0"/>
                  <w:tcMar>
                    <w:top w:w="0" w:type="dxa"/>
                    <w:left w:w="57" w:type="dxa"/>
                    <w:bottom w:w="0" w:type="dxa"/>
                    <w:right w:w="57" w:type="dxa"/>
                  </w:tcMar>
                  <w:vAlign w:val="center"/>
                </w:tcPr>
                <w:p w14:paraId="4B8BB307">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60</w:t>
                  </w:r>
                </w:p>
              </w:tc>
              <w:tc>
                <w:tcPr>
                  <w:tcW w:w="968" w:type="dxa"/>
                  <w:tcBorders>
                    <w:tl2br w:val="nil"/>
                    <w:tr2bl w:val="nil"/>
                  </w:tcBorders>
                  <w:noWrap w:val="0"/>
                  <w:tcMar>
                    <w:top w:w="0" w:type="dxa"/>
                    <w:left w:w="57" w:type="dxa"/>
                    <w:bottom w:w="0" w:type="dxa"/>
                    <w:right w:w="57" w:type="dxa"/>
                  </w:tcMar>
                  <w:vAlign w:val="center"/>
                </w:tcPr>
                <w:p w14:paraId="74A541BA">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color w:val="auto"/>
                      <w:sz w:val="21"/>
                      <w:szCs w:val="21"/>
                      <w:u w:val="none" w:color="auto"/>
                      <w:lang w:val="en-US" w:eastAsia="zh-CN"/>
                    </w:rPr>
                    <w:t>10</w:t>
                  </w:r>
                </w:p>
              </w:tc>
              <w:tc>
                <w:tcPr>
                  <w:tcW w:w="1092" w:type="dxa"/>
                  <w:tcBorders>
                    <w:tl2br w:val="nil"/>
                    <w:tr2bl w:val="nil"/>
                  </w:tcBorders>
                  <w:noWrap w:val="0"/>
                  <w:tcMar>
                    <w:top w:w="0" w:type="dxa"/>
                    <w:left w:w="57" w:type="dxa"/>
                    <w:bottom w:w="0" w:type="dxa"/>
                    <w:right w:w="57" w:type="dxa"/>
                  </w:tcMar>
                  <w:vAlign w:val="center"/>
                </w:tcPr>
                <w:p w14:paraId="3D58DF64">
                  <w:pPr>
                    <w:pStyle w:val="20"/>
                    <w:keepNext w:val="0"/>
                    <w:keepLines w:val="0"/>
                    <w:suppressLineNumbers w:val="0"/>
                    <w:bidi w:val="0"/>
                    <w:spacing w:before="0" w:beforeAutospacing="0" w:after="0" w:afterAutospacing="0"/>
                    <w:ind w:left="0" w:right="0" w:firstLine="0" w:firstLineChars="0"/>
                    <w:jc w:val="center"/>
                    <w:rPr>
                      <w:rFonts w:hint="eastAsia"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16.67</w:t>
                  </w:r>
                </w:p>
              </w:tc>
              <w:tc>
                <w:tcPr>
                  <w:tcW w:w="654" w:type="pct"/>
                  <w:tcBorders>
                    <w:tl2br w:val="nil"/>
                    <w:tr2bl w:val="nil"/>
                  </w:tcBorders>
                  <w:noWrap w:val="0"/>
                  <w:tcMar>
                    <w:top w:w="0" w:type="dxa"/>
                    <w:left w:w="57" w:type="dxa"/>
                    <w:bottom w:w="0" w:type="dxa"/>
                    <w:right w:w="57" w:type="dxa"/>
                  </w:tcMar>
                  <w:vAlign w:val="center"/>
                </w:tcPr>
                <w:p w14:paraId="45F16726">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w:t>
                  </w:r>
                </w:p>
              </w:tc>
              <w:tc>
                <w:tcPr>
                  <w:tcW w:w="550" w:type="pct"/>
                  <w:tcBorders>
                    <w:tl2br w:val="nil"/>
                    <w:tr2bl w:val="nil"/>
                  </w:tcBorders>
                  <w:noWrap w:val="0"/>
                  <w:tcMar>
                    <w:top w:w="0" w:type="dxa"/>
                    <w:left w:w="57" w:type="dxa"/>
                    <w:bottom w:w="0" w:type="dxa"/>
                    <w:right w:w="57" w:type="dxa"/>
                  </w:tcMar>
                  <w:vAlign w:val="center"/>
                </w:tcPr>
                <w:p w14:paraId="781EBB5E">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达标</w:t>
                  </w:r>
                </w:p>
              </w:tc>
            </w:tr>
            <w:tr w14:paraId="65F4E3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5404BD30">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NO</w:t>
                  </w:r>
                  <w:r>
                    <w:rPr>
                      <w:rFonts w:hint="default"/>
                      <w:sz w:val="21"/>
                      <w:szCs w:val="21"/>
                      <w:u w:val="none" w:color="auto"/>
                      <w:vertAlign w:val="subscript"/>
                    </w:rPr>
                    <w:t>2</w:t>
                  </w:r>
                </w:p>
              </w:tc>
              <w:tc>
                <w:tcPr>
                  <w:tcW w:w="914" w:type="pct"/>
                  <w:tcBorders>
                    <w:tl2br w:val="nil"/>
                    <w:tr2bl w:val="nil"/>
                  </w:tcBorders>
                  <w:noWrap w:val="0"/>
                  <w:tcMar>
                    <w:top w:w="0" w:type="dxa"/>
                    <w:left w:w="57" w:type="dxa"/>
                    <w:bottom w:w="0" w:type="dxa"/>
                    <w:right w:w="57" w:type="dxa"/>
                  </w:tcMar>
                  <w:vAlign w:val="center"/>
                </w:tcPr>
                <w:p w14:paraId="0BFDF1F5">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年平均</w:t>
                  </w:r>
                </w:p>
              </w:tc>
              <w:tc>
                <w:tcPr>
                  <w:tcW w:w="1151" w:type="pct"/>
                  <w:tcBorders>
                    <w:tl2br w:val="nil"/>
                    <w:tr2bl w:val="nil"/>
                  </w:tcBorders>
                  <w:noWrap w:val="0"/>
                  <w:tcMar>
                    <w:top w:w="0" w:type="dxa"/>
                    <w:left w:w="57" w:type="dxa"/>
                    <w:bottom w:w="0" w:type="dxa"/>
                    <w:right w:w="57" w:type="dxa"/>
                  </w:tcMar>
                  <w:vAlign w:val="center"/>
                </w:tcPr>
                <w:p w14:paraId="57DEDC3E">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40</w:t>
                  </w:r>
                </w:p>
              </w:tc>
              <w:tc>
                <w:tcPr>
                  <w:tcW w:w="968" w:type="dxa"/>
                  <w:tcBorders>
                    <w:tl2br w:val="nil"/>
                    <w:tr2bl w:val="nil"/>
                  </w:tcBorders>
                  <w:noWrap w:val="0"/>
                  <w:tcMar>
                    <w:top w:w="0" w:type="dxa"/>
                    <w:left w:w="57" w:type="dxa"/>
                    <w:bottom w:w="0" w:type="dxa"/>
                    <w:right w:w="57" w:type="dxa"/>
                  </w:tcMar>
                  <w:vAlign w:val="center"/>
                </w:tcPr>
                <w:p w14:paraId="547FADA0">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color w:val="auto"/>
                      <w:sz w:val="21"/>
                      <w:szCs w:val="21"/>
                      <w:u w:val="none" w:color="auto"/>
                      <w:lang w:val="en-US" w:eastAsia="zh-CN"/>
                    </w:rPr>
                    <w:t>29</w:t>
                  </w:r>
                </w:p>
              </w:tc>
              <w:tc>
                <w:tcPr>
                  <w:tcW w:w="1092" w:type="dxa"/>
                  <w:tcBorders>
                    <w:tl2br w:val="nil"/>
                    <w:tr2bl w:val="nil"/>
                  </w:tcBorders>
                  <w:noWrap w:val="0"/>
                  <w:tcMar>
                    <w:top w:w="0" w:type="dxa"/>
                    <w:left w:w="57" w:type="dxa"/>
                    <w:bottom w:w="0" w:type="dxa"/>
                    <w:right w:w="57" w:type="dxa"/>
                  </w:tcMar>
                  <w:vAlign w:val="center"/>
                </w:tcPr>
                <w:p w14:paraId="12CD7AB8">
                  <w:pPr>
                    <w:pStyle w:val="20"/>
                    <w:keepNext w:val="0"/>
                    <w:keepLines w:val="0"/>
                    <w:suppressLineNumbers w:val="0"/>
                    <w:bidi w:val="0"/>
                    <w:spacing w:before="0" w:beforeAutospacing="0" w:after="0" w:afterAutospacing="0"/>
                    <w:ind w:left="0" w:right="0" w:firstLine="0" w:firstLineChars="0"/>
                    <w:jc w:val="center"/>
                    <w:rPr>
                      <w:rFonts w:hint="eastAsia"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72.5</w:t>
                  </w:r>
                </w:p>
              </w:tc>
              <w:tc>
                <w:tcPr>
                  <w:tcW w:w="654" w:type="pct"/>
                  <w:tcBorders>
                    <w:tl2br w:val="nil"/>
                    <w:tr2bl w:val="nil"/>
                  </w:tcBorders>
                  <w:noWrap w:val="0"/>
                  <w:tcMar>
                    <w:top w:w="0" w:type="dxa"/>
                    <w:left w:w="57" w:type="dxa"/>
                    <w:bottom w:w="0" w:type="dxa"/>
                    <w:right w:w="57" w:type="dxa"/>
                  </w:tcMar>
                  <w:vAlign w:val="center"/>
                </w:tcPr>
                <w:p w14:paraId="7855CFB5">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w:t>
                  </w:r>
                </w:p>
              </w:tc>
              <w:tc>
                <w:tcPr>
                  <w:tcW w:w="550" w:type="pct"/>
                  <w:tcBorders>
                    <w:tl2br w:val="nil"/>
                    <w:tr2bl w:val="nil"/>
                  </w:tcBorders>
                  <w:noWrap w:val="0"/>
                  <w:tcMar>
                    <w:top w:w="0" w:type="dxa"/>
                    <w:left w:w="57" w:type="dxa"/>
                    <w:bottom w:w="0" w:type="dxa"/>
                    <w:right w:w="57" w:type="dxa"/>
                  </w:tcMar>
                  <w:vAlign w:val="center"/>
                </w:tcPr>
                <w:p w14:paraId="795BF1E9">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达标</w:t>
                  </w:r>
                </w:p>
              </w:tc>
            </w:tr>
            <w:tr w14:paraId="380AA9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47713FD0">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PM</w:t>
                  </w:r>
                  <w:r>
                    <w:rPr>
                      <w:rFonts w:hint="default"/>
                      <w:sz w:val="21"/>
                      <w:szCs w:val="21"/>
                      <w:u w:val="none" w:color="auto"/>
                      <w:vertAlign w:val="subscript"/>
                    </w:rPr>
                    <w:t>10</w:t>
                  </w:r>
                </w:p>
              </w:tc>
              <w:tc>
                <w:tcPr>
                  <w:tcW w:w="914" w:type="pct"/>
                  <w:tcBorders>
                    <w:tl2br w:val="nil"/>
                    <w:tr2bl w:val="nil"/>
                  </w:tcBorders>
                  <w:noWrap w:val="0"/>
                  <w:tcMar>
                    <w:top w:w="0" w:type="dxa"/>
                    <w:left w:w="57" w:type="dxa"/>
                    <w:bottom w:w="0" w:type="dxa"/>
                    <w:right w:w="57" w:type="dxa"/>
                  </w:tcMar>
                  <w:vAlign w:val="center"/>
                </w:tcPr>
                <w:p w14:paraId="63E7F14A">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年平均</w:t>
                  </w:r>
                </w:p>
              </w:tc>
              <w:tc>
                <w:tcPr>
                  <w:tcW w:w="1151" w:type="pct"/>
                  <w:tcBorders>
                    <w:tl2br w:val="nil"/>
                    <w:tr2bl w:val="nil"/>
                  </w:tcBorders>
                  <w:noWrap w:val="0"/>
                  <w:tcMar>
                    <w:top w:w="0" w:type="dxa"/>
                    <w:left w:w="57" w:type="dxa"/>
                    <w:bottom w:w="0" w:type="dxa"/>
                    <w:right w:w="57" w:type="dxa"/>
                  </w:tcMar>
                  <w:vAlign w:val="center"/>
                </w:tcPr>
                <w:p w14:paraId="49EA02E9">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color w:val="auto"/>
                      <w:sz w:val="21"/>
                      <w:szCs w:val="21"/>
                      <w:u w:val="none" w:color="auto"/>
                      <w:lang w:val="en-US" w:eastAsia="zh-CN"/>
                    </w:rPr>
                    <w:t>60</w:t>
                  </w:r>
                </w:p>
              </w:tc>
              <w:tc>
                <w:tcPr>
                  <w:tcW w:w="968" w:type="dxa"/>
                  <w:tcBorders>
                    <w:tl2br w:val="nil"/>
                    <w:tr2bl w:val="nil"/>
                  </w:tcBorders>
                  <w:noWrap w:val="0"/>
                  <w:tcMar>
                    <w:top w:w="0" w:type="dxa"/>
                    <w:left w:w="57" w:type="dxa"/>
                    <w:bottom w:w="0" w:type="dxa"/>
                    <w:right w:w="57" w:type="dxa"/>
                  </w:tcMar>
                  <w:vAlign w:val="center"/>
                </w:tcPr>
                <w:p w14:paraId="403D396F">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eastAsia="宋体"/>
                      <w:color w:val="auto"/>
                      <w:sz w:val="21"/>
                      <w:szCs w:val="21"/>
                      <w:u w:val="none" w:color="auto"/>
                      <w:lang w:val="en-US" w:eastAsia="zh-CN"/>
                    </w:rPr>
                    <w:t>81</w:t>
                  </w:r>
                </w:p>
              </w:tc>
              <w:tc>
                <w:tcPr>
                  <w:tcW w:w="1092" w:type="dxa"/>
                  <w:tcBorders>
                    <w:tl2br w:val="nil"/>
                    <w:tr2bl w:val="nil"/>
                  </w:tcBorders>
                  <w:noWrap w:val="0"/>
                  <w:tcMar>
                    <w:top w:w="0" w:type="dxa"/>
                    <w:left w:w="57" w:type="dxa"/>
                    <w:bottom w:w="0" w:type="dxa"/>
                    <w:right w:w="57" w:type="dxa"/>
                  </w:tcMar>
                  <w:vAlign w:val="center"/>
                </w:tcPr>
                <w:p w14:paraId="3ECCDCB0">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135</w:t>
                  </w:r>
                </w:p>
              </w:tc>
              <w:tc>
                <w:tcPr>
                  <w:tcW w:w="654" w:type="pct"/>
                  <w:tcBorders>
                    <w:tl2br w:val="nil"/>
                    <w:tr2bl w:val="nil"/>
                  </w:tcBorders>
                  <w:noWrap w:val="0"/>
                  <w:tcMar>
                    <w:top w:w="0" w:type="dxa"/>
                    <w:left w:w="57" w:type="dxa"/>
                    <w:bottom w:w="0" w:type="dxa"/>
                    <w:right w:w="57" w:type="dxa"/>
                  </w:tcMar>
                  <w:vAlign w:val="center"/>
                </w:tcPr>
                <w:p w14:paraId="37B97032">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color w:val="auto"/>
                      <w:sz w:val="21"/>
                      <w:szCs w:val="21"/>
                      <w:u w:val="none" w:color="auto"/>
                      <w:lang w:val="en-US" w:eastAsia="zh-CN"/>
                    </w:rPr>
                    <w:t>35</w:t>
                  </w:r>
                </w:p>
              </w:tc>
              <w:tc>
                <w:tcPr>
                  <w:tcW w:w="550" w:type="pct"/>
                  <w:tcBorders>
                    <w:tl2br w:val="nil"/>
                    <w:tr2bl w:val="nil"/>
                  </w:tcBorders>
                  <w:noWrap w:val="0"/>
                  <w:tcMar>
                    <w:top w:w="0" w:type="dxa"/>
                    <w:left w:w="57" w:type="dxa"/>
                    <w:bottom w:w="0" w:type="dxa"/>
                    <w:right w:w="57" w:type="dxa"/>
                  </w:tcMar>
                  <w:vAlign w:val="center"/>
                </w:tcPr>
                <w:p w14:paraId="1F595612">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超标</w:t>
                  </w:r>
                </w:p>
              </w:tc>
            </w:tr>
            <w:tr w14:paraId="5CC35B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5D34D51C">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PM</w:t>
                  </w:r>
                  <w:r>
                    <w:rPr>
                      <w:rFonts w:hint="default"/>
                      <w:sz w:val="21"/>
                      <w:szCs w:val="21"/>
                      <w:u w:val="none" w:color="auto"/>
                      <w:vertAlign w:val="subscript"/>
                    </w:rPr>
                    <w:t>2.5</w:t>
                  </w:r>
                </w:p>
              </w:tc>
              <w:tc>
                <w:tcPr>
                  <w:tcW w:w="914" w:type="pct"/>
                  <w:tcBorders>
                    <w:tl2br w:val="nil"/>
                    <w:tr2bl w:val="nil"/>
                  </w:tcBorders>
                  <w:noWrap w:val="0"/>
                  <w:tcMar>
                    <w:top w:w="0" w:type="dxa"/>
                    <w:left w:w="57" w:type="dxa"/>
                    <w:bottom w:w="0" w:type="dxa"/>
                    <w:right w:w="57" w:type="dxa"/>
                  </w:tcMar>
                  <w:vAlign w:val="center"/>
                </w:tcPr>
                <w:p w14:paraId="5F323DF3">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年平均</w:t>
                  </w:r>
                </w:p>
              </w:tc>
              <w:tc>
                <w:tcPr>
                  <w:tcW w:w="1151" w:type="pct"/>
                  <w:tcBorders>
                    <w:tl2br w:val="nil"/>
                    <w:tr2bl w:val="nil"/>
                  </w:tcBorders>
                  <w:noWrap w:val="0"/>
                  <w:tcMar>
                    <w:top w:w="0" w:type="dxa"/>
                    <w:left w:w="57" w:type="dxa"/>
                    <w:bottom w:w="0" w:type="dxa"/>
                    <w:right w:w="57" w:type="dxa"/>
                  </w:tcMar>
                  <w:vAlign w:val="center"/>
                </w:tcPr>
                <w:p w14:paraId="13C70081">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color w:val="auto"/>
                      <w:sz w:val="21"/>
                      <w:szCs w:val="21"/>
                      <w:u w:val="none" w:color="auto"/>
                      <w:lang w:val="en-US" w:eastAsia="zh-CN"/>
                    </w:rPr>
                    <w:t>30</w:t>
                  </w:r>
                </w:p>
              </w:tc>
              <w:tc>
                <w:tcPr>
                  <w:tcW w:w="968" w:type="dxa"/>
                  <w:tcBorders>
                    <w:tl2br w:val="nil"/>
                    <w:tr2bl w:val="nil"/>
                  </w:tcBorders>
                  <w:noWrap w:val="0"/>
                  <w:tcMar>
                    <w:top w:w="0" w:type="dxa"/>
                    <w:left w:w="57" w:type="dxa"/>
                    <w:bottom w:w="0" w:type="dxa"/>
                    <w:right w:w="57" w:type="dxa"/>
                  </w:tcMar>
                  <w:vAlign w:val="center"/>
                </w:tcPr>
                <w:p w14:paraId="196E35AA">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eastAsia="宋体"/>
                      <w:color w:val="auto"/>
                      <w:sz w:val="21"/>
                      <w:szCs w:val="21"/>
                      <w:u w:val="none" w:color="auto"/>
                      <w:lang w:val="en-US" w:eastAsia="zh-CN"/>
                    </w:rPr>
                    <w:t>49</w:t>
                  </w:r>
                </w:p>
              </w:tc>
              <w:tc>
                <w:tcPr>
                  <w:tcW w:w="1092" w:type="dxa"/>
                  <w:tcBorders>
                    <w:tl2br w:val="nil"/>
                    <w:tr2bl w:val="nil"/>
                  </w:tcBorders>
                  <w:noWrap w:val="0"/>
                  <w:tcMar>
                    <w:top w:w="0" w:type="dxa"/>
                    <w:left w:w="57" w:type="dxa"/>
                    <w:bottom w:w="0" w:type="dxa"/>
                    <w:right w:w="57" w:type="dxa"/>
                  </w:tcMar>
                  <w:vAlign w:val="center"/>
                </w:tcPr>
                <w:p w14:paraId="216E5E38">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163.33</w:t>
                  </w:r>
                </w:p>
              </w:tc>
              <w:tc>
                <w:tcPr>
                  <w:tcW w:w="654" w:type="pct"/>
                  <w:tcBorders>
                    <w:tl2br w:val="nil"/>
                    <w:tr2bl w:val="nil"/>
                  </w:tcBorders>
                  <w:noWrap w:val="0"/>
                  <w:tcMar>
                    <w:top w:w="0" w:type="dxa"/>
                    <w:left w:w="57" w:type="dxa"/>
                    <w:bottom w:w="0" w:type="dxa"/>
                    <w:right w:w="57" w:type="dxa"/>
                  </w:tcMar>
                  <w:vAlign w:val="center"/>
                </w:tcPr>
                <w:p w14:paraId="78BB18CA">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color w:val="auto"/>
                      <w:sz w:val="21"/>
                      <w:szCs w:val="21"/>
                      <w:u w:val="none" w:color="auto"/>
                      <w:lang w:val="en-US" w:eastAsia="zh-CN"/>
                    </w:rPr>
                    <w:t>63.33</w:t>
                  </w:r>
                </w:p>
              </w:tc>
              <w:tc>
                <w:tcPr>
                  <w:tcW w:w="550" w:type="pct"/>
                  <w:tcBorders>
                    <w:tl2br w:val="nil"/>
                    <w:tr2bl w:val="nil"/>
                  </w:tcBorders>
                  <w:noWrap w:val="0"/>
                  <w:tcMar>
                    <w:top w:w="0" w:type="dxa"/>
                    <w:left w:w="57" w:type="dxa"/>
                    <w:bottom w:w="0" w:type="dxa"/>
                    <w:right w:w="57" w:type="dxa"/>
                  </w:tcMar>
                  <w:vAlign w:val="center"/>
                </w:tcPr>
                <w:p w14:paraId="5DDBC41B">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超标</w:t>
                  </w:r>
                </w:p>
              </w:tc>
            </w:tr>
            <w:tr w14:paraId="682774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34ABC296">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CO</w:t>
                  </w:r>
                </w:p>
              </w:tc>
              <w:tc>
                <w:tcPr>
                  <w:tcW w:w="914" w:type="pct"/>
                  <w:tcBorders>
                    <w:tl2br w:val="nil"/>
                    <w:tr2bl w:val="nil"/>
                  </w:tcBorders>
                  <w:noWrap w:val="0"/>
                  <w:tcMar>
                    <w:top w:w="0" w:type="dxa"/>
                    <w:left w:w="57" w:type="dxa"/>
                    <w:bottom w:w="0" w:type="dxa"/>
                    <w:right w:w="57" w:type="dxa"/>
                  </w:tcMar>
                  <w:vAlign w:val="center"/>
                </w:tcPr>
                <w:p w14:paraId="76A33631">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24h平均第95百分位数</w:t>
                  </w:r>
                </w:p>
              </w:tc>
              <w:tc>
                <w:tcPr>
                  <w:tcW w:w="1151" w:type="pct"/>
                  <w:tcBorders>
                    <w:tl2br w:val="nil"/>
                    <w:tr2bl w:val="nil"/>
                  </w:tcBorders>
                  <w:noWrap w:val="0"/>
                  <w:tcMar>
                    <w:top w:w="0" w:type="dxa"/>
                    <w:left w:w="57" w:type="dxa"/>
                    <w:bottom w:w="0" w:type="dxa"/>
                    <w:right w:w="57" w:type="dxa"/>
                  </w:tcMar>
                  <w:vAlign w:val="center"/>
                </w:tcPr>
                <w:p w14:paraId="2D6BCE18">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4000</w:t>
                  </w:r>
                </w:p>
              </w:tc>
              <w:tc>
                <w:tcPr>
                  <w:tcW w:w="968" w:type="dxa"/>
                  <w:tcBorders>
                    <w:tl2br w:val="nil"/>
                    <w:tr2bl w:val="nil"/>
                  </w:tcBorders>
                  <w:noWrap w:val="0"/>
                  <w:tcMar>
                    <w:top w:w="0" w:type="dxa"/>
                    <w:left w:w="57" w:type="dxa"/>
                    <w:bottom w:w="0" w:type="dxa"/>
                    <w:right w:w="57" w:type="dxa"/>
                  </w:tcMar>
                  <w:vAlign w:val="center"/>
                </w:tcPr>
                <w:p w14:paraId="625D1D1D">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1</w:t>
                  </w:r>
                  <w:r>
                    <w:rPr>
                      <w:rFonts w:hint="eastAsia"/>
                      <w:color w:val="auto"/>
                      <w:sz w:val="21"/>
                      <w:szCs w:val="21"/>
                      <w:u w:val="none" w:color="auto"/>
                      <w:lang w:val="en-US" w:eastAsia="zh-CN"/>
                    </w:rPr>
                    <w:t>4</w:t>
                  </w:r>
                  <w:r>
                    <w:rPr>
                      <w:rFonts w:hint="default"/>
                      <w:color w:val="auto"/>
                      <w:sz w:val="21"/>
                      <w:szCs w:val="21"/>
                      <w:u w:val="none" w:color="auto"/>
                    </w:rPr>
                    <w:t>00</w:t>
                  </w:r>
                </w:p>
              </w:tc>
              <w:tc>
                <w:tcPr>
                  <w:tcW w:w="1092" w:type="dxa"/>
                  <w:tcBorders>
                    <w:tl2br w:val="nil"/>
                    <w:tr2bl w:val="nil"/>
                  </w:tcBorders>
                  <w:noWrap w:val="0"/>
                  <w:tcMar>
                    <w:top w:w="0" w:type="dxa"/>
                    <w:left w:w="57" w:type="dxa"/>
                    <w:bottom w:w="0" w:type="dxa"/>
                    <w:right w:w="57" w:type="dxa"/>
                  </w:tcMar>
                  <w:vAlign w:val="center"/>
                </w:tcPr>
                <w:p w14:paraId="773D90EC">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35</w:t>
                  </w:r>
                </w:p>
              </w:tc>
              <w:tc>
                <w:tcPr>
                  <w:tcW w:w="654" w:type="pct"/>
                  <w:tcBorders>
                    <w:tl2br w:val="nil"/>
                    <w:tr2bl w:val="nil"/>
                  </w:tcBorders>
                  <w:noWrap w:val="0"/>
                  <w:tcMar>
                    <w:top w:w="0" w:type="dxa"/>
                    <w:left w:w="57" w:type="dxa"/>
                    <w:bottom w:w="0" w:type="dxa"/>
                    <w:right w:w="57" w:type="dxa"/>
                  </w:tcMar>
                  <w:vAlign w:val="center"/>
                </w:tcPr>
                <w:p w14:paraId="086D184D">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zh-CN" w:eastAsia="zh-CN" w:bidi="ar-SA"/>
                    </w:rPr>
                  </w:pPr>
                  <w:r>
                    <w:rPr>
                      <w:rFonts w:hint="default"/>
                      <w:color w:val="auto"/>
                      <w:sz w:val="21"/>
                      <w:szCs w:val="21"/>
                      <w:u w:val="none" w:color="auto"/>
                      <w:lang w:val="zh-CN"/>
                    </w:rPr>
                    <w:t>/</w:t>
                  </w:r>
                </w:p>
              </w:tc>
              <w:tc>
                <w:tcPr>
                  <w:tcW w:w="550" w:type="pct"/>
                  <w:tcBorders>
                    <w:tl2br w:val="nil"/>
                    <w:tr2bl w:val="nil"/>
                  </w:tcBorders>
                  <w:noWrap w:val="0"/>
                  <w:tcMar>
                    <w:top w:w="0" w:type="dxa"/>
                    <w:left w:w="57" w:type="dxa"/>
                    <w:bottom w:w="0" w:type="dxa"/>
                    <w:right w:w="57" w:type="dxa"/>
                  </w:tcMar>
                  <w:vAlign w:val="center"/>
                </w:tcPr>
                <w:p w14:paraId="0861C3E5">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达标</w:t>
                  </w:r>
                </w:p>
              </w:tc>
            </w:tr>
            <w:tr w14:paraId="464CB3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7097CF53">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O</w:t>
                  </w:r>
                  <w:r>
                    <w:rPr>
                      <w:rFonts w:hint="default"/>
                      <w:sz w:val="21"/>
                      <w:szCs w:val="21"/>
                      <w:u w:val="none" w:color="auto"/>
                      <w:vertAlign w:val="subscript"/>
                    </w:rPr>
                    <w:t>3</w:t>
                  </w:r>
                </w:p>
              </w:tc>
              <w:tc>
                <w:tcPr>
                  <w:tcW w:w="914" w:type="pct"/>
                  <w:tcBorders>
                    <w:tl2br w:val="nil"/>
                    <w:tr2bl w:val="nil"/>
                  </w:tcBorders>
                  <w:noWrap w:val="0"/>
                  <w:tcMar>
                    <w:top w:w="0" w:type="dxa"/>
                    <w:left w:w="57" w:type="dxa"/>
                    <w:bottom w:w="0" w:type="dxa"/>
                    <w:right w:w="57" w:type="dxa"/>
                  </w:tcMar>
                  <w:vAlign w:val="center"/>
                </w:tcPr>
                <w:p w14:paraId="6577BC28">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日最大8h平均第90百分位数</w:t>
                  </w:r>
                </w:p>
              </w:tc>
              <w:tc>
                <w:tcPr>
                  <w:tcW w:w="1151" w:type="pct"/>
                  <w:tcBorders>
                    <w:tl2br w:val="nil"/>
                    <w:tr2bl w:val="nil"/>
                  </w:tcBorders>
                  <w:noWrap w:val="0"/>
                  <w:tcMar>
                    <w:top w:w="0" w:type="dxa"/>
                    <w:left w:w="57" w:type="dxa"/>
                    <w:bottom w:w="0" w:type="dxa"/>
                    <w:right w:w="57" w:type="dxa"/>
                  </w:tcMar>
                  <w:vAlign w:val="center"/>
                </w:tcPr>
                <w:p w14:paraId="0D4B5F76">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160</w:t>
                  </w:r>
                </w:p>
              </w:tc>
              <w:tc>
                <w:tcPr>
                  <w:tcW w:w="968" w:type="dxa"/>
                  <w:tcBorders>
                    <w:tl2br w:val="nil"/>
                    <w:tr2bl w:val="nil"/>
                  </w:tcBorders>
                  <w:noWrap w:val="0"/>
                  <w:tcMar>
                    <w:top w:w="0" w:type="dxa"/>
                    <w:left w:w="57" w:type="dxa"/>
                    <w:bottom w:w="0" w:type="dxa"/>
                    <w:right w:w="57" w:type="dxa"/>
                  </w:tcMar>
                  <w:vAlign w:val="center"/>
                </w:tcPr>
                <w:p w14:paraId="308598E6">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1</w:t>
                  </w:r>
                  <w:r>
                    <w:rPr>
                      <w:rFonts w:hint="eastAsia"/>
                      <w:color w:val="auto"/>
                      <w:sz w:val="21"/>
                      <w:szCs w:val="21"/>
                      <w:u w:val="none" w:color="auto"/>
                      <w:lang w:val="en-US" w:eastAsia="zh-CN"/>
                    </w:rPr>
                    <w:t>84</w:t>
                  </w:r>
                </w:p>
              </w:tc>
              <w:tc>
                <w:tcPr>
                  <w:tcW w:w="1092" w:type="dxa"/>
                  <w:tcBorders>
                    <w:tl2br w:val="nil"/>
                    <w:tr2bl w:val="nil"/>
                  </w:tcBorders>
                  <w:noWrap w:val="0"/>
                  <w:tcMar>
                    <w:top w:w="0" w:type="dxa"/>
                    <w:left w:w="57" w:type="dxa"/>
                    <w:bottom w:w="0" w:type="dxa"/>
                    <w:right w:w="57" w:type="dxa"/>
                  </w:tcMar>
                  <w:vAlign w:val="center"/>
                </w:tcPr>
                <w:p w14:paraId="2A9FAAC6">
                  <w:pPr>
                    <w:pStyle w:val="20"/>
                    <w:keepNext w:val="0"/>
                    <w:keepLines w:val="0"/>
                    <w:suppressLineNumbers w:val="0"/>
                    <w:bidi w:val="0"/>
                    <w:spacing w:before="0" w:beforeAutospacing="0" w:after="0" w:afterAutospacing="0"/>
                    <w:ind w:left="0" w:right="0" w:firstLine="0" w:firstLineChars="0"/>
                    <w:jc w:val="center"/>
                    <w:rPr>
                      <w:rFonts w:hint="eastAsia"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115</w:t>
                  </w:r>
                </w:p>
              </w:tc>
              <w:tc>
                <w:tcPr>
                  <w:tcW w:w="654" w:type="pct"/>
                  <w:tcBorders>
                    <w:tl2br w:val="nil"/>
                    <w:tr2bl w:val="nil"/>
                  </w:tcBorders>
                  <w:noWrap w:val="0"/>
                  <w:tcMar>
                    <w:top w:w="0" w:type="dxa"/>
                    <w:left w:w="57" w:type="dxa"/>
                    <w:bottom w:w="0" w:type="dxa"/>
                    <w:right w:w="57" w:type="dxa"/>
                  </w:tcMar>
                  <w:vAlign w:val="center"/>
                </w:tcPr>
                <w:p w14:paraId="504BB2D5">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15</w:t>
                  </w:r>
                </w:p>
              </w:tc>
              <w:tc>
                <w:tcPr>
                  <w:tcW w:w="550" w:type="pct"/>
                  <w:tcBorders>
                    <w:tl2br w:val="nil"/>
                    <w:tr2bl w:val="nil"/>
                  </w:tcBorders>
                  <w:noWrap w:val="0"/>
                  <w:tcMar>
                    <w:top w:w="0" w:type="dxa"/>
                    <w:left w:w="57" w:type="dxa"/>
                    <w:bottom w:w="0" w:type="dxa"/>
                    <w:right w:w="57" w:type="dxa"/>
                  </w:tcMar>
                  <w:vAlign w:val="center"/>
                </w:tcPr>
                <w:p w14:paraId="3BF8AA50">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超标</w:t>
                  </w:r>
                </w:p>
              </w:tc>
            </w:tr>
            <w:tr w14:paraId="5723BB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1DC51189">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污染物</w:t>
                  </w:r>
                </w:p>
              </w:tc>
              <w:tc>
                <w:tcPr>
                  <w:tcW w:w="914" w:type="pct"/>
                  <w:tcBorders>
                    <w:tl2br w:val="nil"/>
                    <w:tr2bl w:val="nil"/>
                  </w:tcBorders>
                  <w:noWrap w:val="0"/>
                  <w:tcMar>
                    <w:top w:w="0" w:type="dxa"/>
                    <w:left w:w="57" w:type="dxa"/>
                    <w:bottom w:w="0" w:type="dxa"/>
                    <w:right w:w="57" w:type="dxa"/>
                  </w:tcMar>
                  <w:vAlign w:val="center"/>
                </w:tcPr>
                <w:p w14:paraId="12FA1C58">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年评价指标</w:t>
                  </w:r>
                </w:p>
              </w:tc>
              <w:tc>
                <w:tcPr>
                  <w:tcW w:w="1151" w:type="pct"/>
                  <w:tcBorders>
                    <w:tl2br w:val="nil"/>
                    <w:tr2bl w:val="nil"/>
                  </w:tcBorders>
                  <w:noWrap w:val="0"/>
                  <w:tcMar>
                    <w:top w:w="0" w:type="dxa"/>
                    <w:left w:w="57" w:type="dxa"/>
                    <w:bottom w:w="0" w:type="dxa"/>
                    <w:right w:w="57" w:type="dxa"/>
                  </w:tcMar>
                  <w:vAlign w:val="center"/>
                </w:tcPr>
                <w:p w14:paraId="43F0B718">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eastAsia"/>
                      <w:sz w:val="21"/>
                      <w:szCs w:val="21"/>
                      <w:u w:val="none" w:color="auto"/>
                    </w:rPr>
                    <w:t>《环境空气质量标准》（GB3095-2026）</w:t>
                  </w:r>
                  <w:r>
                    <w:rPr>
                      <w:rFonts w:hint="eastAsia"/>
                      <w:sz w:val="21"/>
                      <w:szCs w:val="21"/>
                      <w:u w:val="none" w:color="auto"/>
                      <w:lang w:eastAsia="zh-CN"/>
                    </w:rPr>
                    <w:t>表</w:t>
                  </w:r>
                  <w:r>
                    <w:rPr>
                      <w:rFonts w:hint="eastAsia"/>
                      <w:sz w:val="21"/>
                      <w:szCs w:val="21"/>
                      <w:u w:val="none" w:color="auto"/>
                      <w:lang w:val="en-US" w:eastAsia="zh-CN"/>
                    </w:rPr>
                    <w:t>1</w:t>
                  </w:r>
                  <w:r>
                    <w:rPr>
                      <w:rFonts w:hint="eastAsia"/>
                      <w:sz w:val="21"/>
                      <w:szCs w:val="21"/>
                      <w:u w:val="none" w:color="auto"/>
                      <w:lang w:eastAsia="zh-CN"/>
                    </w:rPr>
                    <w:t>（</w:t>
                  </w:r>
                  <w:r>
                    <w:rPr>
                      <w:rFonts w:hint="eastAsia"/>
                      <w:sz w:val="21"/>
                      <w:szCs w:val="21"/>
                      <w:u w:val="none" w:color="auto"/>
                      <w:lang w:val="en-US" w:eastAsia="zh-CN"/>
                    </w:rPr>
                    <w:t>2031年1月1日起</w:t>
                  </w:r>
                  <w:r>
                    <w:rPr>
                      <w:rFonts w:hint="eastAsia"/>
                      <w:sz w:val="21"/>
                      <w:szCs w:val="21"/>
                      <w:u w:val="none" w:color="auto"/>
                      <w:lang w:eastAsia="zh-CN"/>
                    </w:rPr>
                    <w:t>）</w:t>
                  </w:r>
                  <w:r>
                    <w:rPr>
                      <w:rFonts w:hint="default"/>
                      <w:sz w:val="21"/>
                      <w:szCs w:val="21"/>
                      <w:u w:val="none" w:color="auto"/>
                    </w:rPr>
                    <w:t>评价标准值（μg/m</w:t>
                  </w:r>
                  <w:r>
                    <w:rPr>
                      <w:rFonts w:hint="default"/>
                      <w:sz w:val="21"/>
                      <w:szCs w:val="21"/>
                      <w:u w:val="none" w:color="auto"/>
                      <w:vertAlign w:val="superscript"/>
                    </w:rPr>
                    <w:t>3</w:t>
                  </w:r>
                  <w:r>
                    <w:rPr>
                      <w:rFonts w:hint="default"/>
                      <w:sz w:val="21"/>
                      <w:szCs w:val="21"/>
                      <w:u w:val="none" w:color="auto"/>
                    </w:rPr>
                    <w:t>）</w:t>
                  </w:r>
                </w:p>
              </w:tc>
              <w:tc>
                <w:tcPr>
                  <w:tcW w:w="621" w:type="pct"/>
                  <w:tcBorders>
                    <w:tl2br w:val="nil"/>
                    <w:tr2bl w:val="nil"/>
                  </w:tcBorders>
                  <w:noWrap w:val="0"/>
                  <w:tcMar>
                    <w:top w:w="0" w:type="dxa"/>
                    <w:left w:w="57" w:type="dxa"/>
                    <w:bottom w:w="0" w:type="dxa"/>
                    <w:right w:w="57" w:type="dxa"/>
                  </w:tcMar>
                  <w:vAlign w:val="center"/>
                </w:tcPr>
                <w:p w14:paraId="5A28D55E">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现状浓度（μg/m</w:t>
                  </w:r>
                  <w:r>
                    <w:rPr>
                      <w:rFonts w:hint="default"/>
                      <w:sz w:val="21"/>
                      <w:szCs w:val="21"/>
                      <w:u w:val="none" w:color="auto"/>
                      <w:vertAlign w:val="superscript"/>
                    </w:rPr>
                    <w:t>3</w:t>
                  </w:r>
                  <w:r>
                    <w:rPr>
                      <w:rFonts w:hint="default"/>
                      <w:sz w:val="21"/>
                      <w:szCs w:val="21"/>
                      <w:u w:val="none" w:color="auto"/>
                    </w:rPr>
                    <w:t>）</w:t>
                  </w:r>
                </w:p>
              </w:tc>
              <w:tc>
                <w:tcPr>
                  <w:tcW w:w="700" w:type="pct"/>
                  <w:tcBorders>
                    <w:tl2br w:val="nil"/>
                    <w:tr2bl w:val="nil"/>
                  </w:tcBorders>
                  <w:noWrap w:val="0"/>
                  <w:tcMar>
                    <w:top w:w="0" w:type="dxa"/>
                    <w:left w:w="57" w:type="dxa"/>
                    <w:bottom w:w="0" w:type="dxa"/>
                    <w:right w:w="57" w:type="dxa"/>
                  </w:tcMar>
                  <w:vAlign w:val="center"/>
                </w:tcPr>
                <w:p w14:paraId="2575E8DB">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最大浓度占标率/%</w:t>
                  </w:r>
                </w:p>
              </w:tc>
              <w:tc>
                <w:tcPr>
                  <w:tcW w:w="654" w:type="pct"/>
                  <w:tcBorders>
                    <w:tl2br w:val="nil"/>
                    <w:tr2bl w:val="nil"/>
                  </w:tcBorders>
                  <w:noWrap w:val="0"/>
                  <w:tcMar>
                    <w:top w:w="0" w:type="dxa"/>
                    <w:left w:w="57" w:type="dxa"/>
                    <w:bottom w:w="0" w:type="dxa"/>
                    <w:right w:w="57" w:type="dxa"/>
                  </w:tcMar>
                  <w:vAlign w:val="center"/>
                </w:tcPr>
                <w:p w14:paraId="27840C88">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超标率/%</w:t>
                  </w:r>
                </w:p>
              </w:tc>
              <w:tc>
                <w:tcPr>
                  <w:tcW w:w="550" w:type="pct"/>
                  <w:tcBorders>
                    <w:tl2br w:val="nil"/>
                    <w:tr2bl w:val="nil"/>
                  </w:tcBorders>
                  <w:noWrap w:val="0"/>
                  <w:tcMar>
                    <w:top w:w="0" w:type="dxa"/>
                    <w:left w:w="57" w:type="dxa"/>
                    <w:bottom w:w="0" w:type="dxa"/>
                    <w:right w:w="57" w:type="dxa"/>
                  </w:tcMar>
                  <w:vAlign w:val="center"/>
                </w:tcPr>
                <w:p w14:paraId="5D6F66AD">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达标情况</w:t>
                  </w:r>
                </w:p>
              </w:tc>
            </w:tr>
            <w:tr w14:paraId="2D5280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3C0757D9">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SO</w:t>
                  </w:r>
                  <w:r>
                    <w:rPr>
                      <w:rFonts w:hint="default"/>
                      <w:sz w:val="21"/>
                      <w:szCs w:val="21"/>
                      <w:u w:val="none" w:color="auto"/>
                      <w:vertAlign w:val="subscript"/>
                    </w:rPr>
                    <w:t>2</w:t>
                  </w:r>
                </w:p>
              </w:tc>
              <w:tc>
                <w:tcPr>
                  <w:tcW w:w="914" w:type="pct"/>
                  <w:tcBorders>
                    <w:tl2br w:val="nil"/>
                    <w:tr2bl w:val="nil"/>
                  </w:tcBorders>
                  <w:noWrap w:val="0"/>
                  <w:tcMar>
                    <w:top w:w="0" w:type="dxa"/>
                    <w:left w:w="57" w:type="dxa"/>
                    <w:bottom w:w="0" w:type="dxa"/>
                    <w:right w:w="57" w:type="dxa"/>
                  </w:tcMar>
                  <w:vAlign w:val="center"/>
                </w:tcPr>
                <w:p w14:paraId="51CB08BF">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年平均</w:t>
                  </w:r>
                </w:p>
              </w:tc>
              <w:tc>
                <w:tcPr>
                  <w:tcW w:w="1151" w:type="pct"/>
                  <w:tcBorders>
                    <w:tl2br w:val="nil"/>
                    <w:tr2bl w:val="nil"/>
                  </w:tcBorders>
                  <w:noWrap w:val="0"/>
                  <w:tcMar>
                    <w:top w:w="0" w:type="dxa"/>
                    <w:left w:w="57" w:type="dxa"/>
                    <w:bottom w:w="0" w:type="dxa"/>
                    <w:right w:w="57" w:type="dxa"/>
                  </w:tcMar>
                  <w:vAlign w:val="center"/>
                </w:tcPr>
                <w:p w14:paraId="3B7564A5">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color w:val="auto"/>
                      <w:sz w:val="21"/>
                      <w:szCs w:val="21"/>
                      <w:u w:val="none" w:color="auto"/>
                      <w:lang w:val="en-US" w:eastAsia="zh-CN"/>
                    </w:rPr>
                    <w:t>20</w:t>
                  </w:r>
                </w:p>
              </w:tc>
              <w:tc>
                <w:tcPr>
                  <w:tcW w:w="968" w:type="dxa"/>
                  <w:tcBorders>
                    <w:tl2br w:val="nil"/>
                    <w:tr2bl w:val="nil"/>
                  </w:tcBorders>
                  <w:noWrap w:val="0"/>
                  <w:tcMar>
                    <w:top w:w="0" w:type="dxa"/>
                    <w:left w:w="57" w:type="dxa"/>
                    <w:bottom w:w="0" w:type="dxa"/>
                    <w:right w:w="57" w:type="dxa"/>
                  </w:tcMar>
                  <w:vAlign w:val="center"/>
                </w:tcPr>
                <w:p w14:paraId="1DB5607A">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color w:val="auto"/>
                      <w:sz w:val="21"/>
                      <w:szCs w:val="21"/>
                      <w:u w:val="none" w:color="auto"/>
                      <w:lang w:val="en-US" w:eastAsia="zh-CN"/>
                    </w:rPr>
                    <w:t>10</w:t>
                  </w:r>
                </w:p>
              </w:tc>
              <w:tc>
                <w:tcPr>
                  <w:tcW w:w="1092" w:type="dxa"/>
                  <w:tcBorders>
                    <w:tl2br w:val="nil"/>
                    <w:tr2bl w:val="nil"/>
                  </w:tcBorders>
                  <w:noWrap w:val="0"/>
                  <w:tcMar>
                    <w:top w:w="0" w:type="dxa"/>
                    <w:left w:w="57" w:type="dxa"/>
                    <w:bottom w:w="0" w:type="dxa"/>
                    <w:right w:w="57" w:type="dxa"/>
                  </w:tcMar>
                  <w:vAlign w:val="center"/>
                </w:tcPr>
                <w:p w14:paraId="0856A747">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50</w:t>
                  </w:r>
                </w:p>
              </w:tc>
              <w:tc>
                <w:tcPr>
                  <w:tcW w:w="654" w:type="pct"/>
                  <w:tcBorders>
                    <w:tl2br w:val="nil"/>
                    <w:tr2bl w:val="nil"/>
                  </w:tcBorders>
                  <w:noWrap w:val="0"/>
                  <w:tcMar>
                    <w:top w:w="0" w:type="dxa"/>
                    <w:left w:w="57" w:type="dxa"/>
                    <w:bottom w:w="0" w:type="dxa"/>
                    <w:right w:w="57" w:type="dxa"/>
                  </w:tcMar>
                  <w:vAlign w:val="center"/>
                </w:tcPr>
                <w:p w14:paraId="463B51B9">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default" w:ascii="Times New Roman" w:hAnsi="Times New Roman" w:eastAsia="宋体" w:cs="Times New Roman"/>
                      <w:color w:val="auto"/>
                      <w:sz w:val="21"/>
                      <w:szCs w:val="21"/>
                      <w:u w:val="none" w:color="auto"/>
                      <w:lang w:val="zh-CN"/>
                    </w:rPr>
                    <w:t>/</w:t>
                  </w:r>
                </w:p>
              </w:tc>
              <w:tc>
                <w:tcPr>
                  <w:tcW w:w="550" w:type="pct"/>
                  <w:tcBorders>
                    <w:tl2br w:val="nil"/>
                    <w:tr2bl w:val="nil"/>
                  </w:tcBorders>
                  <w:noWrap w:val="0"/>
                  <w:tcMar>
                    <w:top w:w="0" w:type="dxa"/>
                    <w:left w:w="57" w:type="dxa"/>
                    <w:bottom w:w="0" w:type="dxa"/>
                    <w:right w:w="57" w:type="dxa"/>
                  </w:tcMar>
                  <w:vAlign w:val="center"/>
                </w:tcPr>
                <w:p w14:paraId="38316A7D">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达标</w:t>
                  </w:r>
                </w:p>
              </w:tc>
            </w:tr>
            <w:tr w14:paraId="7AA3DE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203FA426">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NO</w:t>
                  </w:r>
                  <w:r>
                    <w:rPr>
                      <w:rFonts w:hint="default"/>
                      <w:sz w:val="21"/>
                      <w:szCs w:val="21"/>
                      <w:u w:val="none" w:color="auto"/>
                      <w:vertAlign w:val="subscript"/>
                    </w:rPr>
                    <w:t>2</w:t>
                  </w:r>
                </w:p>
              </w:tc>
              <w:tc>
                <w:tcPr>
                  <w:tcW w:w="914" w:type="pct"/>
                  <w:tcBorders>
                    <w:tl2br w:val="nil"/>
                    <w:tr2bl w:val="nil"/>
                  </w:tcBorders>
                  <w:noWrap w:val="0"/>
                  <w:tcMar>
                    <w:top w:w="0" w:type="dxa"/>
                    <w:left w:w="57" w:type="dxa"/>
                    <w:bottom w:w="0" w:type="dxa"/>
                    <w:right w:w="57" w:type="dxa"/>
                  </w:tcMar>
                  <w:vAlign w:val="center"/>
                </w:tcPr>
                <w:p w14:paraId="401C19EF">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年平均</w:t>
                  </w:r>
                </w:p>
              </w:tc>
              <w:tc>
                <w:tcPr>
                  <w:tcW w:w="1151" w:type="pct"/>
                  <w:tcBorders>
                    <w:tl2br w:val="nil"/>
                    <w:tr2bl w:val="nil"/>
                  </w:tcBorders>
                  <w:noWrap w:val="0"/>
                  <w:tcMar>
                    <w:top w:w="0" w:type="dxa"/>
                    <w:left w:w="57" w:type="dxa"/>
                    <w:bottom w:w="0" w:type="dxa"/>
                    <w:right w:w="57" w:type="dxa"/>
                  </w:tcMar>
                  <w:vAlign w:val="center"/>
                </w:tcPr>
                <w:p w14:paraId="6CE9BC62">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color w:val="auto"/>
                      <w:sz w:val="21"/>
                      <w:szCs w:val="21"/>
                      <w:u w:val="none" w:color="auto"/>
                      <w:lang w:val="en-US" w:eastAsia="zh-CN"/>
                    </w:rPr>
                    <w:t>30</w:t>
                  </w:r>
                </w:p>
              </w:tc>
              <w:tc>
                <w:tcPr>
                  <w:tcW w:w="968" w:type="dxa"/>
                  <w:tcBorders>
                    <w:tl2br w:val="nil"/>
                    <w:tr2bl w:val="nil"/>
                  </w:tcBorders>
                  <w:noWrap w:val="0"/>
                  <w:tcMar>
                    <w:top w:w="0" w:type="dxa"/>
                    <w:left w:w="57" w:type="dxa"/>
                    <w:bottom w:w="0" w:type="dxa"/>
                    <w:right w:w="57" w:type="dxa"/>
                  </w:tcMar>
                  <w:vAlign w:val="center"/>
                </w:tcPr>
                <w:p w14:paraId="3A65E300">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color w:val="auto"/>
                      <w:sz w:val="21"/>
                      <w:szCs w:val="21"/>
                      <w:u w:val="none" w:color="auto"/>
                      <w:lang w:val="en-US" w:eastAsia="zh-CN"/>
                    </w:rPr>
                    <w:t>29</w:t>
                  </w:r>
                </w:p>
              </w:tc>
              <w:tc>
                <w:tcPr>
                  <w:tcW w:w="1092" w:type="dxa"/>
                  <w:tcBorders>
                    <w:tl2br w:val="nil"/>
                    <w:tr2bl w:val="nil"/>
                  </w:tcBorders>
                  <w:noWrap w:val="0"/>
                  <w:tcMar>
                    <w:top w:w="0" w:type="dxa"/>
                    <w:left w:w="57" w:type="dxa"/>
                    <w:bottom w:w="0" w:type="dxa"/>
                    <w:right w:w="57" w:type="dxa"/>
                  </w:tcMar>
                  <w:vAlign w:val="center"/>
                </w:tcPr>
                <w:p w14:paraId="5C7A1929">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96.67</w:t>
                  </w:r>
                </w:p>
              </w:tc>
              <w:tc>
                <w:tcPr>
                  <w:tcW w:w="654" w:type="pct"/>
                  <w:tcBorders>
                    <w:tl2br w:val="nil"/>
                    <w:tr2bl w:val="nil"/>
                  </w:tcBorders>
                  <w:noWrap w:val="0"/>
                  <w:tcMar>
                    <w:top w:w="0" w:type="dxa"/>
                    <w:left w:w="57" w:type="dxa"/>
                    <w:bottom w:w="0" w:type="dxa"/>
                    <w:right w:w="57" w:type="dxa"/>
                  </w:tcMar>
                  <w:vAlign w:val="center"/>
                </w:tcPr>
                <w:p w14:paraId="1AF7B471">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default" w:ascii="Times New Roman" w:hAnsi="Times New Roman" w:eastAsia="宋体" w:cs="Times New Roman"/>
                      <w:color w:val="auto"/>
                      <w:sz w:val="21"/>
                      <w:szCs w:val="21"/>
                      <w:u w:val="none" w:color="auto"/>
                      <w:lang w:val="zh-CN"/>
                    </w:rPr>
                    <w:t>/</w:t>
                  </w:r>
                </w:p>
              </w:tc>
              <w:tc>
                <w:tcPr>
                  <w:tcW w:w="550" w:type="pct"/>
                  <w:tcBorders>
                    <w:tl2br w:val="nil"/>
                    <w:tr2bl w:val="nil"/>
                  </w:tcBorders>
                  <w:noWrap w:val="0"/>
                  <w:tcMar>
                    <w:top w:w="0" w:type="dxa"/>
                    <w:left w:w="57" w:type="dxa"/>
                    <w:bottom w:w="0" w:type="dxa"/>
                    <w:right w:w="57" w:type="dxa"/>
                  </w:tcMar>
                  <w:vAlign w:val="center"/>
                </w:tcPr>
                <w:p w14:paraId="175B6C5F">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达标</w:t>
                  </w:r>
                </w:p>
              </w:tc>
            </w:tr>
            <w:tr w14:paraId="42266A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3BF9D5A9">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PM</w:t>
                  </w:r>
                  <w:r>
                    <w:rPr>
                      <w:rFonts w:hint="default"/>
                      <w:sz w:val="21"/>
                      <w:szCs w:val="21"/>
                      <w:u w:val="none" w:color="auto"/>
                      <w:vertAlign w:val="subscript"/>
                    </w:rPr>
                    <w:t>10</w:t>
                  </w:r>
                </w:p>
              </w:tc>
              <w:tc>
                <w:tcPr>
                  <w:tcW w:w="914" w:type="pct"/>
                  <w:tcBorders>
                    <w:tl2br w:val="nil"/>
                    <w:tr2bl w:val="nil"/>
                  </w:tcBorders>
                  <w:noWrap w:val="0"/>
                  <w:tcMar>
                    <w:top w:w="0" w:type="dxa"/>
                    <w:left w:w="57" w:type="dxa"/>
                    <w:bottom w:w="0" w:type="dxa"/>
                    <w:right w:w="57" w:type="dxa"/>
                  </w:tcMar>
                  <w:vAlign w:val="center"/>
                </w:tcPr>
                <w:p w14:paraId="1A34551B">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年平均</w:t>
                  </w:r>
                </w:p>
              </w:tc>
              <w:tc>
                <w:tcPr>
                  <w:tcW w:w="1151" w:type="pct"/>
                  <w:tcBorders>
                    <w:tl2br w:val="nil"/>
                    <w:tr2bl w:val="nil"/>
                  </w:tcBorders>
                  <w:noWrap w:val="0"/>
                  <w:tcMar>
                    <w:top w:w="0" w:type="dxa"/>
                    <w:left w:w="57" w:type="dxa"/>
                    <w:bottom w:w="0" w:type="dxa"/>
                    <w:right w:w="57" w:type="dxa"/>
                  </w:tcMar>
                  <w:vAlign w:val="center"/>
                </w:tcPr>
                <w:p w14:paraId="113AA4CB">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color w:val="auto"/>
                      <w:sz w:val="21"/>
                      <w:szCs w:val="21"/>
                      <w:u w:val="none" w:color="auto"/>
                      <w:lang w:val="en-US" w:eastAsia="zh-CN"/>
                    </w:rPr>
                    <w:t>50</w:t>
                  </w:r>
                </w:p>
              </w:tc>
              <w:tc>
                <w:tcPr>
                  <w:tcW w:w="968" w:type="dxa"/>
                  <w:tcBorders>
                    <w:tl2br w:val="nil"/>
                    <w:tr2bl w:val="nil"/>
                  </w:tcBorders>
                  <w:noWrap w:val="0"/>
                  <w:tcMar>
                    <w:top w:w="0" w:type="dxa"/>
                    <w:left w:w="57" w:type="dxa"/>
                    <w:bottom w:w="0" w:type="dxa"/>
                    <w:right w:w="57" w:type="dxa"/>
                  </w:tcMar>
                  <w:vAlign w:val="center"/>
                </w:tcPr>
                <w:p w14:paraId="5462F507">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eastAsia="宋体"/>
                      <w:color w:val="auto"/>
                      <w:sz w:val="21"/>
                      <w:szCs w:val="21"/>
                      <w:u w:val="none" w:color="auto"/>
                      <w:lang w:val="en-US" w:eastAsia="zh-CN"/>
                    </w:rPr>
                    <w:t>81</w:t>
                  </w:r>
                </w:p>
              </w:tc>
              <w:tc>
                <w:tcPr>
                  <w:tcW w:w="1092" w:type="dxa"/>
                  <w:tcBorders>
                    <w:tl2br w:val="nil"/>
                    <w:tr2bl w:val="nil"/>
                  </w:tcBorders>
                  <w:noWrap w:val="0"/>
                  <w:tcMar>
                    <w:top w:w="0" w:type="dxa"/>
                    <w:left w:w="57" w:type="dxa"/>
                    <w:bottom w:w="0" w:type="dxa"/>
                    <w:right w:w="57" w:type="dxa"/>
                  </w:tcMar>
                  <w:vAlign w:val="center"/>
                </w:tcPr>
                <w:p w14:paraId="54E6235D">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162</w:t>
                  </w:r>
                </w:p>
              </w:tc>
              <w:tc>
                <w:tcPr>
                  <w:tcW w:w="654" w:type="pct"/>
                  <w:tcBorders>
                    <w:tl2br w:val="nil"/>
                    <w:tr2bl w:val="nil"/>
                  </w:tcBorders>
                  <w:noWrap w:val="0"/>
                  <w:tcMar>
                    <w:top w:w="0" w:type="dxa"/>
                    <w:left w:w="57" w:type="dxa"/>
                    <w:bottom w:w="0" w:type="dxa"/>
                    <w:right w:w="57" w:type="dxa"/>
                  </w:tcMar>
                  <w:vAlign w:val="center"/>
                </w:tcPr>
                <w:p w14:paraId="045514E9">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62</w:t>
                  </w:r>
                </w:p>
              </w:tc>
              <w:tc>
                <w:tcPr>
                  <w:tcW w:w="550" w:type="pct"/>
                  <w:tcBorders>
                    <w:tl2br w:val="nil"/>
                    <w:tr2bl w:val="nil"/>
                  </w:tcBorders>
                  <w:noWrap w:val="0"/>
                  <w:tcMar>
                    <w:top w:w="0" w:type="dxa"/>
                    <w:left w:w="57" w:type="dxa"/>
                    <w:bottom w:w="0" w:type="dxa"/>
                    <w:right w:w="57" w:type="dxa"/>
                  </w:tcMar>
                  <w:vAlign w:val="center"/>
                </w:tcPr>
                <w:p w14:paraId="3DC53527">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超标</w:t>
                  </w:r>
                </w:p>
              </w:tc>
            </w:tr>
            <w:tr w14:paraId="244351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43592FEF">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PM</w:t>
                  </w:r>
                  <w:r>
                    <w:rPr>
                      <w:rFonts w:hint="default"/>
                      <w:sz w:val="21"/>
                      <w:szCs w:val="21"/>
                      <w:u w:val="none" w:color="auto"/>
                      <w:vertAlign w:val="subscript"/>
                    </w:rPr>
                    <w:t>2.5</w:t>
                  </w:r>
                </w:p>
              </w:tc>
              <w:tc>
                <w:tcPr>
                  <w:tcW w:w="914" w:type="pct"/>
                  <w:tcBorders>
                    <w:tl2br w:val="nil"/>
                    <w:tr2bl w:val="nil"/>
                  </w:tcBorders>
                  <w:noWrap w:val="0"/>
                  <w:tcMar>
                    <w:top w:w="0" w:type="dxa"/>
                    <w:left w:w="57" w:type="dxa"/>
                    <w:bottom w:w="0" w:type="dxa"/>
                    <w:right w:w="57" w:type="dxa"/>
                  </w:tcMar>
                  <w:vAlign w:val="center"/>
                </w:tcPr>
                <w:p w14:paraId="1678BE1F">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年平均</w:t>
                  </w:r>
                </w:p>
              </w:tc>
              <w:tc>
                <w:tcPr>
                  <w:tcW w:w="1151" w:type="pct"/>
                  <w:tcBorders>
                    <w:tl2br w:val="nil"/>
                    <w:tr2bl w:val="nil"/>
                  </w:tcBorders>
                  <w:noWrap w:val="0"/>
                  <w:tcMar>
                    <w:top w:w="0" w:type="dxa"/>
                    <w:left w:w="57" w:type="dxa"/>
                    <w:bottom w:w="0" w:type="dxa"/>
                    <w:right w:w="57" w:type="dxa"/>
                  </w:tcMar>
                  <w:vAlign w:val="center"/>
                </w:tcPr>
                <w:p w14:paraId="5457CC94">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color w:val="auto"/>
                      <w:sz w:val="21"/>
                      <w:szCs w:val="21"/>
                      <w:u w:val="none" w:color="auto"/>
                      <w:lang w:val="en-US" w:eastAsia="zh-CN"/>
                    </w:rPr>
                    <w:t>25</w:t>
                  </w:r>
                </w:p>
              </w:tc>
              <w:tc>
                <w:tcPr>
                  <w:tcW w:w="968" w:type="dxa"/>
                  <w:tcBorders>
                    <w:tl2br w:val="nil"/>
                    <w:tr2bl w:val="nil"/>
                  </w:tcBorders>
                  <w:noWrap w:val="0"/>
                  <w:tcMar>
                    <w:top w:w="0" w:type="dxa"/>
                    <w:left w:w="57" w:type="dxa"/>
                    <w:bottom w:w="0" w:type="dxa"/>
                    <w:right w:w="57" w:type="dxa"/>
                  </w:tcMar>
                  <w:vAlign w:val="center"/>
                </w:tcPr>
                <w:p w14:paraId="76CBAE87">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eastAsia" w:eastAsia="宋体"/>
                      <w:color w:val="auto"/>
                      <w:sz w:val="21"/>
                      <w:szCs w:val="21"/>
                      <w:u w:val="none" w:color="auto"/>
                      <w:lang w:val="en-US" w:eastAsia="zh-CN"/>
                    </w:rPr>
                    <w:t>49</w:t>
                  </w:r>
                </w:p>
              </w:tc>
              <w:tc>
                <w:tcPr>
                  <w:tcW w:w="1092" w:type="dxa"/>
                  <w:tcBorders>
                    <w:tl2br w:val="nil"/>
                    <w:tr2bl w:val="nil"/>
                  </w:tcBorders>
                  <w:noWrap w:val="0"/>
                  <w:tcMar>
                    <w:top w:w="0" w:type="dxa"/>
                    <w:left w:w="57" w:type="dxa"/>
                    <w:bottom w:w="0" w:type="dxa"/>
                    <w:right w:w="57" w:type="dxa"/>
                  </w:tcMar>
                  <w:vAlign w:val="center"/>
                </w:tcPr>
                <w:p w14:paraId="4E626F26">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196</w:t>
                  </w:r>
                </w:p>
              </w:tc>
              <w:tc>
                <w:tcPr>
                  <w:tcW w:w="654" w:type="pct"/>
                  <w:tcBorders>
                    <w:tl2br w:val="nil"/>
                    <w:tr2bl w:val="nil"/>
                  </w:tcBorders>
                  <w:noWrap w:val="0"/>
                  <w:tcMar>
                    <w:top w:w="0" w:type="dxa"/>
                    <w:left w:w="57" w:type="dxa"/>
                    <w:bottom w:w="0" w:type="dxa"/>
                    <w:right w:w="57" w:type="dxa"/>
                  </w:tcMar>
                  <w:vAlign w:val="center"/>
                </w:tcPr>
                <w:p w14:paraId="16206A0A">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96</w:t>
                  </w:r>
                </w:p>
              </w:tc>
              <w:tc>
                <w:tcPr>
                  <w:tcW w:w="550" w:type="pct"/>
                  <w:tcBorders>
                    <w:tl2br w:val="nil"/>
                    <w:tr2bl w:val="nil"/>
                  </w:tcBorders>
                  <w:noWrap w:val="0"/>
                  <w:tcMar>
                    <w:top w:w="0" w:type="dxa"/>
                    <w:left w:w="57" w:type="dxa"/>
                    <w:bottom w:w="0" w:type="dxa"/>
                    <w:right w:w="57" w:type="dxa"/>
                  </w:tcMar>
                  <w:vAlign w:val="center"/>
                </w:tcPr>
                <w:p w14:paraId="71F4C920">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超标</w:t>
                  </w:r>
                </w:p>
              </w:tc>
            </w:tr>
            <w:tr w14:paraId="1FC295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0E2F546D">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CO</w:t>
                  </w:r>
                </w:p>
              </w:tc>
              <w:tc>
                <w:tcPr>
                  <w:tcW w:w="914" w:type="pct"/>
                  <w:tcBorders>
                    <w:tl2br w:val="nil"/>
                    <w:tr2bl w:val="nil"/>
                  </w:tcBorders>
                  <w:noWrap w:val="0"/>
                  <w:tcMar>
                    <w:top w:w="0" w:type="dxa"/>
                    <w:left w:w="57" w:type="dxa"/>
                    <w:bottom w:w="0" w:type="dxa"/>
                    <w:right w:w="57" w:type="dxa"/>
                  </w:tcMar>
                  <w:vAlign w:val="center"/>
                </w:tcPr>
                <w:p w14:paraId="26940A02">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24h平均第95百分位数</w:t>
                  </w:r>
                </w:p>
              </w:tc>
              <w:tc>
                <w:tcPr>
                  <w:tcW w:w="1151" w:type="pct"/>
                  <w:tcBorders>
                    <w:tl2br w:val="nil"/>
                    <w:tr2bl w:val="nil"/>
                  </w:tcBorders>
                  <w:noWrap w:val="0"/>
                  <w:tcMar>
                    <w:top w:w="0" w:type="dxa"/>
                    <w:left w:w="57" w:type="dxa"/>
                    <w:bottom w:w="0" w:type="dxa"/>
                    <w:right w:w="57" w:type="dxa"/>
                  </w:tcMar>
                  <w:vAlign w:val="center"/>
                </w:tcPr>
                <w:p w14:paraId="339EFF7C">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4000</w:t>
                  </w:r>
                </w:p>
              </w:tc>
              <w:tc>
                <w:tcPr>
                  <w:tcW w:w="968" w:type="dxa"/>
                  <w:tcBorders>
                    <w:tl2br w:val="nil"/>
                    <w:tr2bl w:val="nil"/>
                  </w:tcBorders>
                  <w:noWrap w:val="0"/>
                  <w:tcMar>
                    <w:top w:w="0" w:type="dxa"/>
                    <w:left w:w="57" w:type="dxa"/>
                    <w:bottom w:w="0" w:type="dxa"/>
                    <w:right w:w="57" w:type="dxa"/>
                  </w:tcMar>
                  <w:vAlign w:val="center"/>
                </w:tcPr>
                <w:p w14:paraId="5F20CFDA">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1</w:t>
                  </w:r>
                  <w:r>
                    <w:rPr>
                      <w:rFonts w:hint="eastAsia"/>
                      <w:color w:val="auto"/>
                      <w:sz w:val="21"/>
                      <w:szCs w:val="21"/>
                      <w:u w:val="none" w:color="auto"/>
                      <w:lang w:val="en-US" w:eastAsia="zh-CN"/>
                    </w:rPr>
                    <w:t>4</w:t>
                  </w:r>
                  <w:r>
                    <w:rPr>
                      <w:rFonts w:hint="default"/>
                      <w:color w:val="auto"/>
                      <w:sz w:val="21"/>
                      <w:szCs w:val="21"/>
                      <w:u w:val="none" w:color="auto"/>
                    </w:rPr>
                    <w:t>00</w:t>
                  </w:r>
                </w:p>
              </w:tc>
              <w:tc>
                <w:tcPr>
                  <w:tcW w:w="1092" w:type="dxa"/>
                  <w:tcBorders>
                    <w:tl2br w:val="nil"/>
                    <w:tr2bl w:val="nil"/>
                  </w:tcBorders>
                  <w:noWrap w:val="0"/>
                  <w:tcMar>
                    <w:top w:w="0" w:type="dxa"/>
                    <w:left w:w="57" w:type="dxa"/>
                    <w:bottom w:w="0" w:type="dxa"/>
                    <w:right w:w="57" w:type="dxa"/>
                  </w:tcMar>
                  <w:vAlign w:val="center"/>
                </w:tcPr>
                <w:p w14:paraId="57B1E6D2">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35</w:t>
                  </w:r>
                </w:p>
              </w:tc>
              <w:tc>
                <w:tcPr>
                  <w:tcW w:w="654" w:type="pct"/>
                  <w:tcBorders>
                    <w:tl2br w:val="nil"/>
                    <w:tr2bl w:val="nil"/>
                  </w:tcBorders>
                  <w:noWrap w:val="0"/>
                  <w:tcMar>
                    <w:top w:w="0" w:type="dxa"/>
                    <w:left w:w="57" w:type="dxa"/>
                    <w:bottom w:w="0" w:type="dxa"/>
                    <w:right w:w="57" w:type="dxa"/>
                  </w:tcMar>
                  <w:vAlign w:val="center"/>
                </w:tcPr>
                <w:p w14:paraId="4A17E547">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zh-CN" w:eastAsia="zh-CN"/>
                    </w:rPr>
                  </w:pPr>
                  <w:r>
                    <w:rPr>
                      <w:rFonts w:hint="default" w:ascii="Times New Roman" w:hAnsi="Times New Roman" w:eastAsia="宋体" w:cs="Times New Roman"/>
                      <w:color w:val="auto"/>
                      <w:sz w:val="21"/>
                      <w:szCs w:val="21"/>
                      <w:u w:val="none" w:color="auto"/>
                      <w:lang w:val="zh-CN"/>
                    </w:rPr>
                    <w:t>/</w:t>
                  </w:r>
                </w:p>
              </w:tc>
              <w:tc>
                <w:tcPr>
                  <w:tcW w:w="550" w:type="pct"/>
                  <w:tcBorders>
                    <w:tl2br w:val="nil"/>
                    <w:tr2bl w:val="nil"/>
                  </w:tcBorders>
                  <w:noWrap w:val="0"/>
                  <w:tcMar>
                    <w:top w:w="0" w:type="dxa"/>
                    <w:left w:w="57" w:type="dxa"/>
                    <w:bottom w:w="0" w:type="dxa"/>
                    <w:right w:w="57" w:type="dxa"/>
                  </w:tcMar>
                  <w:vAlign w:val="center"/>
                </w:tcPr>
                <w:p w14:paraId="0C0666C7">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达标</w:t>
                  </w:r>
                </w:p>
              </w:tc>
            </w:tr>
            <w:tr w14:paraId="490389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406" w:type="pct"/>
                  <w:tcBorders>
                    <w:tl2br w:val="nil"/>
                    <w:tr2bl w:val="nil"/>
                  </w:tcBorders>
                  <w:noWrap w:val="0"/>
                  <w:tcMar>
                    <w:top w:w="0" w:type="dxa"/>
                    <w:left w:w="57" w:type="dxa"/>
                    <w:bottom w:w="0" w:type="dxa"/>
                    <w:right w:w="57" w:type="dxa"/>
                  </w:tcMar>
                  <w:vAlign w:val="center"/>
                </w:tcPr>
                <w:p w14:paraId="16D0C0D9">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O</w:t>
                  </w:r>
                  <w:r>
                    <w:rPr>
                      <w:rFonts w:hint="default"/>
                      <w:sz w:val="21"/>
                      <w:szCs w:val="21"/>
                      <w:u w:val="none" w:color="auto"/>
                      <w:vertAlign w:val="subscript"/>
                    </w:rPr>
                    <w:t>3</w:t>
                  </w:r>
                </w:p>
              </w:tc>
              <w:tc>
                <w:tcPr>
                  <w:tcW w:w="914" w:type="pct"/>
                  <w:tcBorders>
                    <w:tl2br w:val="nil"/>
                    <w:tr2bl w:val="nil"/>
                  </w:tcBorders>
                  <w:noWrap w:val="0"/>
                  <w:tcMar>
                    <w:top w:w="0" w:type="dxa"/>
                    <w:left w:w="57" w:type="dxa"/>
                    <w:bottom w:w="0" w:type="dxa"/>
                    <w:right w:w="57" w:type="dxa"/>
                  </w:tcMar>
                  <w:vAlign w:val="center"/>
                </w:tcPr>
                <w:p w14:paraId="4D59CD1D">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日最大8h平均第90百分位数</w:t>
                  </w:r>
                </w:p>
              </w:tc>
              <w:tc>
                <w:tcPr>
                  <w:tcW w:w="1151" w:type="pct"/>
                  <w:tcBorders>
                    <w:tl2br w:val="nil"/>
                    <w:tr2bl w:val="nil"/>
                  </w:tcBorders>
                  <w:noWrap w:val="0"/>
                  <w:tcMar>
                    <w:top w:w="0" w:type="dxa"/>
                    <w:left w:w="57" w:type="dxa"/>
                    <w:bottom w:w="0" w:type="dxa"/>
                    <w:right w:w="57" w:type="dxa"/>
                  </w:tcMar>
                  <w:vAlign w:val="center"/>
                </w:tcPr>
                <w:p w14:paraId="56E8539E">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160</w:t>
                  </w:r>
                </w:p>
              </w:tc>
              <w:tc>
                <w:tcPr>
                  <w:tcW w:w="968" w:type="dxa"/>
                  <w:tcBorders>
                    <w:tl2br w:val="nil"/>
                    <w:tr2bl w:val="nil"/>
                  </w:tcBorders>
                  <w:noWrap w:val="0"/>
                  <w:tcMar>
                    <w:top w:w="0" w:type="dxa"/>
                    <w:left w:w="57" w:type="dxa"/>
                    <w:bottom w:w="0" w:type="dxa"/>
                    <w:right w:w="57" w:type="dxa"/>
                  </w:tcMar>
                  <w:vAlign w:val="center"/>
                </w:tcPr>
                <w:p w14:paraId="247B3D85">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kern w:val="2"/>
                      <w:sz w:val="21"/>
                      <w:szCs w:val="21"/>
                      <w:u w:val="none" w:color="auto"/>
                      <w:lang w:val="en-US" w:eastAsia="zh-CN" w:bidi="ar-SA"/>
                    </w:rPr>
                  </w:pPr>
                  <w:r>
                    <w:rPr>
                      <w:rFonts w:hint="default"/>
                      <w:color w:val="auto"/>
                      <w:sz w:val="21"/>
                      <w:szCs w:val="21"/>
                      <w:u w:val="none" w:color="auto"/>
                    </w:rPr>
                    <w:t>1</w:t>
                  </w:r>
                  <w:r>
                    <w:rPr>
                      <w:rFonts w:hint="eastAsia"/>
                      <w:color w:val="auto"/>
                      <w:sz w:val="21"/>
                      <w:szCs w:val="21"/>
                      <w:u w:val="none" w:color="auto"/>
                      <w:lang w:val="en-US" w:eastAsia="zh-CN"/>
                    </w:rPr>
                    <w:t>84</w:t>
                  </w:r>
                </w:p>
              </w:tc>
              <w:tc>
                <w:tcPr>
                  <w:tcW w:w="1092" w:type="dxa"/>
                  <w:tcBorders>
                    <w:tl2br w:val="nil"/>
                    <w:tr2bl w:val="nil"/>
                  </w:tcBorders>
                  <w:noWrap w:val="0"/>
                  <w:tcMar>
                    <w:top w:w="0" w:type="dxa"/>
                    <w:left w:w="57" w:type="dxa"/>
                    <w:bottom w:w="0" w:type="dxa"/>
                    <w:right w:w="57" w:type="dxa"/>
                  </w:tcMar>
                  <w:vAlign w:val="center"/>
                </w:tcPr>
                <w:p w14:paraId="0C75BC57">
                  <w:pPr>
                    <w:pStyle w:val="20"/>
                    <w:keepNext w:val="0"/>
                    <w:keepLines w:val="0"/>
                    <w:suppressLineNumbers w:val="0"/>
                    <w:bidi w:val="0"/>
                    <w:spacing w:before="0" w:beforeAutospacing="0" w:after="0" w:afterAutospacing="0"/>
                    <w:ind w:left="0" w:right="0" w:firstLine="0" w:firstLineChars="0"/>
                    <w:jc w:val="center"/>
                    <w:rPr>
                      <w:rFonts w:hint="eastAsia"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115</w:t>
                  </w:r>
                </w:p>
              </w:tc>
              <w:tc>
                <w:tcPr>
                  <w:tcW w:w="654" w:type="pct"/>
                  <w:tcBorders>
                    <w:tl2br w:val="nil"/>
                    <w:tr2bl w:val="nil"/>
                  </w:tcBorders>
                  <w:noWrap w:val="0"/>
                  <w:tcMar>
                    <w:top w:w="0" w:type="dxa"/>
                    <w:left w:w="57" w:type="dxa"/>
                    <w:bottom w:w="0" w:type="dxa"/>
                    <w:right w:w="57" w:type="dxa"/>
                  </w:tcMar>
                  <w:vAlign w:val="center"/>
                </w:tcPr>
                <w:p w14:paraId="0419A65E">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color w:val="auto"/>
                      <w:sz w:val="21"/>
                      <w:szCs w:val="21"/>
                      <w:u w:val="none" w:color="auto"/>
                      <w:lang w:val="en-US" w:eastAsia="zh-CN"/>
                    </w:rPr>
                  </w:pPr>
                  <w:r>
                    <w:rPr>
                      <w:rFonts w:hint="eastAsia" w:ascii="Times New Roman" w:hAnsi="Times New Roman" w:eastAsia="宋体" w:cs="Times New Roman"/>
                      <w:color w:val="auto"/>
                      <w:sz w:val="21"/>
                      <w:szCs w:val="21"/>
                      <w:u w:val="none" w:color="auto"/>
                      <w:lang w:val="en-US" w:eastAsia="zh-CN"/>
                    </w:rPr>
                    <w:t>15</w:t>
                  </w:r>
                </w:p>
              </w:tc>
              <w:tc>
                <w:tcPr>
                  <w:tcW w:w="550" w:type="pct"/>
                  <w:tcBorders>
                    <w:tl2br w:val="nil"/>
                    <w:tr2bl w:val="nil"/>
                  </w:tcBorders>
                  <w:noWrap w:val="0"/>
                  <w:tcMar>
                    <w:top w:w="0" w:type="dxa"/>
                    <w:left w:w="57" w:type="dxa"/>
                    <w:bottom w:w="0" w:type="dxa"/>
                    <w:right w:w="57" w:type="dxa"/>
                  </w:tcMar>
                  <w:vAlign w:val="center"/>
                </w:tcPr>
                <w:p w14:paraId="1F1BC0C5">
                  <w:pPr>
                    <w:pStyle w:val="20"/>
                    <w:keepNext w:val="0"/>
                    <w:keepLines w:val="0"/>
                    <w:suppressLineNumbers w:val="0"/>
                    <w:bidi w:val="0"/>
                    <w:spacing w:before="0" w:beforeAutospacing="0" w:after="0" w:afterAutospacing="0"/>
                    <w:ind w:left="0" w:right="0" w:firstLine="0" w:firstLineChars="0"/>
                    <w:jc w:val="center"/>
                    <w:rPr>
                      <w:rFonts w:hint="default" w:ascii="Times New Roman" w:hAnsi="Times New Roman" w:eastAsia="宋体" w:cs="Times New Roman"/>
                      <w:kern w:val="2"/>
                      <w:sz w:val="21"/>
                      <w:szCs w:val="21"/>
                      <w:u w:val="none" w:color="auto"/>
                      <w:lang w:val="en-US" w:eastAsia="zh-CN" w:bidi="ar-SA"/>
                    </w:rPr>
                  </w:pPr>
                  <w:r>
                    <w:rPr>
                      <w:rFonts w:hint="default"/>
                      <w:sz w:val="21"/>
                      <w:szCs w:val="21"/>
                      <w:u w:val="none" w:color="auto"/>
                    </w:rPr>
                    <w:t>超标</w:t>
                  </w:r>
                </w:p>
              </w:tc>
            </w:tr>
          </w:tbl>
          <w:p w14:paraId="76C70F91">
            <w:pPr>
              <w:pStyle w:val="13"/>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smallCaps w:val="0"/>
                <w:color w:val="auto"/>
                <w:sz w:val="24"/>
                <w:szCs w:val="24"/>
                <w:u w:val="none" w:color="auto"/>
              </w:rPr>
            </w:pPr>
            <w:r>
              <w:rPr>
                <w:rFonts w:hint="eastAsia" w:ascii="Times New Roman" w:hAnsi="Times New Roman" w:eastAsia="宋体" w:cs="Times New Roman"/>
                <w:b w:val="0"/>
                <w:bCs w:val="0"/>
                <w:smallCaps w:val="0"/>
                <w:snapToGrid w:val="0"/>
                <w:color w:val="auto"/>
                <w:sz w:val="24"/>
                <w:szCs w:val="24"/>
                <w:highlight w:val="none"/>
                <w:u w:val="none" w:color="auto"/>
                <w:lang w:val="en-US" w:eastAsia="zh-CN"/>
              </w:rPr>
              <w:t>由上表可知，</w:t>
            </w:r>
            <w:r>
              <w:rPr>
                <w:rFonts w:hint="eastAsia" w:ascii="Times New Roman" w:hAnsi="Times New Roman" w:cs="Times New Roman"/>
                <w:b w:val="0"/>
                <w:bCs w:val="0"/>
                <w:smallCaps w:val="0"/>
                <w:snapToGrid w:val="0"/>
                <w:color w:val="auto"/>
                <w:sz w:val="24"/>
                <w:szCs w:val="24"/>
                <w:highlight w:val="none"/>
                <w:u w:val="none" w:color="auto"/>
                <w:lang w:val="en-US" w:eastAsia="zh-CN"/>
              </w:rPr>
              <w:t>可</w:t>
            </w:r>
            <w:r>
              <w:rPr>
                <w:rFonts w:hint="default" w:ascii="Times New Roman" w:hAnsi="Times New Roman" w:eastAsia="宋体" w:cs="Times New Roman"/>
                <w:b w:val="0"/>
                <w:bCs w:val="0"/>
                <w:smallCaps w:val="0"/>
                <w:snapToGrid w:val="0"/>
                <w:color w:val="auto"/>
                <w:sz w:val="24"/>
                <w:szCs w:val="24"/>
                <w:highlight w:val="none"/>
                <w:u w:val="none" w:color="auto"/>
                <w:lang w:val="en-US" w:eastAsia="zh-CN"/>
              </w:rPr>
              <w:t>吸入颗粒物（PM</w:t>
            </w:r>
            <w:r>
              <w:rPr>
                <w:rFonts w:hint="default" w:ascii="Times New Roman" w:hAnsi="Times New Roman" w:eastAsia="宋体" w:cs="Times New Roman"/>
                <w:b w:val="0"/>
                <w:bCs w:val="0"/>
                <w:smallCaps w:val="0"/>
                <w:snapToGrid w:val="0"/>
                <w:color w:val="auto"/>
                <w:sz w:val="24"/>
                <w:szCs w:val="24"/>
                <w:highlight w:val="none"/>
                <w:u w:val="none" w:color="auto"/>
                <w:vertAlign w:val="subscript"/>
                <w:lang w:val="en-US" w:eastAsia="zh-CN"/>
              </w:rPr>
              <w:t>10</w:t>
            </w:r>
            <w:r>
              <w:rPr>
                <w:rFonts w:hint="default" w:ascii="Times New Roman" w:hAnsi="Times New Roman" w:eastAsia="宋体" w:cs="Times New Roman"/>
                <w:b w:val="0"/>
                <w:bCs w:val="0"/>
                <w:smallCaps w:val="0"/>
                <w:snapToGrid w:val="0"/>
                <w:color w:val="auto"/>
                <w:sz w:val="24"/>
                <w:szCs w:val="24"/>
                <w:highlight w:val="none"/>
                <w:u w:val="none" w:color="auto"/>
                <w:lang w:val="en-US" w:eastAsia="zh-CN"/>
              </w:rPr>
              <w:t>）、细颗粒物（PM</w:t>
            </w:r>
            <w:r>
              <w:rPr>
                <w:rFonts w:hint="default" w:ascii="Times New Roman" w:hAnsi="Times New Roman" w:eastAsia="宋体" w:cs="Times New Roman"/>
                <w:b w:val="0"/>
                <w:bCs w:val="0"/>
                <w:smallCaps w:val="0"/>
                <w:snapToGrid w:val="0"/>
                <w:color w:val="auto"/>
                <w:sz w:val="24"/>
                <w:szCs w:val="24"/>
                <w:highlight w:val="none"/>
                <w:u w:val="none" w:color="auto"/>
                <w:vertAlign w:val="subscript"/>
                <w:lang w:val="en-US" w:eastAsia="zh-CN"/>
              </w:rPr>
              <w:t>2.5</w:t>
            </w:r>
            <w:r>
              <w:rPr>
                <w:rFonts w:hint="default" w:ascii="Times New Roman" w:hAnsi="Times New Roman" w:eastAsia="宋体" w:cs="Times New Roman"/>
                <w:b w:val="0"/>
                <w:bCs w:val="0"/>
                <w:smallCaps w:val="0"/>
                <w:snapToGrid w:val="0"/>
                <w:color w:val="auto"/>
                <w:sz w:val="24"/>
                <w:szCs w:val="24"/>
                <w:highlight w:val="none"/>
                <w:u w:val="none" w:color="auto"/>
                <w:lang w:val="en-US" w:eastAsia="zh-CN"/>
              </w:rPr>
              <w:t>）、臭氧浓度均超出《环境空气质量标准》（GB3095-2012）表1及修改单中二级标准要求</w:t>
            </w:r>
            <w:r>
              <w:rPr>
                <w:rFonts w:hint="eastAsia" w:ascii="Times New Roman" w:hAnsi="Times New Roman" w:cs="Times New Roman"/>
                <w:b w:val="0"/>
                <w:bCs w:val="0"/>
                <w:smallCaps w:val="0"/>
                <w:snapToGrid w:val="0"/>
                <w:color w:val="auto"/>
                <w:sz w:val="24"/>
                <w:szCs w:val="24"/>
                <w:highlight w:val="none"/>
                <w:u w:val="none" w:color="auto"/>
                <w:lang w:val="en-US" w:eastAsia="zh-CN"/>
              </w:rPr>
              <w:t>，</w:t>
            </w:r>
            <w:r>
              <w:rPr>
                <w:rFonts w:hint="default" w:ascii="Times New Roman" w:hAnsi="Times New Roman" w:eastAsia="宋体" w:cs="Times New Roman"/>
                <w:b w:val="0"/>
                <w:bCs w:val="0"/>
                <w:smallCaps w:val="0"/>
                <w:snapToGrid w:val="0"/>
                <w:color w:val="auto"/>
                <w:sz w:val="24"/>
                <w:szCs w:val="24"/>
                <w:highlight w:val="none"/>
                <w:u w:val="none" w:color="auto"/>
                <w:lang w:val="en-US" w:eastAsia="zh-CN"/>
              </w:rPr>
              <w:t>二氧化硫、二氧化氮、一氧化碳浓度未超出《环境空气质量标准》（GB3095-2012）表1及修改单中二级标准要求</w:t>
            </w:r>
            <w:r>
              <w:rPr>
                <w:rFonts w:hint="eastAsia" w:ascii="Times New Roman" w:hAnsi="Times New Roman" w:eastAsia="宋体" w:cs="Times New Roman"/>
                <w:b w:val="0"/>
                <w:bCs w:val="0"/>
                <w:smallCaps w:val="0"/>
                <w:snapToGrid w:val="0"/>
                <w:color w:val="auto"/>
                <w:sz w:val="24"/>
                <w:szCs w:val="24"/>
                <w:highlight w:val="none"/>
                <w:u w:val="none" w:color="auto"/>
                <w:lang w:val="en-US" w:eastAsia="zh-CN"/>
              </w:rPr>
              <w:t>。</w:t>
            </w:r>
            <w:r>
              <w:rPr>
                <w:rFonts w:hint="default" w:ascii="Times New Roman" w:hAnsi="Times New Roman" w:eastAsia="宋体" w:cs="Times New Roman"/>
                <w:b w:val="0"/>
                <w:bCs w:val="0"/>
                <w:smallCaps w:val="0"/>
                <w:snapToGrid w:val="0"/>
                <w:color w:val="auto"/>
                <w:sz w:val="24"/>
                <w:szCs w:val="24"/>
                <w:highlight w:val="none"/>
                <w:u w:val="none" w:color="auto"/>
                <w:lang w:val="en-US" w:eastAsia="zh-CN"/>
              </w:rPr>
              <w:t>根据《环境影响评价技术导则-大气环境》（HJ2.2-2018），六项污染物全部达标才为城市环境空气质量达标，因此，企业所在区域为不达标区，环境空气质量为不达标。</w:t>
            </w:r>
          </w:p>
          <w:p w14:paraId="391AA5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b w:val="0"/>
                <w:bCs w:val="0"/>
                <w:smallCaps w:val="0"/>
                <w:snapToGrid w:val="0"/>
                <w:color w:val="auto"/>
                <w:sz w:val="24"/>
                <w:szCs w:val="24"/>
                <w:highlight w:val="none"/>
                <w:u w:val="single" w:color="auto"/>
                <w:lang w:val="en-US" w:eastAsia="zh-CN"/>
              </w:rPr>
            </w:pPr>
            <w:r>
              <w:rPr>
                <w:rFonts w:hint="eastAsia" w:cs="宋体"/>
                <w:spacing w:val="0"/>
                <w:position w:val="0"/>
                <w:sz w:val="24"/>
                <w:szCs w:val="24"/>
                <w:u w:val="none" w:color="auto"/>
                <w:lang w:eastAsia="zh-CN"/>
              </w:rPr>
              <w:t>经对比</w:t>
            </w:r>
            <w:r>
              <w:rPr>
                <w:rFonts w:hint="eastAsia" w:ascii="Times New Roman" w:hAnsi="Times New Roman" w:eastAsia="宋体" w:cs="宋体"/>
                <w:spacing w:val="0"/>
                <w:position w:val="0"/>
                <w:sz w:val="24"/>
                <w:szCs w:val="24"/>
                <w:u w:val="none" w:color="auto"/>
              </w:rPr>
              <w:t>《环境空气质量标准》（GB3095-2026）</w:t>
            </w:r>
            <w:r>
              <w:rPr>
                <w:rFonts w:hint="eastAsia" w:cs="宋体"/>
                <w:spacing w:val="0"/>
                <w:position w:val="0"/>
                <w:sz w:val="24"/>
                <w:szCs w:val="24"/>
                <w:u w:val="none" w:color="auto"/>
                <w:lang w:eastAsia="zh-CN"/>
              </w:rPr>
              <w:t>，</w:t>
            </w:r>
            <w:r>
              <w:rPr>
                <w:rFonts w:hint="eastAsia" w:ascii="Times New Roman" w:hAnsi="Times New Roman" w:cs="Times New Roman"/>
                <w:b w:val="0"/>
                <w:bCs w:val="0"/>
                <w:smallCaps w:val="0"/>
                <w:snapToGrid w:val="0"/>
                <w:color w:val="auto"/>
                <w:sz w:val="24"/>
                <w:szCs w:val="24"/>
                <w:highlight w:val="none"/>
                <w:u w:val="none" w:color="auto"/>
                <w:lang w:val="en-US" w:eastAsia="zh-CN"/>
              </w:rPr>
              <w:t>可</w:t>
            </w:r>
            <w:r>
              <w:rPr>
                <w:rFonts w:hint="default" w:ascii="Times New Roman" w:hAnsi="Times New Roman" w:eastAsia="宋体" w:cs="Times New Roman"/>
                <w:b w:val="0"/>
                <w:bCs w:val="0"/>
                <w:smallCaps w:val="0"/>
                <w:snapToGrid w:val="0"/>
                <w:color w:val="auto"/>
                <w:sz w:val="24"/>
                <w:szCs w:val="24"/>
                <w:highlight w:val="none"/>
                <w:u w:val="none" w:color="auto"/>
                <w:lang w:val="en-US" w:eastAsia="zh-CN"/>
              </w:rPr>
              <w:t>吸入颗粒物（PM</w:t>
            </w:r>
            <w:r>
              <w:rPr>
                <w:rFonts w:hint="default" w:ascii="Times New Roman" w:hAnsi="Times New Roman" w:eastAsia="宋体" w:cs="Times New Roman"/>
                <w:b w:val="0"/>
                <w:bCs w:val="0"/>
                <w:smallCaps w:val="0"/>
                <w:snapToGrid w:val="0"/>
                <w:color w:val="auto"/>
                <w:sz w:val="24"/>
                <w:szCs w:val="24"/>
                <w:highlight w:val="none"/>
                <w:u w:val="none" w:color="auto"/>
                <w:vertAlign w:val="subscript"/>
                <w:lang w:val="en-US" w:eastAsia="zh-CN"/>
              </w:rPr>
              <w:t>10</w:t>
            </w:r>
            <w:r>
              <w:rPr>
                <w:rFonts w:hint="default" w:ascii="Times New Roman" w:hAnsi="Times New Roman" w:eastAsia="宋体" w:cs="Times New Roman"/>
                <w:b w:val="0"/>
                <w:bCs w:val="0"/>
                <w:smallCaps w:val="0"/>
                <w:snapToGrid w:val="0"/>
                <w:color w:val="auto"/>
                <w:sz w:val="24"/>
                <w:szCs w:val="24"/>
                <w:highlight w:val="none"/>
                <w:u w:val="none" w:color="auto"/>
                <w:lang w:val="en-US" w:eastAsia="zh-CN"/>
              </w:rPr>
              <w:t>）、细颗粒物（PM</w:t>
            </w:r>
            <w:r>
              <w:rPr>
                <w:rFonts w:hint="default" w:ascii="Times New Roman" w:hAnsi="Times New Roman" w:eastAsia="宋体" w:cs="Times New Roman"/>
                <w:b w:val="0"/>
                <w:bCs w:val="0"/>
                <w:smallCaps w:val="0"/>
                <w:snapToGrid w:val="0"/>
                <w:color w:val="auto"/>
                <w:sz w:val="24"/>
                <w:szCs w:val="24"/>
                <w:highlight w:val="none"/>
                <w:u w:val="none" w:color="auto"/>
                <w:vertAlign w:val="subscript"/>
                <w:lang w:val="en-US" w:eastAsia="zh-CN"/>
              </w:rPr>
              <w:t>2.5</w:t>
            </w:r>
            <w:r>
              <w:rPr>
                <w:rFonts w:hint="default" w:ascii="Times New Roman" w:hAnsi="Times New Roman" w:eastAsia="宋体" w:cs="Times New Roman"/>
                <w:b w:val="0"/>
                <w:bCs w:val="0"/>
                <w:smallCaps w:val="0"/>
                <w:snapToGrid w:val="0"/>
                <w:color w:val="auto"/>
                <w:sz w:val="24"/>
                <w:szCs w:val="24"/>
                <w:highlight w:val="none"/>
                <w:u w:val="none" w:color="auto"/>
                <w:lang w:val="en-US" w:eastAsia="zh-CN"/>
              </w:rPr>
              <w:t>）、臭氧浓度均超出</w:t>
            </w:r>
            <w:r>
              <w:rPr>
                <w:rFonts w:hint="eastAsia" w:ascii="Times New Roman" w:hAnsi="Times New Roman" w:cs="宋体"/>
                <w:spacing w:val="0"/>
                <w:position w:val="0"/>
                <w:sz w:val="24"/>
                <w:szCs w:val="24"/>
                <w:u w:val="none" w:color="auto"/>
                <w:lang w:eastAsia="zh-CN"/>
              </w:rPr>
              <w:t>表</w:t>
            </w:r>
            <w:r>
              <w:rPr>
                <w:rFonts w:hint="eastAsia" w:ascii="Times New Roman" w:hAnsi="Times New Roman" w:cs="宋体"/>
                <w:spacing w:val="0"/>
                <w:position w:val="0"/>
                <w:sz w:val="24"/>
                <w:szCs w:val="24"/>
                <w:u w:val="none" w:color="auto"/>
                <w:lang w:val="en-US" w:eastAsia="zh-CN"/>
              </w:rPr>
              <w:t>1</w:t>
            </w:r>
            <w:r>
              <w:rPr>
                <w:rFonts w:hint="eastAsia" w:ascii="Times New Roman" w:hAnsi="Times New Roman" w:eastAsia="宋体" w:cs="宋体"/>
                <w:spacing w:val="0"/>
                <w:position w:val="0"/>
                <w:sz w:val="24"/>
                <w:szCs w:val="24"/>
                <w:u w:val="none" w:color="auto"/>
              </w:rPr>
              <w:t>中过渡阶段浓度限值二级标准</w:t>
            </w:r>
            <w:r>
              <w:rPr>
                <w:rFonts w:hint="eastAsia" w:cs="宋体"/>
                <w:spacing w:val="0"/>
                <w:position w:val="0"/>
                <w:sz w:val="24"/>
                <w:szCs w:val="24"/>
                <w:u w:val="none" w:color="auto"/>
                <w:lang w:eastAsia="zh-CN"/>
              </w:rPr>
              <w:t>和</w:t>
            </w:r>
            <w:r>
              <w:rPr>
                <w:rFonts w:hint="eastAsia" w:cs="宋体"/>
                <w:spacing w:val="0"/>
                <w:position w:val="0"/>
                <w:sz w:val="24"/>
                <w:szCs w:val="24"/>
                <w:u w:val="none" w:color="auto"/>
                <w:lang w:val="en-US" w:eastAsia="zh-CN"/>
              </w:rPr>
              <w:t>2031年1月1日后二级标准限值</w:t>
            </w:r>
            <w:r>
              <w:rPr>
                <w:rFonts w:hint="eastAsia" w:ascii="Times New Roman" w:hAnsi="Times New Roman" w:eastAsia="宋体" w:cs="Times New Roman"/>
                <w:b w:val="0"/>
                <w:bCs w:val="0"/>
                <w:smallCaps w:val="0"/>
                <w:snapToGrid w:val="0"/>
                <w:color w:val="auto"/>
                <w:sz w:val="24"/>
                <w:szCs w:val="24"/>
                <w:highlight w:val="none"/>
                <w:u w:val="none" w:color="auto"/>
                <w:lang w:val="en-US" w:eastAsia="zh-CN"/>
              </w:rPr>
              <w:t>，</w:t>
            </w:r>
            <w:r>
              <w:rPr>
                <w:rFonts w:hint="default" w:ascii="Times New Roman" w:hAnsi="Times New Roman" w:eastAsia="宋体" w:cs="Times New Roman"/>
                <w:b w:val="0"/>
                <w:bCs w:val="0"/>
                <w:smallCaps w:val="0"/>
                <w:snapToGrid w:val="0"/>
                <w:color w:val="auto"/>
                <w:sz w:val="24"/>
                <w:szCs w:val="24"/>
                <w:highlight w:val="none"/>
                <w:u w:val="none" w:color="auto"/>
                <w:lang w:val="en-US" w:eastAsia="zh-CN"/>
              </w:rPr>
              <w:t>二氧化硫、二氧化氮、一氧化碳浓度未超出</w:t>
            </w:r>
            <w:r>
              <w:rPr>
                <w:rFonts w:hint="eastAsia" w:ascii="Times New Roman" w:hAnsi="Times New Roman" w:cs="宋体"/>
                <w:spacing w:val="0"/>
                <w:position w:val="0"/>
                <w:sz w:val="24"/>
                <w:szCs w:val="24"/>
                <w:u w:val="none" w:color="auto"/>
                <w:lang w:eastAsia="zh-CN"/>
              </w:rPr>
              <w:t>表</w:t>
            </w:r>
            <w:r>
              <w:rPr>
                <w:rFonts w:hint="eastAsia" w:ascii="Times New Roman" w:hAnsi="Times New Roman" w:cs="宋体"/>
                <w:spacing w:val="0"/>
                <w:position w:val="0"/>
                <w:sz w:val="24"/>
                <w:szCs w:val="24"/>
                <w:u w:val="none" w:color="auto"/>
                <w:lang w:val="en-US" w:eastAsia="zh-CN"/>
              </w:rPr>
              <w:t>1</w:t>
            </w:r>
            <w:r>
              <w:rPr>
                <w:rFonts w:hint="eastAsia" w:ascii="Times New Roman" w:hAnsi="Times New Roman" w:eastAsia="宋体" w:cs="宋体"/>
                <w:spacing w:val="0"/>
                <w:position w:val="0"/>
                <w:sz w:val="24"/>
                <w:szCs w:val="24"/>
                <w:u w:val="none" w:color="auto"/>
              </w:rPr>
              <w:t>中过渡阶段浓度限值二级标准</w:t>
            </w:r>
            <w:r>
              <w:rPr>
                <w:rFonts w:hint="eastAsia" w:cs="宋体"/>
                <w:spacing w:val="0"/>
                <w:position w:val="0"/>
                <w:sz w:val="24"/>
                <w:szCs w:val="24"/>
                <w:u w:val="none" w:color="auto"/>
                <w:lang w:eastAsia="zh-CN"/>
              </w:rPr>
              <w:t>和</w:t>
            </w:r>
            <w:r>
              <w:rPr>
                <w:rFonts w:hint="eastAsia" w:cs="宋体"/>
                <w:spacing w:val="0"/>
                <w:position w:val="0"/>
                <w:sz w:val="24"/>
                <w:szCs w:val="24"/>
                <w:u w:val="none" w:color="auto"/>
                <w:lang w:val="en-US" w:eastAsia="zh-CN"/>
              </w:rPr>
              <w:t>2031年1月1日后二级标准限值。</w:t>
            </w:r>
          </w:p>
          <w:p w14:paraId="61BAA816">
            <w:pPr>
              <w:keepNext w:val="0"/>
              <w:keepLines w:val="0"/>
              <w:widowControl w:val="0"/>
              <w:suppressLineNumbers w:val="0"/>
              <w:topLinePunct/>
              <w:autoSpaceDE w:val="0"/>
              <w:autoSpaceDN w:val="0"/>
              <w:adjustRightInd w:val="0"/>
              <w:snapToGrid w:val="0"/>
              <w:spacing w:before="0" w:beforeAutospacing="0" w:after="0" w:afterAutospacing="0" w:line="360" w:lineRule="auto"/>
              <w:ind w:left="0" w:right="0" w:firstLine="480" w:firstLineChars="200"/>
              <w:jc w:val="both"/>
              <w:rPr>
                <w:rFonts w:hint="eastAsia"/>
                <w:color w:val="auto"/>
                <w:sz w:val="24"/>
                <w:szCs w:val="24"/>
                <w:lang w:val="en-US" w:eastAsia="zh-CN"/>
              </w:rPr>
            </w:pPr>
            <w:r>
              <w:rPr>
                <w:rFonts w:hint="eastAsia"/>
                <w:color w:val="auto"/>
                <w:sz w:val="24"/>
                <w:szCs w:val="24"/>
                <w:lang w:eastAsia="zh-CN"/>
              </w:rPr>
              <w:t>为切实改善空气质量，持续改善全市环境空气质量，打赢大气污染防治攻坚战，</w:t>
            </w:r>
            <w:r>
              <w:rPr>
                <w:rFonts w:hint="default" w:ascii="Times New Roman" w:hAnsi="Times New Roman" w:eastAsia="宋体" w:cs="Times New Roman"/>
                <w:color w:val="auto"/>
                <w:kern w:val="2"/>
                <w:sz w:val="24"/>
                <w:szCs w:val="24"/>
                <w:highlight w:val="none"/>
                <w:lang w:val="en-US" w:eastAsia="zh-CN" w:bidi="ar"/>
              </w:rPr>
              <w:t>安阳市生态环境保护委员会印发了</w:t>
            </w:r>
            <w:r>
              <w:rPr>
                <w:rFonts w:hint="default" w:ascii="Times New Roman" w:hAnsi="Times New Roman" w:eastAsia="宋体" w:cs="Times New Roman"/>
                <w:color w:val="auto"/>
                <w:sz w:val="24"/>
                <w:szCs w:val="24"/>
                <w:highlight w:val="none"/>
                <w:lang w:val="en-US" w:eastAsia="zh-CN"/>
              </w:rPr>
              <w:t>《安阳市2026年大气污染防治攻坚行动方案》</w:t>
            </w:r>
            <w:r>
              <w:rPr>
                <w:rFonts w:hint="default" w:ascii="Times New Roman" w:hAnsi="Times New Roman" w:eastAsia="宋体" w:cs="Times New Roman"/>
                <w:color w:val="auto"/>
                <w:kern w:val="2"/>
                <w:sz w:val="24"/>
                <w:szCs w:val="24"/>
                <w:highlight w:val="none"/>
                <w:lang w:val="en-US" w:eastAsia="zh-CN" w:bidi="ar"/>
              </w:rPr>
              <w:t>（</w:t>
            </w:r>
            <w:r>
              <w:rPr>
                <w:rFonts w:hint="default" w:ascii="Times New Roman" w:hAnsi="Times New Roman" w:eastAsia="宋体" w:cs="Times New Roman"/>
                <w:color w:val="auto"/>
                <w:sz w:val="24"/>
                <w:szCs w:val="24"/>
                <w:highlight w:val="none"/>
                <w:lang w:val="en-US" w:eastAsia="zh-CN"/>
              </w:rPr>
              <w:t>安环委〔202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号</w:t>
            </w:r>
            <w:r>
              <w:rPr>
                <w:rFonts w:hint="default" w:ascii="Times New Roman" w:hAnsi="Times New Roman" w:eastAsia="宋体" w:cs="Times New Roman"/>
                <w:color w:val="auto"/>
                <w:kern w:val="2"/>
                <w:sz w:val="24"/>
                <w:szCs w:val="24"/>
                <w:highlight w:val="none"/>
                <w:lang w:val="en-US" w:eastAsia="zh-CN" w:bidi="ar"/>
              </w:rPr>
              <w:t>），</w:t>
            </w:r>
            <w:r>
              <w:rPr>
                <w:rFonts w:hint="eastAsia" w:cs="Times New Roman"/>
                <w:color w:val="auto"/>
                <w:kern w:val="2"/>
                <w:sz w:val="24"/>
                <w:szCs w:val="24"/>
                <w:highlight w:val="none"/>
                <w:lang w:val="en-US" w:eastAsia="zh-CN" w:bidi="ar"/>
              </w:rPr>
              <w:t>能够</w:t>
            </w:r>
            <w:r>
              <w:rPr>
                <w:rFonts w:hint="default" w:ascii="Times New Roman" w:hAnsi="Times New Roman" w:eastAsia="宋体" w:cs="Times New Roman"/>
                <w:color w:val="auto"/>
                <w:kern w:val="2"/>
                <w:sz w:val="24"/>
                <w:szCs w:val="24"/>
                <w:highlight w:val="none"/>
                <w:lang w:val="en-US" w:eastAsia="zh-CN" w:bidi="ar"/>
              </w:rPr>
              <w:t>进一步改善安阳市环境空气质量情况。</w:t>
            </w:r>
          </w:p>
          <w:bookmarkEnd w:id="21"/>
          <w:p w14:paraId="31304535">
            <w:pPr>
              <w:keepNext w:val="0"/>
              <w:keepLines w:val="0"/>
              <w:pageBreakBefore w:val="0"/>
              <w:suppressLineNumbers w:val="0"/>
              <w:kinsoku/>
              <w:wordWrap/>
              <w:overflowPunct/>
              <w:topLinePunct w:val="0"/>
              <w:bidi w:val="0"/>
              <w:adjustRightInd/>
              <w:snapToGrid/>
              <w:spacing w:before="0" w:beforeLines="0" w:beforeAutospacing="0" w:after="0" w:afterLines="0" w:afterAutospacing="0" w:line="360" w:lineRule="auto"/>
              <w:ind w:left="0" w:right="0" w:firstLine="480" w:firstLineChars="200"/>
              <w:textAlignment w:val="auto"/>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w:t>
            </w:r>
            <w:r>
              <w:rPr>
                <w:rFonts w:hint="default" w:ascii="Times New Roman" w:hAnsi="Times New Roman" w:eastAsia="宋体" w:cs="Times New Roman"/>
                <w:color w:val="000000" w:themeColor="text1"/>
                <w:sz w:val="24"/>
                <w:szCs w:val="24"/>
                <w:highlight w:val="none"/>
                <w14:textFill>
                  <w14:solidFill>
                    <w14:schemeClr w14:val="tx1"/>
                  </w14:solidFill>
                </w14:textFill>
              </w:rPr>
              <w:t>次</w:t>
            </w:r>
            <w:r>
              <w:rPr>
                <w:rFonts w:hint="eastAsia" w:cs="Times New Roman"/>
                <w:color w:val="000000" w:themeColor="text1"/>
                <w:sz w:val="24"/>
                <w:szCs w:val="24"/>
                <w:highlight w:val="none"/>
                <w:lang w:eastAsia="zh-CN"/>
                <w14:textFill>
                  <w14:solidFill>
                    <w14:schemeClr w14:val="tx1"/>
                  </w14:solidFill>
                </w14:textFill>
              </w:rPr>
              <w:t>项目挤出（吹膜）</w:t>
            </w:r>
            <w:r>
              <w:rPr>
                <w:rFonts w:hint="eastAsia" w:cs="Times New Roman"/>
                <w:color w:val="000000" w:themeColor="text1"/>
                <w:sz w:val="24"/>
                <w:szCs w:val="24"/>
                <w:highlight w:val="none"/>
                <w:lang w:val="en-US" w:eastAsia="zh-CN"/>
                <w14:textFill>
                  <w14:solidFill>
                    <w14:schemeClr w14:val="tx1"/>
                  </w14:solidFill>
                </w14:textFill>
              </w:rPr>
              <w:t>、高频复合、粘合、喷码工序废气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采用</w:t>
            </w:r>
            <w:r>
              <w:rPr>
                <w:rFonts w:hint="eastAsia" w:cs="Times New Roman"/>
                <w:color w:val="000000" w:themeColor="text1"/>
                <w:sz w:val="24"/>
                <w:szCs w:val="24"/>
                <w:highlight w:val="none"/>
                <w:lang w:val="en-US" w:eastAsia="zh-CN"/>
                <w14:textFill>
                  <w14:solidFill>
                    <w14:schemeClr w14:val="tx1"/>
                  </w14:solidFill>
                </w14:textFill>
              </w:rPr>
              <w:t>密闭集气罩正压收集后通过</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1套“</w:t>
            </w:r>
            <w:r>
              <w:rPr>
                <w:rFonts w:hint="eastAsia" w:cs="Times New Roman"/>
                <w:color w:val="000000" w:themeColor="text1"/>
                <w:sz w:val="24"/>
                <w:szCs w:val="24"/>
                <w:highlight w:val="none"/>
                <w:lang w:val="en-US" w:eastAsia="zh-CN"/>
                <w14:textFill>
                  <w14:solidFill>
                    <w14:schemeClr w14:val="tx1"/>
                  </w14:solidFill>
                </w14:textFill>
              </w:rPr>
              <w:t>活性炭</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吸附、脱附+催化燃烧”收集处理后，由一根不低于15m高的排气筒（</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DA001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）达标排放</w:t>
            </w:r>
            <w:r>
              <w:rPr>
                <w:rFonts w:hint="default" w:ascii="Times New Roman" w:hAnsi="Times New Roman" w:eastAsia="宋体" w:cs="Times New Roman"/>
                <w:color w:val="auto"/>
                <w:kern w:val="2"/>
                <w:sz w:val="24"/>
                <w:szCs w:val="24"/>
                <w:highlight w:val="none"/>
                <w:lang w:val="en-US" w:eastAsia="zh-CN" w:bidi="ar"/>
              </w:rPr>
              <w:t>，</w:t>
            </w:r>
            <w:r>
              <w:rPr>
                <w:rFonts w:hint="eastAsia" w:cs="Times New Roman"/>
                <w:color w:val="000000" w:themeColor="text1"/>
                <w:sz w:val="24"/>
                <w:szCs w:val="24"/>
                <w:highlight w:val="none"/>
                <w:lang w:val="en-US" w:eastAsia="zh-CN"/>
                <w14:textFill>
                  <w14:solidFill>
                    <w14:schemeClr w14:val="tx1"/>
                  </w14:solidFill>
                </w14:textFill>
              </w:rPr>
              <w:t>食堂油烟</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采用</w:t>
            </w:r>
            <w:r>
              <w:rPr>
                <w:rFonts w:hint="eastAsia" w:cs="Times New Roman"/>
                <w:color w:val="000000" w:themeColor="text1"/>
                <w:sz w:val="24"/>
                <w:szCs w:val="24"/>
                <w:highlight w:val="none"/>
                <w:lang w:val="en-US" w:eastAsia="zh-CN"/>
                <w14:textFill>
                  <w14:solidFill>
                    <w14:schemeClr w14:val="tx1"/>
                  </w14:solidFill>
                </w14:textFill>
              </w:rPr>
              <w:t>集气罩收集后通过</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1套“</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静电油烟净化器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”收集处理后，</w:t>
            </w:r>
            <w:r>
              <w:rPr>
                <w:rFonts w:hint="eastAsia" w:cs="Times New Roman"/>
                <w:color w:val="000000" w:themeColor="text1"/>
                <w:sz w:val="24"/>
                <w:szCs w:val="24"/>
                <w:highlight w:val="none"/>
                <w:lang w:val="en-US" w:eastAsia="zh-CN"/>
                <w14:textFill>
                  <w14:solidFill>
                    <w14:schemeClr w14:val="tx1"/>
                  </w14:solidFill>
                </w14:textFill>
              </w:rPr>
              <w:t>通过房顶排气筒</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DA002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）达标排放</w:t>
            </w:r>
            <w:r>
              <w:rPr>
                <w:rFonts w:hint="default" w:ascii="Times New Roman" w:hAnsi="Times New Roman" w:eastAsia="宋体" w:cs="Times New Roman"/>
                <w:color w:val="auto"/>
                <w:kern w:val="2"/>
                <w:sz w:val="24"/>
                <w:szCs w:val="24"/>
                <w:highlight w:val="none"/>
                <w:lang w:val="en-US" w:eastAsia="zh-CN" w:bidi="ar"/>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对周边环境影响较小。</w:t>
            </w:r>
          </w:p>
          <w:p w14:paraId="7273F39E">
            <w:pPr>
              <w:pStyle w:val="13"/>
              <w:keepNext w:val="0"/>
              <w:keepLines w:val="0"/>
              <w:suppressLineNumbers w:val="0"/>
              <w:snapToGrid w:val="0"/>
              <w:spacing w:before="0" w:beforeAutospacing="0" w:after="0" w:afterAutospacing="0" w:line="360" w:lineRule="auto"/>
              <w:ind w:left="0" w:right="0"/>
              <w:rPr>
                <w:rFonts w:hint="default" w:ascii="Times New Roman" w:hAnsi="Times New Roman" w:eastAsia="Times New Roman" w:cs="Times New Roman"/>
                <w:b/>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b/>
                <w:color w:val="000000" w:themeColor="text1"/>
                <w:sz w:val="24"/>
                <w:szCs w:val="24"/>
                <w:highlight w:val="none"/>
                <w14:textFill>
                  <w14:solidFill>
                    <w14:schemeClr w14:val="tx1"/>
                  </w14:solidFill>
                </w14:textFill>
              </w:rPr>
              <w:t>2.地表水环境质量现状</w:t>
            </w:r>
          </w:p>
          <w:p w14:paraId="23A130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宋体"/>
                <w:color w:val="auto"/>
                <w:kern w:val="0"/>
                <w:sz w:val="24"/>
                <w:szCs w:val="24"/>
                <w:lang w:eastAsia="zh-CN"/>
              </w:rPr>
            </w:pPr>
            <w:r>
              <w:rPr>
                <w:rFonts w:hint="eastAsia"/>
                <w:color w:val="auto"/>
                <w:sz w:val="24"/>
                <w:szCs w:val="24"/>
                <w:highlight w:val="none"/>
              </w:rPr>
              <w:t>附近的地表水为</w:t>
            </w:r>
            <w:r>
              <w:rPr>
                <w:rFonts w:hint="eastAsia"/>
                <w:color w:val="auto"/>
                <w:sz w:val="24"/>
                <w:szCs w:val="24"/>
                <w:highlight w:val="none"/>
                <w:lang w:eastAsia="zh-CN"/>
              </w:rPr>
              <w:t>北侧</w:t>
            </w:r>
            <w:r>
              <w:rPr>
                <w:rFonts w:hint="eastAsia"/>
                <w:color w:val="auto"/>
                <w:sz w:val="24"/>
                <w:szCs w:val="24"/>
                <w:highlight w:val="none"/>
                <w:lang w:val="en-US" w:eastAsia="zh-CN"/>
              </w:rPr>
              <w:t>8m处</w:t>
            </w:r>
            <w:r>
              <w:rPr>
                <w:rFonts w:hint="eastAsia"/>
                <w:color w:val="auto"/>
                <w:sz w:val="24"/>
                <w:szCs w:val="24"/>
                <w:highlight w:val="none"/>
              </w:rPr>
              <w:t>的</w:t>
            </w:r>
            <w:r>
              <w:rPr>
                <w:rFonts w:hint="eastAsia"/>
                <w:color w:val="auto"/>
                <w:sz w:val="24"/>
                <w:szCs w:val="24"/>
                <w:highlight w:val="none"/>
                <w:lang w:eastAsia="zh-CN"/>
              </w:rPr>
              <w:t>孔村沟，下游流入汤河</w:t>
            </w:r>
            <w:r>
              <w:rPr>
                <w:rFonts w:hint="eastAsia"/>
                <w:color w:val="auto"/>
                <w:sz w:val="24"/>
                <w:szCs w:val="24"/>
                <w:lang w:eastAsia="zh-CN"/>
              </w:rPr>
              <w:t>，距离最近的监控断面为汤河石辛庄断面</w:t>
            </w:r>
            <w:r>
              <w:rPr>
                <w:rFonts w:hint="eastAsia"/>
                <w:color w:val="auto"/>
                <w:sz w:val="24"/>
                <w:szCs w:val="24"/>
                <w:highlight w:val="none"/>
                <w:lang w:eastAsia="zh-CN"/>
              </w:rPr>
              <w:t>，</w:t>
            </w:r>
            <w:r>
              <w:rPr>
                <w:rFonts w:hint="eastAsia"/>
                <w:color w:val="auto"/>
                <w:sz w:val="24"/>
                <w:szCs w:val="24"/>
                <w:highlight w:val="none"/>
                <w:lang w:val="en-US" w:eastAsia="zh-CN"/>
              </w:rPr>
              <w:t>根据《安阳市2026年碧水保卫战实施方案》</w:t>
            </w:r>
            <w:r>
              <w:rPr>
                <w:rFonts w:hint="eastAsia" w:ascii="Times New Roman" w:hAnsi="Times New Roman" w:eastAsia="宋体" w:cs="宋体"/>
                <w:color w:val="auto"/>
                <w:kern w:val="0"/>
                <w:sz w:val="24"/>
                <w:szCs w:val="24"/>
                <w:highlight w:val="none"/>
                <w:lang w:val="en-US" w:eastAsia="zh-CN"/>
              </w:rPr>
              <w:t>汤河石辛庄断面2026年目标为</w:t>
            </w:r>
            <w:r>
              <w:rPr>
                <w:rFonts w:hint="eastAsia" w:ascii="宋体" w:hAnsi="宋体" w:eastAsia="宋体" w:cs="宋体"/>
                <w:color w:val="auto"/>
                <w:kern w:val="0"/>
                <w:sz w:val="24"/>
                <w:szCs w:val="24"/>
                <w:highlight w:val="none"/>
                <w:lang w:val="en-US" w:eastAsia="zh-CN"/>
              </w:rPr>
              <w:t>Ⅲ</w:t>
            </w:r>
            <w:r>
              <w:rPr>
                <w:rFonts w:hint="eastAsia" w:ascii="Times New Roman" w:hAnsi="Times New Roman" w:eastAsia="宋体" w:cs="宋体"/>
                <w:color w:val="auto"/>
                <w:kern w:val="0"/>
                <w:sz w:val="24"/>
                <w:szCs w:val="24"/>
                <w:highlight w:val="none"/>
                <w:lang w:val="en-US" w:eastAsia="zh-CN"/>
              </w:rPr>
              <w:t>类水体。《</w:t>
            </w:r>
            <w:r>
              <w:rPr>
                <w:rFonts w:hint="eastAsia"/>
                <w:color w:val="auto"/>
                <w:sz w:val="24"/>
                <w:szCs w:val="24"/>
                <w:highlight w:val="none"/>
                <w:lang w:eastAsia="zh-CN"/>
              </w:rPr>
              <w:t>安阳市 2024 年碧水保卫战实施方案</w:t>
            </w:r>
            <w:r>
              <w:rPr>
                <w:rFonts w:hint="eastAsia" w:ascii="Times New Roman" w:hAnsi="Times New Roman" w:eastAsia="宋体" w:cs="宋体"/>
                <w:color w:val="auto"/>
                <w:kern w:val="0"/>
                <w:sz w:val="24"/>
                <w:szCs w:val="24"/>
                <w:highlight w:val="none"/>
                <w:lang w:val="en-US" w:eastAsia="zh-CN"/>
              </w:rPr>
              <w:t>》汤河石辛庄断面2024年目标为Ⅴ类水体。根据安阳市生态环境局公布的《安阳市市控地表水自动监测》（2024年第1周-第52周）常规监测数据，汤河石辛庄断面监测结果见下表</w:t>
            </w:r>
            <w:r>
              <w:rPr>
                <w:rFonts w:hint="eastAsia" w:ascii="Times New Roman" w:hAnsi="Times New Roman" w:eastAsia="宋体" w:cs="宋体"/>
                <w:color w:val="auto"/>
                <w:kern w:val="0"/>
                <w:sz w:val="24"/>
                <w:szCs w:val="24"/>
                <w:highlight w:val="none"/>
                <w:lang w:eastAsia="zh-CN"/>
              </w:rPr>
              <w:t>。</w:t>
            </w:r>
          </w:p>
          <w:p w14:paraId="74FB8A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宋体"/>
                <w:b/>
                <w:bCs/>
                <w:color w:val="auto"/>
                <w:kern w:val="0"/>
                <w:sz w:val="24"/>
                <w:szCs w:val="24"/>
              </w:rPr>
            </w:pPr>
            <w:r>
              <w:rPr>
                <w:rFonts w:hint="eastAsia" w:ascii="Times New Roman" w:hAnsi="Times New Roman" w:eastAsia="宋体" w:cs="宋体"/>
                <w:b/>
                <w:bCs/>
                <w:color w:val="auto"/>
                <w:kern w:val="0"/>
                <w:sz w:val="24"/>
                <w:szCs w:val="24"/>
              </w:rPr>
              <w:t>202</w:t>
            </w:r>
            <w:r>
              <w:rPr>
                <w:rFonts w:hint="eastAsia" w:ascii="Times New Roman" w:hAnsi="Times New Roman" w:eastAsia="宋体" w:cs="宋体"/>
                <w:b/>
                <w:bCs/>
                <w:color w:val="auto"/>
                <w:kern w:val="0"/>
                <w:sz w:val="24"/>
                <w:szCs w:val="24"/>
                <w:lang w:val="en-US" w:eastAsia="zh-CN"/>
              </w:rPr>
              <w:t>4</w:t>
            </w:r>
            <w:r>
              <w:rPr>
                <w:rFonts w:hint="eastAsia" w:ascii="Times New Roman" w:hAnsi="Times New Roman" w:eastAsia="宋体" w:cs="宋体"/>
                <w:b/>
                <w:bCs/>
                <w:color w:val="auto"/>
                <w:kern w:val="0"/>
                <w:sz w:val="24"/>
                <w:szCs w:val="24"/>
              </w:rPr>
              <w:t>年汤河石辛庄市控县界断面全年监测结果一览表单位：mg/L</w:t>
            </w:r>
          </w:p>
          <w:tbl>
            <w:tblPr>
              <w:tblStyle w:val="29"/>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494"/>
              <w:gridCol w:w="1253"/>
              <w:gridCol w:w="1375"/>
              <w:gridCol w:w="1375"/>
              <w:gridCol w:w="1305"/>
              <w:gridCol w:w="1446"/>
            </w:tblGrid>
            <w:tr w14:paraId="47A93D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tblHeader/>
                <w:jc w:val="center"/>
              </w:trPr>
              <w:tc>
                <w:tcPr>
                  <w:tcW w:w="1444" w:type="dxa"/>
                  <w:tcBorders>
                    <w:tl2br w:val="nil"/>
                    <w:tr2bl w:val="nil"/>
                  </w:tcBorders>
                  <w:noWrap w:val="0"/>
                  <w:tcMar>
                    <w:top w:w="0" w:type="dxa"/>
                    <w:left w:w="28" w:type="dxa"/>
                    <w:bottom w:w="0" w:type="dxa"/>
                    <w:right w:w="28" w:type="dxa"/>
                  </w:tcMar>
                  <w:vAlign w:val="center"/>
                </w:tcPr>
                <w:p w14:paraId="57C6A096">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rPr>
                    <w:t>时间</w:t>
                  </w:r>
                </w:p>
              </w:tc>
              <w:tc>
                <w:tcPr>
                  <w:tcW w:w="1211" w:type="dxa"/>
                  <w:tcBorders>
                    <w:tl2br w:val="nil"/>
                    <w:tr2bl w:val="nil"/>
                  </w:tcBorders>
                  <w:noWrap w:val="0"/>
                  <w:tcMar>
                    <w:top w:w="0" w:type="dxa"/>
                    <w:left w:w="28" w:type="dxa"/>
                    <w:bottom w:w="0" w:type="dxa"/>
                    <w:right w:w="28" w:type="dxa"/>
                  </w:tcMar>
                  <w:vAlign w:val="center"/>
                </w:tcPr>
                <w:p w14:paraId="1D559CAC">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rPr>
                    <w:t>COD</w:t>
                  </w:r>
                </w:p>
              </w:tc>
              <w:tc>
                <w:tcPr>
                  <w:tcW w:w="1329" w:type="dxa"/>
                  <w:tcBorders>
                    <w:tl2br w:val="nil"/>
                    <w:tr2bl w:val="nil"/>
                  </w:tcBorders>
                  <w:noWrap w:val="0"/>
                  <w:tcMar>
                    <w:top w:w="0" w:type="dxa"/>
                    <w:left w:w="28" w:type="dxa"/>
                    <w:bottom w:w="0" w:type="dxa"/>
                    <w:right w:w="28" w:type="dxa"/>
                  </w:tcMar>
                  <w:vAlign w:val="center"/>
                </w:tcPr>
                <w:p w14:paraId="2A5414DF">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rPr>
                    <w:t>氨氮</w:t>
                  </w:r>
                </w:p>
              </w:tc>
              <w:tc>
                <w:tcPr>
                  <w:tcW w:w="1329" w:type="dxa"/>
                  <w:tcBorders>
                    <w:tl2br w:val="nil"/>
                    <w:tr2bl w:val="nil"/>
                  </w:tcBorders>
                  <w:noWrap w:val="0"/>
                  <w:tcMar>
                    <w:top w:w="0" w:type="dxa"/>
                    <w:left w:w="28" w:type="dxa"/>
                    <w:bottom w:w="0" w:type="dxa"/>
                    <w:right w:w="28" w:type="dxa"/>
                  </w:tcMar>
                  <w:vAlign w:val="center"/>
                </w:tcPr>
                <w:p w14:paraId="4EE7E81B">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rPr>
                    <w:t>总磷</w:t>
                  </w:r>
                </w:p>
              </w:tc>
              <w:tc>
                <w:tcPr>
                  <w:tcW w:w="1261" w:type="dxa"/>
                  <w:tcBorders>
                    <w:tl2br w:val="nil"/>
                    <w:tr2bl w:val="nil"/>
                  </w:tcBorders>
                  <w:noWrap w:val="0"/>
                  <w:tcMar>
                    <w:top w:w="0" w:type="dxa"/>
                    <w:left w:w="28" w:type="dxa"/>
                    <w:bottom w:w="0" w:type="dxa"/>
                    <w:right w:w="28" w:type="dxa"/>
                  </w:tcMar>
                  <w:vAlign w:val="center"/>
                </w:tcPr>
                <w:p w14:paraId="32A0D455">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总氮</w:t>
                  </w:r>
                </w:p>
              </w:tc>
              <w:tc>
                <w:tcPr>
                  <w:tcW w:w="1397" w:type="dxa"/>
                  <w:tcBorders>
                    <w:tl2br w:val="nil"/>
                    <w:tr2bl w:val="nil"/>
                  </w:tcBorders>
                  <w:noWrap w:val="0"/>
                  <w:tcMar>
                    <w:top w:w="0" w:type="dxa"/>
                    <w:left w:w="28" w:type="dxa"/>
                    <w:bottom w:w="0" w:type="dxa"/>
                    <w:right w:w="28" w:type="dxa"/>
                  </w:tcMar>
                  <w:vAlign w:val="center"/>
                </w:tcPr>
                <w:p w14:paraId="36C70AB2">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rPr>
                    <w:t>高锰酸盐指数</w:t>
                  </w:r>
                </w:p>
              </w:tc>
            </w:tr>
            <w:tr w14:paraId="1B9363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12052BFD">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1周</w:t>
                  </w:r>
                </w:p>
              </w:tc>
              <w:tc>
                <w:tcPr>
                  <w:tcW w:w="1211" w:type="dxa"/>
                  <w:tcBorders>
                    <w:tl2br w:val="nil"/>
                    <w:tr2bl w:val="nil"/>
                  </w:tcBorders>
                  <w:noWrap w:val="0"/>
                  <w:tcMar>
                    <w:top w:w="0" w:type="dxa"/>
                    <w:left w:w="28" w:type="dxa"/>
                    <w:bottom w:w="0" w:type="dxa"/>
                    <w:right w:w="28" w:type="dxa"/>
                  </w:tcMar>
                  <w:vAlign w:val="center"/>
                </w:tcPr>
                <w:p w14:paraId="6F37AEC1">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16.5</w:t>
                  </w:r>
                </w:p>
              </w:tc>
              <w:tc>
                <w:tcPr>
                  <w:tcW w:w="1329" w:type="dxa"/>
                  <w:tcBorders>
                    <w:tl2br w:val="nil"/>
                    <w:tr2bl w:val="nil"/>
                  </w:tcBorders>
                  <w:noWrap w:val="0"/>
                  <w:tcMar>
                    <w:top w:w="0" w:type="dxa"/>
                    <w:left w:w="28" w:type="dxa"/>
                    <w:bottom w:w="0" w:type="dxa"/>
                    <w:right w:w="28" w:type="dxa"/>
                  </w:tcMar>
                  <w:vAlign w:val="center"/>
                </w:tcPr>
                <w:p w14:paraId="47D84E49">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1.278</w:t>
                  </w:r>
                </w:p>
              </w:tc>
              <w:tc>
                <w:tcPr>
                  <w:tcW w:w="1329" w:type="dxa"/>
                  <w:tcBorders>
                    <w:tl2br w:val="nil"/>
                    <w:tr2bl w:val="nil"/>
                  </w:tcBorders>
                  <w:noWrap w:val="0"/>
                  <w:tcMar>
                    <w:top w:w="0" w:type="dxa"/>
                    <w:left w:w="28" w:type="dxa"/>
                    <w:bottom w:w="0" w:type="dxa"/>
                    <w:right w:w="28" w:type="dxa"/>
                  </w:tcMar>
                  <w:vAlign w:val="center"/>
                </w:tcPr>
                <w:p w14:paraId="505D5E32">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0.142</w:t>
                  </w:r>
                </w:p>
              </w:tc>
              <w:tc>
                <w:tcPr>
                  <w:tcW w:w="1261" w:type="dxa"/>
                  <w:tcBorders>
                    <w:tl2br w:val="nil"/>
                    <w:tr2bl w:val="nil"/>
                  </w:tcBorders>
                  <w:noWrap w:val="0"/>
                  <w:tcMar>
                    <w:top w:w="0" w:type="dxa"/>
                    <w:left w:w="28" w:type="dxa"/>
                    <w:bottom w:w="0" w:type="dxa"/>
                    <w:right w:w="28" w:type="dxa"/>
                  </w:tcMar>
                  <w:vAlign w:val="center"/>
                </w:tcPr>
                <w:p w14:paraId="5631D3D8">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12.5</w:t>
                  </w:r>
                </w:p>
              </w:tc>
              <w:tc>
                <w:tcPr>
                  <w:tcW w:w="1397" w:type="dxa"/>
                  <w:tcBorders>
                    <w:tl2br w:val="nil"/>
                    <w:tr2bl w:val="nil"/>
                  </w:tcBorders>
                  <w:noWrap w:val="0"/>
                  <w:tcMar>
                    <w:top w:w="0" w:type="dxa"/>
                    <w:left w:w="28" w:type="dxa"/>
                    <w:bottom w:w="0" w:type="dxa"/>
                    <w:right w:w="28" w:type="dxa"/>
                  </w:tcMar>
                  <w:vAlign w:val="center"/>
                </w:tcPr>
                <w:p w14:paraId="5F34AC9E">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6.6</w:t>
                  </w:r>
                </w:p>
              </w:tc>
            </w:tr>
            <w:tr w14:paraId="6FD8AD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35DD5DC7">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2周</w:t>
                  </w:r>
                </w:p>
              </w:tc>
              <w:tc>
                <w:tcPr>
                  <w:tcW w:w="1211" w:type="dxa"/>
                  <w:tcBorders>
                    <w:tl2br w:val="nil"/>
                    <w:tr2bl w:val="nil"/>
                  </w:tcBorders>
                  <w:noWrap w:val="0"/>
                  <w:tcMar>
                    <w:top w:w="0" w:type="dxa"/>
                    <w:left w:w="28" w:type="dxa"/>
                    <w:bottom w:w="0" w:type="dxa"/>
                    <w:right w:w="28" w:type="dxa"/>
                  </w:tcMar>
                  <w:vAlign w:val="center"/>
                </w:tcPr>
                <w:p w14:paraId="231F7C82">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20.3</w:t>
                  </w:r>
                </w:p>
              </w:tc>
              <w:tc>
                <w:tcPr>
                  <w:tcW w:w="1329" w:type="dxa"/>
                  <w:tcBorders>
                    <w:tl2br w:val="nil"/>
                    <w:tr2bl w:val="nil"/>
                  </w:tcBorders>
                  <w:noWrap w:val="0"/>
                  <w:tcMar>
                    <w:top w:w="0" w:type="dxa"/>
                    <w:left w:w="28" w:type="dxa"/>
                    <w:bottom w:w="0" w:type="dxa"/>
                    <w:right w:w="28" w:type="dxa"/>
                  </w:tcMar>
                  <w:vAlign w:val="center"/>
                </w:tcPr>
                <w:p w14:paraId="0DA589BA">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1.74</w:t>
                  </w:r>
                </w:p>
              </w:tc>
              <w:tc>
                <w:tcPr>
                  <w:tcW w:w="1329" w:type="dxa"/>
                  <w:tcBorders>
                    <w:tl2br w:val="nil"/>
                    <w:tr2bl w:val="nil"/>
                  </w:tcBorders>
                  <w:noWrap w:val="0"/>
                  <w:tcMar>
                    <w:top w:w="0" w:type="dxa"/>
                    <w:left w:w="28" w:type="dxa"/>
                    <w:bottom w:w="0" w:type="dxa"/>
                    <w:right w:w="28" w:type="dxa"/>
                  </w:tcMar>
                  <w:vAlign w:val="center"/>
                </w:tcPr>
                <w:p w14:paraId="2FB2A911">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0.193</w:t>
                  </w:r>
                </w:p>
              </w:tc>
              <w:tc>
                <w:tcPr>
                  <w:tcW w:w="1261" w:type="dxa"/>
                  <w:tcBorders>
                    <w:tl2br w:val="nil"/>
                    <w:tr2bl w:val="nil"/>
                  </w:tcBorders>
                  <w:noWrap w:val="0"/>
                  <w:tcMar>
                    <w:top w:w="0" w:type="dxa"/>
                    <w:left w:w="28" w:type="dxa"/>
                    <w:bottom w:w="0" w:type="dxa"/>
                    <w:right w:w="28" w:type="dxa"/>
                  </w:tcMar>
                  <w:vAlign w:val="center"/>
                </w:tcPr>
                <w:p w14:paraId="635E69F6">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14.1</w:t>
                  </w:r>
                </w:p>
              </w:tc>
              <w:tc>
                <w:tcPr>
                  <w:tcW w:w="1397" w:type="dxa"/>
                  <w:tcBorders>
                    <w:tl2br w:val="nil"/>
                    <w:tr2bl w:val="nil"/>
                  </w:tcBorders>
                  <w:noWrap w:val="0"/>
                  <w:tcMar>
                    <w:top w:w="0" w:type="dxa"/>
                    <w:left w:w="28" w:type="dxa"/>
                    <w:bottom w:w="0" w:type="dxa"/>
                    <w:right w:w="28" w:type="dxa"/>
                  </w:tcMar>
                  <w:vAlign w:val="center"/>
                </w:tcPr>
                <w:p w14:paraId="5D6888D6">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7.2</w:t>
                  </w:r>
                </w:p>
              </w:tc>
            </w:tr>
            <w:tr w14:paraId="571ACC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2AFAC892">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3周</w:t>
                  </w:r>
                </w:p>
              </w:tc>
              <w:tc>
                <w:tcPr>
                  <w:tcW w:w="1211" w:type="dxa"/>
                  <w:tcBorders>
                    <w:tl2br w:val="nil"/>
                    <w:tr2bl w:val="nil"/>
                  </w:tcBorders>
                  <w:noWrap w:val="0"/>
                  <w:tcMar>
                    <w:top w:w="0" w:type="dxa"/>
                    <w:left w:w="28" w:type="dxa"/>
                    <w:bottom w:w="0" w:type="dxa"/>
                    <w:right w:w="28" w:type="dxa"/>
                  </w:tcMar>
                  <w:vAlign w:val="center"/>
                </w:tcPr>
                <w:p w14:paraId="22987671">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18.9</w:t>
                  </w:r>
                </w:p>
              </w:tc>
              <w:tc>
                <w:tcPr>
                  <w:tcW w:w="1329" w:type="dxa"/>
                  <w:tcBorders>
                    <w:tl2br w:val="nil"/>
                    <w:tr2bl w:val="nil"/>
                  </w:tcBorders>
                  <w:noWrap w:val="0"/>
                  <w:tcMar>
                    <w:top w:w="0" w:type="dxa"/>
                    <w:left w:w="28" w:type="dxa"/>
                    <w:bottom w:w="0" w:type="dxa"/>
                    <w:right w:w="28" w:type="dxa"/>
                  </w:tcMar>
                  <w:vAlign w:val="center"/>
                </w:tcPr>
                <w:p w14:paraId="5E303D1E">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1.69</w:t>
                  </w:r>
                </w:p>
              </w:tc>
              <w:tc>
                <w:tcPr>
                  <w:tcW w:w="1329" w:type="dxa"/>
                  <w:tcBorders>
                    <w:tl2br w:val="nil"/>
                    <w:tr2bl w:val="nil"/>
                  </w:tcBorders>
                  <w:noWrap w:val="0"/>
                  <w:tcMar>
                    <w:top w:w="0" w:type="dxa"/>
                    <w:left w:w="28" w:type="dxa"/>
                    <w:bottom w:w="0" w:type="dxa"/>
                    <w:right w:w="28" w:type="dxa"/>
                  </w:tcMar>
                  <w:vAlign w:val="center"/>
                </w:tcPr>
                <w:p w14:paraId="6F702FBB">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0.22</w:t>
                  </w:r>
                </w:p>
              </w:tc>
              <w:tc>
                <w:tcPr>
                  <w:tcW w:w="1261" w:type="dxa"/>
                  <w:tcBorders>
                    <w:tl2br w:val="nil"/>
                    <w:tr2bl w:val="nil"/>
                  </w:tcBorders>
                  <w:noWrap w:val="0"/>
                  <w:tcMar>
                    <w:top w:w="0" w:type="dxa"/>
                    <w:left w:w="28" w:type="dxa"/>
                    <w:bottom w:w="0" w:type="dxa"/>
                    <w:right w:w="28" w:type="dxa"/>
                  </w:tcMar>
                  <w:vAlign w:val="center"/>
                </w:tcPr>
                <w:p w14:paraId="3988EE8C">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14.2</w:t>
                  </w:r>
                </w:p>
              </w:tc>
              <w:tc>
                <w:tcPr>
                  <w:tcW w:w="1397" w:type="dxa"/>
                  <w:tcBorders>
                    <w:tl2br w:val="nil"/>
                    <w:tr2bl w:val="nil"/>
                  </w:tcBorders>
                  <w:noWrap w:val="0"/>
                  <w:tcMar>
                    <w:top w:w="0" w:type="dxa"/>
                    <w:left w:w="28" w:type="dxa"/>
                    <w:bottom w:w="0" w:type="dxa"/>
                    <w:right w:w="28" w:type="dxa"/>
                  </w:tcMar>
                  <w:vAlign w:val="center"/>
                </w:tcPr>
                <w:p w14:paraId="3564E85A">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6.9</w:t>
                  </w:r>
                </w:p>
              </w:tc>
            </w:tr>
            <w:tr w14:paraId="170627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41CF3241">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4周</w:t>
                  </w:r>
                </w:p>
              </w:tc>
              <w:tc>
                <w:tcPr>
                  <w:tcW w:w="1211" w:type="dxa"/>
                  <w:tcBorders>
                    <w:tl2br w:val="nil"/>
                    <w:tr2bl w:val="nil"/>
                  </w:tcBorders>
                  <w:noWrap w:val="0"/>
                  <w:tcMar>
                    <w:top w:w="0" w:type="dxa"/>
                    <w:left w:w="28" w:type="dxa"/>
                    <w:bottom w:w="0" w:type="dxa"/>
                    <w:right w:w="28" w:type="dxa"/>
                  </w:tcMar>
                  <w:vAlign w:val="center"/>
                </w:tcPr>
                <w:p w14:paraId="4E6AA981">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16.9</w:t>
                  </w:r>
                </w:p>
              </w:tc>
              <w:tc>
                <w:tcPr>
                  <w:tcW w:w="1329" w:type="dxa"/>
                  <w:tcBorders>
                    <w:tl2br w:val="nil"/>
                    <w:tr2bl w:val="nil"/>
                  </w:tcBorders>
                  <w:noWrap w:val="0"/>
                  <w:tcMar>
                    <w:top w:w="0" w:type="dxa"/>
                    <w:left w:w="28" w:type="dxa"/>
                    <w:bottom w:w="0" w:type="dxa"/>
                    <w:right w:w="28" w:type="dxa"/>
                  </w:tcMar>
                  <w:vAlign w:val="center"/>
                </w:tcPr>
                <w:p w14:paraId="45533B8D">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1.12</w:t>
                  </w:r>
                </w:p>
              </w:tc>
              <w:tc>
                <w:tcPr>
                  <w:tcW w:w="1329" w:type="dxa"/>
                  <w:tcBorders>
                    <w:tl2br w:val="nil"/>
                    <w:tr2bl w:val="nil"/>
                  </w:tcBorders>
                  <w:noWrap w:val="0"/>
                  <w:tcMar>
                    <w:top w:w="0" w:type="dxa"/>
                    <w:left w:w="28" w:type="dxa"/>
                    <w:bottom w:w="0" w:type="dxa"/>
                    <w:right w:w="28" w:type="dxa"/>
                  </w:tcMar>
                  <w:vAlign w:val="center"/>
                </w:tcPr>
                <w:p w14:paraId="2E54343A">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0.205</w:t>
                  </w:r>
                </w:p>
              </w:tc>
              <w:tc>
                <w:tcPr>
                  <w:tcW w:w="1261" w:type="dxa"/>
                  <w:tcBorders>
                    <w:tl2br w:val="nil"/>
                    <w:tr2bl w:val="nil"/>
                  </w:tcBorders>
                  <w:noWrap w:val="0"/>
                  <w:tcMar>
                    <w:top w:w="0" w:type="dxa"/>
                    <w:left w:w="28" w:type="dxa"/>
                    <w:bottom w:w="0" w:type="dxa"/>
                    <w:right w:w="28" w:type="dxa"/>
                  </w:tcMar>
                  <w:vAlign w:val="center"/>
                </w:tcPr>
                <w:p w14:paraId="43024D58">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13.7</w:t>
                  </w:r>
                </w:p>
              </w:tc>
              <w:tc>
                <w:tcPr>
                  <w:tcW w:w="1397" w:type="dxa"/>
                  <w:tcBorders>
                    <w:tl2br w:val="nil"/>
                    <w:tr2bl w:val="nil"/>
                  </w:tcBorders>
                  <w:noWrap w:val="0"/>
                  <w:tcMar>
                    <w:top w:w="0" w:type="dxa"/>
                    <w:left w:w="28" w:type="dxa"/>
                    <w:bottom w:w="0" w:type="dxa"/>
                    <w:right w:w="28" w:type="dxa"/>
                  </w:tcMar>
                  <w:vAlign w:val="center"/>
                </w:tcPr>
                <w:p w14:paraId="2BE918B6">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6.8</w:t>
                  </w:r>
                </w:p>
              </w:tc>
            </w:tr>
            <w:tr w14:paraId="637AEF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7B5CE759">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5周</w:t>
                  </w:r>
                </w:p>
              </w:tc>
              <w:tc>
                <w:tcPr>
                  <w:tcW w:w="1211" w:type="dxa"/>
                  <w:tcBorders>
                    <w:tl2br w:val="nil"/>
                    <w:tr2bl w:val="nil"/>
                  </w:tcBorders>
                  <w:noWrap w:val="0"/>
                  <w:tcMar>
                    <w:top w:w="0" w:type="dxa"/>
                    <w:left w:w="28" w:type="dxa"/>
                    <w:bottom w:w="0" w:type="dxa"/>
                    <w:right w:w="28" w:type="dxa"/>
                  </w:tcMar>
                  <w:vAlign w:val="center"/>
                </w:tcPr>
                <w:p w14:paraId="350F6CA6">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19.1</w:t>
                  </w:r>
                </w:p>
              </w:tc>
              <w:tc>
                <w:tcPr>
                  <w:tcW w:w="1329" w:type="dxa"/>
                  <w:tcBorders>
                    <w:tl2br w:val="nil"/>
                    <w:tr2bl w:val="nil"/>
                  </w:tcBorders>
                  <w:noWrap w:val="0"/>
                  <w:tcMar>
                    <w:top w:w="0" w:type="dxa"/>
                    <w:left w:w="28" w:type="dxa"/>
                    <w:bottom w:w="0" w:type="dxa"/>
                    <w:right w:w="28" w:type="dxa"/>
                  </w:tcMar>
                  <w:vAlign w:val="center"/>
                </w:tcPr>
                <w:p w14:paraId="0FE11F22">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0.79</w:t>
                  </w:r>
                </w:p>
              </w:tc>
              <w:tc>
                <w:tcPr>
                  <w:tcW w:w="1329" w:type="dxa"/>
                  <w:tcBorders>
                    <w:tl2br w:val="nil"/>
                    <w:tr2bl w:val="nil"/>
                  </w:tcBorders>
                  <w:noWrap w:val="0"/>
                  <w:tcMar>
                    <w:top w:w="0" w:type="dxa"/>
                    <w:left w:w="28" w:type="dxa"/>
                    <w:bottom w:w="0" w:type="dxa"/>
                    <w:right w:w="28" w:type="dxa"/>
                  </w:tcMar>
                  <w:vAlign w:val="center"/>
                </w:tcPr>
                <w:p w14:paraId="61693F2E">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0.178</w:t>
                  </w:r>
                </w:p>
              </w:tc>
              <w:tc>
                <w:tcPr>
                  <w:tcW w:w="1261" w:type="dxa"/>
                  <w:tcBorders>
                    <w:tl2br w:val="nil"/>
                    <w:tr2bl w:val="nil"/>
                  </w:tcBorders>
                  <w:noWrap w:val="0"/>
                  <w:tcMar>
                    <w:top w:w="0" w:type="dxa"/>
                    <w:left w:w="28" w:type="dxa"/>
                    <w:bottom w:w="0" w:type="dxa"/>
                    <w:right w:w="28" w:type="dxa"/>
                  </w:tcMar>
                  <w:vAlign w:val="center"/>
                </w:tcPr>
                <w:p w14:paraId="497520AD">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13.2</w:t>
                  </w:r>
                </w:p>
              </w:tc>
              <w:tc>
                <w:tcPr>
                  <w:tcW w:w="1397" w:type="dxa"/>
                  <w:tcBorders>
                    <w:tl2br w:val="nil"/>
                    <w:tr2bl w:val="nil"/>
                  </w:tcBorders>
                  <w:noWrap w:val="0"/>
                  <w:tcMar>
                    <w:top w:w="0" w:type="dxa"/>
                    <w:left w:w="28" w:type="dxa"/>
                    <w:bottom w:w="0" w:type="dxa"/>
                    <w:right w:w="28" w:type="dxa"/>
                  </w:tcMar>
                  <w:vAlign w:val="center"/>
                </w:tcPr>
                <w:p w14:paraId="03A2FA93">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6.0</w:t>
                  </w:r>
                </w:p>
              </w:tc>
            </w:tr>
            <w:tr w14:paraId="5369BA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5436EB55">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6周</w:t>
                  </w:r>
                </w:p>
              </w:tc>
              <w:tc>
                <w:tcPr>
                  <w:tcW w:w="1211" w:type="dxa"/>
                  <w:tcBorders>
                    <w:tl2br w:val="nil"/>
                    <w:tr2bl w:val="nil"/>
                  </w:tcBorders>
                  <w:noWrap w:val="0"/>
                  <w:tcMar>
                    <w:top w:w="0" w:type="dxa"/>
                    <w:left w:w="28" w:type="dxa"/>
                    <w:bottom w:w="0" w:type="dxa"/>
                    <w:right w:w="28" w:type="dxa"/>
                  </w:tcMar>
                  <w:vAlign w:val="center"/>
                </w:tcPr>
                <w:p w14:paraId="63CC8035">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16.7</w:t>
                  </w:r>
                </w:p>
              </w:tc>
              <w:tc>
                <w:tcPr>
                  <w:tcW w:w="1329" w:type="dxa"/>
                  <w:tcBorders>
                    <w:tl2br w:val="nil"/>
                    <w:tr2bl w:val="nil"/>
                  </w:tcBorders>
                  <w:noWrap w:val="0"/>
                  <w:tcMar>
                    <w:top w:w="0" w:type="dxa"/>
                    <w:left w:w="28" w:type="dxa"/>
                    <w:bottom w:w="0" w:type="dxa"/>
                    <w:right w:w="28" w:type="dxa"/>
                  </w:tcMar>
                  <w:vAlign w:val="center"/>
                </w:tcPr>
                <w:p w14:paraId="117CDE6A">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1.374</w:t>
                  </w:r>
                </w:p>
              </w:tc>
              <w:tc>
                <w:tcPr>
                  <w:tcW w:w="1329" w:type="dxa"/>
                  <w:tcBorders>
                    <w:tl2br w:val="nil"/>
                    <w:tr2bl w:val="nil"/>
                  </w:tcBorders>
                  <w:noWrap w:val="0"/>
                  <w:tcMar>
                    <w:top w:w="0" w:type="dxa"/>
                    <w:left w:w="28" w:type="dxa"/>
                    <w:bottom w:w="0" w:type="dxa"/>
                    <w:right w:w="28" w:type="dxa"/>
                  </w:tcMar>
                  <w:vAlign w:val="center"/>
                </w:tcPr>
                <w:p w14:paraId="4200DE38">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0.197</w:t>
                  </w:r>
                </w:p>
              </w:tc>
              <w:tc>
                <w:tcPr>
                  <w:tcW w:w="1261" w:type="dxa"/>
                  <w:tcBorders>
                    <w:tl2br w:val="nil"/>
                    <w:tr2bl w:val="nil"/>
                  </w:tcBorders>
                  <w:noWrap w:val="0"/>
                  <w:tcMar>
                    <w:top w:w="0" w:type="dxa"/>
                    <w:left w:w="28" w:type="dxa"/>
                    <w:bottom w:w="0" w:type="dxa"/>
                    <w:right w:w="28" w:type="dxa"/>
                  </w:tcMar>
                  <w:vAlign w:val="center"/>
                </w:tcPr>
                <w:p w14:paraId="582B562C">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14.7</w:t>
                  </w:r>
                </w:p>
              </w:tc>
              <w:tc>
                <w:tcPr>
                  <w:tcW w:w="1397" w:type="dxa"/>
                  <w:tcBorders>
                    <w:tl2br w:val="nil"/>
                    <w:tr2bl w:val="nil"/>
                  </w:tcBorders>
                  <w:noWrap w:val="0"/>
                  <w:tcMar>
                    <w:top w:w="0" w:type="dxa"/>
                    <w:left w:w="28" w:type="dxa"/>
                    <w:bottom w:w="0" w:type="dxa"/>
                    <w:right w:w="28" w:type="dxa"/>
                  </w:tcMar>
                  <w:vAlign w:val="center"/>
                </w:tcPr>
                <w:p w14:paraId="60564B1F">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6.3</w:t>
                  </w:r>
                </w:p>
              </w:tc>
            </w:tr>
            <w:tr w14:paraId="26449A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2A65178D">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7周</w:t>
                  </w:r>
                </w:p>
              </w:tc>
              <w:tc>
                <w:tcPr>
                  <w:tcW w:w="1211" w:type="dxa"/>
                  <w:tcBorders>
                    <w:tl2br w:val="nil"/>
                    <w:tr2bl w:val="nil"/>
                  </w:tcBorders>
                  <w:noWrap w:val="0"/>
                  <w:tcMar>
                    <w:top w:w="0" w:type="dxa"/>
                    <w:left w:w="28" w:type="dxa"/>
                    <w:bottom w:w="0" w:type="dxa"/>
                    <w:right w:w="28" w:type="dxa"/>
                  </w:tcMar>
                  <w:vAlign w:val="center"/>
                </w:tcPr>
                <w:p w14:paraId="04E53FC6">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14.7</w:t>
                  </w:r>
                </w:p>
              </w:tc>
              <w:tc>
                <w:tcPr>
                  <w:tcW w:w="1329" w:type="dxa"/>
                  <w:tcBorders>
                    <w:tl2br w:val="nil"/>
                    <w:tr2bl w:val="nil"/>
                  </w:tcBorders>
                  <w:noWrap w:val="0"/>
                  <w:tcMar>
                    <w:top w:w="0" w:type="dxa"/>
                    <w:left w:w="28" w:type="dxa"/>
                    <w:bottom w:w="0" w:type="dxa"/>
                    <w:right w:w="28" w:type="dxa"/>
                  </w:tcMar>
                  <w:vAlign w:val="center"/>
                </w:tcPr>
                <w:p w14:paraId="0E086DA5">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1.73</w:t>
                  </w:r>
                </w:p>
              </w:tc>
              <w:tc>
                <w:tcPr>
                  <w:tcW w:w="1329" w:type="dxa"/>
                  <w:tcBorders>
                    <w:tl2br w:val="nil"/>
                    <w:tr2bl w:val="nil"/>
                  </w:tcBorders>
                  <w:noWrap w:val="0"/>
                  <w:tcMar>
                    <w:top w:w="0" w:type="dxa"/>
                    <w:left w:w="28" w:type="dxa"/>
                    <w:bottom w:w="0" w:type="dxa"/>
                    <w:right w:w="28" w:type="dxa"/>
                  </w:tcMar>
                  <w:vAlign w:val="center"/>
                </w:tcPr>
                <w:p w14:paraId="693CD4F7">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0.22</w:t>
                  </w:r>
                </w:p>
              </w:tc>
              <w:tc>
                <w:tcPr>
                  <w:tcW w:w="1261" w:type="dxa"/>
                  <w:tcBorders>
                    <w:tl2br w:val="nil"/>
                    <w:tr2bl w:val="nil"/>
                  </w:tcBorders>
                  <w:noWrap w:val="0"/>
                  <w:tcMar>
                    <w:top w:w="0" w:type="dxa"/>
                    <w:left w:w="28" w:type="dxa"/>
                    <w:bottom w:w="0" w:type="dxa"/>
                    <w:right w:w="28" w:type="dxa"/>
                  </w:tcMar>
                  <w:vAlign w:val="center"/>
                </w:tcPr>
                <w:p w14:paraId="63BABABD">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15</w:t>
                  </w:r>
                  <w:r>
                    <w:rPr>
                      <w:rFonts w:hint="eastAsia"/>
                      <w:color w:val="auto"/>
                      <w:lang w:val="en-US" w:eastAsia="zh-CN"/>
                    </w:rPr>
                    <w:t>.0</w:t>
                  </w:r>
                </w:p>
              </w:tc>
              <w:tc>
                <w:tcPr>
                  <w:tcW w:w="1397" w:type="dxa"/>
                  <w:tcBorders>
                    <w:tl2br w:val="nil"/>
                    <w:tr2bl w:val="nil"/>
                  </w:tcBorders>
                  <w:noWrap w:val="0"/>
                  <w:tcMar>
                    <w:top w:w="0" w:type="dxa"/>
                    <w:left w:w="28" w:type="dxa"/>
                    <w:bottom w:w="0" w:type="dxa"/>
                    <w:right w:w="28" w:type="dxa"/>
                  </w:tcMar>
                  <w:vAlign w:val="center"/>
                </w:tcPr>
                <w:p w14:paraId="045784EF">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5.7</w:t>
                  </w:r>
                </w:p>
              </w:tc>
            </w:tr>
            <w:tr w14:paraId="47846A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4C07F3D0">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8周</w:t>
                  </w:r>
                </w:p>
              </w:tc>
              <w:tc>
                <w:tcPr>
                  <w:tcW w:w="1211" w:type="dxa"/>
                  <w:tcBorders>
                    <w:tl2br w:val="nil"/>
                    <w:tr2bl w:val="nil"/>
                  </w:tcBorders>
                  <w:noWrap w:val="0"/>
                  <w:tcMar>
                    <w:top w:w="0" w:type="dxa"/>
                    <w:left w:w="28" w:type="dxa"/>
                    <w:bottom w:w="0" w:type="dxa"/>
                    <w:right w:w="28" w:type="dxa"/>
                  </w:tcMar>
                  <w:vAlign w:val="center"/>
                </w:tcPr>
                <w:p w14:paraId="48C0FB5C">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16.3</w:t>
                  </w:r>
                </w:p>
              </w:tc>
              <w:tc>
                <w:tcPr>
                  <w:tcW w:w="1329" w:type="dxa"/>
                  <w:tcBorders>
                    <w:tl2br w:val="nil"/>
                    <w:tr2bl w:val="nil"/>
                  </w:tcBorders>
                  <w:noWrap w:val="0"/>
                  <w:tcMar>
                    <w:top w:w="0" w:type="dxa"/>
                    <w:left w:w="28" w:type="dxa"/>
                    <w:bottom w:w="0" w:type="dxa"/>
                    <w:right w:w="28" w:type="dxa"/>
                  </w:tcMar>
                  <w:vAlign w:val="center"/>
                </w:tcPr>
                <w:p w14:paraId="0091CEC3">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1.77</w:t>
                  </w:r>
                </w:p>
              </w:tc>
              <w:tc>
                <w:tcPr>
                  <w:tcW w:w="1329" w:type="dxa"/>
                  <w:tcBorders>
                    <w:tl2br w:val="nil"/>
                    <w:tr2bl w:val="nil"/>
                  </w:tcBorders>
                  <w:noWrap w:val="0"/>
                  <w:tcMar>
                    <w:top w:w="0" w:type="dxa"/>
                    <w:left w:w="28" w:type="dxa"/>
                    <w:bottom w:w="0" w:type="dxa"/>
                    <w:right w:w="28" w:type="dxa"/>
                  </w:tcMar>
                  <w:vAlign w:val="center"/>
                </w:tcPr>
                <w:p w14:paraId="5FE53014">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0.253</w:t>
                  </w:r>
                </w:p>
              </w:tc>
              <w:tc>
                <w:tcPr>
                  <w:tcW w:w="1261" w:type="dxa"/>
                  <w:tcBorders>
                    <w:tl2br w:val="nil"/>
                    <w:tr2bl w:val="nil"/>
                  </w:tcBorders>
                  <w:noWrap w:val="0"/>
                  <w:tcMar>
                    <w:top w:w="0" w:type="dxa"/>
                    <w:left w:w="28" w:type="dxa"/>
                    <w:bottom w:w="0" w:type="dxa"/>
                    <w:right w:w="28" w:type="dxa"/>
                  </w:tcMar>
                  <w:vAlign w:val="center"/>
                </w:tcPr>
                <w:p w14:paraId="2B464725">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14.9</w:t>
                  </w:r>
                </w:p>
              </w:tc>
              <w:tc>
                <w:tcPr>
                  <w:tcW w:w="1397" w:type="dxa"/>
                  <w:tcBorders>
                    <w:tl2br w:val="nil"/>
                    <w:tr2bl w:val="nil"/>
                  </w:tcBorders>
                  <w:noWrap w:val="0"/>
                  <w:tcMar>
                    <w:top w:w="0" w:type="dxa"/>
                    <w:left w:w="28" w:type="dxa"/>
                    <w:bottom w:w="0" w:type="dxa"/>
                    <w:right w:w="28" w:type="dxa"/>
                  </w:tcMar>
                  <w:vAlign w:val="center"/>
                </w:tcPr>
                <w:p w14:paraId="408B0946">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6.2</w:t>
                  </w:r>
                </w:p>
              </w:tc>
            </w:tr>
            <w:tr w14:paraId="29F180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00053DFE">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9周</w:t>
                  </w:r>
                </w:p>
              </w:tc>
              <w:tc>
                <w:tcPr>
                  <w:tcW w:w="1211" w:type="dxa"/>
                  <w:tcBorders>
                    <w:tl2br w:val="nil"/>
                    <w:tr2bl w:val="nil"/>
                  </w:tcBorders>
                  <w:noWrap w:val="0"/>
                  <w:tcMar>
                    <w:top w:w="0" w:type="dxa"/>
                    <w:left w:w="28" w:type="dxa"/>
                    <w:bottom w:w="0" w:type="dxa"/>
                    <w:right w:w="28" w:type="dxa"/>
                  </w:tcMar>
                  <w:vAlign w:val="center"/>
                </w:tcPr>
                <w:p w14:paraId="36F72224">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17.2</w:t>
                  </w:r>
                </w:p>
              </w:tc>
              <w:tc>
                <w:tcPr>
                  <w:tcW w:w="1329" w:type="dxa"/>
                  <w:tcBorders>
                    <w:tl2br w:val="nil"/>
                    <w:tr2bl w:val="nil"/>
                  </w:tcBorders>
                  <w:noWrap w:val="0"/>
                  <w:tcMar>
                    <w:top w:w="0" w:type="dxa"/>
                    <w:left w:w="28" w:type="dxa"/>
                    <w:bottom w:w="0" w:type="dxa"/>
                    <w:right w:w="28" w:type="dxa"/>
                  </w:tcMar>
                  <w:vAlign w:val="center"/>
                </w:tcPr>
                <w:p w14:paraId="33223FBD">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1.562</w:t>
                  </w:r>
                </w:p>
              </w:tc>
              <w:tc>
                <w:tcPr>
                  <w:tcW w:w="1329" w:type="dxa"/>
                  <w:tcBorders>
                    <w:tl2br w:val="nil"/>
                    <w:tr2bl w:val="nil"/>
                  </w:tcBorders>
                  <w:noWrap w:val="0"/>
                  <w:tcMar>
                    <w:top w:w="0" w:type="dxa"/>
                    <w:left w:w="28" w:type="dxa"/>
                    <w:bottom w:w="0" w:type="dxa"/>
                    <w:right w:w="28" w:type="dxa"/>
                  </w:tcMar>
                  <w:vAlign w:val="center"/>
                </w:tcPr>
                <w:p w14:paraId="269288CE">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0.229</w:t>
                  </w:r>
                </w:p>
              </w:tc>
              <w:tc>
                <w:tcPr>
                  <w:tcW w:w="1261" w:type="dxa"/>
                  <w:tcBorders>
                    <w:tl2br w:val="nil"/>
                    <w:tr2bl w:val="nil"/>
                  </w:tcBorders>
                  <w:noWrap w:val="0"/>
                  <w:tcMar>
                    <w:top w:w="0" w:type="dxa"/>
                    <w:left w:w="28" w:type="dxa"/>
                    <w:bottom w:w="0" w:type="dxa"/>
                    <w:right w:w="28" w:type="dxa"/>
                  </w:tcMar>
                  <w:vAlign w:val="center"/>
                </w:tcPr>
                <w:p w14:paraId="2AFA399E">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15.0</w:t>
                  </w:r>
                </w:p>
              </w:tc>
              <w:tc>
                <w:tcPr>
                  <w:tcW w:w="1397" w:type="dxa"/>
                  <w:tcBorders>
                    <w:tl2br w:val="nil"/>
                    <w:tr2bl w:val="nil"/>
                  </w:tcBorders>
                  <w:noWrap w:val="0"/>
                  <w:tcMar>
                    <w:top w:w="0" w:type="dxa"/>
                    <w:left w:w="28" w:type="dxa"/>
                    <w:bottom w:w="0" w:type="dxa"/>
                    <w:right w:w="28" w:type="dxa"/>
                  </w:tcMar>
                  <w:vAlign w:val="center"/>
                </w:tcPr>
                <w:p w14:paraId="0037A022">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6.9</w:t>
                  </w:r>
                </w:p>
              </w:tc>
            </w:tr>
            <w:tr w14:paraId="61B8E1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1C4032AA">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10周</w:t>
                  </w:r>
                </w:p>
              </w:tc>
              <w:tc>
                <w:tcPr>
                  <w:tcW w:w="1211" w:type="dxa"/>
                  <w:tcBorders>
                    <w:tl2br w:val="nil"/>
                    <w:tr2bl w:val="nil"/>
                  </w:tcBorders>
                  <w:noWrap w:val="0"/>
                  <w:tcMar>
                    <w:top w:w="0" w:type="dxa"/>
                    <w:left w:w="28" w:type="dxa"/>
                    <w:bottom w:w="0" w:type="dxa"/>
                    <w:right w:w="28" w:type="dxa"/>
                  </w:tcMar>
                  <w:vAlign w:val="center"/>
                </w:tcPr>
                <w:p w14:paraId="70863F89">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17.6</w:t>
                  </w:r>
                </w:p>
              </w:tc>
              <w:tc>
                <w:tcPr>
                  <w:tcW w:w="1329" w:type="dxa"/>
                  <w:tcBorders>
                    <w:tl2br w:val="nil"/>
                    <w:tr2bl w:val="nil"/>
                  </w:tcBorders>
                  <w:noWrap w:val="0"/>
                  <w:tcMar>
                    <w:top w:w="0" w:type="dxa"/>
                    <w:left w:w="28" w:type="dxa"/>
                    <w:bottom w:w="0" w:type="dxa"/>
                    <w:right w:w="28" w:type="dxa"/>
                  </w:tcMar>
                  <w:vAlign w:val="center"/>
                </w:tcPr>
                <w:p w14:paraId="2C93BEFA">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1.37</w:t>
                  </w:r>
                </w:p>
              </w:tc>
              <w:tc>
                <w:tcPr>
                  <w:tcW w:w="1329" w:type="dxa"/>
                  <w:tcBorders>
                    <w:tl2br w:val="nil"/>
                    <w:tr2bl w:val="nil"/>
                  </w:tcBorders>
                  <w:noWrap w:val="0"/>
                  <w:tcMar>
                    <w:top w:w="0" w:type="dxa"/>
                    <w:left w:w="28" w:type="dxa"/>
                    <w:bottom w:w="0" w:type="dxa"/>
                    <w:right w:w="28" w:type="dxa"/>
                  </w:tcMar>
                  <w:vAlign w:val="center"/>
                </w:tcPr>
                <w:p w14:paraId="317FBD65">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0.225</w:t>
                  </w:r>
                </w:p>
              </w:tc>
              <w:tc>
                <w:tcPr>
                  <w:tcW w:w="1261" w:type="dxa"/>
                  <w:tcBorders>
                    <w:tl2br w:val="nil"/>
                    <w:tr2bl w:val="nil"/>
                  </w:tcBorders>
                  <w:noWrap w:val="0"/>
                  <w:tcMar>
                    <w:top w:w="0" w:type="dxa"/>
                    <w:left w:w="28" w:type="dxa"/>
                    <w:bottom w:w="0" w:type="dxa"/>
                    <w:right w:w="28" w:type="dxa"/>
                  </w:tcMar>
                  <w:vAlign w:val="center"/>
                </w:tcPr>
                <w:p w14:paraId="52DAFDFF">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14.3</w:t>
                  </w:r>
                </w:p>
              </w:tc>
              <w:tc>
                <w:tcPr>
                  <w:tcW w:w="1397" w:type="dxa"/>
                  <w:tcBorders>
                    <w:tl2br w:val="nil"/>
                    <w:tr2bl w:val="nil"/>
                  </w:tcBorders>
                  <w:noWrap w:val="0"/>
                  <w:tcMar>
                    <w:top w:w="0" w:type="dxa"/>
                    <w:left w:w="28" w:type="dxa"/>
                    <w:bottom w:w="0" w:type="dxa"/>
                    <w:right w:w="28" w:type="dxa"/>
                  </w:tcMar>
                  <w:vAlign w:val="center"/>
                </w:tcPr>
                <w:p w14:paraId="0EC04A4E">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7.3</w:t>
                  </w:r>
                </w:p>
              </w:tc>
            </w:tr>
            <w:tr w14:paraId="4D0E2C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42CFB353">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11周</w:t>
                  </w:r>
                </w:p>
              </w:tc>
              <w:tc>
                <w:tcPr>
                  <w:tcW w:w="1211" w:type="dxa"/>
                  <w:tcBorders>
                    <w:tl2br w:val="nil"/>
                    <w:tr2bl w:val="nil"/>
                  </w:tcBorders>
                  <w:noWrap w:val="0"/>
                  <w:tcMar>
                    <w:top w:w="0" w:type="dxa"/>
                    <w:left w:w="28" w:type="dxa"/>
                    <w:bottom w:w="0" w:type="dxa"/>
                    <w:right w:w="28" w:type="dxa"/>
                  </w:tcMar>
                  <w:vAlign w:val="center"/>
                </w:tcPr>
                <w:p w14:paraId="07E93277">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25.6</w:t>
                  </w:r>
                </w:p>
              </w:tc>
              <w:tc>
                <w:tcPr>
                  <w:tcW w:w="1329" w:type="dxa"/>
                  <w:tcBorders>
                    <w:tl2br w:val="nil"/>
                    <w:tr2bl w:val="nil"/>
                  </w:tcBorders>
                  <w:noWrap w:val="0"/>
                  <w:tcMar>
                    <w:top w:w="0" w:type="dxa"/>
                    <w:left w:w="28" w:type="dxa"/>
                    <w:bottom w:w="0" w:type="dxa"/>
                    <w:right w:w="28" w:type="dxa"/>
                  </w:tcMar>
                  <w:vAlign w:val="center"/>
                </w:tcPr>
                <w:p w14:paraId="38A11E2A">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1.142</w:t>
                  </w:r>
                </w:p>
              </w:tc>
              <w:tc>
                <w:tcPr>
                  <w:tcW w:w="1329" w:type="dxa"/>
                  <w:tcBorders>
                    <w:tl2br w:val="nil"/>
                    <w:tr2bl w:val="nil"/>
                  </w:tcBorders>
                  <w:noWrap w:val="0"/>
                  <w:tcMar>
                    <w:top w:w="0" w:type="dxa"/>
                    <w:left w:w="28" w:type="dxa"/>
                    <w:bottom w:w="0" w:type="dxa"/>
                    <w:right w:w="28" w:type="dxa"/>
                  </w:tcMar>
                  <w:vAlign w:val="center"/>
                </w:tcPr>
                <w:p w14:paraId="5F942477">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0.244</w:t>
                  </w:r>
                </w:p>
              </w:tc>
              <w:tc>
                <w:tcPr>
                  <w:tcW w:w="1261" w:type="dxa"/>
                  <w:tcBorders>
                    <w:tl2br w:val="nil"/>
                    <w:tr2bl w:val="nil"/>
                  </w:tcBorders>
                  <w:noWrap w:val="0"/>
                  <w:tcMar>
                    <w:top w:w="0" w:type="dxa"/>
                    <w:left w:w="28" w:type="dxa"/>
                    <w:bottom w:w="0" w:type="dxa"/>
                    <w:right w:w="28" w:type="dxa"/>
                  </w:tcMar>
                  <w:vAlign w:val="center"/>
                </w:tcPr>
                <w:p w14:paraId="38DCAF66">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14.6</w:t>
                  </w:r>
                </w:p>
              </w:tc>
              <w:tc>
                <w:tcPr>
                  <w:tcW w:w="1397" w:type="dxa"/>
                  <w:tcBorders>
                    <w:tl2br w:val="nil"/>
                    <w:tr2bl w:val="nil"/>
                  </w:tcBorders>
                  <w:noWrap w:val="0"/>
                  <w:tcMar>
                    <w:top w:w="0" w:type="dxa"/>
                    <w:left w:w="28" w:type="dxa"/>
                    <w:bottom w:w="0" w:type="dxa"/>
                    <w:right w:w="28" w:type="dxa"/>
                  </w:tcMar>
                  <w:vAlign w:val="center"/>
                </w:tcPr>
                <w:p w14:paraId="1084533A">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8.8</w:t>
                  </w:r>
                </w:p>
              </w:tc>
            </w:tr>
            <w:tr w14:paraId="660D39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0FFA72FD">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12周</w:t>
                  </w:r>
                </w:p>
              </w:tc>
              <w:tc>
                <w:tcPr>
                  <w:tcW w:w="1211" w:type="dxa"/>
                  <w:tcBorders>
                    <w:tl2br w:val="nil"/>
                    <w:tr2bl w:val="nil"/>
                  </w:tcBorders>
                  <w:noWrap w:val="0"/>
                  <w:tcMar>
                    <w:top w:w="0" w:type="dxa"/>
                    <w:left w:w="28" w:type="dxa"/>
                    <w:bottom w:w="0" w:type="dxa"/>
                    <w:right w:w="28" w:type="dxa"/>
                  </w:tcMar>
                  <w:vAlign w:val="center"/>
                </w:tcPr>
                <w:p w14:paraId="24F3B7D2">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37.1</w:t>
                  </w:r>
                </w:p>
              </w:tc>
              <w:tc>
                <w:tcPr>
                  <w:tcW w:w="1329" w:type="dxa"/>
                  <w:tcBorders>
                    <w:tl2br w:val="nil"/>
                    <w:tr2bl w:val="nil"/>
                  </w:tcBorders>
                  <w:noWrap w:val="0"/>
                  <w:tcMar>
                    <w:top w:w="0" w:type="dxa"/>
                    <w:left w:w="28" w:type="dxa"/>
                    <w:bottom w:w="0" w:type="dxa"/>
                    <w:right w:w="28" w:type="dxa"/>
                  </w:tcMar>
                  <w:vAlign w:val="center"/>
                </w:tcPr>
                <w:p w14:paraId="14411752">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0.231</w:t>
                  </w:r>
                </w:p>
              </w:tc>
              <w:tc>
                <w:tcPr>
                  <w:tcW w:w="1329" w:type="dxa"/>
                  <w:tcBorders>
                    <w:tl2br w:val="nil"/>
                    <w:tr2bl w:val="nil"/>
                  </w:tcBorders>
                  <w:noWrap w:val="0"/>
                  <w:tcMar>
                    <w:top w:w="0" w:type="dxa"/>
                    <w:left w:w="28" w:type="dxa"/>
                    <w:bottom w:w="0" w:type="dxa"/>
                    <w:right w:w="28" w:type="dxa"/>
                  </w:tcMar>
                  <w:vAlign w:val="center"/>
                </w:tcPr>
                <w:p w14:paraId="5F016CF3">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0.243</w:t>
                  </w:r>
                </w:p>
              </w:tc>
              <w:tc>
                <w:tcPr>
                  <w:tcW w:w="1261" w:type="dxa"/>
                  <w:tcBorders>
                    <w:tl2br w:val="nil"/>
                    <w:tr2bl w:val="nil"/>
                  </w:tcBorders>
                  <w:noWrap w:val="0"/>
                  <w:tcMar>
                    <w:top w:w="0" w:type="dxa"/>
                    <w:left w:w="28" w:type="dxa"/>
                    <w:bottom w:w="0" w:type="dxa"/>
                    <w:right w:w="28" w:type="dxa"/>
                  </w:tcMar>
                  <w:vAlign w:val="center"/>
                </w:tcPr>
                <w:p w14:paraId="6A84D330">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14.8</w:t>
                  </w:r>
                </w:p>
              </w:tc>
              <w:tc>
                <w:tcPr>
                  <w:tcW w:w="1397" w:type="dxa"/>
                  <w:tcBorders>
                    <w:tl2br w:val="nil"/>
                    <w:tr2bl w:val="nil"/>
                  </w:tcBorders>
                  <w:noWrap w:val="0"/>
                  <w:tcMar>
                    <w:top w:w="0" w:type="dxa"/>
                    <w:left w:w="28" w:type="dxa"/>
                    <w:bottom w:w="0" w:type="dxa"/>
                    <w:right w:w="28" w:type="dxa"/>
                  </w:tcMar>
                  <w:vAlign w:val="center"/>
                </w:tcPr>
                <w:p w14:paraId="4F46AC1B">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13.3</w:t>
                  </w:r>
                </w:p>
              </w:tc>
            </w:tr>
            <w:tr w14:paraId="248841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21690C81">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13周</w:t>
                  </w:r>
                </w:p>
              </w:tc>
              <w:tc>
                <w:tcPr>
                  <w:tcW w:w="1211" w:type="dxa"/>
                  <w:tcBorders>
                    <w:tl2br w:val="nil"/>
                    <w:tr2bl w:val="nil"/>
                  </w:tcBorders>
                  <w:noWrap w:val="0"/>
                  <w:tcMar>
                    <w:top w:w="0" w:type="dxa"/>
                    <w:left w:w="28" w:type="dxa"/>
                    <w:bottom w:w="0" w:type="dxa"/>
                    <w:right w:w="28" w:type="dxa"/>
                  </w:tcMar>
                  <w:vAlign w:val="center"/>
                </w:tcPr>
                <w:p w14:paraId="46D7BD6E">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33.2</w:t>
                  </w:r>
                </w:p>
              </w:tc>
              <w:tc>
                <w:tcPr>
                  <w:tcW w:w="1329" w:type="dxa"/>
                  <w:tcBorders>
                    <w:tl2br w:val="nil"/>
                    <w:tr2bl w:val="nil"/>
                  </w:tcBorders>
                  <w:noWrap w:val="0"/>
                  <w:tcMar>
                    <w:top w:w="0" w:type="dxa"/>
                    <w:left w:w="28" w:type="dxa"/>
                    <w:bottom w:w="0" w:type="dxa"/>
                    <w:right w:w="28" w:type="dxa"/>
                  </w:tcMar>
                  <w:vAlign w:val="center"/>
                </w:tcPr>
                <w:p w14:paraId="1B3DCE8E">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1.04</w:t>
                  </w:r>
                </w:p>
              </w:tc>
              <w:tc>
                <w:tcPr>
                  <w:tcW w:w="1329" w:type="dxa"/>
                  <w:tcBorders>
                    <w:tl2br w:val="nil"/>
                    <w:tr2bl w:val="nil"/>
                  </w:tcBorders>
                  <w:noWrap w:val="0"/>
                  <w:tcMar>
                    <w:top w:w="0" w:type="dxa"/>
                    <w:left w:w="28" w:type="dxa"/>
                    <w:bottom w:w="0" w:type="dxa"/>
                    <w:right w:w="28" w:type="dxa"/>
                  </w:tcMar>
                  <w:vAlign w:val="center"/>
                </w:tcPr>
                <w:p w14:paraId="2E8A2426">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0.354</w:t>
                  </w:r>
                </w:p>
              </w:tc>
              <w:tc>
                <w:tcPr>
                  <w:tcW w:w="1261" w:type="dxa"/>
                  <w:tcBorders>
                    <w:tl2br w:val="nil"/>
                    <w:tr2bl w:val="nil"/>
                  </w:tcBorders>
                  <w:noWrap w:val="0"/>
                  <w:tcMar>
                    <w:top w:w="0" w:type="dxa"/>
                    <w:left w:w="28" w:type="dxa"/>
                    <w:bottom w:w="0" w:type="dxa"/>
                    <w:right w:w="28" w:type="dxa"/>
                  </w:tcMar>
                  <w:vAlign w:val="center"/>
                </w:tcPr>
                <w:p w14:paraId="1EC1D059">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12.3</w:t>
                  </w:r>
                </w:p>
              </w:tc>
              <w:tc>
                <w:tcPr>
                  <w:tcW w:w="1397" w:type="dxa"/>
                  <w:tcBorders>
                    <w:tl2br w:val="nil"/>
                    <w:tr2bl w:val="nil"/>
                  </w:tcBorders>
                  <w:noWrap w:val="0"/>
                  <w:tcMar>
                    <w:top w:w="0" w:type="dxa"/>
                    <w:left w:w="28" w:type="dxa"/>
                    <w:bottom w:w="0" w:type="dxa"/>
                    <w:right w:w="28" w:type="dxa"/>
                  </w:tcMar>
                  <w:vAlign w:val="center"/>
                </w:tcPr>
                <w:p w14:paraId="0B978608">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11.0</w:t>
                  </w:r>
                </w:p>
              </w:tc>
            </w:tr>
            <w:tr w14:paraId="31BB93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6933F50E">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14周</w:t>
                  </w:r>
                </w:p>
              </w:tc>
              <w:tc>
                <w:tcPr>
                  <w:tcW w:w="1211" w:type="dxa"/>
                  <w:tcBorders>
                    <w:tl2br w:val="nil"/>
                    <w:tr2bl w:val="nil"/>
                  </w:tcBorders>
                  <w:noWrap w:val="0"/>
                  <w:tcMar>
                    <w:top w:w="0" w:type="dxa"/>
                    <w:left w:w="28" w:type="dxa"/>
                    <w:bottom w:w="0" w:type="dxa"/>
                    <w:right w:w="28" w:type="dxa"/>
                  </w:tcMar>
                  <w:vAlign w:val="center"/>
                </w:tcPr>
                <w:p w14:paraId="444524B7">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25.6</w:t>
                  </w:r>
                </w:p>
              </w:tc>
              <w:tc>
                <w:tcPr>
                  <w:tcW w:w="1329" w:type="dxa"/>
                  <w:tcBorders>
                    <w:tl2br w:val="nil"/>
                    <w:tr2bl w:val="nil"/>
                  </w:tcBorders>
                  <w:noWrap w:val="0"/>
                  <w:tcMar>
                    <w:top w:w="0" w:type="dxa"/>
                    <w:left w:w="28" w:type="dxa"/>
                    <w:bottom w:w="0" w:type="dxa"/>
                    <w:right w:w="28" w:type="dxa"/>
                  </w:tcMar>
                  <w:vAlign w:val="center"/>
                </w:tcPr>
                <w:p w14:paraId="0DB257B4">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0.22</w:t>
                  </w:r>
                </w:p>
              </w:tc>
              <w:tc>
                <w:tcPr>
                  <w:tcW w:w="1329" w:type="dxa"/>
                  <w:tcBorders>
                    <w:tl2br w:val="nil"/>
                    <w:tr2bl w:val="nil"/>
                  </w:tcBorders>
                  <w:noWrap w:val="0"/>
                  <w:tcMar>
                    <w:top w:w="0" w:type="dxa"/>
                    <w:left w:w="28" w:type="dxa"/>
                    <w:bottom w:w="0" w:type="dxa"/>
                    <w:right w:w="28" w:type="dxa"/>
                  </w:tcMar>
                  <w:vAlign w:val="center"/>
                </w:tcPr>
                <w:p w14:paraId="0CD17C24">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0.199</w:t>
                  </w:r>
                </w:p>
              </w:tc>
              <w:tc>
                <w:tcPr>
                  <w:tcW w:w="1261" w:type="dxa"/>
                  <w:tcBorders>
                    <w:tl2br w:val="nil"/>
                    <w:tr2bl w:val="nil"/>
                  </w:tcBorders>
                  <w:noWrap w:val="0"/>
                  <w:tcMar>
                    <w:top w:w="0" w:type="dxa"/>
                    <w:left w:w="28" w:type="dxa"/>
                    <w:bottom w:w="0" w:type="dxa"/>
                    <w:right w:w="28" w:type="dxa"/>
                  </w:tcMar>
                  <w:vAlign w:val="center"/>
                </w:tcPr>
                <w:p w14:paraId="48B8A670">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11.6</w:t>
                  </w:r>
                </w:p>
              </w:tc>
              <w:tc>
                <w:tcPr>
                  <w:tcW w:w="1397" w:type="dxa"/>
                  <w:tcBorders>
                    <w:tl2br w:val="nil"/>
                    <w:tr2bl w:val="nil"/>
                  </w:tcBorders>
                  <w:noWrap w:val="0"/>
                  <w:tcMar>
                    <w:top w:w="0" w:type="dxa"/>
                    <w:left w:w="28" w:type="dxa"/>
                    <w:bottom w:w="0" w:type="dxa"/>
                    <w:right w:w="28" w:type="dxa"/>
                  </w:tcMar>
                  <w:vAlign w:val="center"/>
                </w:tcPr>
                <w:p w14:paraId="78C058CA">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7.9</w:t>
                  </w:r>
                </w:p>
              </w:tc>
            </w:tr>
            <w:tr w14:paraId="3C57D2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4733FCD5">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15周</w:t>
                  </w:r>
                </w:p>
              </w:tc>
              <w:tc>
                <w:tcPr>
                  <w:tcW w:w="1211" w:type="dxa"/>
                  <w:tcBorders>
                    <w:tl2br w:val="nil"/>
                    <w:tr2bl w:val="nil"/>
                  </w:tcBorders>
                  <w:noWrap w:val="0"/>
                  <w:tcMar>
                    <w:top w:w="0" w:type="dxa"/>
                    <w:left w:w="28" w:type="dxa"/>
                    <w:bottom w:w="0" w:type="dxa"/>
                    <w:right w:w="28" w:type="dxa"/>
                  </w:tcMar>
                  <w:vAlign w:val="center"/>
                </w:tcPr>
                <w:p w14:paraId="42BD69F3">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31.8</w:t>
                  </w:r>
                </w:p>
              </w:tc>
              <w:tc>
                <w:tcPr>
                  <w:tcW w:w="1329" w:type="dxa"/>
                  <w:tcBorders>
                    <w:tl2br w:val="nil"/>
                    <w:tr2bl w:val="nil"/>
                  </w:tcBorders>
                  <w:noWrap w:val="0"/>
                  <w:tcMar>
                    <w:top w:w="0" w:type="dxa"/>
                    <w:left w:w="28" w:type="dxa"/>
                    <w:bottom w:w="0" w:type="dxa"/>
                    <w:right w:w="28" w:type="dxa"/>
                  </w:tcMar>
                  <w:vAlign w:val="center"/>
                </w:tcPr>
                <w:p w14:paraId="497049F3">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0.036</w:t>
                  </w:r>
                </w:p>
              </w:tc>
              <w:tc>
                <w:tcPr>
                  <w:tcW w:w="1329" w:type="dxa"/>
                  <w:tcBorders>
                    <w:tl2br w:val="nil"/>
                    <w:tr2bl w:val="nil"/>
                  </w:tcBorders>
                  <w:noWrap w:val="0"/>
                  <w:tcMar>
                    <w:top w:w="0" w:type="dxa"/>
                    <w:left w:w="28" w:type="dxa"/>
                    <w:bottom w:w="0" w:type="dxa"/>
                    <w:right w:w="28" w:type="dxa"/>
                  </w:tcMar>
                  <w:vAlign w:val="center"/>
                </w:tcPr>
                <w:p w14:paraId="7E49A79D">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0.163</w:t>
                  </w:r>
                </w:p>
              </w:tc>
              <w:tc>
                <w:tcPr>
                  <w:tcW w:w="1261" w:type="dxa"/>
                  <w:tcBorders>
                    <w:tl2br w:val="nil"/>
                    <w:tr2bl w:val="nil"/>
                  </w:tcBorders>
                  <w:noWrap w:val="0"/>
                  <w:tcMar>
                    <w:top w:w="0" w:type="dxa"/>
                    <w:left w:w="28" w:type="dxa"/>
                    <w:bottom w:w="0" w:type="dxa"/>
                    <w:right w:w="28" w:type="dxa"/>
                  </w:tcMar>
                  <w:vAlign w:val="center"/>
                </w:tcPr>
                <w:p w14:paraId="6F2F2A98">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11.0</w:t>
                  </w:r>
                </w:p>
              </w:tc>
              <w:tc>
                <w:tcPr>
                  <w:tcW w:w="1397" w:type="dxa"/>
                  <w:tcBorders>
                    <w:tl2br w:val="nil"/>
                    <w:tr2bl w:val="nil"/>
                  </w:tcBorders>
                  <w:noWrap w:val="0"/>
                  <w:tcMar>
                    <w:top w:w="0" w:type="dxa"/>
                    <w:left w:w="28" w:type="dxa"/>
                    <w:bottom w:w="0" w:type="dxa"/>
                    <w:right w:w="28" w:type="dxa"/>
                  </w:tcMar>
                  <w:vAlign w:val="center"/>
                </w:tcPr>
                <w:p w14:paraId="1030AA50">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10.1</w:t>
                  </w:r>
                </w:p>
              </w:tc>
            </w:tr>
            <w:tr w14:paraId="7B6AE4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291EEC0F">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16周</w:t>
                  </w:r>
                </w:p>
              </w:tc>
              <w:tc>
                <w:tcPr>
                  <w:tcW w:w="1211" w:type="dxa"/>
                  <w:tcBorders>
                    <w:tl2br w:val="nil"/>
                    <w:tr2bl w:val="nil"/>
                  </w:tcBorders>
                  <w:noWrap w:val="0"/>
                  <w:tcMar>
                    <w:top w:w="0" w:type="dxa"/>
                    <w:left w:w="28" w:type="dxa"/>
                    <w:bottom w:w="0" w:type="dxa"/>
                    <w:right w:w="28" w:type="dxa"/>
                  </w:tcMar>
                  <w:vAlign w:val="center"/>
                </w:tcPr>
                <w:p w14:paraId="31035A41">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29.7</w:t>
                  </w:r>
                </w:p>
              </w:tc>
              <w:tc>
                <w:tcPr>
                  <w:tcW w:w="1329" w:type="dxa"/>
                  <w:tcBorders>
                    <w:tl2br w:val="nil"/>
                    <w:tr2bl w:val="nil"/>
                  </w:tcBorders>
                  <w:noWrap w:val="0"/>
                  <w:tcMar>
                    <w:top w:w="0" w:type="dxa"/>
                    <w:left w:w="28" w:type="dxa"/>
                    <w:bottom w:w="0" w:type="dxa"/>
                    <w:right w:w="28" w:type="dxa"/>
                  </w:tcMar>
                  <w:vAlign w:val="center"/>
                </w:tcPr>
                <w:p w14:paraId="4B4A5DDF">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0.122</w:t>
                  </w:r>
                </w:p>
              </w:tc>
              <w:tc>
                <w:tcPr>
                  <w:tcW w:w="1329" w:type="dxa"/>
                  <w:tcBorders>
                    <w:tl2br w:val="nil"/>
                    <w:tr2bl w:val="nil"/>
                  </w:tcBorders>
                  <w:noWrap w:val="0"/>
                  <w:tcMar>
                    <w:top w:w="0" w:type="dxa"/>
                    <w:left w:w="28" w:type="dxa"/>
                    <w:bottom w:w="0" w:type="dxa"/>
                    <w:right w:w="28" w:type="dxa"/>
                  </w:tcMar>
                  <w:vAlign w:val="center"/>
                </w:tcPr>
                <w:p w14:paraId="4D62319E">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0.176</w:t>
                  </w:r>
                </w:p>
              </w:tc>
              <w:tc>
                <w:tcPr>
                  <w:tcW w:w="1261" w:type="dxa"/>
                  <w:tcBorders>
                    <w:tl2br w:val="nil"/>
                    <w:tr2bl w:val="nil"/>
                  </w:tcBorders>
                  <w:noWrap w:val="0"/>
                  <w:tcMar>
                    <w:top w:w="0" w:type="dxa"/>
                    <w:left w:w="28" w:type="dxa"/>
                    <w:bottom w:w="0" w:type="dxa"/>
                    <w:right w:w="28" w:type="dxa"/>
                  </w:tcMar>
                  <w:vAlign w:val="center"/>
                </w:tcPr>
                <w:p w14:paraId="59C716F9">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10.4</w:t>
                  </w:r>
                </w:p>
              </w:tc>
              <w:tc>
                <w:tcPr>
                  <w:tcW w:w="1397" w:type="dxa"/>
                  <w:tcBorders>
                    <w:tl2br w:val="nil"/>
                    <w:tr2bl w:val="nil"/>
                  </w:tcBorders>
                  <w:noWrap w:val="0"/>
                  <w:tcMar>
                    <w:top w:w="0" w:type="dxa"/>
                    <w:left w:w="28" w:type="dxa"/>
                    <w:bottom w:w="0" w:type="dxa"/>
                    <w:right w:w="28" w:type="dxa"/>
                  </w:tcMar>
                  <w:vAlign w:val="center"/>
                </w:tcPr>
                <w:p w14:paraId="0F4500E8">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9.4</w:t>
                  </w:r>
                </w:p>
              </w:tc>
            </w:tr>
            <w:tr w14:paraId="4B1CED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6FD06D8C">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17周</w:t>
                  </w:r>
                </w:p>
              </w:tc>
              <w:tc>
                <w:tcPr>
                  <w:tcW w:w="1211" w:type="dxa"/>
                  <w:tcBorders>
                    <w:tl2br w:val="nil"/>
                    <w:tr2bl w:val="nil"/>
                  </w:tcBorders>
                  <w:noWrap w:val="0"/>
                  <w:tcMar>
                    <w:top w:w="0" w:type="dxa"/>
                    <w:left w:w="28" w:type="dxa"/>
                    <w:bottom w:w="0" w:type="dxa"/>
                    <w:right w:w="28" w:type="dxa"/>
                  </w:tcMar>
                  <w:vAlign w:val="center"/>
                </w:tcPr>
                <w:p w14:paraId="1EB3A74E">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35.2</w:t>
                  </w:r>
                </w:p>
              </w:tc>
              <w:tc>
                <w:tcPr>
                  <w:tcW w:w="1329" w:type="dxa"/>
                  <w:tcBorders>
                    <w:tl2br w:val="nil"/>
                    <w:tr2bl w:val="nil"/>
                  </w:tcBorders>
                  <w:noWrap w:val="0"/>
                  <w:tcMar>
                    <w:top w:w="0" w:type="dxa"/>
                    <w:left w:w="28" w:type="dxa"/>
                    <w:bottom w:w="0" w:type="dxa"/>
                    <w:right w:w="28" w:type="dxa"/>
                  </w:tcMar>
                  <w:vAlign w:val="center"/>
                </w:tcPr>
                <w:p w14:paraId="6F028F07">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0.36</w:t>
                  </w:r>
                </w:p>
              </w:tc>
              <w:tc>
                <w:tcPr>
                  <w:tcW w:w="1329" w:type="dxa"/>
                  <w:tcBorders>
                    <w:tl2br w:val="nil"/>
                    <w:tr2bl w:val="nil"/>
                  </w:tcBorders>
                  <w:noWrap w:val="0"/>
                  <w:tcMar>
                    <w:top w:w="0" w:type="dxa"/>
                    <w:left w:w="28" w:type="dxa"/>
                    <w:bottom w:w="0" w:type="dxa"/>
                    <w:right w:w="28" w:type="dxa"/>
                  </w:tcMar>
                  <w:vAlign w:val="center"/>
                </w:tcPr>
                <w:p w14:paraId="1EC1E8FE">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0.196</w:t>
                  </w:r>
                </w:p>
              </w:tc>
              <w:tc>
                <w:tcPr>
                  <w:tcW w:w="1261" w:type="dxa"/>
                  <w:tcBorders>
                    <w:tl2br w:val="nil"/>
                    <w:tr2bl w:val="nil"/>
                  </w:tcBorders>
                  <w:noWrap w:val="0"/>
                  <w:tcMar>
                    <w:top w:w="0" w:type="dxa"/>
                    <w:left w:w="28" w:type="dxa"/>
                    <w:bottom w:w="0" w:type="dxa"/>
                    <w:right w:w="28" w:type="dxa"/>
                  </w:tcMar>
                  <w:vAlign w:val="center"/>
                </w:tcPr>
                <w:p w14:paraId="2908B12B">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10.1</w:t>
                  </w:r>
                </w:p>
              </w:tc>
              <w:tc>
                <w:tcPr>
                  <w:tcW w:w="1397" w:type="dxa"/>
                  <w:tcBorders>
                    <w:tl2br w:val="nil"/>
                    <w:tr2bl w:val="nil"/>
                  </w:tcBorders>
                  <w:noWrap w:val="0"/>
                  <w:tcMar>
                    <w:top w:w="0" w:type="dxa"/>
                    <w:left w:w="28" w:type="dxa"/>
                    <w:bottom w:w="0" w:type="dxa"/>
                    <w:right w:w="28" w:type="dxa"/>
                  </w:tcMar>
                  <w:vAlign w:val="center"/>
                </w:tcPr>
                <w:p w14:paraId="2FD67875">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11.1</w:t>
                  </w:r>
                </w:p>
              </w:tc>
            </w:tr>
            <w:tr w14:paraId="4AF9A7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1DC44DE5">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18周</w:t>
                  </w:r>
                </w:p>
              </w:tc>
              <w:tc>
                <w:tcPr>
                  <w:tcW w:w="1211" w:type="dxa"/>
                  <w:tcBorders>
                    <w:tl2br w:val="nil"/>
                    <w:tr2bl w:val="nil"/>
                  </w:tcBorders>
                  <w:noWrap w:val="0"/>
                  <w:tcMar>
                    <w:top w:w="0" w:type="dxa"/>
                    <w:left w:w="28" w:type="dxa"/>
                    <w:bottom w:w="0" w:type="dxa"/>
                    <w:right w:w="28" w:type="dxa"/>
                  </w:tcMar>
                  <w:vAlign w:val="center"/>
                </w:tcPr>
                <w:p w14:paraId="10710894">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45.8 </w:t>
                  </w:r>
                </w:p>
              </w:tc>
              <w:tc>
                <w:tcPr>
                  <w:tcW w:w="1329" w:type="dxa"/>
                  <w:tcBorders>
                    <w:tl2br w:val="nil"/>
                    <w:tr2bl w:val="nil"/>
                  </w:tcBorders>
                  <w:noWrap w:val="0"/>
                  <w:tcMar>
                    <w:top w:w="0" w:type="dxa"/>
                    <w:left w:w="28" w:type="dxa"/>
                    <w:bottom w:w="0" w:type="dxa"/>
                    <w:right w:w="28" w:type="dxa"/>
                  </w:tcMar>
                  <w:vAlign w:val="center"/>
                </w:tcPr>
                <w:p w14:paraId="3135F67F">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0.27 </w:t>
                  </w:r>
                </w:p>
              </w:tc>
              <w:tc>
                <w:tcPr>
                  <w:tcW w:w="1329" w:type="dxa"/>
                  <w:tcBorders>
                    <w:tl2br w:val="nil"/>
                    <w:tr2bl w:val="nil"/>
                  </w:tcBorders>
                  <w:noWrap w:val="0"/>
                  <w:tcMar>
                    <w:top w:w="0" w:type="dxa"/>
                    <w:left w:w="28" w:type="dxa"/>
                    <w:bottom w:w="0" w:type="dxa"/>
                    <w:right w:w="28" w:type="dxa"/>
                  </w:tcMar>
                  <w:vAlign w:val="center"/>
                </w:tcPr>
                <w:p w14:paraId="77C526C4">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0.332 </w:t>
                  </w:r>
                </w:p>
              </w:tc>
              <w:tc>
                <w:tcPr>
                  <w:tcW w:w="1261" w:type="dxa"/>
                  <w:tcBorders>
                    <w:tl2br w:val="nil"/>
                    <w:tr2bl w:val="nil"/>
                  </w:tcBorders>
                  <w:noWrap w:val="0"/>
                  <w:tcMar>
                    <w:top w:w="0" w:type="dxa"/>
                    <w:left w:w="28" w:type="dxa"/>
                    <w:bottom w:w="0" w:type="dxa"/>
                    <w:right w:w="28" w:type="dxa"/>
                  </w:tcMar>
                  <w:vAlign w:val="center"/>
                </w:tcPr>
                <w:p w14:paraId="336C0F4D">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8.8</w:t>
                  </w:r>
                </w:p>
              </w:tc>
              <w:tc>
                <w:tcPr>
                  <w:tcW w:w="1397" w:type="dxa"/>
                  <w:tcBorders>
                    <w:tl2br w:val="nil"/>
                    <w:tr2bl w:val="nil"/>
                  </w:tcBorders>
                  <w:noWrap w:val="0"/>
                  <w:tcMar>
                    <w:top w:w="0" w:type="dxa"/>
                    <w:left w:w="28" w:type="dxa"/>
                    <w:bottom w:w="0" w:type="dxa"/>
                    <w:right w:w="28" w:type="dxa"/>
                  </w:tcMar>
                  <w:vAlign w:val="center"/>
                </w:tcPr>
                <w:p w14:paraId="3BF3BD7D">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10.5</w:t>
                  </w:r>
                </w:p>
              </w:tc>
            </w:tr>
            <w:tr w14:paraId="2DEEBA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145D7ACE">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19周</w:t>
                  </w:r>
                </w:p>
              </w:tc>
              <w:tc>
                <w:tcPr>
                  <w:tcW w:w="1211" w:type="dxa"/>
                  <w:tcBorders>
                    <w:tl2br w:val="nil"/>
                    <w:tr2bl w:val="nil"/>
                  </w:tcBorders>
                  <w:noWrap w:val="0"/>
                  <w:tcMar>
                    <w:top w:w="0" w:type="dxa"/>
                    <w:left w:w="28" w:type="dxa"/>
                    <w:bottom w:w="0" w:type="dxa"/>
                    <w:right w:w="28" w:type="dxa"/>
                  </w:tcMar>
                  <w:vAlign w:val="center"/>
                </w:tcPr>
                <w:p w14:paraId="2D688A4B">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30.3 </w:t>
                  </w:r>
                </w:p>
              </w:tc>
              <w:tc>
                <w:tcPr>
                  <w:tcW w:w="1329" w:type="dxa"/>
                  <w:tcBorders>
                    <w:tl2br w:val="nil"/>
                    <w:tr2bl w:val="nil"/>
                  </w:tcBorders>
                  <w:noWrap w:val="0"/>
                  <w:tcMar>
                    <w:top w:w="0" w:type="dxa"/>
                    <w:left w:w="28" w:type="dxa"/>
                    <w:bottom w:w="0" w:type="dxa"/>
                    <w:right w:w="28" w:type="dxa"/>
                  </w:tcMar>
                  <w:vAlign w:val="center"/>
                </w:tcPr>
                <w:p w14:paraId="33AC0E30">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0.04 </w:t>
                  </w:r>
                </w:p>
              </w:tc>
              <w:tc>
                <w:tcPr>
                  <w:tcW w:w="1329" w:type="dxa"/>
                  <w:tcBorders>
                    <w:tl2br w:val="nil"/>
                    <w:tr2bl w:val="nil"/>
                  </w:tcBorders>
                  <w:noWrap w:val="0"/>
                  <w:tcMar>
                    <w:top w:w="0" w:type="dxa"/>
                    <w:left w:w="28" w:type="dxa"/>
                    <w:bottom w:w="0" w:type="dxa"/>
                    <w:right w:w="28" w:type="dxa"/>
                  </w:tcMar>
                  <w:vAlign w:val="center"/>
                </w:tcPr>
                <w:p w14:paraId="5E3B7E26">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0.178 </w:t>
                  </w:r>
                </w:p>
              </w:tc>
              <w:tc>
                <w:tcPr>
                  <w:tcW w:w="1261" w:type="dxa"/>
                  <w:tcBorders>
                    <w:tl2br w:val="nil"/>
                    <w:tr2bl w:val="nil"/>
                  </w:tcBorders>
                  <w:noWrap w:val="0"/>
                  <w:tcMar>
                    <w:top w:w="0" w:type="dxa"/>
                    <w:left w:w="28" w:type="dxa"/>
                    <w:bottom w:w="0" w:type="dxa"/>
                    <w:right w:w="28" w:type="dxa"/>
                  </w:tcMar>
                  <w:vAlign w:val="center"/>
                </w:tcPr>
                <w:p w14:paraId="4CDD7288">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8.5</w:t>
                  </w:r>
                </w:p>
              </w:tc>
              <w:tc>
                <w:tcPr>
                  <w:tcW w:w="1397" w:type="dxa"/>
                  <w:tcBorders>
                    <w:tl2br w:val="nil"/>
                    <w:tr2bl w:val="nil"/>
                  </w:tcBorders>
                  <w:noWrap w:val="0"/>
                  <w:tcMar>
                    <w:top w:w="0" w:type="dxa"/>
                    <w:left w:w="28" w:type="dxa"/>
                    <w:bottom w:w="0" w:type="dxa"/>
                    <w:right w:w="28" w:type="dxa"/>
                  </w:tcMar>
                  <w:vAlign w:val="center"/>
                </w:tcPr>
                <w:p w14:paraId="763818C1">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8.3</w:t>
                  </w:r>
                </w:p>
              </w:tc>
            </w:tr>
            <w:tr w14:paraId="38AD1E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1977A06A">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20周</w:t>
                  </w:r>
                </w:p>
              </w:tc>
              <w:tc>
                <w:tcPr>
                  <w:tcW w:w="1211" w:type="dxa"/>
                  <w:tcBorders>
                    <w:tl2br w:val="nil"/>
                    <w:tr2bl w:val="nil"/>
                  </w:tcBorders>
                  <w:noWrap w:val="0"/>
                  <w:tcMar>
                    <w:top w:w="0" w:type="dxa"/>
                    <w:left w:w="28" w:type="dxa"/>
                    <w:bottom w:w="0" w:type="dxa"/>
                    <w:right w:w="28" w:type="dxa"/>
                  </w:tcMar>
                  <w:vAlign w:val="center"/>
                </w:tcPr>
                <w:p w14:paraId="1D858D5B">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26.3 </w:t>
                  </w:r>
                </w:p>
              </w:tc>
              <w:tc>
                <w:tcPr>
                  <w:tcW w:w="1329" w:type="dxa"/>
                  <w:tcBorders>
                    <w:tl2br w:val="nil"/>
                    <w:tr2bl w:val="nil"/>
                  </w:tcBorders>
                  <w:noWrap w:val="0"/>
                  <w:tcMar>
                    <w:top w:w="0" w:type="dxa"/>
                    <w:left w:w="28" w:type="dxa"/>
                    <w:bottom w:w="0" w:type="dxa"/>
                    <w:right w:w="28" w:type="dxa"/>
                  </w:tcMar>
                  <w:vAlign w:val="center"/>
                </w:tcPr>
                <w:p w14:paraId="296C7C64">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0.04 </w:t>
                  </w:r>
                </w:p>
              </w:tc>
              <w:tc>
                <w:tcPr>
                  <w:tcW w:w="1329" w:type="dxa"/>
                  <w:tcBorders>
                    <w:tl2br w:val="nil"/>
                    <w:tr2bl w:val="nil"/>
                  </w:tcBorders>
                  <w:noWrap w:val="0"/>
                  <w:tcMar>
                    <w:top w:w="0" w:type="dxa"/>
                    <w:left w:w="28" w:type="dxa"/>
                    <w:bottom w:w="0" w:type="dxa"/>
                    <w:right w:w="28" w:type="dxa"/>
                  </w:tcMar>
                  <w:vAlign w:val="center"/>
                </w:tcPr>
                <w:p w14:paraId="1A71116F">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0.124 </w:t>
                  </w:r>
                </w:p>
              </w:tc>
              <w:tc>
                <w:tcPr>
                  <w:tcW w:w="1261" w:type="dxa"/>
                  <w:tcBorders>
                    <w:tl2br w:val="nil"/>
                    <w:tr2bl w:val="nil"/>
                  </w:tcBorders>
                  <w:noWrap w:val="0"/>
                  <w:tcMar>
                    <w:top w:w="0" w:type="dxa"/>
                    <w:left w:w="28" w:type="dxa"/>
                    <w:bottom w:w="0" w:type="dxa"/>
                    <w:right w:w="28" w:type="dxa"/>
                  </w:tcMar>
                  <w:vAlign w:val="center"/>
                </w:tcPr>
                <w:p w14:paraId="5E339800">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7.3</w:t>
                  </w:r>
                </w:p>
              </w:tc>
              <w:tc>
                <w:tcPr>
                  <w:tcW w:w="1397" w:type="dxa"/>
                  <w:tcBorders>
                    <w:tl2br w:val="nil"/>
                    <w:tr2bl w:val="nil"/>
                  </w:tcBorders>
                  <w:noWrap w:val="0"/>
                  <w:tcMar>
                    <w:top w:w="0" w:type="dxa"/>
                    <w:left w:w="28" w:type="dxa"/>
                    <w:bottom w:w="0" w:type="dxa"/>
                    <w:right w:w="28" w:type="dxa"/>
                  </w:tcMar>
                  <w:vAlign w:val="center"/>
                </w:tcPr>
                <w:p w14:paraId="4275153B">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8.2</w:t>
                  </w:r>
                </w:p>
              </w:tc>
            </w:tr>
            <w:tr w14:paraId="366695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5751608B">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21周</w:t>
                  </w:r>
                </w:p>
              </w:tc>
              <w:tc>
                <w:tcPr>
                  <w:tcW w:w="1211" w:type="dxa"/>
                  <w:tcBorders>
                    <w:tl2br w:val="nil"/>
                    <w:tr2bl w:val="nil"/>
                  </w:tcBorders>
                  <w:noWrap w:val="0"/>
                  <w:tcMar>
                    <w:top w:w="0" w:type="dxa"/>
                    <w:left w:w="28" w:type="dxa"/>
                    <w:bottom w:w="0" w:type="dxa"/>
                    <w:right w:w="28" w:type="dxa"/>
                  </w:tcMar>
                  <w:vAlign w:val="center"/>
                </w:tcPr>
                <w:p w14:paraId="0DBDE4B6">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rPr>
                    <w:t>/</w:t>
                  </w:r>
                </w:p>
              </w:tc>
              <w:tc>
                <w:tcPr>
                  <w:tcW w:w="1329" w:type="dxa"/>
                  <w:tcBorders>
                    <w:tl2br w:val="nil"/>
                    <w:tr2bl w:val="nil"/>
                  </w:tcBorders>
                  <w:noWrap w:val="0"/>
                  <w:tcMar>
                    <w:top w:w="0" w:type="dxa"/>
                    <w:left w:w="28" w:type="dxa"/>
                    <w:bottom w:w="0" w:type="dxa"/>
                    <w:right w:w="28" w:type="dxa"/>
                  </w:tcMar>
                  <w:vAlign w:val="center"/>
                </w:tcPr>
                <w:p w14:paraId="34E41E18">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rPr>
                    <w:t>/</w:t>
                  </w:r>
                </w:p>
              </w:tc>
              <w:tc>
                <w:tcPr>
                  <w:tcW w:w="1329" w:type="dxa"/>
                  <w:tcBorders>
                    <w:tl2br w:val="nil"/>
                    <w:tr2bl w:val="nil"/>
                  </w:tcBorders>
                  <w:noWrap w:val="0"/>
                  <w:tcMar>
                    <w:top w:w="0" w:type="dxa"/>
                    <w:left w:w="28" w:type="dxa"/>
                    <w:bottom w:w="0" w:type="dxa"/>
                    <w:right w:w="28" w:type="dxa"/>
                  </w:tcMar>
                  <w:vAlign w:val="center"/>
                </w:tcPr>
                <w:p w14:paraId="26381A92">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rPr>
                    <w:t>/</w:t>
                  </w:r>
                </w:p>
              </w:tc>
              <w:tc>
                <w:tcPr>
                  <w:tcW w:w="1261" w:type="dxa"/>
                  <w:tcBorders>
                    <w:tl2br w:val="nil"/>
                    <w:tr2bl w:val="nil"/>
                  </w:tcBorders>
                  <w:noWrap w:val="0"/>
                  <w:tcMar>
                    <w:top w:w="0" w:type="dxa"/>
                    <w:left w:w="28" w:type="dxa"/>
                    <w:bottom w:w="0" w:type="dxa"/>
                    <w:right w:w="28" w:type="dxa"/>
                  </w:tcMar>
                  <w:vAlign w:val="center"/>
                </w:tcPr>
                <w:p w14:paraId="48465592">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val="en-US" w:eastAsia="zh-CN"/>
                    </w:rPr>
                    <w:t>/</w:t>
                  </w:r>
                </w:p>
              </w:tc>
              <w:tc>
                <w:tcPr>
                  <w:tcW w:w="1397" w:type="dxa"/>
                  <w:tcBorders>
                    <w:tl2br w:val="nil"/>
                    <w:tr2bl w:val="nil"/>
                  </w:tcBorders>
                  <w:noWrap w:val="0"/>
                  <w:tcMar>
                    <w:top w:w="0" w:type="dxa"/>
                    <w:left w:w="28" w:type="dxa"/>
                    <w:bottom w:w="0" w:type="dxa"/>
                    <w:right w:w="28" w:type="dxa"/>
                  </w:tcMar>
                  <w:vAlign w:val="center"/>
                </w:tcPr>
                <w:p w14:paraId="3377CCCD">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rPr>
                    <w:t>/</w:t>
                  </w:r>
                </w:p>
              </w:tc>
            </w:tr>
            <w:tr w14:paraId="7B2D2A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07EAB0CD">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22周</w:t>
                  </w:r>
                </w:p>
              </w:tc>
              <w:tc>
                <w:tcPr>
                  <w:tcW w:w="1211" w:type="dxa"/>
                  <w:tcBorders>
                    <w:tl2br w:val="nil"/>
                    <w:tr2bl w:val="nil"/>
                  </w:tcBorders>
                  <w:noWrap w:val="0"/>
                  <w:tcMar>
                    <w:top w:w="0" w:type="dxa"/>
                    <w:left w:w="28" w:type="dxa"/>
                    <w:bottom w:w="0" w:type="dxa"/>
                    <w:right w:w="28" w:type="dxa"/>
                  </w:tcMar>
                  <w:vAlign w:val="center"/>
                </w:tcPr>
                <w:p w14:paraId="6E74692A">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40.9 </w:t>
                  </w:r>
                </w:p>
              </w:tc>
              <w:tc>
                <w:tcPr>
                  <w:tcW w:w="1329" w:type="dxa"/>
                  <w:tcBorders>
                    <w:tl2br w:val="nil"/>
                    <w:tr2bl w:val="nil"/>
                  </w:tcBorders>
                  <w:noWrap w:val="0"/>
                  <w:tcMar>
                    <w:top w:w="0" w:type="dxa"/>
                    <w:left w:w="28" w:type="dxa"/>
                    <w:bottom w:w="0" w:type="dxa"/>
                    <w:right w:w="28" w:type="dxa"/>
                  </w:tcMar>
                  <w:vAlign w:val="center"/>
                </w:tcPr>
                <w:p w14:paraId="298E1820">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0.05 </w:t>
                  </w:r>
                </w:p>
              </w:tc>
              <w:tc>
                <w:tcPr>
                  <w:tcW w:w="1329" w:type="dxa"/>
                  <w:tcBorders>
                    <w:tl2br w:val="nil"/>
                    <w:tr2bl w:val="nil"/>
                  </w:tcBorders>
                  <w:noWrap w:val="0"/>
                  <w:tcMar>
                    <w:top w:w="0" w:type="dxa"/>
                    <w:left w:w="28" w:type="dxa"/>
                    <w:bottom w:w="0" w:type="dxa"/>
                    <w:right w:w="28" w:type="dxa"/>
                  </w:tcMar>
                  <w:vAlign w:val="center"/>
                </w:tcPr>
                <w:p w14:paraId="2910F317">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0.237 </w:t>
                  </w:r>
                </w:p>
              </w:tc>
              <w:tc>
                <w:tcPr>
                  <w:tcW w:w="1261" w:type="dxa"/>
                  <w:tcBorders>
                    <w:tl2br w:val="nil"/>
                    <w:tr2bl w:val="nil"/>
                  </w:tcBorders>
                  <w:noWrap w:val="0"/>
                  <w:tcMar>
                    <w:top w:w="0" w:type="dxa"/>
                    <w:left w:w="28" w:type="dxa"/>
                    <w:bottom w:w="0" w:type="dxa"/>
                    <w:right w:w="28" w:type="dxa"/>
                  </w:tcMar>
                  <w:vAlign w:val="center"/>
                </w:tcPr>
                <w:p w14:paraId="3CC63270">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5.5</w:t>
                  </w:r>
                </w:p>
              </w:tc>
              <w:tc>
                <w:tcPr>
                  <w:tcW w:w="1397" w:type="dxa"/>
                  <w:tcBorders>
                    <w:tl2br w:val="nil"/>
                    <w:tr2bl w:val="nil"/>
                  </w:tcBorders>
                  <w:noWrap w:val="0"/>
                  <w:tcMar>
                    <w:top w:w="0" w:type="dxa"/>
                    <w:left w:w="28" w:type="dxa"/>
                    <w:bottom w:w="0" w:type="dxa"/>
                    <w:right w:w="28" w:type="dxa"/>
                  </w:tcMar>
                  <w:vAlign w:val="center"/>
                </w:tcPr>
                <w:p w14:paraId="7E8456BC">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10.1</w:t>
                  </w:r>
                </w:p>
              </w:tc>
            </w:tr>
            <w:tr w14:paraId="74FD65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51DD1043">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23周</w:t>
                  </w:r>
                </w:p>
              </w:tc>
              <w:tc>
                <w:tcPr>
                  <w:tcW w:w="1211" w:type="dxa"/>
                  <w:tcBorders>
                    <w:tl2br w:val="nil"/>
                    <w:tr2bl w:val="nil"/>
                  </w:tcBorders>
                  <w:noWrap w:val="0"/>
                  <w:tcMar>
                    <w:top w:w="0" w:type="dxa"/>
                    <w:left w:w="28" w:type="dxa"/>
                    <w:bottom w:w="0" w:type="dxa"/>
                    <w:right w:w="28" w:type="dxa"/>
                  </w:tcMar>
                  <w:vAlign w:val="center"/>
                </w:tcPr>
                <w:p w14:paraId="039D7BA5">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26.9 </w:t>
                  </w:r>
                </w:p>
              </w:tc>
              <w:tc>
                <w:tcPr>
                  <w:tcW w:w="1329" w:type="dxa"/>
                  <w:tcBorders>
                    <w:tl2br w:val="nil"/>
                    <w:tr2bl w:val="nil"/>
                  </w:tcBorders>
                  <w:noWrap w:val="0"/>
                  <w:tcMar>
                    <w:top w:w="0" w:type="dxa"/>
                    <w:left w:w="28" w:type="dxa"/>
                    <w:bottom w:w="0" w:type="dxa"/>
                    <w:right w:w="28" w:type="dxa"/>
                  </w:tcMar>
                  <w:vAlign w:val="center"/>
                </w:tcPr>
                <w:p w14:paraId="7A6DE0D6">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0.07 </w:t>
                  </w:r>
                </w:p>
              </w:tc>
              <w:tc>
                <w:tcPr>
                  <w:tcW w:w="1329" w:type="dxa"/>
                  <w:tcBorders>
                    <w:tl2br w:val="nil"/>
                    <w:tr2bl w:val="nil"/>
                  </w:tcBorders>
                  <w:noWrap w:val="0"/>
                  <w:tcMar>
                    <w:top w:w="0" w:type="dxa"/>
                    <w:left w:w="28" w:type="dxa"/>
                    <w:bottom w:w="0" w:type="dxa"/>
                    <w:right w:w="28" w:type="dxa"/>
                  </w:tcMar>
                  <w:vAlign w:val="center"/>
                </w:tcPr>
                <w:p w14:paraId="2B35CD56">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0.142 </w:t>
                  </w:r>
                </w:p>
              </w:tc>
              <w:tc>
                <w:tcPr>
                  <w:tcW w:w="1261" w:type="dxa"/>
                  <w:tcBorders>
                    <w:tl2br w:val="nil"/>
                    <w:tr2bl w:val="nil"/>
                  </w:tcBorders>
                  <w:noWrap w:val="0"/>
                  <w:tcMar>
                    <w:top w:w="0" w:type="dxa"/>
                    <w:left w:w="28" w:type="dxa"/>
                    <w:bottom w:w="0" w:type="dxa"/>
                    <w:right w:w="28" w:type="dxa"/>
                  </w:tcMar>
                  <w:vAlign w:val="center"/>
                </w:tcPr>
                <w:p w14:paraId="3C844CD5">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5.9</w:t>
                  </w:r>
                </w:p>
              </w:tc>
              <w:tc>
                <w:tcPr>
                  <w:tcW w:w="1397" w:type="dxa"/>
                  <w:tcBorders>
                    <w:tl2br w:val="nil"/>
                    <w:tr2bl w:val="nil"/>
                  </w:tcBorders>
                  <w:noWrap w:val="0"/>
                  <w:tcMar>
                    <w:top w:w="0" w:type="dxa"/>
                    <w:left w:w="28" w:type="dxa"/>
                    <w:bottom w:w="0" w:type="dxa"/>
                    <w:right w:w="28" w:type="dxa"/>
                  </w:tcMar>
                  <w:vAlign w:val="center"/>
                </w:tcPr>
                <w:p w14:paraId="73C7AAEA">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rPr>
                    <w:t>7.5</w:t>
                  </w:r>
                </w:p>
              </w:tc>
            </w:tr>
            <w:tr w14:paraId="433C1E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64760232">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24周</w:t>
                  </w:r>
                </w:p>
              </w:tc>
              <w:tc>
                <w:tcPr>
                  <w:tcW w:w="1211" w:type="dxa"/>
                  <w:tcBorders>
                    <w:tl2br w:val="nil"/>
                    <w:tr2bl w:val="nil"/>
                  </w:tcBorders>
                  <w:noWrap w:val="0"/>
                  <w:tcMar>
                    <w:top w:w="0" w:type="dxa"/>
                    <w:left w:w="28" w:type="dxa"/>
                    <w:bottom w:w="0" w:type="dxa"/>
                    <w:right w:w="28" w:type="dxa"/>
                  </w:tcMar>
                  <w:vAlign w:val="center"/>
                </w:tcPr>
                <w:p w14:paraId="6E4ACE96">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33.6 </w:t>
                  </w:r>
                </w:p>
              </w:tc>
              <w:tc>
                <w:tcPr>
                  <w:tcW w:w="1329" w:type="dxa"/>
                  <w:tcBorders>
                    <w:tl2br w:val="nil"/>
                    <w:tr2bl w:val="nil"/>
                  </w:tcBorders>
                  <w:noWrap w:val="0"/>
                  <w:tcMar>
                    <w:top w:w="0" w:type="dxa"/>
                    <w:left w:w="28" w:type="dxa"/>
                    <w:bottom w:w="0" w:type="dxa"/>
                    <w:right w:w="28" w:type="dxa"/>
                  </w:tcMar>
                  <w:vAlign w:val="center"/>
                </w:tcPr>
                <w:p w14:paraId="111866E4">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0.06 </w:t>
                  </w:r>
                </w:p>
              </w:tc>
              <w:tc>
                <w:tcPr>
                  <w:tcW w:w="1329" w:type="dxa"/>
                  <w:tcBorders>
                    <w:tl2br w:val="nil"/>
                    <w:tr2bl w:val="nil"/>
                  </w:tcBorders>
                  <w:noWrap w:val="0"/>
                  <w:tcMar>
                    <w:top w:w="0" w:type="dxa"/>
                    <w:left w:w="28" w:type="dxa"/>
                    <w:bottom w:w="0" w:type="dxa"/>
                    <w:right w:w="28" w:type="dxa"/>
                  </w:tcMar>
                  <w:vAlign w:val="center"/>
                </w:tcPr>
                <w:p w14:paraId="101A5CA8">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0.176 </w:t>
                  </w:r>
                </w:p>
              </w:tc>
              <w:tc>
                <w:tcPr>
                  <w:tcW w:w="1261" w:type="dxa"/>
                  <w:tcBorders>
                    <w:tl2br w:val="nil"/>
                    <w:tr2bl w:val="nil"/>
                  </w:tcBorders>
                  <w:noWrap w:val="0"/>
                  <w:tcMar>
                    <w:top w:w="0" w:type="dxa"/>
                    <w:left w:w="28" w:type="dxa"/>
                    <w:bottom w:w="0" w:type="dxa"/>
                    <w:right w:w="28" w:type="dxa"/>
                  </w:tcMar>
                  <w:vAlign w:val="center"/>
                </w:tcPr>
                <w:p w14:paraId="091B4B43">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5.0</w:t>
                  </w:r>
                </w:p>
              </w:tc>
              <w:tc>
                <w:tcPr>
                  <w:tcW w:w="1397" w:type="dxa"/>
                  <w:tcBorders>
                    <w:tl2br w:val="nil"/>
                    <w:tr2bl w:val="nil"/>
                  </w:tcBorders>
                  <w:noWrap w:val="0"/>
                  <w:tcMar>
                    <w:top w:w="0" w:type="dxa"/>
                    <w:left w:w="28" w:type="dxa"/>
                    <w:bottom w:w="0" w:type="dxa"/>
                    <w:right w:w="28" w:type="dxa"/>
                  </w:tcMar>
                  <w:vAlign w:val="center"/>
                </w:tcPr>
                <w:p w14:paraId="74BEDA2E">
                  <w:pPr>
                    <w:pStyle w:val="18"/>
                    <w:keepNext w:val="0"/>
                    <w:keepLines w:val="0"/>
                    <w:suppressLineNumbers w:val="0"/>
                    <w:tabs>
                      <w:tab w:val="right" w:leader="dot" w:pos="8296"/>
                    </w:tabs>
                    <w:bidi w:val="0"/>
                    <w:spacing w:before="0" w:beforeAutospacing="0" w:after="0" w:afterAutospacing="0"/>
                    <w:ind w:right="0"/>
                    <w:rPr>
                      <w:rFonts w:hint="eastAsia"/>
                      <w:color w:val="auto"/>
                      <w:lang w:eastAsia="zh-CN"/>
                    </w:rPr>
                  </w:pPr>
                  <w:r>
                    <w:rPr>
                      <w:rFonts w:hint="default"/>
                      <w:color w:val="auto"/>
                    </w:rPr>
                    <w:t>7.</w:t>
                  </w:r>
                  <w:r>
                    <w:rPr>
                      <w:rFonts w:hint="eastAsia"/>
                      <w:color w:val="auto"/>
                      <w:lang w:val="en-US" w:eastAsia="zh-CN"/>
                    </w:rPr>
                    <w:t>9</w:t>
                  </w:r>
                </w:p>
              </w:tc>
            </w:tr>
            <w:tr w14:paraId="510E17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0FF6D2C1">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25周</w:t>
                  </w:r>
                </w:p>
              </w:tc>
              <w:tc>
                <w:tcPr>
                  <w:tcW w:w="1211" w:type="dxa"/>
                  <w:tcBorders>
                    <w:tl2br w:val="nil"/>
                    <w:tr2bl w:val="nil"/>
                  </w:tcBorders>
                  <w:noWrap w:val="0"/>
                  <w:tcMar>
                    <w:top w:w="0" w:type="dxa"/>
                    <w:left w:w="28" w:type="dxa"/>
                    <w:bottom w:w="0" w:type="dxa"/>
                    <w:right w:w="28" w:type="dxa"/>
                  </w:tcMar>
                  <w:vAlign w:val="center"/>
                </w:tcPr>
                <w:p w14:paraId="3540BF9D">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38.4 </w:t>
                  </w:r>
                </w:p>
              </w:tc>
              <w:tc>
                <w:tcPr>
                  <w:tcW w:w="1329" w:type="dxa"/>
                  <w:tcBorders>
                    <w:tl2br w:val="nil"/>
                    <w:tr2bl w:val="nil"/>
                  </w:tcBorders>
                  <w:noWrap w:val="0"/>
                  <w:tcMar>
                    <w:top w:w="0" w:type="dxa"/>
                    <w:left w:w="28" w:type="dxa"/>
                    <w:bottom w:w="0" w:type="dxa"/>
                    <w:right w:w="28" w:type="dxa"/>
                  </w:tcMar>
                  <w:vAlign w:val="center"/>
                </w:tcPr>
                <w:p w14:paraId="671F760A">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0.39 </w:t>
                  </w:r>
                </w:p>
              </w:tc>
              <w:tc>
                <w:tcPr>
                  <w:tcW w:w="1329" w:type="dxa"/>
                  <w:tcBorders>
                    <w:tl2br w:val="nil"/>
                    <w:tr2bl w:val="nil"/>
                  </w:tcBorders>
                  <w:noWrap w:val="0"/>
                  <w:tcMar>
                    <w:top w:w="0" w:type="dxa"/>
                    <w:left w:w="28" w:type="dxa"/>
                    <w:bottom w:w="0" w:type="dxa"/>
                    <w:right w:w="28" w:type="dxa"/>
                  </w:tcMar>
                  <w:vAlign w:val="center"/>
                </w:tcPr>
                <w:p w14:paraId="0D0E313C">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0.217 </w:t>
                  </w:r>
                </w:p>
              </w:tc>
              <w:tc>
                <w:tcPr>
                  <w:tcW w:w="1261" w:type="dxa"/>
                  <w:tcBorders>
                    <w:tl2br w:val="nil"/>
                    <w:tr2bl w:val="nil"/>
                  </w:tcBorders>
                  <w:noWrap w:val="0"/>
                  <w:tcMar>
                    <w:top w:w="0" w:type="dxa"/>
                    <w:left w:w="28" w:type="dxa"/>
                    <w:bottom w:w="0" w:type="dxa"/>
                    <w:right w:w="28" w:type="dxa"/>
                  </w:tcMar>
                  <w:vAlign w:val="center"/>
                </w:tcPr>
                <w:p w14:paraId="2DE530DE">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4.6</w:t>
                  </w:r>
                </w:p>
              </w:tc>
              <w:tc>
                <w:tcPr>
                  <w:tcW w:w="1397" w:type="dxa"/>
                  <w:tcBorders>
                    <w:tl2br w:val="nil"/>
                    <w:tr2bl w:val="nil"/>
                  </w:tcBorders>
                  <w:noWrap w:val="0"/>
                  <w:tcMar>
                    <w:top w:w="0" w:type="dxa"/>
                    <w:left w:w="28" w:type="dxa"/>
                    <w:bottom w:w="0" w:type="dxa"/>
                    <w:right w:w="28" w:type="dxa"/>
                  </w:tcMar>
                  <w:vAlign w:val="center"/>
                </w:tcPr>
                <w:p w14:paraId="43E25864">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9.7</w:t>
                  </w:r>
                </w:p>
              </w:tc>
            </w:tr>
            <w:tr w14:paraId="3F138E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3301BD46">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26周</w:t>
                  </w:r>
                </w:p>
              </w:tc>
              <w:tc>
                <w:tcPr>
                  <w:tcW w:w="1211" w:type="dxa"/>
                  <w:tcBorders>
                    <w:tl2br w:val="nil"/>
                    <w:tr2bl w:val="nil"/>
                  </w:tcBorders>
                  <w:noWrap w:val="0"/>
                  <w:tcMar>
                    <w:top w:w="0" w:type="dxa"/>
                    <w:left w:w="28" w:type="dxa"/>
                    <w:bottom w:w="0" w:type="dxa"/>
                    <w:right w:w="28" w:type="dxa"/>
                  </w:tcMar>
                  <w:vAlign w:val="center"/>
                </w:tcPr>
                <w:p w14:paraId="1B00A95D">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41.4</w:t>
                  </w:r>
                </w:p>
              </w:tc>
              <w:tc>
                <w:tcPr>
                  <w:tcW w:w="1329" w:type="dxa"/>
                  <w:tcBorders>
                    <w:tl2br w:val="nil"/>
                    <w:tr2bl w:val="nil"/>
                  </w:tcBorders>
                  <w:noWrap w:val="0"/>
                  <w:tcMar>
                    <w:top w:w="0" w:type="dxa"/>
                    <w:left w:w="28" w:type="dxa"/>
                    <w:bottom w:w="0" w:type="dxa"/>
                    <w:right w:w="28" w:type="dxa"/>
                  </w:tcMar>
                  <w:vAlign w:val="center"/>
                </w:tcPr>
                <w:p w14:paraId="002D02F3">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0.35</w:t>
                  </w:r>
                </w:p>
              </w:tc>
              <w:tc>
                <w:tcPr>
                  <w:tcW w:w="1329" w:type="dxa"/>
                  <w:tcBorders>
                    <w:tl2br w:val="nil"/>
                    <w:tr2bl w:val="nil"/>
                  </w:tcBorders>
                  <w:noWrap w:val="0"/>
                  <w:tcMar>
                    <w:top w:w="0" w:type="dxa"/>
                    <w:left w:w="28" w:type="dxa"/>
                    <w:bottom w:w="0" w:type="dxa"/>
                    <w:right w:w="28" w:type="dxa"/>
                  </w:tcMar>
                  <w:vAlign w:val="center"/>
                </w:tcPr>
                <w:p w14:paraId="6DDFC785">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0.153</w:t>
                  </w:r>
                </w:p>
              </w:tc>
              <w:tc>
                <w:tcPr>
                  <w:tcW w:w="1261" w:type="dxa"/>
                  <w:tcBorders>
                    <w:tl2br w:val="nil"/>
                    <w:tr2bl w:val="nil"/>
                  </w:tcBorders>
                  <w:noWrap w:val="0"/>
                  <w:tcMar>
                    <w:top w:w="0" w:type="dxa"/>
                    <w:left w:w="28" w:type="dxa"/>
                    <w:bottom w:w="0" w:type="dxa"/>
                    <w:right w:w="28" w:type="dxa"/>
                  </w:tcMar>
                  <w:vAlign w:val="center"/>
                </w:tcPr>
                <w:p w14:paraId="44905992">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6.08</w:t>
                  </w:r>
                </w:p>
              </w:tc>
              <w:tc>
                <w:tcPr>
                  <w:tcW w:w="1397" w:type="dxa"/>
                  <w:tcBorders>
                    <w:tl2br w:val="nil"/>
                    <w:tr2bl w:val="nil"/>
                  </w:tcBorders>
                  <w:noWrap w:val="0"/>
                  <w:tcMar>
                    <w:top w:w="0" w:type="dxa"/>
                    <w:left w:w="28" w:type="dxa"/>
                    <w:bottom w:w="0" w:type="dxa"/>
                    <w:right w:w="28" w:type="dxa"/>
                  </w:tcMar>
                  <w:vAlign w:val="center"/>
                </w:tcPr>
                <w:p w14:paraId="72FFB4CE">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11.5</w:t>
                  </w:r>
                </w:p>
              </w:tc>
            </w:tr>
            <w:tr w14:paraId="313D2F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78BA3116">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27周</w:t>
                  </w:r>
                </w:p>
              </w:tc>
              <w:tc>
                <w:tcPr>
                  <w:tcW w:w="1211" w:type="dxa"/>
                  <w:tcBorders>
                    <w:tl2br w:val="nil"/>
                    <w:tr2bl w:val="nil"/>
                  </w:tcBorders>
                  <w:noWrap w:val="0"/>
                  <w:tcMar>
                    <w:top w:w="0" w:type="dxa"/>
                    <w:left w:w="28" w:type="dxa"/>
                    <w:bottom w:w="0" w:type="dxa"/>
                    <w:right w:w="28" w:type="dxa"/>
                  </w:tcMar>
                  <w:vAlign w:val="center"/>
                </w:tcPr>
                <w:p w14:paraId="2B750A04">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50.1</w:t>
                  </w:r>
                </w:p>
              </w:tc>
              <w:tc>
                <w:tcPr>
                  <w:tcW w:w="1329" w:type="dxa"/>
                  <w:tcBorders>
                    <w:tl2br w:val="nil"/>
                    <w:tr2bl w:val="nil"/>
                  </w:tcBorders>
                  <w:noWrap w:val="0"/>
                  <w:tcMar>
                    <w:top w:w="0" w:type="dxa"/>
                    <w:left w:w="28" w:type="dxa"/>
                    <w:bottom w:w="0" w:type="dxa"/>
                    <w:right w:w="28" w:type="dxa"/>
                  </w:tcMar>
                  <w:vAlign w:val="center"/>
                </w:tcPr>
                <w:p w14:paraId="4B583392">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1.252</w:t>
                  </w:r>
                </w:p>
              </w:tc>
              <w:tc>
                <w:tcPr>
                  <w:tcW w:w="1329" w:type="dxa"/>
                  <w:tcBorders>
                    <w:tl2br w:val="nil"/>
                    <w:tr2bl w:val="nil"/>
                  </w:tcBorders>
                  <w:noWrap w:val="0"/>
                  <w:tcMar>
                    <w:top w:w="0" w:type="dxa"/>
                    <w:left w:w="28" w:type="dxa"/>
                    <w:bottom w:w="0" w:type="dxa"/>
                    <w:right w:w="28" w:type="dxa"/>
                  </w:tcMar>
                  <w:vAlign w:val="center"/>
                </w:tcPr>
                <w:p w14:paraId="76F8B346">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0.37</w:t>
                  </w:r>
                </w:p>
              </w:tc>
              <w:tc>
                <w:tcPr>
                  <w:tcW w:w="1261" w:type="dxa"/>
                  <w:tcBorders>
                    <w:tl2br w:val="nil"/>
                    <w:tr2bl w:val="nil"/>
                  </w:tcBorders>
                  <w:noWrap w:val="0"/>
                  <w:tcMar>
                    <w:top w:w="0" w:type="dxa"/>
                    <w:left w:w="28" w:type="dxa"/>
                    <w:bottom w:w="0" w:type="dxa"/>
                    <w:right w:w="28" w:type="dxa"/>
                  </w:tcMar>
                  <w:vAlign w:val="center"/>
                </w:tcPr>
                <w:p w14:paraId="1551F48A">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6.29</w:t>
                  </w:r>
                </w:p>
              </w:tc>
              <w:tc>
                <w:tcPr>
                  <w:tcW w:w="1397" w:type="dxa"/>
                  <w:tcBorders>
                    <w:tl2br w:val="nil"/>
                    <w:tr2bl w:val="nil"/>
                  </w:tcBorders>
                  <w:noWrap w:val="0"/>
                  <w:tcMar>
                    <w:top w:w="0" w:type="dxa"/>
                    <w:left w:w="28" w:type="dxa"/>
                    <w:bottom w:w="0" w:type="dxa"/>
                    <w:right w:w="28" w:type="dxa"/>
                  </w:tcMar>
                  <w:vAlign w:val="center"/>
                </w:tcPr>
                <w:p w14:paraId="3846B048">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9.4</w:t>
                  </w:r>
                </w:p>
              </w:tc>
            </w:tr>
            <w:tr w14:paraId="2319CB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65CFC094">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28周</w:t>
                  </w:r>
                </w:p>
              </w:tc>
              <w:tc>
                <w:tcPr>
                  <w:tcW w:w="1211" w:type="dxa"/>
                  <w:tcBorders>
                    <w:tl2br w:val="nil"/>
                    <w:tr2bl w:val="nil"/>
                  </w:tcBorders>
                  <w:noWrap w:val="0"/>
                  <w:tcMar>
                    <w:top w:w="0" w:type="dxa"/>
                    <w:left w:w="28" w:type="dxa"/>
                    <w:bottom w:w="0" w:type="dxa"/>
                    <w:right w:w="28" w:type="dxa"/>
                  </w:tcMar>
                  <w:vAlign w:val="center"/>
                </w:tcPr>
                <w:p w14:paraId="2C2552D6">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41.4</w:t>
                  </w:r>
                </w:p>
              </w:tc>
              <w:tc>
                <w:tcPr>
                  <w:tcW w:w="1329" w:type="dxa"/>
                  <w:tcBorders>
                    <w:tl2br w:val="nil"/>
                    <w:tr2bl w:val="nil"/>
                  </w:tcBorders>
                  <w:noWrap w:val="0"/>
                  <w:tcMar>
                    <w:top w:w="0" w:type="dxa"/>
                    <w:left w:w="28" w:type="dxa"/>
                    <w:bottom w:w="0" w:type="dxa"/>
                    <w:right w:w="28" w:type="dxa"/>
                  </w:tcMar>
                  <w:vAlign w:val="center"/>
                </w:tcPr>
                <w:p w14:paraId="7E47681B">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1.471</w:t>
                  </w:r>
                </w:p>
              </w:tc>
              <w:tc>
                <w:tcPr>
                  <w:tcW w:w="1329" w:type="dxa"/>
                  <w:tcBorders>
                    <w:tl2br w:val="nil"/>
                    <w:tr2bl w:val="nil"/>
                  </w:tcBorders>
                  <w:noWrap w:val="0"/>
                  <w:tcMar>
                    <w:top w:w="0" w:type="dxa"/>
                    <w:left w:w="28" w:type="dxa"/>
                    <w:bottom w:w="0" w:type="dxa"/>
                    <w:right w:w="28" w:type="dxa"/>
                  </w:tcMar>
                  <w:vAlign w:val="center"/>
                </w:tcPr>
                <w:p w14:paraId="344522A8">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0.48</w:t>
                  </w:r>
                </w:p>
              </w:tc>
              <w:tc>
                <w:tcPr>
                  <w:tcW w:w="1261" w:type="dxa"/>
                  <w:tcBorders>
                    <w:tl2br w:val="nil"/>
                    <w:tr2bl w:val="nil"/>
                  </w:tcBorders>
                  <w:noWrap w:val="0"/>
                  <w:tcMar>
                    <w:top w:w="0" w:type="dxa"/>
                    <w:left w:w="28" w:type="dxa"/>
                    <w:bottom w:w="0" w:type="dxa"/>
                    <w:right w:w="28" w:type="dxa"/>
                  </w:tcMar>
                  <w:vAlign w:val="center"/>
                </w:tcPr>
                <w:p w14:paraId="4518B8DB">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8.88</w:t>
                  </w:r>
                </w:p>
              </w:tc>
              <w:tc>
                <w:tcPr>
                  <w:tcW w:w="1397" w:type="dxa"/>
                  <w:tcBorders>
                    <w:tl2br w:val="nil"/>
                    <w:tr2bl w:val="nil"/>
                  </w:tcBorders>
                  <w:noWrap w:val="0"/>
                  <w:tcMar>
                    <w:top w:w="0" w:type="dxa"/>
                    <w:left w:w="28" w:type="dxa"/>
                    <w:bottom w:w="0" w:type="dxa"/>
                    <w:right w:w="28" w:type="dxa"/>
                  </w:tcMar>
                  <w:vAlign w:val="center"/>
                </w:tcPr>
                <w:p w14:paraId="0B2B1DDE">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10.1</w:t>
                  </w:r>
                </w:p>
              </w:tc>
            </w:tr>
            <w:tr w14:paraId="7EFEBB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6924BF07">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29周</w:t>
                  </w:r>
                </w:p>
              </w:tc>
              <w:tc>
                <w:tcPr>
                  <w:tcW w:w="1211" w:type="dxa"/>
                  <w:tcBorders>
                    <w:tl2br w:val="nil"/>
                    <w:tr2bl w:val="nil"/>
                  </w:tcBorders>
                  <w:noWrap w:val="0"/>
                  <w:tcMar>
                    <w:top w:w="0" w:type="dxa"/>
                    <w:left w:w="28" w:type="dxa"/>
                    <w:bottom w:w="0" w:type="dxa"/>
                    <w:right w:w="28" w:type="dxa"/>
                  </w:tcMar>
                  <w:vAlign w:val="center"/>
                </w:tcPr>
                <w:p w14:paraId="6C271346">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37.7</w:t>
                  </w:r>
                </w:p>
              </w:tc>
              <w:tc>
                <w:tcPr>
                  <w:tcW w:w="1329" w:type="dxa"/>
                  <w:tcBorders>
                    <w:tl2br w:val="nil"/>
                    <w:tr2bl w:val="nil"/>
                  </w:tcBorders>
                  <w:noWrap w:val="0"/>
                  <w:tcMar>
                    <w:top w:w="0" w:type="dxa"/>
                    <w:left w:w="28" w:type="dxa"/>
                    <w:bottom w:w="0" w:type="dxa"/>
                    <w:right w:w="28" w:type="dxa"/>
                  </w:tcMar>
                  <w:vAlign w:val="center"/>
                </w:tcPr>
                <w:p w14:paraId="6B2E1AFE">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1.16</w:t>
                  </w:r>
                </w:p>
              </w:tc>
              <w:tc>
                <w:tcPr>
                  <w:tcW w:w="1329" w:type="dxa"/>
                  <w:tcBorders>
                    <w:tl2br w:val="nil"/>
                    <w:tr2bl w:val="nil"/>
                  </w:tcBorders>
                  <w:noWrap w:val="0"/>
                  <w:tcMar>
                    <w:top w:w="0" w:type="dxa"/>
                    <w:left w:w="28" w:type="dxa"/>
                    <w:bottom w:w="0" w:type="dxa"/>
                    <w:right w:w="28" w:type="dxa"/>
                  </w:tcMar>
                  <w:vAlign w:val="center"/>
                </w:tcPr>
                <w:p w14:paraId="245DF592">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0.557</w:t>
                  </w:r>
                </w:p>
              </w:tc>
              <w:tc>
                <w:tcPr>
                  <w:tcW w:w="1261" w:type="dxa"/>
                  <w:tcBorders>
                    <w:tl2br w:val="nil"/>
                    <w:tr2bl w:val="nil"/>
                  </w:tcBorders>
                  <w:noWrap w:val="0"/>
                  <w:tcMar>
                    <w:top w:w="0" w:type="dxa"/>
                    <w:left w:w="28" w:type="dxa"/>
                    <w:bottom w:w="0" w:type="dxa"/>
                    <w:right w:w="28" w:type="dxa"/>
                  </w:tcMar>
                  <w:vAlign w:val="center"/>
                </w:tcPr>
                <w:p w14:paraId="615FA600">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9.63</w:t>
                  </w:r>
                </w:p>
              </w:tc>
              <w:tc>
                <w:tcPr>
                  <w:tcW w:w="1397" w:type="dxa"/>
                  <w:tcBorders>
                    <w:tl2br w:val="nil"/>
                    <w:tr2bl w:val="nil"/>
                  </w:tcBorders>
                  <w:noWrap w:val="0"/>
                  <w:tcMar>
                    <w:top w:w="0" w:type="dxa"/>
                    <w:left w:w="28" w:type="dxa"/>
                    <w:bottom w:w="0" w:type="dxa"/>
                    <w:right w:w="28" w:type="dxa"/>
                  </w:tcMar>
                  <w:vAlign w:val="center"/>
                </w:tcPr>
                <w:p w14:paraId="656AB6C4">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10.0</w:t>
                  </w:r>
                </w:p>
              </w:tc>
            </w:tr>
            <w:tr w14:paraId="233C6B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5ADE9947">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30周</w:t>
                  </w:r>
                </w:p>
              </w:tc>
              <w:tc>
                <w:tcPr>
                  <w:tcW w:w="1211" w:type="dxa"/>
                  <w:tcBorders>
                    <w:tl2br w:val="nil"/>
                    <w:tr2bl w:val="nil"/>
                  </w:tcBorders>
                  <w:noWrap w:val="0"/>
                  <w:tcMar>
                    <w:top w:w="0" w:type="dxa"/>
                    <w:left w:w="28" w:type="dxa"/>
                    <w:bottom w:w="0" w:type="dxa"/>
                    <w:right w:w="28" w:type="dxa"/>
                  </w:tcMar>
                  <w:vAlign w:val="center"/>
                </w:tcPr>
                <w:p w14:paraId="2BCCC31F">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49.2</w:t>
                  </w:r>
                </w:p>
              </w:tc>
              <w:tc>
                <w:tcPr>
                  <w:tcW w:w="1329" w:type="dxa"/>
                  <w:tcBorders>
                    <w:tl2br w:val="nil"/>
                    <w:tr2bl w:val="nil"/>
                  </w:tcBorders>
                  <w:noWrap w:val="0"/>
                  <w:tcMar>
                    <w:top w:w="0" w:type="dxa"/>
                    <w:left w:w="28" w:type="dxa"/>
                    <w:bottom w:w="0" w:type="dxa"/>
                    <w:right w:w="28" w:type="dxa"/>
                  </w:tcMar>
                  <w:vAlign w:val="center"/>
                </w:tcPr>
                <w:p w14:paraId="77043442">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0.75</w:t>
                  </w:r>
                </w:p>
              </w:tc>
              <w:tc>
                <w:tcPr>
                  <w:tcW w:w="1329" w:type="dxa"/>
                  <w:tcBorders>
                    <w:tl2br w:val="nil"/>
                    <w:tr2bl w:val="nil"/>
                  </w:tcBorders>
                  <w:noWrap w:val="0"/>
                  <w:tcMar>
                    <w:top w:w="0" w:type="dxa"/>
                    <w:left w:w="28" w:type="dxa"/>
                    <w:bottom w:w="0" w:type="dxa"/>
                    <w:right w:w="28" w:type="dxa"/>
                  </w:tcMar>
                  <w:vAlign w:val="center"/>
                </w:tcPr>
                <w:p w14:paraId="092B887C">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0.573</w:t>
                  </w:r>
                </w:p>
              </w:tc>
              <w:tc>
                <w:tcPr>
                  <w:tcW w:w="1261" w:type="dxa"/>
                  <w:tcBorders>
                    <w:tl2br w:val="nil"/>
                    <w:tr2bl w:val="nil"/>
                  </w:tcBorders>
                  <w:noWrap w:val="0"/>
                  <w:tcMar>
                    <w:top w:w="0" w:type="dxa"/>
                    <w:left w:w="28" w:type="dxa"/>
                    <w:bottom w:w="0" w:type="dxa"/>
                    <w:right w:w="28" w:type="dxa"/>
                  </w:tcMar>
                  <w:vAlign w:val="center"/>
                </w:tcPr>
                <w:p w14:paraId="5DFDA556">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7.68</w:t>
                  </w:r>
                </w:p>
              </w:tc>
              <w:tc>
                <w:tcPr>
                  <w:tcW w:w="1397" w:type="dxa"/>
                  <w:tcBorders>
                    <w:tl2br w:val="nil"/>
                    <w:tr2bl w:val="nil"/>
                  </w:tcBorders>
                  <w:noWrap w:val="0"/>
                  <w:tcMar>
                    <w:top w:w="0" w:type="dxa"/>
                    <w:left w:w="28" w:type="dxa"/>
                    <w:bottom w:w="0" w:type="dxa"/>
                    <w:right w:w="28" w:type="dxa"/>
                  </w:tcMar>
                  <w:vAlign w:val="center"/>
                </w:tcPr>
                <w:p w14:paraId="6B960E91">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7.9</w:t>
                  </w:r>
                </w:p>
              </w:tc>
            </w:tr>
            <w:tr w14:paraId="753002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779A6F74">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31周</w:t>
                  </w:r>
                </w:p>
              </w:tc>
              <w:tc>
                <w:tcPr>
                  <w:tcW w:w="1211" w:type="dxa"/>
                  <w:tcBorders>
                    <w:tl2br w:val="nil"/>
                    <w:tr2bl w:val="nil"/>
                  </w:tcBorders>
                  <w:noWrap w:val="0"/>
                  <w:tcMar>
                    <w:top w:w="0" w:type="dxa"/>
                    <w:left w:w="28" w:type="dxa"/>
                    <w:bottom w:w="0" w:type="dxa"/>
                    <w:right w:w="28" w:type="dxa"/>
                  </w:tcMar>
                  <w:vAlign w:val="center"/>
                </w:tcPr>
                <w:p w14:paraId="566B62E9">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28.3</w:t>
                  </w:r>
                </w:p>
              </w:tc>
              <w:tc>
                <w:tcPr>
                  <w:tcW w:w="1329" w:type="dxa"/>
                  <w:tcBorders>
                    <w:tl2br w:val="nil"/>
                    <w:tr2bl w:val="nil"/>
                  </w:tcBorders>
                  <w:noWrap w:val="0"/>
                  <w:tcMar>
                    <w:top w:w="0" w:type="dxa"/>
                    <w:left w:w="28" w:type="dxa"/>
                    <w:bottom w:w="0" w:type="dxa"/>
                    <w:right w:w="28" w:type="dxa"/>
                  </w:tcMar>
                  <w:vAlign w:val="center"/>
                </w:tcPr>
                <w:p w14:paraId="260A4E1F">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0.385</w:t>
                  </w:r>
                </w:p>
              </w:tc>
              <w:tc>
                <w:tcPr>
                  <w:tcW w:w="1329" w:type="dxa"/>
                  <w:tcBorders>
                    <w:tl2br w:val="nil"/>
                    <w:tr2bl w:val="nil"/>
                  </w:tcBorders>
                  <w:noWrap w:val="0"/>
                  <w:tcMar>
                    <w:top w:w="0" w:type="dxa"/>
                    <w:left w:w="28" w:type="dxa"/>
                    <w:bottom w:w="0" w:type="dxa"/>
                    <w:right w:w="28" w:type="dxa"/>
                  </w:tcMar>
                  <w:vAlign w:val="center"/>
                </w:tcPr>
                <w:p w14:paraId="7B08D9BB">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0.357</w:t>
                  </w:r>
                </w:p>
              </w:tc>
              <w:tc>
                <w:tcPr>
                  <w:tcW w:w="1261" w:type="dxa"/>
                  <w:tcBorders>
                    <w:tl2br w:val="nil"/>
                    <w:tr2bl w:val="nil"/>
                  </w:tcBorders>
                  <w:noWrap w:val="0"/>
                  <w:tcMar>
                    <w:top w:w="0" w:type="dxa"/>
                    <w:left w:w="28" w:type="dxa"/>
                    <w:bottom w:w="0" w:type="dxa"/>
                    <w:right w:w="28" w:type="dxa"/>
                  </w:tcMar>
                  <w:vAlign w:val="center"/>
                </w:tcPr>
                <w:p w14:paraId="35CB1C3A">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8.99</w:t>
                  </w:r>
                </w:p>
              </w:tc>
              <w:tc>
                <w:tcPr>
                  <w:tcW w:w="1397" w:type="dxa"/>
                  <w:tcBorders>
                    <w:tl2br w:val="nil"/>
                    <w:tr2bl w:val="nil"/>
                  </w:tcBorders>
                  <w:noWrap w:val="0"/>
                  <w:tcMar>
                    <w:top w:w="0" w:type="dxa"/>
                    <w:left w:w="28" w:type="dxa"/>
                    <w:bottom w:w="0" w:type="dxa"/>
                    <w:right w:w="28" w:type="dxa"/>
                  </w:tcMar>
                  <w:vAlign w:val="center"/>
                </w:tcPr>
                <w:p w14:paraId="53519C7D">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7.8</w:t>
                  </w:r>
                </w:p>
              </w:tc>
            </w:tr>
            <w:tr w14:paraId="6BF900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01E90228">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32周</w:t>
                  </w:r>
                </w:p>
              </w:tc>
              <w:tc>
                <w:tcPr>
                  <w:tcW w:w="1211" w:type="dxa"/>
                  <w:tcBorders>
                    <w:tl2br w:val="nil"/>
                    <w:tr2bl w:val="nil"/>
                  </w:tcBorders>
                  <w:noWrap w:val="0"/>
                  <w:tcMar>
                    <w:top w:w="0" w:type="dxa"/>
                    <w:left w:w="28" w:type="dxa"/>
                    <w:bottom w:w="0" w:type="dxa"/>
                    <w:right w:w="28" w:type="dxa"/>
                  </w:tcMar>
                  <w:vAlign w:val="center"/>
                </w:tcPr>
                <w:p w14:paraId="0B3A8BEB">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28.0 </w:t>
                  </w:r>
                </w:p>
              </w:tc>
              <w:tc>
                <w:tcPr>
                  <w:tcW w:w="1329" w:type="dxa"/>
                  <w:tcBorders>
                    <w:tl2br w:val="nil"/>
                    <w:tr2bl w:val="nil"/>
                  </w:tcBorders>
                  <w:noWrap w:val="0"/>
                  <w:tcMar>
                    <w:top w:w="0" w:type="dxa"/>
                    <w:left w:w="28" w:type="dxa"/>
                    <w:bottom w:w="0" w:type="dxa"/>
                    <w:right w:w="28" w:type="dxa"/>
                  </w:tcMar>
                  <w:vAlign w:val="center"/>
                </w:tcPr>
                <w:p w14:paraId="04CB91C8">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0.775</w:t>
                  </w:r>
                </w:p>
              </w:tc>
              <w:tc>
                <w:tcPr>
                  <w:tcW w:w="1329" w:type="dxa"/>
                  <w:tcBorders>
                    <w:tl2br w:val="nil"/>
                    <w:tr2bl w:val="nil"/>
                  </w:tcBorders>
                  <w:noWrap w:val="0"/>
                  <w:tcMar>
                    <w:top w:w="0" w:type="dxa"/>
                    <w:left w:w="28" w:type="dxa"/>
                    <w:bottom w:w="0" w:type="dxa"/>
                    <w:right w:w="28" w:type="dxa"/>
                  </w:tcMar>
                  <w:vAlign w:val="center"/>
                </w:tcPr>
                <w:p w14:paraId="7D6A38E5">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0.411</w:t>
                  </w:r>
                </w:p>
              </w:tc>
              <w:tc>
                <w:tcPr>
                  <w:tcW w:w="1261" w:type="dxa"/>
                  <w:tcBorders>
                    <w:tl2br w:val="nil"/>
                    <w:tr2bl w:val="nil"/>
                  </w:tcBorders>
                  <w:noWrap w:val="0"/>
                  <w:tcMar>
                    <w:top w:w="0" w:type="dxa"/>
                    <w:left w:w="28" w:type="dxa"/>
                    <w:bottom w:w="0" w:type="dxa"/>
                    <w:right w:w="28" w:type="dxa"/>
                  </w:tcMar>
                  <w:vAlign w:val="center"/>
                </w:tcPr>
                <w:p w14:paraId="73CC4A0E">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10.0</w:t>
                  </w:r>
                </w:p>
              </w:tc>
              <w:tc>
                <w:tcPr>
                  <w:tcW w:w="1397" w:type="dxa"/>
                  <w:tcBorders>
                    <w:tl2br w:val="nil"/>
                    <w:tr2bl w:val="nil"/>
                  </w:tcBorders>
                  <w:noWrap w:val="0"/>
                  <w:tcMar>
                    <w:top w:w="0" w:type="dxa"/>
                    <w:left w:w="28" w:type="dxa"/>
                    <w:bottom w:w="0" w:type="dxa"/>
                    <w:right w:w="28" w:type="dxa"/>
                  </w:tcMar>
                  <w:vAlign w:val="center"/>
                </w:tcPr>
                <w:p w14:paraId="2AEA54E7">
                  <w:pPr>
                    <w:pStyle w:val="18"/>
                    <w:keepNext w:val="0"/>
                    <w:keepLines w:val="0"/>
                    <w:suppressLineNumbers w:val="0"/>
                    <w:tabs>
                      <w:tab w:val="right" w:leader="dot" w:pos="8296"/>
                    </w:tabs>
                    <w:bidi w:val="0"/>
                    <w:spacing w:before="0" w:beforeAutospacing="0" w:after="0" w:afterAutospacing="0"/>
                    <w:ind w:right="0"/>
                    <w:rPr>
                      <w:rFonts w:hint="eastAsia"/>
                      <w:color w:val="auto"/>
                      <w:lang w:eastAsia="zh-CN"/>
                    </w:rPr>
                  </w:pPr>
                  <w:r>
                    <w:rPr>
                      <w:rFonts w:hint="default"/>
                      <w:color w:val="auto"/>
                    </w:rPr>
                    <w:t>8.</w:t>
                  </w:r>
                  <w:r>
                    <w:rPr>
                      <w:rFonts w:hint="eastAsia"/>
                      <w:color w:val="auto"/>
                      <w:lang w:val="en-US" w:eastAsia="zh-CN"/>
                    </w:rPr>
                    <w:t>0</w:t>
                  </w:r>
                </w:p>
              </w:tc>
            </w:tr>
            <w:tr w14:paraId="37529E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0A88927A">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33周</w:t>
                  </w:r>
                </w:p>
              </w:tc>
              <w:tc>
                <w:tcPr>
                  <w:tcW w:w="1211" w:type="dxa"/>
                  <w:tcBorders>
                    <w:tl2br w:val="nil"/>
                    <w:tr2bl w:val="nil"/>
                  </w:tcBorders>
                  <w:noWrap w:val="0"/>
                  <w:tcMar>
                    <w:top w:w="0" w:type="dxa"/>
                    <w:left w:w="28" w:type="dxa"/>
                    <w:bottom w:w="0" w:type="dxa"/>
                    <w:right w:w="28" w:type="dxa"/>
                  </w:tcMar>
                  <w:vAlign w:val="center"/>
                </w:tcPr>
                <w:p w14:paraId="3CE69E34">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16.9 </w:t>
                  </w:r>
                </w:p>
              </w:tc>
              <w:tc>
                <w:tcPr>
                  <w:tcW w:w="1329" w:type="dxa"/>
                  <w:tcBorders>
                    <w:tl2br w:val="nil"/>
                    <w:tr2bl w:val="nil"/>
                  </w:tcBorders>
                  <w:noWrap w:val="0"/>
                  <w:tcMar>
                    <w:top w:w="0" w:type="dxa"/>
                    <w:left w:w="28" w:type="dxa"/>
                    <w:bottom w:w="0" w:type="dxa"/>
                    <w:right w:w="28" w:type="dxa"/>
                  </w:tcMar>
                  <w:vAlign w:val="center"/>
                </w:tcPr>
                <w:p w14:paraId="6D4C7E2C">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1.934</w:t>
                  </w:r>
                </w:p>
              </w:tc>
              <w:tc>
                <w:tcPr>
                  <w:tcW w:w="1329" w:type="dxa"/>
                  <w:tcBorders>
                    <w:tl2br w:val="nil"/>
                    <w:tr2bl w:val="nil"/>
                  </w:tcBorders>
                  <w:noWrap w:val="0"/>
                  <w:tcMar>
                    <w:top w:w="0" w:type="dxa"/>
                    <w:left w:w="28" w:type="dxa"/>
                    <w:bottom w:w="0" w:type="dxa"/>
                    <w:right w:w="28" w:type="dxa"/>
                  </w:tcMar>
                  <w:vAlign w:val="center"/>
                </w:tcPr>
                <w:p w14:paraId="406BCDC6">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0.456</w:t>
                  </w:r>
                </w:p>
              </w:tc>
              <w:tc>
                <w:tcPr>
                  <w:tcW w:w="1261" w:type="dxa"/>
                  <w:tcBorders>
                    <w:tl2br w:val="nil"/>
                    <w:tr2bl w:val="nil"/>
                  </w:tcBorders>
                  <w:noWrap w:val="0"/>
                  <w:tcMar>
                    <w:top w:w="0" w:type="dxa"/>
                    <w:left w:w="28" w:type="dxa"/>
                    <w:bottom w:w="0" w:type="dxa"/>
                    <w:right w:w="28" w:type="dxa"/>
                  </w:tcMar>
                  <w:vAlign w:val="center"/>
                </w:tcPr>
                <w:p w14:paraId="4C2428EF">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11.9</w:t>
                  </w:r>
                </w:p>
              </w:tc>
              <w:tc>
                <w:tcPr>
                  <w:tcW w:w="1397" w:type="dxa"/>
                  <w:tcBorders>
                    <w:tl2br w:val="nil"/>
                    <w:tr2bl w:val="nil"/>
                  </w:tcBorders>
                  <w:noWrap w:val="0"/>
                  <w:tcMar>
                    <w:top w:w="0" w:type="dxa"/>
                    <w:left w:w="28" w:type="dxa"/>
                    <w:bottom w:w="0" w:type="dxa"/>
                    <w:right w:w="28" w:type="dxa"/>
                  </w:tcMar>
                  <w:vAlign w:val="center"/>
                </w:tcPr>
                <w:p w14:paraId="27D46D9D">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8.2</w:t>
                  </w:r>
                </w:p>
              </w:tc>
            </w:tr>
            <w:tr w14:paraId="51E515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275DC41B">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34周</w:t>
                  </w:r>
                </w:p>
              </w:tc>
              <w:tc>
                <w:tcPr>
                  <w:tcW w:w="1211" w:type="dxa"/>
                  <w:tcBorders>
                    <w:tl2br w:val="nil"/>
                    <w:tr2bl w:val="nil"/>
                  </w:tcBorders>
                  <w:noWrap w:val="0"/>
                  <w:tcMar>
                    <w:top w:w="0" w:type="dxa"/>
                    <w:left w:w="28" w:type="dxa"/>
                    <w:bottom w:w="0" w:type="dxa"/>
                    <w:right w:w="28" w:type="dxa"/>
                  </w:tcMar>
                  <w:vAlign w:val="center"/>
                </w:tcPr>
                <w:p w14:paraId="65005A51">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31.8 </w:t>
                  </w:r>
                </w:p>
              </w:tc>
              <w:tc>
                <w:tcPr>
                  <w:tcW w:w="1329" w:type="dxa"/>
                  <w:tcBorders>
                    <w:tl2br w:val="nil"/>
                    <w:tr2bl w:val="nil"/>
                  </w:tcBorders>
                  <w:noWrap w:val="0"/>
                  <w:tcMar>
                    <w:top w:w="0" w:type="dxa"/>
                    <w:left w:w="28" w:type="dxa"/>
                    <w:bottom w:w="0" w:type="dxa"/>
                    <w:right w:w="28" w:type="dxa"/>
                  </w:tcMar>
                  <w:vAlign w:val="center"/>
                </w:tcPr>
                <w:p w14:paraId="3E66A352">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1.390 </w:t>
                  </w:r>
                </w:p>
              </w:tc>
              <w:tc>
                <w:tcPr>
                  <w:tcW w:w="1329" w:type="dxa"/>
                  <w:tcBorders>
                    <w:tl2br w:val="nil"/>
                    <w:tr2bl w:val="nil"/>
                  </w:tcBorders>
                  <w:noWrap w:val="0"/>
                  <w:tcMar>
                    <w:top w:w="0" w:type="dxa"/>
                    <w:left w:w="28" w:type="dxa"/>
                    <w:bottom w:w="0" w:type="dxa"/>
                    <w:right w:w="28" w:type="dxa"/>
                  </w:tcMar>
                  <w:vAlign w:val="center"/>
                </w:tcPr>
                <w:p w14:paraId="15C48C26">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0.549</w:t>
                  </w:r>
                </w:p>
              </w:tc>
              <w:tc>
                <w:tcPr>
                  <w:tcW w:w="1261" w:type="dxa"/>
                  <w:tcBorders>
                    <w:tl2br w:val="nil"/>
                    <w:tr2bl w:val="nil"/>
                  </w:tcBorders>
                  <w:noWrap w:val="0"/>
                  <w:tcMar>
                    <w:top w:w="0" w:type="dxa"/>
                    <w:left w:w="28" w:type="dxa"/>
                    <w:bottom w:w="0" w:type="dxa"/>
                    <w:right w:w="28" w:type="dxa"/>
                  </w:tcMar>
                  <w:vAlign w:val="center"/>
                </w:tcPr>
                <w:p w14:paraId="392844E5">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11.6</w:t>
                  </w:r>
                </w:p>
              </w:tc>
              <w:tc>
                <w:tcPr>
                  <w:tcW w:w="1397" w:type="dxa"/>
                  <w:tcBorders>
                    <w:tl2br w:val="nil"/>
                    <w:tr2bl w:val="nil"/>
                  </w:tcBorders>
                  <w:noWrap w:val="0"/>
                  <w:tcMar>
                    <w:top w:w="0" w:type="dxa"/>
                    <w:left w:w="28" w:type="dxa"/>
                    <w:bottom w:w="0" w:type="dxa"/>
                    <w:right w:w="28" w:type="dxa"/>
                  </w:tcMar>
                  <w:vAlign w:val="center"/>
                </w:tcPr>
                <w:p w14:paraId="18F97753">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9.7</w:t>
                  </w:r>
                </w:p>
              </w:tc>
            </w:tr>
            <w:tr w14:paraId="1AD6DE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26775BE0">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35周</w:t>
                  </w:r>
                </w:p>
              </w:tc>
              <w:tc>
                <w:tcPr>
                  <w:tcW w:w="1211" w:type="dxa"/>
                  <w:tcBorders>
                    <w:tl2br w:val="nil"/>
                    <w:tr2bl w:val="nil"/>
                  </w:tcBorders>
                  <w:noWrap w:val="0"/>
                  <w:tcMar>
                    <w:top w:w="0" w:type="dxa"/>
                    <w:left w:w="28" w:type="dxa"/>
                    <w:bottom w:w="0" w:type="dxa"/>
                    <w:right w:w="28" w:type="dxa"/>
                  </w:tcMar>
                  <w:vAlign w:val="center"/>
                </w:tcPr>
                <w:p w14:paraId="65A5BEBC">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32.0 </w:t>
                  </w:r>
                </w:p>
              </w:tc>
              <w:tc>
                <w:tcPr>
                  <w:tcW w:w="1329" w:type="dxa"/>
                  <w:tcBorders>
                    <w:tl2br w:val="nil"/>
                    <w:tr2bl w:val="nil"/>
                  </w:tcBorders>
                  <w:noWrap w:val="0"/>
                  <w:tcMar>
                    <w:top w:w="0" w:type="dxa"/>
                    <w:left w:w="28" w:type="dxa"/>
                    <w:bottom w:w="0" w:type="dxa"/>
                    <w:right w:w="28" w:type="dxa"/>
                  </w:tcMar>
                  <w:vAlign w:val="center"/>
                </w:tcPr>
                <w:p w14:paraId="67BCFE36">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1.160 </w:t>
                  </w:r>
                </w:p>
              </w:tc>
              <w:tc>
                <w:tcPr>
                  <w:tcW w:w="1329" w:type="dxa"/>
                  <w:tcBorders>
                    <w:tl2br w:val="nil"/>
                    <w:tr2bl w:val="nil"/>
                  </w:tcBorders>
                  <w:noWrap w:val="0"/>
                  <w:tcMar>
                    <w:top w:w="0" w:type="dxa"/>
                    <w:left w:w="28" w:type="dxa"/>
                    <w:bottom w:w="0" w:type="dxa"/>
                    <w:right w:w="28" w:type="dxa"/>
                  </w:tcMar>
                  <w:vAlign w:val="center"/>
                </w:tcPr>
                <w:p w14:paraId="7E49AA44">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0.551</w:t>
                  </w:r>
                </w:p>
              </w:tc>
              <w:tc>
                <w:tcPr>
                  <w:tcW w:w="1261" w:type="dxa"/>
                  <w:tcBorders>
                    <w:tl2br w:val="nil"/>
                    <w:tr2bl w:val="nil"/>
                  </w:tcBorders>
                  <w:noWrap w:val="0"/>
                  <w:tcMar>
                    <w:top w:w="0" w:type="dxa"/>
                    <w:left w:w="28" w:type="dxa"/>
                    <w:bottom w:w="0" w:type="dxa"/>
                    <w:right w:w="28" w:type="dxa"/>
                  </w:tcMar>
                  <w:vAlign w:val="center"/>
                </w:tcPr>
                <w:p w14:paraId="721C4612">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10.5</w:t>
                  </w:r>
                </w:p>
              </w:tc>
              <w:tc>
                <w:tcPr>
                  <w:tcW w:w="1397" w:type="dxa"/>
                  <w:tcBorders>
                    <w:tl2br w:val="nil"/>
                    <w:tr2bl w:val="nil"/>
                  </w:tcBorders>
                  <w:noWrap w:val="0"/>
                  <w:tcMar>
                    <w:top w:w="0" w:type="dxa"/>
                    <w:left w:w="28" w:type="dxa"/>
                    <w:bottom w:w="0" w:type="dxa"/>
                    <w:right w:w="28" w:type="dxa"/>
                  </w:tcMar>
                  <w:vAlign w:val="center"/>
                </w:tcPr>
                <w:p w14:paraId="59CB6B0C">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8.3</w:t>
                  </w:r>
                </w:p>
              </w:tc>
            </w:tr>
            <w:tr w14:paraId="24FACC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28A2B7AB">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36周</w:t>
                  </w:r>
                </w:p>
              </w:tc>
              <w:tc>
                <w:tcPr>
                  <w:tcW w:w="1211" w:type="dxa"/>
                  <w:tcBorders>
                    <w:tl2br w:val="nil"/>
                    <w:tr2bl w:val="nil"/>
                  </w:tcBorders>
                  <w:noWrap w:val="0"/>
                  <w:tcMar>
                    <w:top w:w="0" w:type="dxa"/>
                    <w:left w:w="28" w:type="dxa"/>
                    <w:bottom w:w="0" w:type="dxa"/>
                    <w:right w:w="28" w:type="dxa"/>
                  </w:tcMar>
                  <w:vAlign w:val="center"/>
                </w:tcPr>
                <w:p w14:paraId="4382F5AC">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28.1 </w:t>
                  </w:r>
                </w:p>
              </w:tc>
              <w:tc>
                <w:tcPr>
                  <w:tcW w:w="1329" w:type="dxa"/>
                  <w:tcBorders>
                    <w:tl2br w:val="nil"/>
                    <w:tr2bl w:val="nil"/>
                  </w:tcBorders>
                  <w:noWrap w:val="0"/>
                  <w:tcMar>
                    <w:top w:w="0" w:type="dxa"/>
                    <w:left w:w="28" w:type="dxa"/>
                    <w:bottom w:w="0" w:type="dxa"/>
                    <w:right w:w="28" w:type="dxa"/>
                  </w:tcMar>
                  <w:vAlign w:val="center"/>
                </w:tcPr>
                <w:p w14:paraId="12317B95">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0.288 </w:t>
                  </w:r>
                </w:p>
              </w:tc>
              <w:tc>
                <w:tcPr>
                  <w:tcW w:w="1329" w:type="dxa"/>
                  <w:tcBorders>
                    <w:tl2br w:val="nil"/>
                    <w:tr2bl w:val="nil"/>
                  </w:tcBorders>
                  <w:noWrap w:val="0"/>
                  <w:tcMar>
                    <w:top w:w="0" w:type="dxa"/>
                    <w:left w:w="28" w:type="dxa"/>
                    <w:bottom w:w="0" w:type="dxa"/>
                    <w:right w:w="28" w:type="dxa"/>
                  </w:tcMar>
                  <w:vAlign w:val="center"/>
                </w:tcPr>
                <w:p w14:paraId="72C87A6F">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0.407</w:t>
                  </w:r>
                </w:p>
              </w:tc>
              <w:tc>
                <w:tcPr>
                  <w:tcW w:w="1261" w:type="dxa"/>
                  <w:tcBorders>
                    <w:tl2br w:val="nil"/>
                    <w:tr2bl w:val="nil"/>
                  </w:tcBorders>
                  <w:noWrap w:val="0"/>
                  <w:tcMar>
                    <w:top w:w="0" w:type="dxa"/>
                    <w:left w:w="28" w:type="dxa"/>
                    <w:bottom w:w="0" w:type="dxa"/>
                    <w:right w:w="28" w:type="dxa"/>
                  </w:tcMar>
                  <w:vAlign w:val="center"/>
                </w:tcPr>
                <w:p w14:paraId="1F2FED3C">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10.2</w:t>
                  </w:r>
                </w:p>
              </w:tc>
              <w:tc>
                <w:tcPr>
                  <w:tcW w:w="1397" w:type="dxa"/>
                  <w:tcBorders>
                    <w:tl2br w:val="nil"/>
                    <w:tr2bl w:val="nil"/>
                  </w:tcBorders>
                  <w:noWrap w:val="0"/>
                  <w:tcMar>
                    <w:top w:w="0" w:type="dxa"/>
                    <w:left w:w="28" w:type="dxa"/>
                    <w:bottom w:w="0" w:type="dxa"/>
                    <w:right w:w="28" w:type="dxa"/>
                  </w:tcMar>
                  <w:vAlign w:val="center"/>
                </w:tcPr>
                <w:p w14:paraId="1E5B6C92">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7.2</w:t>
                  </w:r>
                </w:p>
              </w:tc>
            </w:tr>
            <w:tr w14:paraId="77E373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69CC3ED8">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37周</w:t>
                  </w:r>
                </w:p>
              </w:tc>
              <w:tc>
                <w:tcPr>
                  <w:tcW w:w="1211" w:type="dxa"/>
                  <w:tcBorders>
                    <w:tl2br w:val="nil"/>
                    <w:tr2bl w:val="nil"/>
                  </w:tcBorders>
                  <w:noWrap w:val="0"/>
                  <w:tcMar>
                    <w:top w:w="0" w:type="dxa"/>
                    <w:left w:w="28" w:type="dxa"/>
                    <w:bottom w:w="0" w:type="dxa"/>
                    <w:right w:w="28" w:type="dxa"/>
                  </w:tcMar>
                  <w:vAlign w:val="center"/>
                </w:tcPr>
                <w:p w14:paraId="79F53255">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30.0 </w:t>
                  </w:r>
                </w:p>
              </w:tc>
              <w:tc>
                <w:tcPr>
                  <w:tcW w:w="1329" w:type="dxa"/>
                  <w:tcBorders>
                    <w:tl2br w:val="nil"/>
                    <w:tr2bl w:val="nil"/>
                  </w:tcBorders>
                  <w:noWrap w:val="0"/>
                  <w:tcMar>
                    <w:top w:w="0" w:type="dxa"/>
                    <w:left w:w="28" w:type="dxa"/>
                    <w:bottom w:w="0" w:type="dxa"/>
                    <w:right w:w="28" w:type="dxa"/>
                  </w:tcMar>
                  <w:vAlign w:val="center"/>
                </w:tcPr>
                <w:p w14:paraId="188483B3">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1.899 </w:t>
                  </w:r>
                </w:p>
              </w:tc>
              <w:tc>
                <w:tcPr>
                  <w:tcW w:w="1329" w:type="dxa"/>
                  <w:tcBorders>
                    <w:tl2br w:val="nil"/>
                    <w:tr2bl w:val="nil"/>
                  </w:tcBorders>
                  <w:noWrap w:val="0"/>
                  <w:tcMar>
                    <w:top w:w="0" w:type="dxa"/>
                    <w:left w:w="28" w:type="dxa"/>
                    <w:bottom w:w="0" w:type="dxa"/>
                    <w:right w:w="28" w:type="dxa"/>
                  </w:tcMar>
                  <w:vAlign w:val="center"/>
                </w:tcPr>
                <w:p w14:paraId="14B38BAB">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0.596</w:t>
                  </w:r>
                </w:p>
              </w:tc>
              <w:tc>
                <w:tcPr>
                  <w:tcW w:w="1261" w:type="dxa"/>
                  <w:tcBorders>
                    <w:tl2br w:val="nil"/>
                    <w:tr2bl w:val="nil"/>
                  </w:tcBorders>
                  <w:noWrap w:val="0"/>
                  <w:tcMar>
                    <w:top w:w="0" w:type="dxa"/>
                    <w:left w:w="28" w:type="dxa"/>
                    <w:bottom w:w="0" w:type="dxa"/>
                    <w:right w:w="28" w:type="dxa"/>
                  </w:tcMar>
                  <w:vAlign w:val="center"/>
                </w:tcPr>
                <w:p w14:paraId="7CA23194">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10.9</w:t>
                  </w:r>
                </w:p>
              </w:tc>
              <w:tc>
                <w:tcPr>
                  <w:tcW w:w="1397" w:type="dxa"/>
                  <w:tcBorders>
                    <w:tl2br w:val="nil"/>
                    <w:tr2bl w:val="nil"/>
                  </w:tcBorders>
                  <w:noWrap w:val="0"/>
                  <w:tcMar>
                    <w:top w:w="0" w:type="dxa"/>
                    <w:left w:w="28" w:type="dxa"/>
                    <w:bottom w:w="0" w:type="dxa"/>
                    <w:right w:w="28" w:type="dxa"/>
                  </w:tcMar>
                  <w:vAlign w:val="center"/>
                </w:tcPr>
                <w:p w14:paraId="7D19C1FC">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9.6</w:t>
                  </w:r>
                </w:p>
              </w:tc>
            </w:tr>
            <w:tr w14:paraId="5F650A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152A2B68">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38周</w:t>
                  </w:r>
                </w:p>
              </w:tc>
              <w:tc>
                <w:tcPr>
                  <w:tcW w:w="1211" w:type="dxa"/>
                  <w:tcBorders>
                    <w:tl2br w:val="nil"/>
                    <w:tr2bl w:val="nil"/>
                  </w:tcBorders>
                  <w:noWrap w:val="0"/>
                  <w:tcMar>
                    <w:top w:w="0" w:type="dxa"/>
                    <w:left w:w="28" w:type="dxa"/>
                    <w:bottom w:w="0" w:type="dxa"/>
                    <w:right w:w="28" w:type="dxa"/>
                  </w:tcMar>
                  <w:vAlign w:val="center"/>
                </w:tcPr>
                <w:p w14:paraId="33ECCB88">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rPr>
                    <w:t>/</w:t>
                  </w:r>
                </w:p>
              </w:tc>
              <w:tc>
                <w:tcPr>
                  <w:tcW w:w="1329" w:type="dxa"/>
                  <w:tcBorders>
                    <w:tl2br w:val="nil"/>
                    <w:tr2bl w:val="nil"/>
                  </w:tcBorders>
                  <w:noWrap w:val="0"/>
                  <w:tcMar>
                    <w:top w:w="0" w:type="dxa"/>
                    <w:left w:w="28" w:type="dxa"/>
                    <w:bottom w:w="0" w:type="dxa"/>
                    <w:right w:w="28" w:type="dxa"/>
                  </w:tcMar>
                  <w:vAlign w:val="center"/>
                </w:tcPr>
                <w:p w14:paraId="140221D3">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rPr>
                    <w:t>/</w:t>
                  </w:r>
                </w:p>
              </w:tc>
              <w:tc>
                <w:tcPr>
                  <w:tcW w:w="1329" w:type="dxa"/>
                  <w:tcBorders>
                    <w:tl2br w:val="nil"/>
                    <w:tr2bl w:val="nil"/>
                  </w:tcBorders>
                  <w:noWrap w:val="0"/>
                  <w:tcMar>
                    <w:top w:w="0" w:type="dxa"/>
                    <w:left w:w="28" w:type="dxa"/>
                    <w:bottom w:w="0" w:type="dxa"/>
                    <w:right w:w="28" w:type="dxa"/>
                  </w:tcMar>
                  <w:vAlign w:val="center"/>
                </w:tcPr>
                <w:p w14:paraId="67810DA5">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rPr>
                    <w:t>/</w:t>
                  </w:r>
                </w:p>
              </w:tc>
              <w:tc>
                <w:tcPr>
                  <w:tcW w:w="1261" w:type="dxa"/>
                  <w:tcBorders>
                    <w:tl2br w:val="nil"/>
                    <w:tr2bl w:val="nil"/>
                  </w:tcBorders>
                  <w:noWrap w:val="0"/>
                  <w:tcMar>
                    <w:top w:w="0" w:type="dxa"/>
                    <w:left w:w="28" w:type="dxa"/>
                    <w:bottom w:w="0" w:type="dxa"/>
                    <w:right w:w="28" w:type="dxa"/>
                  </w:tcMar>
                  <w:vAlign w:val="center"/>
                </w:tcPr>
                <w:p w14:paraId="50E0CB60">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w:t>
                  </w:r>
                </w:p>
              </w:tc>
              <w:tc>
                <w:tcPr>
                  <w:tcW w:w="1397" w:type="dxa"/>
                  <w:tcBorders>
                    <w:tl2br w:val="nil"/>
                    <w:tr2bl w:val="nil"/>
                  </w:tcBorders>
                  <w:noWrap w:val="0"/>
                  <w:tcMar>
                    <w:top w:w="0" w:type="dxa"/>
                    <w:left w:w="28" w:type="dxa"/>
                    <w:bottom w:w="0" w:type="dxa"/>
                    <w:right w:w="28" w:type="dxa"/>
                  </w:tcMar>
                  <w:vAlign w:val="center"/>
                </w:tcPr>
                <w:p w14:paraId="1A9B0947">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rPr>
                    <w:t>/</w:t>
                  </w:r>
                </w:p>
              </w:tc>
            </w:tr>
            <w:tr w14:paraId="6413AC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7ADA48D7">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39周</w:t>
                  </w:r>
                </w:p>
              </w:tc>
              <w:tc>
                <w:tcPr>
                  <w:tcW w:w="1211" w:type="dxa"/>
                  <w:tcBorders>
                    <w:tl2br w:val="nil"/>
                    <w:tr2bl w:val="nil"/>
                  </w:tcBorders>
                  <w:noWrap w:val="0"/>
                  <w:tcMar>
                    <w:top w:w="0" w:type="dxa"/>
                    <w:left w:w="28" w:type="dxa"/>
                    <w:bottom w:w="0" w:type="dxa"/>
                    <w:right w:w="28" w:type="dxa"/>
                  </w:tcMar>
                  <w:vAlign w:val="center"/>
                </w:tcPr>
                <w:p w14:paraId="7FE74D6B">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27.8 </w:t>
                  </w:r>
                </w:p>
              </w:tc>
              <w:tc>
                <w:tcPr>
                  <w:tcW w:w="1329" w:type="dxa"/>
                  <w:tcBorders>
                    <w:tl2br w:val="nil"/>
                    <w:tr2bl w:val="nil"/>
                  </w:tcBorders>
                  <w:noWrap w:val="0"/>
                  <w:tcMar>
                    <w:top w:w="0" w:type="dxa"/>
                    <w:left w:w="28" w:type="dxa"/>
                    <w:bottom w:w="0" w:type="dxa"/>
                    <w:right w:w="28" w:type="dxa"/>
                  </w:tcMar>
                  <w:vAlign w:val="center"/>
                </w:tcPr>
                <w:p w14:paraId="1281B0BC">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0.790 </w:t>
                  </w:r>
                </w:p>
              </w:tc>
              <w:tc>
                <w:tcPr>
                  <w:tcW w:w="1329" w:type="dxa"/>
                  <w:tcBorders>
                    <w:tl2br w:val="nil"/>
                    <w:tr2bl w:val="nil"/>
                  </w:tcBorders>
                  <w:noWrap w:val="0"/>
                  <w:tcMar>
                    <w:top w:w="0" w:type="dxa"/>
                    <w:left w:w="28" w:type="dxa"/>
                    <w:bottom w:w="0" w:type="dxa"/>
                    <w:right w:w="28" w:type="dxa"/>
                  </w:tcMar>
                  <w:vAlign w:val="center"/>
                </w:tcPr>
                <w:p w14:paraId="401EA3EB">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0.352</w:t>
                  </w:r>
                </w:p>
              </w:tc>
              <w:tc>
                <w:tcPr>
                  <w:tcW w:w="1261" w:type="dxa"/>
                  <w:tcBorders>
                    <w:tl2br w:val="nil"/>
                    <w:tr2bl w:val="nil"/>
                  </w:tcBorders>
                  <w:noWrap w:val="0"/>
                  <w:tcMar>
                    <w:top w:w="0" w:type="dxa"/>
                    <w:left w:w="28" w:type="dxa"/>
                    <w:bottom w:w="0" w:type="dxa"/>
                    <w:right w:w="28" w:type="dxa"/>
                  </w:tcMar>
                  <w:vAlign w:val="center"/>
                </w:tcPr>
                <w:p w14:paraId="0ABDA878">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8.60</w:t>
                  </w:r>
                </w:p>
              </w:tc>
              <w:tc>
                <w:tcPr>
                  <w:tcW w:w="1397" w:type="dxa"/>
                  <w:tcBorders>
                    <w:tl2br w:val="nil"/>
                    <w:tr2bl w:val="nil"/>
                  </w:tcBorders>
                  <w:noWrap w:val="0"/>
                  <w:tcMar>
                    <w:top w:w="0" w:type="dxa"/>
                    <w:left w:w="28" w:type="dxa"/>
                    <w:bottom w:w="0" w:type="dxa"/>
                    <w:right w:w="28" w:type="dxa"/>
                  </w:tcMar>
                  <w:vAlign w:val="center"/>
                </w:tcPr>
                <w:p w14:paraId="51FFD63D">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10.1</w:t>
                  </w:r>
                </w:p>
              </w:tc>
            </w:tr>
            <w:tr w14:paraId="148A5D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593F5678">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40周</w:t>
                  </w:r>
                </w:p>
              </w:tc>
              <w:tc>
                <w:tcPr>
                  <w:tcW w:w="1211" w:type="dxa"/>
                  <w:tcBorders>
                    <w:tl2br w:val="nil"/>
                    <w:tr2bl w:val="nil"/>
                  </w:tcBorders>
                  <w:noWrap w:val="0"/>
                  <w:tcMar>
                    <w:top w:w="0" w:type="dxa"/>
                    <w:left w:w="28" w:type="dxa"/>
                    <w:bottom w:w="0" w:type="dxa"/>
                    <w:right w:w="28" w:type="dxa"/>
                  </w:tcMar>
                  <w:vAlign w:val="center"/>
                </w:tcPr>
                <w:p w14:paraId="508E026B">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22.4 </w:t>
                  </w:r>
                </w:p>
              </w:tc>
              <w:tc>
                <w:tcPr>
                  <w:tcW w:w="1329" w:type="dxa"/>
                  <w:tcBorders>
                    <w:tl2br w:val="nil"/>
                    <w:tr2bl w:val="nil"/>
                  </w:tcBorders>
                  <w:noWrap w:val="0"/>
                  <w:tcMar>
                    <w:top w:w="0" w:type="dxa"/>
                    <w:left w:w="28" w:type="dxa"/>
                    <w:bottom w:w="0" w:type="dxa"/>
                    <w:right w:w="28" w:type="dxa"/>
                  </w:tcMar>
                  <w:vAlign w:val="center"/>
                </w:tcPr>
                <w:p w14:paraId="0A0DE7D5">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1.687 </w:t>
                  </w:r>
                </w:p>
              </w:tc>
              <w:tc>
                <w:tcPr>
                  <w:tcW w:w="1329" w:type="dxa"/>
                  <w:tcBorders>
                    <w:tl2br w:val="nil"/>
                    <w:tr2bl w:val="nil"/>
                  </w:tcBorders>
                  <w:noWrap w:val="0"/>
                  <w:tcMar>
                    <w:top w:w="0" w:type="dxa"/>
                    <w:left w:w="28" w:type="dxa"/>
                    <w:bottom w:w="0" w:type="dxa"/>
                    <w:right w:w="28" w:type="dxa"/>
                  </w:tcMar>
                  <w:vAlign w:val="center"/>
                </w:tcPr>
                <w:p w14:paraId="31F204BB">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0.365</w:t>
                  </w:r>
                </w:p>
              </w:tc>
              <w:tc>
                <w:tcPr>
                  <w:tcW w:w="1261" w:type="dxa"/>
                  <w:tcBorders>
                    <w:tl2br w:val="nil"/>
                    <w:tr2bl w:val="nil"/>
                  </w:tcBorders>
                  <w:noWrap w:val="0"/>
                  <w:tcMar>
                    <w:top w:w="0" w:type="dxa"/>
                    <w:left w:w="28" w:type="dxa"/>
                    <w:bottom w:w="0" w:type="dxa"/>
                    <w:right w:w="28" w:type="dxa"/>
                  </w:tcMar>
                  <w:vAlign w:val="center"/>
                </w:tcPr>
                <w:p w14:paraId="5C8CF5F9">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8.66</w:t>
                  </w:r>
                </w:p>
              </w:tc>
              <w:tc>
                <w:tcPr>
                  <w:tcW w:w="1397" w:type="dxa"/>
                  <w:tcBorders>
                    <w:tl2br w:val="nil"/>
                    <w:tr2bl w:val="nil"/>
                  </w:tcBorders>
                  <w:noWrap w:val="0"/>
                  <w:tcMar>
                    <w:top w:w="0" w:type="dxa"/>
                    <w:left w:w="28" w:type="dxa"/>
                    <w:bottom w:w="0" w:type="dxa"/>
                    <w:right w:w="28" w:type="dxa"/>
                  </w:tcMar>
                  <w:vAlign w:val="center"/>
                </w:tcPr>
                <w:p w14:paraId="45B9ACC0">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8.8</w:t>
                  </w:r>
                </w:p>
              </w:tc>
            </w:tr>
            <w:tr w14:paraId="03E38F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51F0642D">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41周</w:t>
                  </w:r>
                </w:p>
              </w:tc>
              <w:tc>
                <w:tcPr>
                  <w:tcW w:w="1211" w:type="dxa"/>
                  <w:tcBorders>
                    <w:tl2br w:val="nil"/>
                    <w:tr2bl w:val="nil"/>
                  </w:tcBorders>
                  <w:noWrap w:val="0"/>
                  <w:tcMar>
                    <w:top w:w="0" w:type="dxa"/>
                    <w:left w:w="28" w:type="dxa"/>
                    <w:bottom w:w="0" w:type="dxa"/>
                    <w:right w:w="28" w:type="dxa"/>
                  </w:tcMar>
                  <w:vAlign w:val="center"/>
                </w:tcPr>
                <w:p w14:paraId="3345C059">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23.1 </w:t>
                  </w:r>
                </w:p>
              </w:tc>
              <w:tc>
                <w:tcPr>
                  <w:tcW w:w="1329" w:type="dxa"/>
                  <w:tcBorders>
                    <w:tl2br w:val="nil"/>
                    <w:tr2bl w:val="nil"/>
                  </w:tcBorders>
                  <w:noWrap w:val="0"/>
                  <w:tcMar>
                    <w:top w:w="0" w:type="dxa"/>
                    <w:left w:w="28" w:type="dxa"/>
                    <w:bottom w:w="0" w:type="dxa"/>
                    <w:right w:w="28" w:type="dxa"/>
                  </w:tcMar>
                  <w:vAlign w:val="center"/>
                </w:tcPr>
                <w:p w14:paraId="69A93DAA">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0.394 </w:t>
                  </w:r>
                </w:p>
              </w:tc>
              <w:tc>
                <w:tcPr>
                  <w:tcW w:w="1329" w:type="dxa"/>
                  <w:tcBorders>
                    <w:tl2br w:val="nil"/>
                    <w:tr2bl w:val="nil"/>
                  </w:tcBorders>
                  <w:noWrap w:val="0"/>
                  <w:tcMar>
                    <w:top w:w="0" w:type="dxa"/>
                    <w:left w:w="28" w:type="dxa"/>
                    <w:bottom w:w="0" w:type="dxa"/>
                    <w:right w:w="28" w:type="dxa"/>
                  </w:tcMar>
                  <w:vAlign w:val="center"/>
                </w:tcPr>
                <w:p w14:paraId="5B6A2F50">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0.244</w:t>
                  </w:r>
                </w:p>
              </w:tc>
              <w:tc>
                <w:tcPr>
                  <w:tcW w:w="1261" w:type="dxa"/>
                  <w:tcBorders>
                    <w:tl2br w:val="nil"/>
                    <w:tr2bl w:val="nil"/>
                  </w:tcBorders>
                  <w:noWrap w:val="0"/>
                  <w:tcMar>
                    <w:top w:w="0" w:type="dxa"/>
                    <w:left w:w="28" w:type="dxa"/>
                    <w:bottom w:w="0" w:type="dxa"/>
                    <w:right w:w="28" w:type="dxa"/>
                  </w:tcMar>
                  <w:vAlign w:val="center"/>
                </w:tcPr>
                <w:p w14:paraId="09E55512">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8.04</w:t>
                  </w:r>
                </w:p>
              </w:tc>
              <w:tc>
                <w:tcPr>
                  <w:tcW w:w="1397" w:type="dxa"/>
                  <w:tcBorders>
                    <w:tl2br w:val="nil"/>
                    <w:tr2bl w:val="nil"/>
                  </w:tcBorders>
                  <w:noWrap w:val="0"/>
                  <w:tcMar>
                    <w:top w:w="0" w:type="dxa"/>
                    <w:left w:w="28" w:type="dxa"/>
                    <w:bottom w:w="0" w:type="dxa"/>
                    <w:right w:w="28" w:type="dxa"/>
                  </w:tcMar>
                  <w:vAlign w:val="center"/>
                </w:tcPr>
                <w:p w14:paraId="3D614D90">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8.8</w:t>
                  </w:r>
                </w:p>
              </w:tc>
            </w:tr>
            <w:tr w14:paraId="29CA1D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505FA9B2">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42周</w:t>
                  </w:r>
                </w:p>
              </w:tc>
              <w:tc>
                <w:tcPr>
                  <w:tcW w:w="1211" w:type="dxa"/>
                  <w:tcBorders>
                    <w:tl2br w:val="nil"/>
                    <w:tr2bl w:val="nil"/>
                  </w:tcBorders>
                  <w:noWrap w:val="0"/>
                  <w:tcMar>
                    <w:top w:w="0" w:type="dxa"/>
                    <w:left w:w="28" w:type="dxa"/>
                    <w:bottom w:w="0" w:type="dxa"/>
                    <w:right w:w="28" w:type="dxa"/>
                  </w:tcMar>
                  <w:vAlign w:val="center"/>
                </w:tcPr>
                <w:p w14:paraId="387D3FAE">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28.0 </w:t>
                  </w:r>
                </w:p>
              </w:tc>
              <w:tc>
                <w:tcPr>
                  <w:tcW w:w="1329" w:type="dxa"/>
                  <w:tcBorders>
                    <w:tl2br w:val="nil"/>
                    <w:tr2bl w:val="nil"/>
                  </w:tcBorders>
                  <w:noWrap w:val="0"/>
                  <w:tcMar>
                    <w:top w:w="0" w:type="dxa"/>
                    <w:left w:w="28" w:type="dxa"/>
                    <w:bottom w:w="0" w:type="dxa"/>
                    <w:right w:w="28" w:type="dxa"/>
                  </w:tcMar>
                  <w:vAlign w:val="center"/>
                </w:tcPr>
                <w:p w14:paraId="7E8A03C4">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1.350 </w:t>
                  </w:r>
                </w:p>
              </w:tc>
              <w:tc>
                <w:tcPr>
                  <w:tcW w:w="1329" w:type="dxa"/>
                  <w:tcBorders>
                    <w:tl2br w:val="nil"/>
                    <w:tr2bl w:val="nil"/>
                  </w:tcBorders>
                  <w:noWrap w:val="0"/>
                  <w:tcMar>
                    <w:top w:w="0" w:type="dxa"/>
                    <w:left w:w="28" w:type="dxa"/>
                    <w:bottom w:w="0" w:type="dxa"/>
                    <w:right w:w="28" w:type="dxa"/>
                  </w:tcMar>
                  <w:vAlign w:val="center"/>
                </w:tcPr>
                <w:p w14:paraId="4DEB2DE7">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0.491</w:t>
                  </w:r>
                </w:p>
              </w:tc>
              <w:tc>
                <w:tcPr>
                  <w:tcW w:w="1261" w:type="dxa"/>
                  <w:tcBorders>
                    <w:tl2br w:val="nil"/>
                    <w:tr2bl w:val="nil"/>
                  </w:tcBorders>
                  <w:noWrap w:val="0"/>
                  <w:tcMar>
                    <w:top w:w="0" w:type="dxa"/>
                    <w:left w:w="28" w:type="dxa"/>
                    <w:bottom w:w="0" w:type="dxa"/>
                    <w:right w:w="28" w:type="dxa"/>
                  </w:tcMar>
                  <w:vAlign w:val="center"/>
                </w:tcPr>
                <w:p w14:paraId="022F9282">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9.85</w:t>
                  </w:r>
                </w:p>
              </w:tc>
              <w:tc>
                <w:tcPr>
                  <w:tcW w:w="1397" w:type="dxa"/>
                  <w:tcBorders>
                    <w:tl2br w:val="nil"/>
                    <w:tr2bl w:val="nil"/>
                  </w:tcBorders>
                  <w:noWrap w:val="0"/>
                  <w:tcMar>
                    <w:top w:w="0" w:type="dxa"/>
                    <w:left w:w="28" w:type="dxa"/>
                    <w:bottom w:w="0" w:type="dxa"/>
                    <w:right w:w="28" w:type="dxa"/>
                  </w:tcMar>
                  <w:vAlign w:val="center"/>
                </w:tcPr>
                <w:p w14:paraId="2E39F066">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10.2</w:t>
                  </w:r>
                </w:p>
              </w:tc>
            </w:tr>
            <w:tr w14:paraId="5E7C86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06DAD0B1">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43周</w:t>
                  </w:r>
                </w:p>
              </w:tc>
              <w:tc>
                <w:tcPr>
                  <w:tcW w:w="1211" w:type="dxa"/>
                  <w:tcBorders>
                    <w:tl2br w:val="nil"/>
                    <w:tr2bl w:val="nil"/>
                  </w:tcBorders>
                  <w:noWrap w:val="0"/>
                  <w:tcMar>
                    <w:top w:w="0" w:type="dxa"/>
                    <w:left w:w="28" w:type="dxa"/>
                    <w:bottom w:w="0" w:type="dxa"/>
                    <w:right w:w="28" w:type="dxa"/>
                  </w:tcMar>
                  <w:vAlign w:val="center"/>
                </w:tcPr>
                <w:p w14:paraId="10FC32DF">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22.7 </w:t>
                  </w:r>
                </w:p>
              </w:tc>
              <w:tc>
                <w:tcPr>
                  <w:tcW w:w="1329" w:type="dxa"/>
                  <w:tcBorders>
                    <w:tl2br w:val="nil"/>
                    <w:tr2bl w:val="nil"/>
                  </w:tcBorders>
                  <w:noWrap w:val="0"/>
                  <w:tcMar>
                    <w:top w:w="0" w:type="dxa"/>
                    <w:left w:w="28" w:type="dxa"/>
                    <w:bottom w:w="0" w:type="dxa"/>
                    <w:right w:w="28" w:type="dxa"/>
                  </w:tcMar>
                  <w:vAlign w:val="center"/>
                </w:tcPr>
                <w:p w14:paraId="026C9BDA">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1.1 </w:t>
                  </w:r>
                </w:p>
              </w:tc>
              <w:tc>
                <w:tcPr>
                  <w:tcW w:w="1329" w:type="dxa"/>
                  <w:tcBorders>
                    <w:tl2br w:val="nil"/>
                    <w:tr2bl w:val="nil"/>
                  </w:tcBorders>
                  <w:noWrap w:val="0"/>
                  <w:tcMar>
                    <w:top w:w="0" w:type="dxa"/>
                    <w:left w:w="28" w:type="dxa"/>
                    <w:bottom w:w="0" w:type="dxa"/>
                    <w:right w:w="28" w:type="dxa"/>
                  </w:tcMar>
                  <w:vAlign w:val="center"/>
                </w:tcPr>
                <w:p w14:paraId="6DAEA812">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0.4 </w:t>
                  </w:r>
                </w:p>
              </w:tc>
              <w:tc>
                <w:tcPr>
                  <w:tcW w:w="1261" w:type="dxa"/>
                  <w:tcBorders>
                    <w:tl2br w:val="nil"/>
                    <w:tr2bl w:val="nil"/>
                  </w:tcBorders>
                  <w:noWrap w:val="0"/>
                  <w:tcMar>
                    <w:top w:w="0" w:type="dxa"/>
                    <w:left w:w="28" w:type="dxa"/>
                    <w:bottom w:w="0" w:type="dxa"/>
                    <w:right w:w="28" w:type="dxa"/>
                  </w:tcMar>
                  <w:vAlign w:val="center"/>
                </w:tcPr>
                <w:p w14:paraId="270E89DB">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9.0</w:t>
                  </w:r>
                </w:p>
              </w:tc>
              <w:tc>
                <w:tcPr>
                  <w:tcW w:w="1397" w:type="dxa"/>
                  <w:tcBorders>
                    <w:tl2br w:val="nil"/>
                    <w:tr2bl w:val="nil"/>
                  </w:tcBorders>
                  <w:noWrap w:val="0"/>
                  <w:tcMar>
                    <w:top w:w="0" w:type="dxa"/>
                    <w:left w:w="28" w:type="dxa"/>
                    <w:bottom w:w="0" w:type="dxa"/>
                    <w:right w:w="28" w:type="dxa"/>
                  </w:tcMar>
                  <w:vAlign w:val="center"/>
                </w:tcPr>
                <w:p w14:paraId="5F0FCD59">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8.7</w:t>
                  </w:r>
                </w:p>
              </w:tc>
            </w:tr>
            <w:tr w14:paraId="060FE2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6DA88050">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44周</w:t>
                  </w:r>
                </w:p>
              </w:tc>
              <w:tc>
                <w:tcPr>
                  <w:tcW w:w="1211" w:type="dxa"/>
                  <w:tcBorders>
                    <w:tl2br w:val="nil"/>
                    <w:tr2bl w:val="nil"/>
                  </w:tcBorders>
                  <w:noWrap w:val="0"/>
                  <w:tcMar>
                    <w:top w:w="0" w:type="dxa"/>
                    <w:left w:w="28" w:type="dxa"/>
                    <w:bottom w:w="0" w:type="dxa"/>
                    <w:right w:w="28" w:type="dxa"/>
                  </w:tcMar>
                  <w:vAlign w:val="center"/>
                </w:tcPr>
                <w:p w14:paraId="102E04FA">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24.9 </w:t>
                  </w:r>
                </w:p>
              </w:tc>
              <w:tc>
                <w:tcPr>
                  <w:tcW w:w="1329" w:type="dxa"/>
                  <w:tcBorders>
                    <w:tl2br w:val="nil"/>
                    <w:tr2bl w:val="nil"/>
                  </w:tcBorders>
                  <w:noWrap w:val="0"/>
                  <w:tcMar>
                    <w:top w:w="0" w:type="dxa"/>
                    <w:left w:w="28" w:type="dxa"/>
                    <w:bottom w:w="0" w:type="dxa"/>
                    <w:right w:w="28" w:type="dxa"/>
                  </w:tcMar>
                  <w:vAlign w:val="center"/>
                </w:tcPr>
                <w:p w14:paraId="5B82B989">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0.656 </w:t>
                  </w:r>
                </w:p>
              </w:tc>
              <w:tc>
                <w:tcPr>
                  <w:tcW w:w="1329" w:type="dxa"/>
                  <w:tcBorders>
                    <w:tl2br w:val="nil"/>
                    <w:tr2bl w:val="nil"/>
                  </w:tcBorders>
                  <w:noWrap w:val="0"/>
                  <w:tcMar>
                    <w:top w:w="0" w:type="dxa"/>
                    <w:left w:w="28" w:type="dxa"/>
                    <w:bottom w:w="0" w:type="dxa"/>
                    <w:right w:w="28" w:type="dxa"/>
                  </w:tcMar>
                  <w:vAlign w:val="center"/>
                </w:tcPr>
                <w:p w14:paraId="5D8F1397">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0.312 </w:t>
                  </w:r>
                </w:p>
              </w:tc>
              <w:tc>
                <w:tcPr>
                  <w:tcW w:w="1261" w:type="dxa"/>
                  <w:tcBorders>
                    <w:tl2br w:val="nil"/>
                    <w:tr2bl w:val="nil"/>
                  </w:tcBorders>
                  <w:noWrap w:val="0"/>
                  <w:tcMar>
                    <w:top w:w="0" w:type="dxa"/>
                    <w:left w:w="28" w:type="dxa"/>
                    <w:bottom w:w="0" w:type="dxa"/>
                    <w:right w:w="28" w:type="dxa"/>
                  </w:tcMar>
                  <w:vAlign w:val="center"/>
                </w:tcPr>
                <w:p w14:paraId="5CBFC551">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8.54</w:t>
                  </w:r>
                </w:p>
              </w:tc>
              <w:tc>
                <w:tcPr>
                  <w:tcW w:w="1397" w:type="dxa"/>
                  <w:tcBorders>
                    <w:tl2br w:val="nil"/>
                    <w:tr2bl w:val="nil"/>
                  </w:tcBorders>
                  <w:noWrap w:val="0"/>
                  <w:tcMar>
                    <w:top w:w="0" w:type="dxa"/>
                    <w:left w:w="28" w:type="dxa"/>
                    <w:bottom w:w="0" w:type="dxa"/>
                    <w:right w:w="28" w:type="dxa"/>
                  </w:tcMar>
                  <w:vAlign w:val="center"/>
                </w:tcPr>
                <w:p w14:paraId="54A6177A">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9.2</w:t>
                  </w:r>
                </w:p>
              </w:tc>
            </w:tr>
            <w:tr w14:paraId="631E9F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3294F63D">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45周</w:t>
                  </w:r>
                </w:p>
              </w:tc>
              <w:tc>
                <w:tcPr>
                  <w:tcW w:w="1211" w:type="dxa"/>
                  <w:tcBorders>
                    <w:tl2br w:val="nil"/>
                    <w:tr2bl w:val="nil"/>
                  </w:tcBorders>
                  <w:noWrap w:val="0"/>
                  <w:tcMar>
                    <w:top w:w="0" w:type="dxa"/>
                    <w:left w:w="28" w:type="dxa"/>
                    <w:bottom w:w="0" w:type="dxa"/>
                    <w:right w:w="28" w:type="dxa"/>
                  </w:tcMar>
                  <w:vAlign w:val="center"/>
                </w:tcPr>
                <w:p w14:paraId="3567F3FB">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21.9 </w:t>
                  </w:r>
                </w:p>
              </w:tc>
              <w:tc>
                <w:tcPr>
                  <w:tcW w:w="1329" w:type="dxa"/>
                  <w:tcBorders>
                    <w:tl2br w:val="nil"/>
                    <w:tr2bl w:val="nil"/>
                  </w:tcBorders>
                  <w:noWrap w:val="0"/>
                  <w:tcMar>
                    <w:top w:w="0" w:type="dxa"/>
                    <w:left w:w="28" w:type="dxa"/>
                    <w:bottom w:w="0" w:type="dxa"/>
                    <w:right w:w="28" w:type="dxa"/>
                  </w:tcMar>
                  <w:vAlign w:val="center"/>
                </w:tcPr>
                <w:p w14:paraId="052C8FC6">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0.364 </w:t>
                  </w:r>
                </w:p>
              </w:tc>
              <w:tc>
                <w:tcPr>
                  <w:tcW w:w="1329" w:type="dxa"/>
                  <w:tcBorders>
                    <w:tl2br w:val="nil"/>
                    <w:tr2bl w:val="nil"/>
                  </w:tcBorders>
                  <w:noWrap w:val="0"/>
                  <w:tcMar>
                    <w:top w:w="0" w:type="dxa"/>
                    <w:left w:w="28" w:type="dxa"/>
                    <w:bottom w:w="0" w:type="dxa"/>
                    <w:right w:w="28" w:type="dxa"/>
                  </w:tcMar>
                  <w:vAlign w:val="center"/>
                </w:tcPr>
                <w:p w14:paraId="1ABCCB9E">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0.238 </w:t>
                  </w:r>
                </w:p>
              </w:tc>
              <w:tc>
                <w:tcPr>
                  <w:tcW w:w="1261" w:type="dxa"/>
                  <w:tcBorders>
                    <w:tl2br w:val="nil"/>
                    <w:tr2bl w:val="nil"/>
                  </w:tcBorders>
                  <w:noWrap w:val="0"/>
                  <w:tcMar>
                    <w:top w:w="0" w:type="dxa"/>
                    <w:left w:w="28" w:type="dxa"/>
                    <w:bottom w:w="0" w:type="dxa"/>
                    <w:right w:w="28" w:type="dxa"/>
                  </w:tcMar>
                  <w:vAlign w:val="center"/>
                </w:tcPr>
                <w:p w14:paraId="72EE96B5">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9.40</w:t>
                  </w:r>
                </w:p>
              </w:tc>
              <w:tc>
                <w:tcPr>
                  <w:tcW w:w="1397" w:type="dxa"/>
                  <w:tcBorders>
                    <w:tl2br w:val="nil"/>
                    <w:tr2bl w:val="nil"/>
                  </w:tcBorders>
                  <w:noWrap w:val="0"/>
                  <w:tcMar>
                    <w:top w:w="0" w:type="dxa"/>
                    <w:left w:w="28" w:type="dxa"/>
                    <w:bottom w:w="0" w:type="dxa"/>
                    <w:right w:w="28" w:type="dxa"/>
                  </w:tcMar>
                  <w:vAlign w:val="center"/>
                </w:tcPr>
                <w:p w14:paraId="24195933">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8.0</w:t>
                  </w:r>
                </w:p>
              </w:tc>
            </w:tr>
            <w:tr w14:paraId="66DEFF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42B82ACB">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46周</w:t>
                  </w:r>
                </w:p>
              </w:tc>
              <w:tc>
                <w:tcPr>
                  <w:tcW w:w="1211" w:type="dxa"/>
                  <w:tcBorders>
                    <w:tl2br w:val="nil"/>
                    <w:tr2bl w:val="nil"/>
                  </w:tcBorders>
                  <w:noWrap w:val="0"/>
                  <w:tcMar>
                    <w:top w:w="0" w:type="dxa"/>
                    <w:left w:w="28" w:type="dxa"/>
                    <w:bottom w:w="0" w:type="dxa"/>
                    <w:right w:w="28" w:type="dxa"/>
                  </w:tcMar>
                  <w:vAlign w:val="center"/>
                </w:tcPr>
                <w:p w14:paraId="5366D048">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20.0 </w:t>
                  </w:r>
                </w:p>
              </w:tc>
              <w:tc>
                <w:tcPr>
                  <w:tcW w:w="1329" w:type="dxa"/>
                  <w:tcBorders>
                    <w:tl2br w:val="nil"/>
                    <w:tr2bl w:val="nil"/>
                  </w:tcBorders>
                  <w:noWrap w:val="0"/>
                  <w:tcMar>
                    <w:top w:w="0" w:type="dxa"/>
                    <w:left w:w="28" w:type="dxa"/>
                    <w:bottom w:w="0" w:type="dxa"/>
                    <w:right w:w="28" w:type="dxa"/>
                  </w:tcMar>
                  <w:vAlign w:val="center"/>
                </w:tcPr>
                <w:p w14:paraId="2EA0E638">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0.550 </w:t>
                  </w:r>
                </w:p>
              </w:tc>
              <w:tc>
                <w:tcPr>
                  <w:tcW w:w="1329" w:type="dxa"/>
                  <w:tcBorders>
                    <w:tl2br w:val="nil"/>
                    <w:tr2bl w:val="nil"/>
                  </w:tcBorders>
                  <w:noWrap w:val="0"/>
                  <w:tcMar>
                    <w:top w:w="0" w:type="dxa"/>
                    <w:left w:w="28" w:type="dxa"/>
                    <w:bottom w:w="0" w:type="dxa"/>
                    <w:right w:w="28" w:type="dxa"/>
                  </w:tcMar>
                  <w:vAlign w:val="center"/>
                </w:tcPr>
                <w:p w14:paraId="1BDAE2CE">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0.421 </w:t>
                  </w:r>
                </w:p>
              </w:tc>
              <w:tc>
                <w:tcPr>
                  <w:tcW w:w="1261" w:type="dxa"/>
                  <w:tcBorders>
                    <w:tl2br w:val="nil"/>
                    <w:tr2bl w:val="nil"/>
                  </w:tcBorders>
                  <w:noWrap w:val="0"/>
                  <w:tcMar>
                    <w:top w:w="0" w:type="dxa"/>
                    <w:left w:w="28" w:type="dxa"/>
                    <w:bottom w:w="0" w:type="dxa"/>
                    <w:right w:w="28" w:type="dxa"/>
                  </w:tcMar>
                  <w:vAlign w:val="center"/>
                </w:tcPr>
                <w:p w14:paraId="5A854B26">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9.40</w:t>
                  </w:r>
                </w:p>
              </w:tc>
              <w:tc>
                <w:tcPr>
                  <w:tcW w:w="1397" w:type="dxa"/>
                  <w:tcBorders>
                    <w:tl2br w:val="nil"/>
                    <w:tr2bl w:val="nil"/>
                  </w:tcBorders>
                  <w:noWrap w:val="0"/>
                  <w:tcMar>
                    <w:top w:w="0" w:type="dxa"/>
                    <w:left w:w="28" w:type="dxa"/>
                    <w:bottom w:w="0" w:type="dxa"/>
                    <w:right w:w="28" w:type="dxa"/>
                  </w:tcMar>
                  <w:vAlign w:val="center"/>
                </w:tcPr>
                <w:p w14:paraId="1621CF34">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6.8</w:t>
                  </w:r>
                </w:p>
              </w:tc>
            </w:tr>
            <w:tr w14:paraId="4FFCBC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7570C2BC">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47周</w:t>
                  </w:r>
                </w:p>
              </w:tc>
              <w:tc>
                <w:tcPr>
                  <w:tcW w:w="1211" w:type="dxa"/>
                  <w:tcBorders>
                    <w:tl2br w:val="nil"/>
                    <w:tr2bl w:val="nil"/>
                  </w:tcBorders>
                  <w:noWrap w:val="0"/>
                  <w:tcMar>
                    <w:top w:w="0" w:type="dxa"/>
                    <w:left w:w="28" w:type="dxa"/>
                    <w:bottom w:w="0" w:type="dxa"/>
                    <w:right w:w="28" w:type="dxa"/>
                  </w:tcMar>
                  <w:vAlign w:val="center"/>
                </w:tcPr>
                <w:p w14:paraId="6D87784D">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15.5 </w:t>
                  </w:r>
                </w:p>
              </w:tc>
              <w:tc>
                <w:tcPr>
                  <w:tcW w:w="1329" w:type="dxa"/>
                  <w:tcBorders>
                    <w:tl2br w:val="nil"/>
                    <w:tr2bl w:val="nil"/>
                  </w:tcBorders>
                  <w:noWrap w:val="0"/>
                  <w:tcMar>
                    <w:top w:w="0" w:type="dxa"/>
                    <w:left w:w="28" w:type="dxa"/>
                    <w:bottom w:w="0" w:type="dxa"/>
                    <w:right w:w="28" w:type="dxa"/>
                  </w:tcMar>
                  <w:vAlign w:val="center"/>
                </w:tcPr>
                <w:p w14:paraId="7F465431">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0.518 </w:t>
                  </w:r>
                </w:p>
              </w:tc>
              <w:tc>
                <w:tcPr>
                  <w:tcW w:w="1329" w:type="dxa"/>
                  <w:tcBorders>
                    <w:tl2br w:val="nil"/>
                    <w:tr2bl w:val="nil"/>
                  </w:tcBorders>
                  <w:noWrap w:val="0"/>
                  <w:tcMar>
                    <w:top w:w="0" w:type="dxa"/>
                    <w:left w:w="28" w:type="dxa"/>
                    <w:bottom w:w="0" w:type="dxa"/>
                    <w:right w:w="28" w:type="dxa"/>
                  </w:tcMar>
                  <w:vAlign w:val="center"/>
                </w:tcPr>
                <w:p w14:paraId="25DB4C91">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0.340 </w:t>
                  </w:r>
                </w:p>
              </w:tc>
              <w:tc>
                <w:tcPr>
                  <w:tcW w:w="1261" w:type="dxa"/>
                  <w:tcBorders>
                    <w:tl2br w:val="nil"/>
                    <w:tr2bl w:val="nil"/>
                  </w:tcBorders>
                  <w:noWrap w:val="0"/>
                  <w:tcMar>
                    <w:top w:w="0" w:type="dxa"/>
                    <w:left w:w="28" w:type="dxa"/>
                    <w:bottom w:w="0" w:type="dxa"/>
                    <w:right w:w="28" w:type="dxa"/>
                  </w:tcMar>
                  <w:vAlign w:val="center"/>
                </w:tcPr>
                <w:p w14:paraId="252F22EC">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10.00</w:t>
                  </w:r>
                </w:p>
              </w:tc>
              <w:tc>
                <w:tcPr>
                  <w:tcW w:w="1397" w:type="dxa"/>
                  <w:tcBorders>
                    <w:tl2br w:val="nil"/>
                    <w:tr2bl w:val="nil"/>
                  </w:tcBorders>
                  <w:noWrap w:val="0"/>
                  <w:tcMar>
                    <w:top w:w="0" w:type="dxa"/>
                    <w:left w:w="28" w:type="dxa"/>
                    <w:bottom w:w="0" w:type="dxa"/>
                    <w:right w:w="28" w:type="dxa"/>
                  </w:tcMar>
                  <w:vAlign w:val="center"/>
                </w:tcPr>
                <w:p w14:paraId="43B534C1">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5.7</w:t>
                  </w:r>
                </w:p>
              </w:tc>
            </w:tr>
            <w:tr w14:paraId="337770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5FCE22C1">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48周</w:t>
                  </w:r>
                </w:p>
              </w:tc>
              <w:tc>
                <w:tcPr>
                  <w:tcW w:w="1211" w:type="dxa"/>
                  <w:tcBorders>
                    <w:tl2br w:val="nil"/>
                    <w:tr2bl w:val="nil"/>
                  </w:tcBorders>
                  <w:noWrap w:val="0"/>
                  <w:tcMar>
                    <w:top w:w="0" w:type="dxa"/>
                    <w:left w:w="28" w:type="dxa"/>
                    <w:bottom w:w="0" w:type="dxa"/>
                    <w:right w:w="28" w:type="dxa"/>
                  </w:tcMar>
                  <w:vAlign w:val="center"/>
                </w:tcPr>
                <w:p w14:paraId="1741F0CB">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15.1 </w:t>
                  </w:r>
                </w:p>
              </w:tc>
              <w:tc>
                <w:tcPr>
                  <w:tcW w:w="1329" w:type="dxa"/>
                  <w:tcBorders>
                    <w:tl2br w:val="nil"/>
                    <w:tr2bl w:val="nil"/>
                  </w:tcBorders>
                  <w:noWrap w:val="0"/>
                  <w:tcMar>
                    <w:top w:w="0" w:type="dxa"/>
                    <w:left w:w="28" w:type="dxa"/>
                    <w:bottom w:w="0" w:type="dxa"/>
                    <w:right w:w="28" w:type="dxa"/>
                  </w:tcMar>
                  <w:vAlign w:val="center"/>
                </w:tcPr>
                <w:p w14:paraId="1315CE1D">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0.855 </w:t>
                  </w:r>
                </w:p>
              </w:tc>
              <w:tc>
                <w:tcPr>
                  <w:tcW w:w="1329" w:type="dxa"/>
                  <w:tcBorders>
                    <w:tl2br w:val="nil"/>
                    <w:tr2bl w:val="nil"/>
                  </w:tcBorders>
                  <w:noWrap w:val="0"/>
                  <w:tcMar>
                    <w:top w:w="0" w:type="dxa"/>
                    <w:left w:w="28" w:type="dxa"/>
                    <w:bottom w:w="0" w:type="dxa"/>
                    <w:right w:w="28" w:type="dxa"/>
                  </w:tcMar>
                  <w:vAlign w:val="center"/>
                </w:tcPr>
                <w:p w14:paraId="1BC37F24">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0.300 </w:t>
                  </w:r>
                </w:p>
              </w:tc>
              <w:tc>
                <w:tcPr>
                  <w:tcW w:w="1261" w:type="dxa"/>
                  <w:tcBorders>
                    <w:tl2br w:val="nil"/>
                    <w:tr2bl w:val="nil"/>
                  </w:tcBorders>
                  <w:noWrap w:val="0"/>
                  <w:tcMar>
                    <w:top w:w="0" w:type="dxa"/>
                    <w:left w:w="28" w:type="dxa"/>
                    <w:bottom w:w="0" w:type="dxa"/>
                    <w:right w:w="28" w:type="dxa"/>
                  </w:tcMar>
                  <w:vAlign w:val="center"/>
                </w:tcPr>
                <w:p w14:paraId="3E8CFCF5">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10.00</w:t>
                  </w:r>
                </w:p>
              </w:tc>
              <w:tc>
                <w:tcPr>
                  <w:tcW w:w="1397" w:type="dxa"/>
                  <w:tcBorders>
                    <w:tl2br w:val="nil"/>
                    <w:tr2bl w:val="nil"/>
                  </w:tcBorders>
                  <w:noWrap w:val="0"/>
                  <w:tcMar>
                    <w:top w:w="0" w:type="dxa"/>
                    <w:left w:w="28" w:type="dxa"/>
                    <w:bottom w:w="0" w:type="dxa"/>
                    <w:right w:w="28" w:type="dxa"/>
                  </w:tcMar>
                  <w:vAlign w:val="center"/>
                </w:tcPr>
                <w:p w14:paraId="202C6032">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3.4</w:t>
                  </w:r>
                </w:p>
              </w:tc>
            </w:tr>
            <w:tr w14:paraId="3F72C4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5A9654EE">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49周</w:t>
                  </w:r>
                </w:p>
              </w:tc>
              <w:tc>
                <w:tcPr>
                  <w:tcW w:w="1211" w:type="dxa"/>
                  <w:tcBorders>
                    <w:tl2br w:val="nil"/>
                    <w:tr2bl w:val="nil"/>
                  </w:tcBorders>
                  <w:noWrap w:val="0"/>
                  <w:tcMar>
                    <w:top w:w="0" w:type="dxa"/>
                    <w:left w:w="28" w:type="dxa"/>
                    <w:bottom w:w="0" w:type="dxa"/>
                    <w:right w:w="28" w:type="dxa"/>
                  </w:tcMar>
                  <w:vAlign w:val="center"/>
                </w:tcPr>
                <w:p w14:paraId="197D45BB">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17.6 </w:t>
                  </w:r>
                </w:p>
              </w:tc>
              <w:tc>
                <w:tcPr>
                  <w:tcW w:w="1329" w:type="dxa"/>
                  <w:tcBorders>
                    <w:tl2br w:val="nil"/>
                    <w:tr2bl w:val="nil"/>
                  </w:tcBorders>
                  <w:noWrap w:val="0"/>
                  <w:tcMar>
                    <w:top w:w="0" w:type="dxa"/>
                    <w:left w:w="28" w:type="dxa"/>
                    <w:bottom w:w="0" w:type="dxa"/>
                    <w:right w:w="28" w:type="dxa"/>
                  </w:tcMar>
                  <w:vAlign w:val="center"/>
                </w:tcPr>
                <w:p w14:paraId="308900CD">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1.390 </w:t>
                  </w:r>
                </w:p>
              </w:tc>
              <w:tc>
                <w:tcPr>
                  <w:tcW w:w="1329" w:type="dxa"/>
                  <w:tcBorders>
                    <w:tl2br w:val="nil"/>
                    <w:tr2bl w:val="nil"/>
                  </w:tcBorders>
                  <w:noWrap w:val="0"/>
                  <w:tcMar>
                    <w:top w:w="0" w:type="dxa"/>
                    <w:left w:w="28" w:type="dxa"/>
                    <w:bottom w:w="0" w:type="dxa"/>
                    <w:right w:w="28" w:type="dxa"/>
                  </w:tcMar>
                  <w:vAlign w:val="center"/>
                </w:tcPr>
                <w:p w14:paraId="45640C10">
                  <w:pPr>
                    <w:pStyle w:val="18"/>
                    <w:keepNext w:val="0"/>
                    <w:keepLines w:val="0"/>
                    <w:suppressLineNumbers w:val="0"/>
                    <w:tabs>
                      <w:tab w:val="right" w:leader="dot" w:pos="8296"/>
                    </w:tabs>
                    <w:bidi w:val="0"/>
                    <w:spacing w:before="0" w:beforeAutospacing="0" w:after="0" w:afterAutospacing="0"/>
                    <w:ind w:right="0"/>
                    <w:rPr>
                      <w:rFonts w:hint="default"/>
                      <w:color w:val="auto"/>
                      <w:lang w:eastAsia="zh-CN"/>
                    </w:rPr>
                  </w:pPr>
                  <w:r>
                    <w:rPr>
                      <w:rFonts w:hint="default"/>
                      <w:color w:val="auto"/>
                      <w:lang w:val="en-US" w:eastAsia="zh-CN"/>
                    </w:rPr>
                    <w:t xml:space="preserve">0.252 </w:t>
                  </w:r>
                </w:p>
              </w:tc>
              <w:tc>
                <w:tcPr>
                  <w:tcW w:w="1261" w:type="dxa"/>
                  <w:tcBorders>
                    <w:tl2br w:val="nil"/>
                    <w:tr2bl w:val="nil"/>
                  </w:tcBorders>
                  <w:noWrap w:val="0"/>
                  <w:tcMar>
                    <w:top w:w="0" w:type="dxa"/>
                    <w:left w:w="28" w:type="dxa"/>
                    <w:bottom w:w="0" w:type="dxa"/>
                    <w:right w:w="28" w:type="dxa"/>
                  </w:tcMar>
                  <w:vAlign w:val="center"/>
                </w:tcPr>
                <w:p w14:paraId="7527467C">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10.00</w:t>
                  </w:r>
                </w:p>
              </w:tc>
              <w:tc>
                <w:tcPr>
                  <w:tcW w:w="1397" w:type="dxa"/>
                  <w:tcBorders>
                    <w:tl2br w:val="nil"/>
                    <w:tr2bl w:val="nil"/>
                  </w:tcBorders>
                  <w:noWrap w:val="0"/>
                  <w:tcMar>
                    <w:top w:w="0" w:type="dxa"/>
                    <w:left w:w="28" w:type="dxa"/>
                    <w:bottom w:w="0" w:type="dxa"/>
                    <w:right w:w="28" w:type="dxa"/>
                  </w:tcMar>
                  <w:vAlign w:val="center"/>
                </w:tcPr>
                <w:p w14:paraId="64047D40">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1.4</w:t>
                  </w:r>
                </w:p>
              </w:tc>
            </w:tr>
            <w:tr w14:paraId="4AFA56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07B7A4B5">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50周</w:t>
                  </w:r>
                </w:p>
              </w:tc>
              <w:tc>
                <w:tcPr>
                  <w:tcW w:w="1211" w:type="dxa"/>
                  <w:tcBorders>
                    <w:tl2br w:val="nil"/>
                    <w:tr2bl w:val="nil"/>
                  </w:tcBorders>
                  <w:noWrap w:val="0"/>
                  <w:tcMar>
                    <w:top w:w="0" w:type="dxa"/>
                    <w:left w:w="28" w:type="dxa"/>
                    <w:bottom w:w="0" w:type="dxa"/>
                    <w:right w:w="28" w:type="dxa"/>
                  </w:tcMar>
                  <w:vAlign w:val="center"/>
                </w:tcPr>
                <w:p w14:paraId="28F1BC23">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19.7 </w:t>
                  </w:r>
                </w:p>
              </w:tc>
              <w:tc>
                <w:tcPr>
                  <w:tcW w:w="1329" w:type="dxa"/>
                  <w:tcBorders>
                    <w:tl2br w:val="nil"/>
                    <w:tr2bl w:val="nil"/>
                  </w:tcBorders>
                  <w:noWrap w:val="0"/>
                  <w:tcMar>
                    <w:top w:w="0" w:type="dxa"/>
                    <w:left w:w="28" w:type="dxa"/>
                    <w:bottom w:w="0" w:type="dxa"/>
                    <w:right w:w="28" w:type="dxa"/>
                  </w:tcMar>
                  <w:vAlign w:val="center"/>
                </w:tcPr>
                <w:p w14:paraId="0B6FDD7A">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1.86 </w:t>
                  </w:r>
                </w:p>
              </w:tc>
              <w:tc>
                <w:tcPr>
                  <w:tcW w:w="1329" w:type="dxa"/>
                  <w:tcBorders>
                    <w:tl2br w:val="nil"/>
                    <w:tr2bl w:val="nil"/>
                  </w:tcBorders>
                  <w:noWrap w:val="0"/>
                  <w:tcMar>
                    <w:top w:w="0" w:type="dxa"/>
                    <w:left w:w="28" w:type="dxa"/>
                    <w:bottom w:w="0" w:type="dxa"/>
                    <w:right w:w="28" w:type="dxa"/>
                  </w:tcMar>
                  <w:vAlign w:val="center"/>
                </w:tcPr>
                <w:p w14:paraId="40324AFF">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lang w:val="en-US" w:eastAsia="zh-CN"/>
                    </w:rPr>
                    <w:t xml:space="preserve">0.368 </w:t>
                  </w:r>
                </w:p>
              </w:tc>
              <w:tc>
                <w:tcPr>
                  <w:tcW w:w="1261" w:type="dxa"/>
                  <w:tcBorders>
                    <w:tl2br w:val="nil"/>
                    <w:tr2bl w:val="nil"/>
                  </w:tcBorders>
                  <w:noWrap w:val="0"/>
                  <w:tcMar>
                    <w:top w:w="0" w:type="dxa"/>
                    <w:left w:w="28" w:type="dxa"/>
                    <w:bottom w:w="0" w:type="dxa"/>
                    <w:right w:w="28" w:type="dxa"/>
                  </w:tcMar>
                  <w:vAlign w:val="center"/>
                </w:tcPr>
                <w:p w14:paraId="5FEE2702">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10.40</w:t>
                  </w:r>
                </w:p>
              </w:tc>
              <w:tc>
                <w:tcPr>
                  <w:tcW w:w="1397" w:type="dxa"/>
                  <w:tcBorders>
                    <w:tl2br w:val="nil"/>
                    <w:tr2bl w:val="nil"/>
                  </w:tcBorders>
                  <w:noWrap w:val="0"/>
                  <w:tcMar>
                    <w:top w:w="0" w:type="dxa"/>
                    <w:left w:w="28" w:type="dxa"/>
                    <w:bottom w:w="0" w:type="dxa"/>
                    <w:right w:w="28" w:type="dxa"/>
                  </w:tcMar>
                  <w:vAlign w:val="center"/>
                </w:tcPr>
                <w:p w14:paraId="7EAEE089">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2.2</w:t>
                  </w:r>
                </w:p>
              </w:tc>
            </w:tr>
            <w:tr w14:paraId="565DFA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4D931088">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eastAsia="zh-CN"/>
                    </w:rPr>
                    <w:t>2024年</w:t>
                  </w:r>
                  <w:r>
                    <w:rPr>
                      <w:rFonts w:hint="default"/>
                      <w:color w:val="auto"/>
                    </w:rPr>
                    <w:t>51周</w:t>
                  </w:r>
                </w:p>
              </w:tc>
              <w:tc>
                <w:tcPr>
                  <w:tcW w:w="1211" w:type="dxa"/>
                  <w:tcBorders>
                    <w:tl2br w:val="nil"/>
                    <w:tr2bl w:val="nil"/>
                  </w:tcBorders>
                  <w:noWrap w:val="0"/>
                  <w:tcMar>
                    <w:top w:w="0" w:type="dxa"/>
                    <w:left w:w="28" w:type="dxa"/>
                    <w:bottom w:w="0" w:type="dxa"/>
                    <w:right w:w="28" w:type="dxa"/>
                  </w:tcMar>
                  <w:vAlign w:val="center"/>
                </w:tcPr>
                <w:p w14:paraId="4A1D69C7">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 xml:space="preserve">20.2 </w:t>
                  </w:r>
                </w:p>
              </w:tc>
              <w:tc>
                <w:tcPr>
                  <w:tcW w:w="1329" w:type="dxa"/>
                  <w:tcBorders>
                    <w:tl2br w:val="nil"/>
                    <w:tr2bl w:val="nil"/>
                  </w:tcBorders>
                  <w:noWrap w:val="0"/>
                  <w:tcMar>
                    <w:top w:w="0" w:type="dxa"/>
                    <w:left w:w="28" w:type="dxa"/>
                    <w:bottom w:w="0" w:type="dxa"/>
                    <w:right w:w="28" w:type="dxa"/>
                  </w:tcMar>
                  <w:vAlign w:val="center"/>
                </w:tcPr>
                <w:p w14:paraId="0C59CFDB">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 xml:space="preserve">2.79 </w:t>
                  </w:r>
                </w:p>
              </w:tc>
              <w:tc>
                <w:tcPr>
                  <w:tcW w:w="1329" w:type="dxa"/>
                  <w:tcBorders>
                    <w:tl2br w:val="nil"/>
                    <w:tr2bl w:val="nil"/>
                  </w:tcBorders>
                  <w:noWrap w:val="0"/>
                  <w:tcMar>
                    <w:top w:w="0" w:type="dxa"/>
                    <w:left w:w="28" w:type="dxa"/>
                    <w:bottom w:w="0" w:type="dxa"/>
                    <w:right w:w="28" w:type="dxa"/>
                  </w:tcMar>
                  <w:vAlign w:val="center"/>
                </w:tcPr>
                <w:p w14:paraId="333506C1">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 xml:space="preserve">0.573 </w:t>
                  </w:r>
                </w:p>
              </w:tc>
              <w:tc>
                <w:tcPr>
                  <w:tcW w:w="1261" w:type="dxa"/>
                  <w:tcBorders>
                    <w:tl2br w:val="nil"/>
                    <w:tr2bl w:val="nil"/>
                  </w:tcBorders>
                  <w:noWrap w:val="0"/>
                  <w:tcMar>
                    <w:top w:w="0" w:type="dxa"/>
                    <w:left w:w="28" w:type="dxa"/>
                    <w:bottom w:w="0" w:type="dxa"/>
                    <w:right w:w="28" w:type="dxa"/>
                  </w:tcMar>
                  <w:vAlign w:val="center"/>
                </w:tcPr>
                <w:p w14:paraId="4EC64FB3">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12.09</w:t>
                  </w:r>
                </w:p>
              </w:tc>
              <w:tc>
                <w:tcPr>
                  <w:tcW w:w="1397" w:type="dxa"/>
                  <w:tcBorders>
                    <w:tl2br w:val="nil"/>
                    <w:tr2bl w:val="nil"/>
                  </w:tcBorders>
                  <w:noWrap w:val="0"/>
                  <w:tcMar>
                    <w:top w:w="0" w:type="dxa"/>
                    <w:left w:w="28" w:type="dxa"/>
                    <w:bottom w:w="0" w:type="dxa"/>
                    <w:right w:w="28" w:type="dxa"/>
                  </w:tcMar>
                  <w:vAlign w:val="center"/>
                </w:tcPr>
                <w:p w14:paraId="7A16686F">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3.0</w:t>
                  </w:r>
                </w:p>
              </w:tc>
            </w:tr>
            <w:tr w14:paraId="61D5A6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1894BFB3">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rPr>
                    <w:t>202</w:t>
                  </w:r>
                  <w:r>
                    <w:rPr>
                      <w:rFonts w:hint="eastAsia"/>
                      <w:color w:val="auto"/>
                      <w:lang w:val="en-US" w:eastAsia="zh-CN"/>
                    </w:rPr>
                    <w:t>4</w:t>
                  </w:r>
                  <w:r>
                    <w:rPr>
                      <w:rFonts w:hint="default"/>
                      <w:color w:val="auto"/>
                    </w:rPr>
                    <w:t>年52周</w:t>
                  </w:r>
                </w:p>
              </w:tc>
              <w:tc>
                <w:tcPr>
                  <w:tcW w:w="1211" w:type="dxa"/>
                  <w:tcBorders>
                    <w:tl2br w:val="nil"/>
                    <w:tr2bl w:val="nil"/>
                  </w:tcBorders>
                  <w:noWrap w:val="0"/>
                  <w:tcMar>
                    <w:top w:w="0" w:type="dxa"/>
                    <w:left w:w="28" w:type="dxa"/>
                    <w:bottom w:w="0" w:type="dxa"/>
                    <w:right w:w="28" w:type="dxa"/>
                  </w:tcMar>
                  <w:vAlign w:val="center"/>
                </w:tcPr>
                <w:p w14:paraId="0D5DF73A">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val="en-US" w:eastAsia="zh-CN"/>
                    </w:rPr>
                    <w:t>16.2</w:t>
                  </w:r>
                </w:p>
              </w:tc>
              <w:tc>
                <w:tcPr>
                  <w:tcW w:w="1329" w:type="dxa"/>
                  <w:tcBorders>
                    <w:tl2br w:val="nil"/>
                    <w:tr2bl w:val="nil"/>
                  </w:tcBorders>
                  <w:noWrap w:val="0"/>
                  <w:tcMar>
                    <w:top w:w="0" w:type="dxa"/>
                    <w:left w:w="28" w:type="dxa"/>
                    <w:bottom w:w="0" w:type="dxa"/>
                    <w:right w:w="28" w:type="dxa"/>
                  </w:tcMar>
                  <w:vAlign w:val="center"/>
                </w:tcPr>
                <w:p w14:paraId="1692E270">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val="en-US" w:eastAsia="zh-CN"/>
                    </w:rPr>
                    <w:t>1.26</w:t>
                  </w:r>
                </w:p>
              </w:tc>
              <w:tc>
                <w:tcPr>
                  <w:tcW w:w="1329" w:type="dxa"/>
                  <w:tcBorders>
                    <w:tl2br w:val="nil"/>
                    <w:tr2bl w:val="nil"/>
                  </w:tcBorders>
                  <w:noWrap w:val="0"/>
                  <w:tcMar>
                    <w:top w:w="0" w:type="dxa"/>
                    <w:left w:w="28" w:type="dxa"/>
                    <w:bottom w:w="0" w:type="dxa"/>
                    <w:right w:w="28" w:type="dxa"/>
                  </w:tcMar>
                  <w:vAlign w:val="center"/>
                </w:tcPr>
                <w:p w14:paraId="61C5C455">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rPr>
                    <w:t>0.</w:t>
                  </w:r>
                  <w:r>
                    <w:rPr>
                      <w:rFonts w:hint="eastAsia"/>
                      <w:color w:val="auto"/>
                      <w:lang w:val="en-US" w:eastAsia="zh-CN"/>
                    </w:rPr>
                    <w:t>246</w:t>
                  </w:r>
                </w:p>
              </w:tc>
              <w:tc>
                <w:tcPr>
                  <w:tcW w:w="1261" w:type="dxa"/>
                  <w:tcBorders>
                    <w:tl2br w:val="nil"/>
                    <w:tr2bl w:val="nil"/>
                  </w:tcBorders>
                  <w:noWrap w:val="0"/>
                  <w:tcMar>
                    <w:top w:w="0" w:type="dxa"/>
                    <w:left w:w="28" w:type="dxa"/>
                    <w:bottom w:w="0" w:type="dxa"/>
                    <w:right w:w="28" w:type="dxa"/>
                  </w:tcMar>
                  <w:vAlign w:val="center"/>
                </w:tcPr>
                <w:p w14:paraId="6908F017">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default"/>
                      <w:color w:val="auto"/>
                      <w:lang w:val="en-US" w:eastAsia="zh-CN"/>
                    </w:rPr>
                    <w:t>9.94</w:t>
                  </w:r>
                </w:p>
              </w:tc>
              <w:tc>
                <w:tcPr>
                  <w:tcW w:w="1397" w:type="dxa"/>
                  <w:tcBorders>
                    <w:tl2br w:val="nil"/>
                    <w:tr2bl w:val="nil"/>
                  </w:tcBorders>
                  <w:noWrap w:val="0"/>
                  <w:tcMar>
                    <w:top w:w="0" w:type="dxa"/>
                    <w:left w:w="28" w:type="dxa"/>
                    <w:bottom w:w="0" w:type="dxa"/>
                    <w:right w:w="28" w:type="dxa"/>
                  </w:tcMar>
                  <w:vAlign w:val="center"/>
                </w:tcPr>
                <w:p w14:paraId="0C1789A1">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val="en-US" w:eastAsia="zh-CN"/>
                    </w:rPr>
                    <w:t>2.6</w:t>
                  </w:r>
                </w:p>
              </w:tc>
            </w:tr>
            <w:tr w14:paraId="42A982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0DB21D16">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default"/>
                      <w:color w:val="auto"/>
                    </w:rPr>
                    <w:t>平均值</w:t>
                  </w:r>
                </w:p>
              </w:tc>
              <w:tc>
                <w:tcPr>
                  <w:tcW w:w="1211" w:type="dxa"/>
                  <w:tcBorders>
                    <w:tl2br w:val="nil"/>
                    <w:tr2bl w:val="nil"/>
                  </w:tcBorders>
                  <w:noWrap w:val="0"/>
                  <w:tcMar>
                    <w:top w:w="0" w:type="dxa"/>
                    <w:left w:w="28" w:type="dxa"/>
                    <w:bottom w:w="0" w:type="dxa"/>
                    <w:right w:w="28" w:type="dxa"/>
                  </w:tcMar>
                  <w:vAlign w:val="center"/>
                </w:tcPr>
                <w:p w14:paraId="72B2E1C9">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26.9</w:t>
                  </w:r>
                </w:p>
              </w:tc>
              <w:tc>
                <w:tcPr>
                  <w:tcW w:w="1329" w:type="dxa"/>
                  <w:tcBorders>
                    <w:tl2br w:val="nil"/>
                    <w:tr2bl w:val="nil"/>
                  </w:tcBorders>
                  <w:noWrap w:val="0"/>
                  <w:tcMar>
                    <w:top w:w="0" w:type="dxa"/>
                    <w:left w:w="28" w:type="dxa"/>
                    <w:bottom w:w="0" w:type="dxa"/>
                    <w:right w:w="28" w:type="dxa"/>
                  </w:tcMar>
                  <w:vAlign w:val="center"/>
                </w:tcPr>
                <w:p w14:paraId="7843A313">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0.937</w:t>
                  </w:r>
                </w:p>
              </w:tc>
              <w:tc>
                <w:tcPr>
                  <w:tcW w:w="1329" w:type="dxa"/>
                  <w:tcBorders>
                    <w:tl2br w:val="nil"/>
                    <w:tr2bl w:val="nil"/>
                  </w:tcBorders>
                  <w:noWrap w:val="0"/>
                  <w:tcMar>
                    <w:top w:w="0" w:type="dxa"/>
                    <w:left w:w="28" w:type="dxa"/>
                    <w:bottom w:w="0" w:type="dxa"/>
                    <w:right w:w="28" w:type="dxa"/>
                  </w:tcMar>
                  <w:vAlign w:val="center"/>
                </w:tcPr>
                <w:p w14:paraId="461A0CFE">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0.308</w:t>
                  </w:r>
                </w:p>
              </w:tc>
              <w:tc>
                <w:tcPr>
                  <w:tcW w:w="1261" w:type="dxa"/>
                  <w:tcBorders>
                    <w:tl2br w:val="nil"/>
                    <w:tr2bl w:val="nil"/>
                  </w:tcBorders>
                  <w:noWrap w:val="0"/>
                  <w:tcMar>
                    <w:top w:w="0" w:type="dxa"/>
                    <w:left w:w="28" w:type="dxa"/>
                    <w:bottom w:w="0" w:type="dxa"/>
                    <w:right w:w="28" w:type="dxa"/>
                  </w:tcMar>
                  <w:vAlign w:val="center"/>
                </w:tcPr>
                <w:p w14:paraId="3CFF1379">
                  <w:pPr>
                    <w:pStyle w:val="18"/>
                    <w:keepNext w:val="0"/>
                    <w:keepLines w:val="0"/>
                    <w:suppressLineNumbers w:val="0"/>
                    <w:tabs>
                      <w:tab w:val="right" w:leader="dot" w:pos="8296"/>
                    </w:tabs>
                    <w:bidi w:val="0"/>
                    <w:spacing w:before="0" w:beforeAutospacing="0" w:after="0" w:afterAutospacing="0"/>
                    <w:ind w:right="0"/>
                    <w:rPr>
                      <w:rFonts w:hint="eastAsia"/>
                      <w:color w:val="auto"/>
                      <w:lang w:val="en-US" w:eastAsia="zh-CN"/>
                    </w:rPr>
                  </w:pPr>
                  <w:r>
                    <w:rPr>
                      <w:rFonts w:hint="eastAsia"/>
                      <w:color w:val="auto"/>
                      <w:lang w:val="en-US" w:eastAsia="zh-CN"/>
                    </w:rPr>
                    <w:t>9.97</w:t>
                  </w:r>
                </w:p>
              </w:tc>
              <w:tc>
                <w:tcPr>
                  <w:tcW w:w="1397" w:type="dxa"/>
                  <w:tcBorders>
                    <w:tl2br w:val="nil"/>
                    <w:tr2bl w:val="nil"/>
                  </w:tcBorders>
                  <w:noWrap w:val="0"/>
                  <w:tcMar>
                    <w:top w:w="0" w:type="dxa"/>
                    <w:left w:w="28" w:type="dxa"/>
                    <w:bottom w:w="0" w:type="dxa"/>
                    <w:right w:w="28" w:type="dxa"/>
                  </w:tcMar>
                  <w:vAlign w:val="center"/>
                </w:tcPr>
                <w:p w14:paraId="76810CFC">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7.9</w:t>
                  </w:r>
                </w:p>
              </w:tc>
            </w:tr>
            <w:tr w14:paraId="321AC0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5E0B484D">
                  <w:pPr>
                    <w:pStyle w:val="18"/>
                    <w:keepNext w:val="0"/>
                    <w:keepLines w:val="0"/>
                    <w:suppressLineNumbers w:val="0"/>
                    <w:tabs>
                      <w:tab w:val="right" w:leader="dot" w:pos="8296"/>
                    </w:tabs>
                    <w:bidi w:val="0"/>
                    <w:spacing w:before="0" w:beforeAutospacing="0" w:after="0" w:afterAutospacing="0"/>
                    <w:ind w:right="0"/>
                    <w:rPr>
                      <w:rFonts w:hint="default"/>
                      <w:color w:val="auto"/>
                    </w:rPr>
                  </w:pPr>
                  <w:r>
                    <w:rPr>
                      <w:rFonts w:hint="eastAsia"/>
                      <w:color w:val="auto"/>
                      <w:lang w:val="en-US" w:eastAsia="zh-CN"/>
                    </w:rPr>
                    <w:t>Ⅲ</w:t>
                  </w:r>
                  <w:r>
                    <w:rPr>
                      <w:rFonts w:hint="default"/>
                      <w:color w:val="auto"/>
                    </w:rPr>
                    <w:t>类水质标准</w:t>
                  </w:r>
                </w:p>
              </w:tc>
              <w:tc>
                <w:tcPr>
                  <w:tcW w:w="1211" w:type="dxa"/>
                  <w:tcBorders>
                    <w:tl2br w:val="nil"/>
                    <w:tr2bl w:val="nil"/>
                  </w:tcBorders>
                  <w:noWrap w:val="0"/>
                  <w:tcMar>
                    <w:top w:w="0" w:type="dxa"/>
                    <w:left w:w="28" w:type="dxa"/>
                    <w:bottom w:w="0" w:type="dxa"/>
                    <w:right w:w="28" w:type="dxa"/>
                  </w:tcMar>
                  <w:vAlign w:val="center"/>
                </w:tcPr>
                <w:p w14:paraId="6C2684AC">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20</w:t>
                  </w:r>
                </w:p>
              </w:tc>
              <w:tc>
                <w:tcPr>
                  <w:tcW w:w="1329" w:type="dxa"/>
                  <w:tcBorders>
                    <w:tl2br w:val="nil"/>
                    <w:tr2bl w:val="nil"/>
                  </w:tcBorders>
                  <w:noWrap w:val="0"/>
                  <w:tcMar>
                    <w:top w:w="0" w:type="dxa"/>
                    <w:left w:w="28" w:type="dxa"/>
                    <w:bottom w:w="0" w:type="dxa"/>
                    <w:right w:w="28" w:type="dxa"/>
                  </w:tcMar>
                  <w:vAlign w:val="center"/>
                </w:tcPr>
                <w:p w14:paraId="670F86B3">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1.0</w:t>
                  </w:r>
                </w:p>
              </w:tc>
              <w:tc>
                <w:tcPr>
                  <w:tcW w:w="1329" w:type="dxa"/>
                  <w:tcBorders>
                    <w:tl2br w:val="nil"/>
                    <w:tr2bl w:val="nil"/>
                  </w:tcBorders>
                  <w:noWrap w:val="0"/>
                  <w:tcMar>
                    <w:top w:w="0" w:type="dxa"/>
                    <w:left w:w="28" w:type="dxa"/>
                    <w:bottom w:w="0" w:type="dxa"/>
                    <w:right w:w="28" w:type="dxa"/>
                  </w:tcMar>
                  <w:vAlign w:val="center"/>
                </w:tcPr>
                <w:p w14:paraId="3946C7A0">
                  <w:pPr>
                    <w:pStyle w:val="18"/>
                    <w:keepNext w:val="0"/>
                    <w:keepLines w:val="0"/>
                    <w:suppressLineNumbers w:val="0"/>
                    <w:tabs>
                      <w:tab w:val="right" w:leader="dot" w:pos="8296"/>
                    </w:tabs>
                    <w:bidi w:val="0"/>
                    <w:spacing w:before="0" w:beforeAutospacing="0" w:after="0" w:afterAutospacing="0"/>
                    <w:ind w:right="0"/>
                    <w:rPr>
                      <w:rFonts w:hint="eastAsia"/>
                      <w:color w:val="auto"/>
                      <w:lang w:val="en-US" w:eastAsia="zh-CN"/>
                    </w:rPr>
                  </w:pPr>
                  <w:r>
                    <w:rPr>
                      <w:rFonts w:hint="default"/>
                      <w:color w:val="auto"/>
                    </w:rPr>
                    <w:t>0.</w:t>
                  </w:r>
                  <w:r>
                    <w:rPr>
                      <w:rFonts w:hint="eastAsia"/>
                      <w:color w:val="auto"/>
                      <w:lang w:val="en-US" w:eastAsia="zh-CN"/>
                    </w:rPr>
                    <w:t>2</w:t>
                  </w:r>
                </w:p>
              </w:tc>
              <w:tc>
                <w:tcPr>
                  <w:tcW w:w="1261" w:type="dxa"/>
                  <w:tcBorders>
                    <w:tl2br w:val="nil"/>
                    <w:tr2bl w:val="nil"/>
                  </w:tcBorders>
                  <w:noWrap w:val="0"/>
                  <w:tcMar>
                    <w:top w:w="0" w:type="dxa"/>
                    <w:left w:w="28" w:type="dxa"/>
                    <w:bottom w:w="0" w:type="dxa"/>
                    <w:right w:w="28" w:type="dxa"/>
                  </w:tcMar>
                  <w:vAlign w:val="center"/>
                </w:tcPr>
                <w:p w14:paraId="596A4BFD">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1.0</w:t>
                  </w:r>
                </w:p>
              </w:tc>
              <w:tc>
                <w:tcPr>
                  <w:tcW w:w="1397" w:type="dxa"/>
                  <w:tcBorders>
                    <w:tl2br w:val="nil"/>
                    <w:tr2bl w:val="nil"/>
                  </w:tcBorders>
                  <w:noWrap w:val="0"/>
                  <w:tcMar>
                    <w:top w:w="0" w:type="dxa"/>
                    <w:left w:w="28" w:type="dxa"/>
                    <w:bottom w:w="0" w:type="dxa"/>
                    <w:right w:w="28" w:type="dxa"/>
                  </w:tcMar>
                  <w:vAlign w:val="center"/>
                </w:tcPr>
                <w:p w14:paraId="1A91B560">
                  <w:pPr>
                    <w:pStyle w:val="18"/>
                    <w:keepNext w:val="0"/>
                    <w:keepLines w:val="0"/>
                    <w:suppressLineNumbers w:val="0"/>
                    <w:tabs>
                      <w:tab w:val="right" w:leader="dot" w:pos="8296"/>
                    </w:tabs>
                    <w:bidi w:val="0"/>
                    <w:spacing w:before="0" w:beforeAutospacing="0" w:after="0" w:afterAutospacing="0"/>
                    <w:ind w:right="0"/>
                    <w:rPr>
                      <w:rFonts w:hint="default"/>
                      <w:color w:val="auto"/>
                      <w:lang w:val="en-US" w:eastAsia="zh-CN"/>
                    </w:rPr>
                  </w:pPr>
                  <w:r>
                    <w:rPr>
                      <w:rFonts w:hint="eastAsia"/>
                      <w:color w:val="auto"/>
                      <w:lang w:val="en-US" w:eastAsia="zh-CN"/>
                    </w:rPr>
                    <w:t>6</w:t>
                  </w:r>
                </w:p>
              </w:tc>
            </w:tr>
            <w:tr w14:paraId="166230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1444" w:type="dxa"/>
                  <w:tcBorders>
                    <w:tl2br w:val="nil"/>
                    <w:tr2bl w:val="nil"/>
                  </w:tcBorders>
                  <w:noWrap w:val="0"/>
                  <w:tcMar>
                    <w:top w:w="0" w:type="dxa"/>
                    <w:left w:w="28" w:type="dxa"/>
                    <w:bottom w:w="0" w:type="dxa"/>
                    <w:right w:w="28" w:type="dxa"/>
                  </w:tcMar>
                  <w:vAlign w:val="center"/>
                </w:tcPr>
                <w:p w14:paraId="14AF847F">
                  <w:pPr>
                    <w:pStyle w:val="18"/>
                    <w:keepNext w:val="0"/>
                    <w:keepLines w:val="0"/>
                    <w:suppressLineNumbers w:val="0"/>
                    <w:tabs>
                      <w:tab w:val="right" w:leader="dot" w:pos="8296"/>
                    </w:tabs>
                    <w:bidi w:val="0"/>
                    <w:spacing w:before="0" w:beforeAutospacing="0" w:after="0" w:afterAutospacing="0"/>
                    <w:ind w:left="0" w:leftChars="0" w:right="0" w:firstLine="0" w:firstLineChars="0"/>
                    <w:rPr>
                      <w:rFonts w:hint="eastAsia"/>
                      <w:color w:val="auto"/>
                      <w:lang w:val="en-US" w:eastAsia="zh-CN"/>
                    </w:rPr>
                  </w:pPr>
                  <w:r>
                    <w:rPr>
                      <w:rFonts w:hint="eastAsia"/>
                      <w:color w:val="auto"/>
                      <w:highlight w:val="none"/>
                      <w:lang w:val="en-US" w:eastAsia="zh-CN"/>
                    </w:rPr>
                    <w:t>Ⅴ类水质指标</w:t>
                  </w:r>
                </w:p>
              </w:tc>
              <w:tc>
                <w:tcPr>
                  <w:tcW w:w="1211" w:type="dxa"/>
                  <w:tcBorders>
                    <w:tl2br w:val="nil"/>
                    <w:tr2bl w:val="nil"/>
                  </w:tcBorders>
                  <w:noWrap w:val="0"/>
                  <w:tcMar>
                    <w:top w:w="0" w:type="dxa"/>
                    <w:left w:w="28" w:type="dxa"/>
                    <w:bottom w:w="0" w:type="dxa"/>
                    <w:right w:w="28" w:type="dxa"/>
                  </w:tcMar>
                  <w:vAlign w:val="center"/>
                </w:tcPr>
                <w:p w14:paraId="283D8406">
                  <w:pPr>
                    <w:pStyle w:val="18"/>
                    <w:keepNext w:val="0"/>
                    <w:keepLines w:val="0"/>
                    <w:suppressLineNumbers w:val="0"/>
                    <w:tabs>
                      <w:tab w:val="right" w:leader="dot" w:pos="8296"/>
                    </w:tabs>
                    <w:bidi w:val="0"/>
                    <w:spacing w:before="0" w:beforeAutospacing="0" w:after="0" w:afterAutospacing="0"/>
                    <w:ind w:left="0" w:leftChars="0" w:right="0" w:firstLine="0" w:firstLineChars="0"/>
                    <w:rPr>
                      <w:rFonts w:hint="eastAsia"/>
                      <w:color w:val="auto"/>
                      <w:lang w:val="en-US" w:eastAsia="zh-CN"/>
                    </w:rPr>
                  </w:pPr>
                  <w:r>
                    <w:rPr>
                      <w:rFonts w:hint="eastAsia"/>
                      <w:color w:val="auto"/>
                      <w:highlight w:val="none"/>
                      <w:lang w:val="en-US" w:eastAsia="zh-CN"/>
                    </w:rPr>
                    <w:t>40</w:t>
                  </w:r>
                </w:p>
              </w:tc>
              <w:tc>
                <w:tcPr>
                  <w:tcW w:w="1329" w:type="dxa"/>
                  <w:tcBorders>
                    <w:tl2br w:val="nil"/>
                    <w:tr2bl w:val="nil"/>
                  </w:tcBorders>
                  <w:noWrap w:val="0"/>
                  <w:tcMar>
                    <w:top w:w="0" w:type="dxa"/>
                    <w:left w:w="28" w:type="dxa"/>
                    <w:bottom w:w="0" w:type="dxa"/>
                    <w:right w:w="28" w:type="dxa"/>
                  </w:tcMar>
                  <w:vAlign w:val="center"/>
                </w:tcPr>
                <w:p w14:paraId="31526CCD">
                  <w:pPr>
                    <w:pStyle w:val="18"/>
                    <w:keepNext w:val="0"/>
                    <w:keepLines w:val="0"/>
                    <w:suppressLineNumbers w:val="0"/>
                    <w:tabs>
                      <w:tab w:val="right" w:leader="dot" w:pos="8296"/>
                    </w:tabs>
                    <w:bidi w:val="0"/>
                    <w:spacing w:before="0" w:beforeAutospacing="0" w:after="0" w:afterAutospacing="0"/>
                    <w:ind w:left="0" w:leftChars="0" w:right="0" w:firstLine="0" w:firstLineChars="0"/>
                    <w:rPr>
                      <w:rFonts w:hint="eastAsia"/>
                      <w:color w:val="auto"/>
                      <w:lang w:val="en-US" w:eastAsia="zh-CN"/>
                    </w:rPr>
                  </w:pPr>
                  <w:r>
                    <w:rPr>
                      <w:rFonts w:hint="eastAsia"/>
                      <w:color w:val="auto"/>
                      <w:highlight w:val="none"/>
                      <w:lang w:val="en-US" w:eastAsia="zh-CN"/>
                    </w:rPr>
                    <w:t>2.0</w:t>
                  </w:r>
                </w:p>
              </w:tc>
              <w:tc>
                <w:tcPr>
                  <w:tcW w:w="1329" w:type="dxa"/>
                  <w:tcBorders>
                    <w:tl2br w:val="nil"/>
                    <w:tr2bl w:val="nil"/>
                  </w:tcBorders>
                  <w:noWrap w:val="0"/>
                  <w:tcMar>
                    <w:top w:w="0" w:type="dxa"/>
                    <w:left w:w="28" w:type="dxa"/>
                    <w:bottom w:w="0" w:type="dxa"/>
                    <w:right w:w="28" w:type="dxa"/>
                  </w:tcMar>
                  <w:vAlign w:val="center"/>
                </w:tcPr>
                <w:p w14:paraId="69A15006">
                  <w:pPr>
                    <w:pStyle w:val="18"/>
                    <w:keepNext w:val="0"/>
                    <w:keepLines w:val="0"/>
                    <w:suppressLineNumbers w:val="0"/>
                    <w:tabs>
                      <w:tab w:val="right" w:leader="dot" w:pos="8296"/>
                    </w:tabs>
                    <w:bidi w:val="0"/>
                    <w:spacing w:before="0" w:beforeAutospacing="0" w:after="0" w:afterAutospacing="0"/>
                    <w:ind w:left="0" w:leftChars="0" w:right="0" w:firstLine="0" w:firstLineChars="0"/>
                    <w:rPr>
                      <w:rFonts w:hint="default"/>
                      <w:color w:val="auto"/>
                    </w:rPr>
                  </w:pPr>
                  <w:r>
                    <w:rPr>
                      <w:rFonts w:hint="eastAsia"/>
                      <w:color w:val="auto"/>
                      <w:highlight w:val="none"/>
                      <w:lang w:val="en-US" w:eastAsia="zh-CN"/>
                    </w:rPr>
                    <w:t>0.4</w:t>
                  </w:r>
                </w:p>
              </w:tc>
              <w:tc>
                <w:tcPr>
                  <w:tcW w:w="1261" w:type="dxa"/>
                  <w:tcBorders>
                    <w:tl2br w:val="nil"/>
                    <w:tr2bl w:val="nil"/>
                  </w:tcBorders>
                  <w:noWrap w:val="0"/>
                  <w:tcMar>
                    <w:top w:w="0" w:type="dxa"/>
                    <w:left w:w="28" w:type="dxa"/>
                    <w:bottom w:w="0" w:type="dxa"/>
                    <w:right w:w="28" w:type="dxa"/>
                  </w:tcMar>
                  <w:vAlign w:val="center"/>
                </w:tcPr>
                <w:p w14:paraId="560BF41D">
                  <w:pPr>
                    <w:pStyle w:val="18"/>
                    <w:keepNext w:val="0"/>
                    <w:keepLines w:val="0"/>
                    <w:suppressLineNumbers w:val="0"/>
                    <w:tabs>
                      <w:tab w:val="right" w:leader="dot" w:pos="8296"/>
                    </w:tabs>
                    <w:bidi w:val="0"/>
                    <w:spacing w:before="0" w:beforeAutospacing="0" w:after="0" w:afterAutospacing="0"/>
                    <w:ind w:left="0" w:leftChars="0" w:right="0" w:firstLine="0" w:firstLineChars="0"/>
                    <w:rPr>
                      <w:rFonts w:hint="eastAsia"/>
                      <w:color w:val="auto"/>
                      <w:lang w:val="en-US" w:eastAsia="zh-CN"/>
                    </w:rPr>
                  </w:pPr>
                  <w:r>
                    <w:rPr>
                      <w:rFonts w:hint="eastAsia"/>
                      <w:color w:val="auto"/>
                      <w:highlight w:val="none"/>
                      <w:lang w:val="en-US" w:eastAsia="zh-CN"/>
                    </w:rPr>
                    <w:t>2.0</w:t>
                  </w:r>
                </w:p>
              </w:tc>
              <w:tc>
                <w:tcPr>
                  <w:tcW w:w="1397" w:type="dxa"/>
                  <w:tcBorders>
                    <w:tl2br w:val="nil"/>
                    <w:tr2bl w:val="nil"/>
                  </w:tcBorders>
                  <w:noWrap w:val="0"/>
                  <w:tcMar>
                    <w:top w:w="0" w:type="dxa"/>
                    <w:left w:w="28" w:type="dxa"/>
                    <w:bottom w:w="0" w:type="dxa"/>
                    <w:right w:w="28" w:type="dxa"/>
                  </w:tcMar>
                  <w:vAlign w:val="center"/>
                </w:tcPr>
                <w:p w14:paraId="3C1F0733">
                  <w:pPr>
                    <w:pStyle w:val="18"/>
                    <w:keepNext w:val="0"/>
                    <w:keepLines w:val="0"/>
                    <w:suppressLineNumbers w:val="0"/>
                    <w:tabs>
                      <w:tab w:val="right" w:leader="dot" w:pos="8296"/>
                    </w:tabs>
                    <w:bidi w:val="0"/>
                    <w:spacing w:before="0" w:beforeAutospacing="0" w:after="0" w:afterAutospacing="0"/>
                    <w:ind w:left="0" w:leftChars="0" w:right="0" w:firstLine="0" w:firstLineChars="0"/>
                    <w:rPr>
                      <w:rFonts w:hint="eastAsia"/>
                      <w:color w:val="auto"/>
                      <w:lang w:val="en-US" w:eastAsia="zh-CN"/>
                    </w:rPr>
                  </w:pPr>
                  <w:r>
                    <w:rPr>
                      <w:rFonts w:hint="eastAsia"/>
                      <w:color w:val="auto"/>
                      <w:highlight w:val="none"/>
                      <w:lang w:val="en-US" w:eastAsia="zh-CN"/>
                    </w:rPr>
                    <w:t>15</w:t>
                  </w:r>
                </w:p>
              </w:tc>
            </w:tr>
          </w:tbl>
          <w:p w14:paraId="61622C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宋体"/>
                <w:color w:val="auto"/>
                <w:kern w:val="0"/>
                <w:sz w:val="24"/>
                <w:szCs w:val="24"/>
                <w:highlight w:val="none"/>
                <w:lang w:val="en-US" w:eastAsia="zh-CN"/>
              </w:rPr>
            </w:pPr>
            <w:r>
              <w:rPr>
                <w:rFonts w:hint="eastAsia"/>
                <w:color w:val="auto"/>
                <w:sz w:val="24"/>
                <w:szCs w:val="24"/>
                <w:highlight w:val="none"/>
              </w:rPr>
              <w:t>由上表可知，</w:t>
            </w:r>
            <w:r>
              <w:rPr>
                <w:rFonts w:hint="default" w:ascii="Times New Roman" w:hAnsi="Times New Roman" w:eastAsia="宋体" w:cs="宋体"/>
                <w:color w:val="auto"/>
                <w:kern w:val="0"/>
                <w:sz w:val="24"/>
                <w:szCs w:val="24"/>
                <w:highlight w:val="none"/>
                <w:lang w:val="en-US" w:eastAsia="zh-CN"/>
              </w:rPr>
              <w:t>202</w:t>
            </w:r>
            <w:r>
              <w:rPr>
                <w:rFonts w:hint="eastAsia" w:ascii="Times New Roman" w:hAnsi="Times New Roman" w:eastAsia="宋体" w:cs="宋体"/>
                <w:color w:val="auto"/>
                <w:kern w:val="0"/>
                <w:sz w:val="24"/>
                <w:szCs w:val="24"/>
                <w:highlight w:val="none"/>
                <w:lang w:val="en-US" w:eastAsia="zh-CN"/>
              </w:rPr>
              <w:t>4</w:t>
            </w:r>
            <w:r>
              <w:rPr>
                <w:rFonts w:hint="default" w:ascii="Times New Roman" w:hAnsi="Times New Roman" w:eastAsia="宋体" w:cs="宋体"/>
                <w:color w:val="auto"/>
                <w:kern w:val="0"/>
                <w:sz w:val="24"/>
                <w:szCs w:val="24"/>
                <w:highlight w:val="none"/>
                <w:lang w:val="en-US" w:eastAsia="zh-CN"/>
              </w:rPr>
              <w:t>年汤河石辛庄断面水质</w:t>
            </w:r>
            <w:r>
              <w:rPr>
                <w:rFonts w:hint="eastAsia" w:ascii="Times New Roman" w:hAnsi="Times New Roman" w:eastAsia="宋体" w:cs="宋体"/>
                <w:color w:val="auto"/>
                <w:kern w:val="0"/>
                <w:sz w:val="24"/>
                <w:szCs w:val="24"/>
                <w:highlight w:val="none"/>
                <w:lang w:eastAsia="zh-CN"/>
              </w:rPr>
              <w:t>总</w:t>
            </w:r>
            <w:r>
              <w:rPr>
                <w:rFonts w:hint="eastAsia" w:cs="宋体"/>
                <w:color w:val="auto"/>
                <w:kern w:val="0"/>
                <w:sz w:val="24"/>
                <w:szCs w:val="24"/>
                <w:highlight w:val="none"/>
                <w:lang w:eastAsia="zh-CN"/>
              </w:rPr>
              <w:t>氮</w:t>
            </w:r>
            <w:r>
              <w:rPr>
                <w:rFonts w:hint="eastAsia" w:ascii="Times New Roman" w:hAnsi="Times New Roman" w:eastAsia="宋体" w:cs="宋体"/>
                <w:color w:val="auto"/>
                <w:kern w:val="0"/>
                <w:sz w:val="24"/>
                <w:szCs w:val="24"/>
                <w:highlight w:val="none"/>
                <w:lang w:eastAsia="zh-CN"/>
              </w:rPr>
              <w:t>年均</w:t>
            </w:r>
            <w:r>
              <w:rPr>
                <w:rFonts w:hint="default" w:ascii="Times New Roman" w:hAnsi="Times New Roman" w:eastAsia="宋体" w:cs="宋体"/>
                <w:color w:val="auto"/>
                <w:kern w:val="0"/>
                <w:sz w:val="24"/>
                <w:szCs w:val="24"/>
                <w:highlight w:val="none"/>
              </w:rPr>
              <w:t>值不能满足《地表水环境质量标准》（GB3838-2002）Ⅴ类标准的要求</w:t>
            </w:r>
            <w:r>
              <w:rPr>
                <w:rFonts w:hint="eastAsia" w:ascii="Times New Roman" w:hAnsi="Times New Roman" w:eastAsia="宋体" w:cs="宋体"/>
                <w:color w:val="auto"/>
                <w:kern w:val="0"/>
                <w:sz w:val="24"/>
                <w:szCs w:val="24"/>
                <w:highlight w:val="none"/>
                <w:lang w:eastAsia="zh-CN"/>
              </w:rPr>
              <w:t>。</w:t>
            </w:r>
            <w:r>
              <w:rPr>
                <w:rFonts w:hint="eastAsia"/>
                <w:color w:val="auto"/>
                <w:sz w:val="24"/>
                <w:szCs w:val="24"/>
                <w:highlight w:val="none"/>
              </w:rPr>
              <w:t>由上表可知，</w:t>
            </w:r>
            <w:r>
              <w:rPr>
                <w:rFonts w:hint="default" w:ascii="Times New Roman" w:hAnsi="Times New Roman" w:eastAsia="宋体" w:cs="宋体"/>
                <w:color w:val="auto"/>
                <w:kern w:val="0"/>
                <w:sz w:val="24"/>
                <w:szCs w:val="24"/>
                <w:highlight w:val="none"/>
                <w:lang w:val="en-US" w:eastAsia="zh-CN"/>
              </w:rPr>
              <w:t>202</w:t>
            </w:r>
            <w:r>
              <w:rPr>
                <w:rFonts w:hint="eastAsia" w:ascii="Times New Roman" w:hAnsi="Times New Roman" w:eastAsia="宋体" w:cs="宋体"/>
                <w:color w:val="auto"/>
                <w:kern w:val="0"/>
                <w:sz w:val="24"/>
                <w:szCs w:val="24"/>
                <w:highlight w:val="none"/>
                <w:lang w:val="en-US" w:eastAsia="zh-CN"/>
              </w:rPr>
              <w:t>4</w:t>
            </w:r>
            <w:r>
              <w:rPr>
                <w:rFonts w:hint="default" w:ascii="Times New Roman" w:hAnsi="Times New Roman" w:eastAsia="宋体" w:cs="宋体"/>
                <w:color w:val="auto"/>
                <w:kern w:val="0"/>
                <w:sz w:val="24"/>
                <w:szCs w:val="24"/>
                <w:highlight w:val="none"/>
                <w:lang w:val="en-US" w:eastAsia="zh-CN"/>
              </w:rPr>
              <w:t>年汤河石辛庄断面水质</w:t>
            </w:r>
            <w:r>
              <w:rPr>
                <w:rFonts w:hint="eastAsia" w:ascii="Times New Roman" w:hAnsi="Times New Roman" w:eastAsia="宋体" w:cs="宋体"/>
                <w:color w:val="auto"/>
                <w:kern w:val="0"/>
                <w:sz w:val="24"/>
                <w:szCs w:val="24"/>
                <w:highlight w:val="none"/>
                <w:lang w:val="en-US" w:eastAsia="zh-CN"/>
              </w:rPr>
              <w:t>COD、</w:t>
            </w:r>
            <w:r>
              <w:rPr>
                <w:rFonts w:hint="default" w:ascii="Times New Roman" w:hAnsi="Times New Roman" w:eastAsia="宋体" w:cs="宋体"/>
                <w:color w:val="auto"/>
                <w:kern w:val="0"/>
                <w:sz w:val="24"/>
                <w:szCs w:val="24"/>
                <w:highlight w:val="none"/>
              </w:rPr>
              <w:t>总氮</w:t>
            </w:r>
            <w:r>
              <w:rPr>
                <w:rFonts w:hint="eastAsia" w:ascii="Times New Roman" w:hAnsi="Times New Roman" w:eastAsia="宋体" w:cs="宋体"/>
                <w:color w:val="auto"/>
                <w:kern w:val="0"/>
                <w:sz w:val="24"/>
                <w:szCs w:val="24"/>
                <w:highlight w:val="none"/>
                <w:lang w:eastAsia="zh-CN"/>
              </w:rPr>
              <w:t>、总磷、高锰酸盐指数年均</w:t>
            </w:r>
            <w:r>
              <w:rPr>
                <w:rFonts w:hint="default" w:ascii="Times New Roman" w:hAnsi="Times New Roman" w:eastAsia="宋体" w:cs="宋体"/>
                <w:color w:val="auto"/>
                <w:kern w:val="0"/>
                <w:sz w:val="24"/>
                <w:szCs w:val="24"/>
                <w:highlight w:val="none"/>
              </w:rPr>
              <w:t>值不能满足《地表水环境质量标准》（GB3838-2002）</w:t>
            </w:r>
            <w:r>
              <w:rPr>
                <w:rFonts w:hint="default" w:ascii="Times New Roman" w:hAnsi="Times New Roman" w:eastAsia="宋体" w:cs="Times New Roman"/>
                <w:color w:val="auto"/>
                <w:kern w:val="0"/>
                <w:sz w:val="24"/>
                <w:szCs w:val="24"/>
                <w:highlight w:val="none"/>
              </w:rPr>
              <w:t>Ⅲ</w:t>
            </w:r>
            <w:r>
              <w:rPr>
                <w:rFonts w:hint="default" w:ascii="Times New Roman" w:hAnsi="Times New Roman" w:eastAsia="宋体" w:cs="宋体"/>
                <w:color w:val="auto"/>
                <w:kern w:val="0"/>
                <w:sz w:val="24"/>
                <w:szCs w:val="24"/>
                <w:highlight w:val="none"/>
              </w:rPr>
              <w:t>类标准的要求</w:t>
            </w:r>
            <w:r>
              <w:rPr>
                <w:rFonts w:hint="eastAsia" w:ascii="Times New Roman" w:hAnsi="Times New Roman" w:eastAsia="宋体" w:cs="宋体"/>
                <w:color w:val="auto"/>
                <w:kern w:val="0"/>
                <w:sz w:val="24"/>
                <w:szCs w:val="24"/>
                <w:highlight w:val="none"/>
                <w:lang w:eastAsia="zh-CN"/>
              </w:rPr>
              <w:t>。</w:t>
            </w:r>
          </w:p>
          <w:p w14:paraId="1705AD42">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szCs w:val="24"/>
              </w:rPr>
            </w:pPr>
            <w:r>
              <w:rPr>
                <w:rFonts w:hint="eastAsia"/>
                <w:color w:val="auto"/>
                <w:sz w:val="24"/>
                <w:szCs w:val="24"/>
              </w:rPr>
              <w:t>随着安阳市生态环境保护委员会</w:t>
            </w:r>
            <w:r>
              <w:rPr>
                <w:rFonts w:hint="eastAsia"/>
                <w:color w:val="auto"/>
                <w:sz w:val="24"/>
                <w:szCs w:val="24"/>
                <w:highlight w:val="none"/>
                <w:lang w:eastAsia="zh-CN"/>
              </w:rPr>
              <w:t>（安环委〔202</w:t>
            </w:r>
            <w:r>
              <w:rPr>
                <w:rFonts w:hint="eastAsia"/>
                <w:color w:val="auto"/>
                <w:sz w:val="24"/>
                <w:szCs w:val="24"/>
                <w:highlight w:val="none"/>
                <w:lang w:val="en-US" w:eastAsia="zh-CN"/>
              </w:rPr>
              <w:t>6</w:t>
            </w: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号）</w:t>
            </w:r>
            <w:r>
              <w:rPr>
                <w:rFonts w:hint="eastAsia"/>
                <w:color w:val="auto"/>
                <w:sz w:val="24"/>
                <w:szCs w:val="24"/>
                <w:lang w:eastAsia="zh-CN"/>
              </w:rPr>
              <w:t>中</w:t>
            </w:r>
            <w:r>
              <w:rPr>
                <w:rFonts w:hint="eastAsia"/>
                <w:color w:val="auto"/>
                <w:sz w:val="24"/>
                <w:szCs w:val="24"/>
              </w:rPr>
              <w:t>《安阳市202</w:t>
            </w:r>
            <w:r>
              <w:rPr>
                <w:rFonts w:hint="eastAsia"/>
                <w:color w:val="auto"/>
                <w:sz w:val="24"/>
                <w:szCs w:val="24"/>
                <w:lang w:val="en-US" w:eastAsia="zh-CN"/>
              </w:rPr>
              <w:t>6</w:t>
            </w:r>
            <w:r>
              <w:rPr>
                <w:rFonts w:hint="eastAsia"/>
                <w:color w:val="auto"/>
                <w:sz w:val="24"/>
                <w:szCs w:val="24"/>
              </w:rPr>
              <w:t>年碧水保卫战实施方案》等方案及计划的实施，汤河水质会得到持续改善。</w:t>
            </w:r>
          </w:p>
          <w:p w14:paraId="32F5EFEF">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szCs w:val="24"/>
                <w:lang w:eastAsia="zh-CN"/>
              </w:rPr>
            </w:pPr>
            <w:r>
              <w:rPr>
                <w:rFonts w:hint="eastAsia"/>
                <w:color w:val="auto"/>
                <w:sz w:val="24"/>
                <w:szCs w:val="24"/>
                <w:lang w:eastAsia="zh-CN"/>
              </w:rPr>
              <w:t>本项目食堂污水经隔油池处理后与经化粪池处理后的其他生活污水一同排入汤阴天雨污水净化有限公司，废水能够达标排放。</w:t>
            </w:r>
          </w:p>
          <w:p w14:paraId="65C03D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14:textFill>
                  <w14:solidFill>
                    <w14:schemeClr w14:val="tx1"/>
                  </w14:solidFill>
                </w14:textFill>
              </w:rPr>
              <w:t>3.声环境质量现状</w:t>
            </w:r>
          </w:p>
          <w:p w14:paraId="4F49DD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Times New Roman" w:cs="Times New Roman"/>
                <w:color w:val="000000" w:themeColor="text1"/>
                <w:sz w:val="24"/>
                <w:highlight w:val="none"/>
                <w14:textFill>
                  <w14:solidFill>
                    <w14:schemeClr w14:val="tx1"/>
                  </w14:solidFill>
                </w14:textFill>
              </w:rPr>
            </w:pPr>
            <w:r>
              <w:rPr>
                <w:rFonts w:hint="default" w:ascii="Times New Roman" w:hAnsi="Times New Roman" w:eastAsia="Times New Roman" w:cs="Times New Roman"/>
                <w:color w:val="auto"/>
                <w:sz w:val="24"/>
                <w:highlight w:val="none"/>
              </w:rPr>
              <w:t>项目位于</w:t>
            </w:r>
            <w:r>
              <w:rPr>
                <w:rFonts w:hint="default" w:ascii="Times New Roman" w:hAnsi="Times New Roman" w:eastAsia="Times New Roman" w:cs="Times New Roman"/>
                <w:color w:val="auto"/>
                <w:sz w:val="24"/>
                <w:highlight w:val="none"/>
                <w:lang w:val="en-US" w:eastAsia="zh-CN"/>
              </w:rPr>
              <w:t>安阳市汤阴县</w:t>
            </w:r>
            <w:r>
              <w:rPr>
                <w:rFonts w:hint="eastAsia" w:eastAsia="Times New Roman" w:cs="Times New Roman"/>
                <w:color w:val="auto"/>
                <w:sz w:val="24"/>
                <w:highlight w:val="none"/>
                <w:lang w:val="en-US" w:eastAsia="zh-CN"/>
              </w:rPr>
              <w:t>高新技术产业开发区内</w:t>
            </w:r>
            <w:r>
              <w:rPr>
                <w:rFonts w:hint="default" w:ascii="Times New Roman" w:hAnsi="Times New Roman" w:eastAsia="Times New Roman" w:cs="Times New Roman"/>
                <w:color w:val="auto"/>
                <w:sz w:val="24"/>
                <w:highlight w:val="none"/>
              </w:rPr>
              <w:t>，</w:t>
            </w:r>
            <w:r>
              <w:rPr>
                <w:rFonts w:hint="default" w:ascii="Times New Roman" w:hAnsi="Times New Roman" w:eastAsia="Times New Roman" w:cs="Times New Roman"/>
                <w:color w:val="000000" w:themeColor="text1"/>
                <w:sz w:val="24"/>
                <w:highlight w:val="none"/>
                <w14:textFill>
                  <w14:solidFill>
                    <w14:schemeClr w14:val="tx1"/>
                  </w14:solidFill>
                </w14:textFill>
              </w:rPr>
              <w:t>根据</w:t>
            </w:r>
            <w:r>
              <w:rPr>
                <w:rFonts w:hint="eastAsia" w:eastAsia="宋体" w:cs="Times New Roman"/>
                <w:color w:val="000000" w:themeColor="text1"/>
                <w:sz w:val="24"/>
                <w:highlight w:val="none"/>
                <w:lang w:eastAsia="zh-CN"/>
                <w14:textFill>
                  <w14:solidFill>
                    <w14:schemeClr w14:val="tx1"/>
                  </w14:solidFill>
                </w14:textFill>
              </w:rPr>
              <w:t>项目园区规划环评</w:t>
            </w:r>
            <w:r>
              <w:rPr>
                <w:rFonts w:hint="default" w:ascii="Times New Roman" w:hAnsi="Times New Roman" w:eastAsia="Times New Roman" w:cs="Times New Roman"/>
                <w:color w:val="000000" w:themeColor="text1"/>
                <w:sz w:val="24"/>
                <w:highlight w:val="none"/>
                <w14:textFill>
                  <w14:solidFill>
                    <w14:schemeClr w14:val="tx1"/>
                  </w14:solidFill>
                </w14:textFill>
              </w:rPr>
              <w:t>，项目所在区域执行《声环境质量标准》（GB3096-2008）中</w:t>
            </w:r>
            <w:r>
              <w:rPr>
                <w:rFonts w:hint="eastAsia" w:eastAsia="宋体" w:cs="Times New Roman"/>
                <w:color w:val="000000" w:themeColor="text1"/>
                <w:sz w:val="24"/>
                <w:highlight w:val="none"/>
                <w:lang w:val="en-US" w:eastAsia="zh-CN"/>
                <w14:textFill>
                  <w14:solidFill>
                    <w14:schemeClr w14:val="tx1"/>
                  </w14:solidFill>
                </w14:textFill>
              </w:rPr>
              <w:t>3</w:t>
            </w:r>
            <w:r>
              <w:rPr>
                <w:rFonts w:hint="default" w:ascii="Times New Roman" w:hAnsi="Times New Roman" w:eastAsia="Times New Roman" w:cs="Times New Roman"/>
                <w:color w:val="000000" w:themeColor="text1"/>
                <w:sz w:val="24"/>
                <w:highlight w:val="none"/>
                <w14:textFill>
                  <w14:solidFill>
                    <w14:schemeClr w14:val="tx1"/>
                  </w14:solidFill>
                </w14:textFill>
              </w:rPr>
              <w:t>类标准：</w:t>
            </w:r>
            <w:r>
              <w:rPr>
                <w:rFonts w:hint="default" w:ascii="Times New Roman" w:hAnsi="Times New Roman" w:eastAsia="Times New Roman" w:cs="Times New Roman"/>
                <w:color w:val="000000" w:themeColor="text1"/>
                <w:kern w:val="0"/>
                <w:sz w:val="24"/>
                <w:highlight w:val="none"/>
                <w14:textFill>
                  <w14:solidFill>
                    <w14:schemeClr w14:val="tx1"/>
                  </w14:solidFill>
                </w14:textFill>
              </w:rPr>
              <w:t>昼间</w:t>
            </w:r>
            <w:r>
              <w:rPr>
                <w:rFonts w:hint="default" w:ascii="Times New Roman" w:hAnsi="Times New Roman" w:eastAsia="Times New Roman" w:cs="Times New Roman"/>
                <w:color w:val="000000" w:themeColor="text1"/>
                <w:highlight w:val="none"/>
                <w14:textFill>
                  <w14:solidFill>
                    <w14:schemeClr w14:val="tx1"/>
                  </w14:solidFill>
                </w14:textFill>
              </w:rPr>
              <w:t>≤</w:t>
            </w:r>
            <w:r>
              <w:rPr>
                <w:rFonts w:hint="default" w:ascii="Times New Roman" w:hAnsi="Times New Roman" w:eastAsia="Times New Roman" w:cs="Times New Roman"/>
                <w:color w:val="000000" w:themeColor="text1"/>
                <w:kern w:val="0"/>
                <w:sz w:val="24"/>
                <w:highlight w:val="none"/>
                <w14:textFill>
                  <w14:solidFill>
                    <w14:schemeClr w14:val="tx1"/>
                  </w14:solidFill>
                </w14:textFill>
              </w:rPr>
              <w:t>6</w:t>
            </w:r>
            <w:r>
              <w:rPr>
                <w:rFonts w:hint="eastAsia" w:eastAsia="宋体" w:cs="Times New Roman"/>
                <w:color w:val="000000" w:themeColor="text1"/>
                <w:kern w:val="0"/>
                <w:sz w:val="24"/>
                <w:highlight w:val="none"/>
                <w:lang w:val="en-US" w:eastAsia="zh-CN"/>
                <w14:textFill>
                  <w14:solidFill>
                    <w14:schemeClr w14:val="tx1"/>
                  </w14:solidFill>
                </w14:textFill>
              </w:rPr>
              <w:t>5</w:t>
            </w:r>
            <w:r>
              <w:rPr>
                <w:rFonts w:hint="default" w:ascii="Times New Roman" w:hAnsi="Times New Roman" w:eastAsia="Times New Roman" w:cs="Times New Roman"/>
                <w:color w:val="000000" w:themeColor="text1"/>
                <w:sz w:val="24"/>
                <w:highlight w:val="none"/>
                <w14:textFill>
                  <w14:solidFill>
                    <w14:schemeClr w14:val="tx1"/>
                  </w14:solidFill>
                </w14:textFill>
              </w:rPr>
              <w:t>dB(A)</w:t>
            </w:r>
            <w:r>
              <w:rPr>
                <w:rFonts w:hint="default" w:ascii="Times New Roman" w:hAnsi="Times New Roman" w:eastAsia="Times New Roman" w:cs="Times New Roman"/>
                <w:color w:val="000000" w:themeColor="text1"/>
                <w:kern w:val="0"/>
                <w:sz w:val="24"/>
                <w:highlight w:val="none"/>
                <w14:textFill>
                  <w14:solidFill>
                    <w14:schemeClr w14:val="tx1"/>
                  </w14:solidFill>
                </w14:textFill>
              </w:rPr>
              <w:t>、夜间</w:t>
            </w:r>
            <w:r>
              <w:rPr>
                <w:rFonts w:hint="default" w:ascii="Times New Roman" w:hAnsi="Times New Roman" w:eastAsia="Times New Roman" w:cs="Times New Roman"/>
                <w:color w:val="000000" w:themeColor="text1"/>
                <w:highlight w:val="none"/>
                <w14:textFill>
                  <w14:solidFill>
                    <w14:schemeClr w14:val="tx1"/>
                  </w14:solidFill>
                </w14:textFill>
              </w:rPr>
              <w:t>≤</w:t>
            </w:r>
            <w:r>
              <w:rPr>
                <w:rFonts w:hint="eastAsia" w:eastAsia="宋体" w:cs="Times New Roman"/>
                <w:color w:val="000000" w:themeColor="text1"/>
                <w:kern w:val="0"/>
                <w:sz w:val="24"/>
                <w:highlight w:val="none"/>
                <w:lang w:val="en-US" w:eastAsia="zh-CN"/>
                <w14:textFill>
                  <w14:solidFill>
                    <w14:schemeClr w14:val="tx1"/>
                  </w14:solidFill>
                </w14:textFill>
              </w:rPr>
              <w:t>5</w:t>
            </w:r>
            <w:r>
              <w:rPr>
                <w:rFonts w:hint="eastAsia" w:cs="Times New Roman"/>
                <w:color w:val="000000" w:themeColor="text1"/>
                <w:kern w:val="0"/>
                <w:sz w:val="24"/>
                <w:highlight w:val="none"/>
                <w:lang w:val="en-US" w:eastAsia="zh-CN"/>
                <w14:textFill>
                  <w14:solidFill>
                    <w14:schemeClr w14:val="tx1"/>
                  </w14:solidFill>
                </w14:textFill>
              </w:rPr>
              <w:t>5</w:t>
            </w:r>
            <w:r>
              <w:rPr>
                <w:rFonts w:hint="default" w:ascii="Times New Roman" w:hAnsi="Times New Roman" w:eastAsia="Times New Roman" w:cs="Times New Roman"/>
                <w:color w:val="000000" w:themeColor="text1"/>
                <w:kern w:val="0"/>
                <w:sz w:val="24"/>
                <w:highlight w:val="none"/>
                <w14:textFill>
                  <w14:solidFill>
                    <w14:schemeClr w14:val="tx1"/>
                  </w14:solidFill>
                </w14:textFill>
              </w:rPr>
              <w:t>dB(A)</w:t>
            </w:r>
            <w:r>
              <w:rPr>
                <w:rFonts w:hint="default" w:ascii="Times New Roman" w:hAnsi="Times New Roman" w:eastAsia="Times New Roman" w:cs="Times New Roman"/>
                <w:color w:val="000000" w:themeColor="text1"/>
                <w:sz w:val="24"/>
                <w:highlight w:val="none"/>
                <w14:textFill>
                  <w14:solidFill>
                    <w14:schemeClr w14:val="tx1"/>
                  </w14:solidFill>
                </w14:textFill>
              </w:rPr>
              <w:t>。</w:t>
            </w:r>
          </w:p>
          <w:p w14:paraId="31B80D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Times New Roman" w:cs="Times New Roman"/>
                <w:color w:val="000000" w:themeColor="text1"/>
                <w:sz w:val="24"/>
                <w:highlight w:val="none"/>
                <w14:textFill>
                  <w14:solidFill>
                    <w14:schemeClr w14:val="tx1"/>
                  </w14:solidFill>
                </w14:textFill>
              </w:rPr>
            </w:pPr>
            <w:r>
              <w:rPr>
                <w:rFonts w:hint="default" w:ascii="Times New Roman" w:hAnsi="Times New Roman" w:eastAsia="Times New Roman" w:cs="Times New Roman"/>
                <w:color w:val="000000" w:themeColor="text1"/>
                <w:sz w:val="24"/>
                <w:highlight w:val="none"/>
                <w:lang w:val="zh-TW"/>
                <w14:textFill>
                  <w14:solidFill>
                    <w14:schemeClr w14:val="tx1"/>
                  </w14:solidFill>
                </w14:textFill>
              </w:rPr>
              <w:t>项目50m范围内不涉及声环境敏感目标，</w:t>
            </w:r>
            <w:r>
              <w:rPr>
                <w:rFonts w:hint="default" w:ascii="Times New Roman" w:hAnsi="Times New Roman" w:eastAsia="Times New Roman" w:cs="Times New Roman"/>
                <w:color w:val="000000" w:themeColor="text1"/>
                <w:sz w:val="24"/>
                <w:highlight w:val="none"/>
                <w:lang w:val="zh-TW" w:eastAsia="zh-CN"/>
                <w14:textFill>
                  <w14:solidFill>
                    <w14:schemeClr w14:val="tx1"/>
                  </w14:solidFill>
                </w14:textFill>
              </w:rPr>
              <w:t>不进行声环境质量现状调查</w:t>
            </w:r>
            <w:r>
              <w:rPr>
                <w:rFonts w:hint="default" w:ascii="Times New Roman" w:hAnsi="Times New Roman" w:eastAsia="Times New Roman" w:cs="Times New Roman"/>
                <w:color w:val="000000" w:themeColor="text1"/>
                <w:sz w:val="24"/>
                <w:highlight w:val="none"/>
                <w14:textFill>
                  <w14:solidFill>
                    <w14:schemeClr w14:val="tx1"/>
                  </w14:solidFill>
                </w14:textFill>
              </w:rPr>
              <w:t>。</w:t>
            </w:r>
          </w:p>
          <w:p w14:paraId="3FC8EE3E">
            <w:pPr>
              <w:pStyle w:val="13"/>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Times New Roman" w:cs="Times New Roman"/>
                <w:b/>
                <w:bCs/>
                <w:color w:val="000000" w:themeColor="text1"/>
                <w:sz w:val="24"/>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14:textFill>
                  <w14:solidFill>
                    <w14:schemeClr w14:val="tx1"/>
                  </w14:solidFill>
                </w14:textFill>
              </w:rPr>
              <w:t>4.土壤环境质量现状</w:t>
            </w:r>
          </w:p>
          <w:p w14:paraId="49F600B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highlight w:val="none"/>
                <w14:textFill>
                  <w14:solidFill>
                    <w14:schemeClr w14:val="tx1"/>
                  </w14:solidFill>
                </w14:textFill>
              </w:rPr>
            </w:pPr>
            <w:r>
              <w:rPr>
                <w:rFonts w:hint="default" w:ascii="Times New Roman" w:hAnsi="Times New Roman" w:eastAsia="Times New Roman" w:cs="Times New Roman"/>
                <w:color w:val="000000" w:themeColor="text1"/>
                <w:sz w:val="24"/>
                <w:highlight w:val="none"/>
                <w14:textFill>
                  <w14:solidFill>
                    <w14:schemeClr w14:val="tx1"/>
                  </w14:solidFill>
                </w14:textFill>
              </w:rPr>
              <w:t>依据《建设项目环境影响报告表编制技术指南（污染影响类）（试行）》，原则上不开展土壤环境质量现状调查，建设项目存在土壤污染途径的，应结合污染源、保护目标分布情况开展现状调查以留作背景值。</w:t>
            </w:r>
          </w:p>
          <w:p w14:paraId="325C127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highlight w:val="none"/>
                <w14:textFill>
                  <w14:solidFill>
                    <w14:schemeClr w14:val="tx1"/>
                  </w14:solidFill>
                </w14:textFill>
              </w:rPr>
            </w:pPr>
            <w:r>
              <w:rPr>
                <w:rFonts w:hint="default" w:ascii="Times New Roman" w:hAnsi="Times New Roman" w:eastAsia="Times New Roman" w:cs="Times New Roman"/>
                <w:color w:val="000000" w:themeColor="text1"/>
                <w:kern w:val="0"/>
                <w:sz w:val="24"/>
                <w:highlight w:val="none"/>
                <w14:textFill>
                  <w14:solidFill>
                    <w14:schemeClr w14:val="tx1"/>
                  </w14:solidFill>
                </w14:textFill>
              </w:rPr>
              <w:t>本项目生产车间内地面已全部硬化，生产工序</w:t>
            </w:r>
            <w:r>
              <w:rPr>
                <w:rFonts w:hint="default" w:ascii="Times New Roman" w:hAnsi="Times New Roman" w:eastAsia="Times New Roman" w:cs="Times New Roman"/>
                <w:color w:val="000000" w:themeColor="text1"/>
                <w:kern w:val="0"/>
                <w:sz w:val="24"/>
                <w:highlight w:val="none"/>
                <w:lang w:val="en-US" w:eastAsia="zh-CN"/>
                <w14:textFill>
                  <w14:solidFill>
                    <w14:schemeClr w14:val="tx1"/>
                  </w14:solidFill>
                </w14:textFill>
              </w:rPr>
              <w:t>主要产污环节均</w:t>
            </w:r>
            <w:r>
              <w:rPr>
                <w:rFonts w:hint="default" w:ascii="Times New Roman" w:hAnsi="Times New Roman" w:eastAsia="Times New Roman" w:cs="Times New Roman"/>
                <w:color w:val="000000" w:themeColor="text1"/>
                <w:kern w:val="0"/>
                <w:sz w:val="24"/>
                <w:highlight w:val="none"/>
                <w14:textFill>
                  <w14:solidFill>
                    <w14:schemeClr w14:val="tx1"/>
                  </w14:solidFill>
                </w14:textFill>
              </w:rPr>
              <w:t>安装</w:t>
            </w:r>
            <w:r>
              <w:rPr>
                <w:rFonts w:hint="default" w:ascii="Times New Roman" w:hAnsi="Times New Roman" w:eastAsia="Times New Roman" w:cs="Times New Roman"/>
                <w:color w:val="000000" w:themeColor="text1"/>
                <w:kern w:val="0"/>
                <w:sz w:val="24"/>
                <w:highlight w:val="none"/>
                <w:lang w:val="en-US" w:eastAsia="zh-CN"/>
                <w14:textFill>
                  <w14:solidFill>
                    <w14:schemeClr w14:val="tx1"/>
                  </w14:solidFill>
                </w14:textFill>
              </w:rPr>
              <w:t>集气及处理设施</w:t>
            </w:r>
            <w:r>
              <w:rPr>
                <w:rFonts w:hint="default" w:ascii="Times New Roman" w:hAnsi="Times New Roman" w:eastAsia="Times New Roman" w:cs="Times New Roman"/>
                <w:color w:val="000000" w:themeColor="text1"/>
                <w:kern w:val="0"/>
                <w:sz w:val="24"/>
                <w:highlight w:val="none"/>
                <w14:textFill>
                  <w14:solidFill>
                    <w14:schemeClr w14:val="tx1"/>
                  </w14:solidFill>
                </w14:textFill>
              </w:rPr>
              <w:t>，能够有效减少</w:t>
            </w:r>
            <w:r>
              <w:rPr>
                <w:rFonts w:hint="default" w:ascii="Times New Roman" w:hAnsi="Times New Roman" w:eastAsia="Times New Roman" w:cs="Times New Roman"/>
                <w:color w:val="000000" w:themeColor="text1"/>
                <w:kern w:val="0"/>
                <w:sz w:val="24"/>
                <w:highlight w:val="none"/>
                <w:lang w:val="en-US" w:eastAsia="zh-CN"/>
                <w14:textFill>
                  <w14:solidFill>
                    <w14:schemeClr w14:val="tx1"/>
                  </w14:solidFill>
                </w14:textFill>
              </w:rPr>
              <w:t>大气污染物</w:t>
            </w:r>
            <w:r>
              <w:rPr>
                <w:rFonts w:hint="default" w:ascii="Times New Roman" w:hAnsi="Times New Roman" w:eastAsia="Times New Roman" w:cs="Times New Roman"/>
                <w:color w:val="000000" w:themeColor="text1"/>
                <w:kern w:val="0"/>
                <w:sz w:val="24"/>
                <w:highlight w:val="none"/>
                <w14:textFill>
                  <w14:solidFill>
                    <w14:schemeClr w14:val="tx1"/>
                  </w14:solidFill>
                </w14:textFill>
              </w:rPr>
              <w:t>排放，不涉及有毒有害污染物，项目</w:t>
            </w:r>
            <w:r>
              <w:rPr>
                <w:rFonts w:hint="default" w:ascii="Times New Roman" w:hAnsi="Times New Roman" w:eastAsia="Times New Roman" w:cs="Times New Roman"/>
                <w:color w:val="000000" w:themeColor="text1"/>
                <w:kern w:val="0"/>
                <w:sz w:val="24"/>
                <w:highlight w:val="none"/>
                <w:lang w:val="en-US" w:eastAsia="zh-CN"/>
                <w14:textFill>
                  <w14:solidFill>
                    <w14:schemeClr w14:val="tx1"/>
                  </w14:solidFill>
                </w14:textFill>
              </w:rPr>
              <w:t>生产</w:t>
            </w:r>
            <w:r>
              <w:rPr>
                <w:rFonts w:hint="default" w:ascii="Times New Roman" w:hAnsi="Times New Roman" w:eastAsia="Times New Roman" w:cs="Times New Roman"/>
                <w:color w:val="000000" w:themeColor="text1"/>
                <w:kern w:val="0"/>
                <w:sz w:val="24"/>
                <w:highlight w:val="none"/>
                <w14:textFill>
                  <w14:solidFill>
                    <w14:schemeClr w14:val="tx1"/>
                  </w14:solidFill>
                </w14:textFill>
              </w:rPr>
              <w:t>工艺过程不涉及土壤环境污染途径。</w:t>
            </w:r>
            <w:r>
              <w:rPr>
                <w:rFonts w:hint="default" w:ascii="Times New Roman" w:hAnsi="Times New Roman" w:eastAsia="Times New Roman" w:cs="Times New Roman"/>
                <w:color w:val="000000" w:themeColor="text1"/>
                <w:sz w:val="24"/>
                <w:highlight w:val="none"/>
                <w14:textFill>
                  <w14:solidFill>
                    <w14:schemeClr w14:val="tx1"/>
                  </w14:solidFill>
                </w14:textFill>
              </w:rPr>
              <w:t>因此，不开展土壤环境质量现状监测。</w:t>
            </w:r>
          </w:p>
          <w:p w14:paraId="5978CFD3">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14:textFill>
                  <w14:solidFill>
                    <w14:schemeClr w14:val="tx1"/>
                  </w14:solidFill>
                </w14:textFill>
              </w:rPr>
              <w:t>5.地下水环境质量现状</w:t>
            </w:r>
          </w:p>
          <w:p w14:paraId="6B4A64E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highlight w:val="none"/>
                <w14:textFill>
                  <w14:solidFill>
                    <w14:schemeClr w14:val="tx1"/>
                  </w14:solidFill>
                </w14:textFill>
              </w:rPr>
            </w:pPr>
            <w:r>
              <w:rPr>
                <w:rFonts w:hint="default" w:ascii="Times New Roman" w:hAnsi="Times New Roman" w:eastAsia="Times New Roman" w:cs="Times New Roman"/>
                <w:color w:val="000000" w:themeColor="text1"/>
                <w:sz w:val="24"/>
                <w:highlight w:val="none"/>
                <w14:textFill>
                  <w14:solidFill>
                    <w14:schemeClr w14:val="tx1"/>
                  </w14:solidFill>
                </w14:textFill>
              </w:rPr>
              <w:t>依据《建设项目环境影响报告表编制技术指南（污染影响类）（试行）》，原则上不开展地下水环境质量现状调查，建设项目存在地下水污染途径的，应结合污染源、保护目标分布情况开展现状调查以留作背景值。</w:t>
            </w:r>
          </w:p>
          <w:p w14:paraId="3004F48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highlight w:val="none"/>
                <w14:textFill>
                  <w14:solidFill>
                    <w14:schemeClr w14:val="tx1"/>
                  </w14:solidFill>
                </w14:textFill>
              </w:rPr>
            </w:pPr>
            <w:r>
              <w:rPr>
                <w:rFonts w:hint="default" w:ascii="Times New Roman" w:hAnsi="Times New Roman" w:eastAsia="Times New Roman" w:cs="Times New Roman"/>
                <w:color w:val="000000" w:themeColor="text1"/>
                <w:sz w:val="24"/>
                <w:highlight w:val="none"/>
                <w14:textFill>
                  <w14:solidFill>
                    <w14:schemeClr w14:val="tx1"/>
                  </w14:solidFill>
                </w14:textFill>
              </w:rPr>
              <w:t>项目生产工艺不涉及地下水环境污染途径，因此，不开展地下水环境质量现状监测。</w:t>
            </w:r>
          </w:p>
          <w:p w14:paraId="79DC65C1">
            <w:pPr>
              <w:pStyle w:val="13"/>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Times New Roman" w:cs="Times New Roman"/>
                <w:b/>
                <w:bCs/>
                <w:color w:val="000000" w:themeColor="text1"/>
                <w:sz w:val="24"/>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14:textFill>
                  <w14:solidFill>
                    <w14:schemeClr w14:val="tx1"/>
                  </w14:solidFill>
                </w14:textFill>
              </w:rPr>
              <w:t>6.生态环境质量现状</w:t>
            </w:r>
          </w:p>
          <w:p w14:paraId="7742F195">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iCs/>
                <w:color w:val="000000" w:themeColor="text1"/>
                <w:sz w:val="24"/>
                <w:highlight w:val="none"/>
                <w14:textFill>
                  <w14:solidFill>
                    <w14:schemeClr w14:val="tx1"/>
                  </w14:solidFill>
                </w14:textFill>
              </w:rPr>
            </w:pPr>
            <w:r>
              <w:rPr>
                <w:rFonts w:hint="eastAsia" w:eastAsia="Times New Roman" w:cs="Times New Roman"/>
                <w:color w:val="000000" w:themeColor="text1"/>
                <w:kern w:val="0"/>
                <w:sz w:val="24"/>
                <w:highlight w:val="none"/>
                <w:lang w:val="en-US" w:eastAsia="zh-CN"/>
                <w14:textFill>
                  <w14:solidFill>
                    <w14:schemeClr w14:val="tx1"/>
                  </w14:solidFill>
                </w14:textFill>
              </w:rPr>
              <w:t>根据现场调查，</w:t>
            </w:r>
            <w:r>
              <w:rPr>
                <w:rFonts w:hint="default" w:ascii="Times New Roman" w:hAnsi="Times New Roman" w:eastAsia="Times New Roman" w:cs="Times New Roman"/>
                <w:color w:val="000000" w:themeColor="text1"/>
                <w:kern w:val="0"/>
                <w:sz w:val="24"/>
                <w:highlight w:val="none"/>
                <w:lang w:val="en-US" w:eastAsia="zh-CN"/>
                <w14:textFill>
                  <w14:solidFill>
                    <w14:schemeClr w14:val="tx1"/>
                  </w14:solidFill>
                </w14:textFill>
              </w:rPr>
              <w:t>项目</w:t>
            </w:r>
            <w:r>
              <w:rPr>
                <w:rFonts w:hint="default" w:ascii="Times New Roman" w:hAnsi="Times New Roman" w:eastAsia="Times New Roman" w:cs="Times New Roman"/>
                <w:iCs/>
                <w:color w:val="000000" w:themeColor="text1"/>
                <w:sz w:val="24"/>
                <w:highlight w:val="none"/>
                <w14:textFill>
                  <w14:solidFill>
                    <w14:schemeClr w14:val="tx1"/>
                  </w14:solidFill>
                </w14:textFill>
              </w:rPr>
              <w:t>用地范围内无生态环境保护目标。</w:t>
            </w:r>
          </w:p>
          <w:p w14:paraId="0916E42F">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iCs/>
                <w:color w:val="000000" w:themeColor="text1"/>
                <w:sz w:val="24"/>
                <w:szCs w:val="10"/>
                <w:highlight w:val="none"/>
                <w14:textFill>
                  <w14:solidFill>
                    <w14:schemeClr w14:val="tx1"/>
                  </w14:solidFill>
                </w14:textFill>
              </w:rPr>
            </w:pPr>
            <w:r>
              <w:rPr>
                <w:rFonts w:hint="default" w:ascii="Times New Roman" w:hAnsi="Times New Roman" w:eastAsia="Times New Roman" w:cs="Times New Roman"/>
                <w:iCs/>
                <w:color w:val="000000" w:themeColor="text1"/>
                <w:sz w:val="24"/>
                <w:highlight w:val="none"/>
                <w14:textFill>
                  <w14:solidFill>
                    <w14:schemeClr w14:val="tx1"/>
                  </w14:solidFill>
                </w14:textFill>
              </w:rPr>
              <w:t>项目周围主要为工业企业，地表植被主要为小麦、玉米等当地农作物，生态环境一般。项目周边500m范围内未发现列入《国家重点保护野生植物名录》和《国家重点保护野生动物名录》的动植物。</w:t>
            </w:r>
          </w:p>
        </w:tc>
      </w:tr>
      <w:tr w14:paraId="3C3264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3" w:type="pct"/>
            <w:noWrap w:val="0"/>
            <w:vAlign w:val="center"/>
          </w:tcPr>
          <w:p w14:paraId="5046B46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kern w:val="0"/>
                <w:sz w:val="24"/>
                <w:highlight w:val="none"/>
                <w14:textFill>
                  <w14:solidFill>
                    <w14:schemeClr w14:val="tx1"/>
                  </w14:solidFill>
                </w14:textFill>
              </w:rPr>
            </w:pPr>
            <w:r>
              <w:rPr>
                <w:rFonts w:hint="default" w:ascii="Times New Roman" w:hAnsi="Times New Roman" w:eastAsia="Times New Roman" w:cs="Times New Roman"/>
                <w:color w:val="000000" w:themeColor="text1"/>
                <w:kern w:val="0"/>
                <w:sz w:val="24"/>
                <w:highlight w:val="none"/>
                <w14:textFill>
                  <w14:solidFill>
                    <w14:schemeClr w14:val="tx1"/>
                  </w14:solidFill>
                </w14:textFill>
              </w:rPr>
              <w:t>环境保护目标</w:t>
            </w:r>
          </w:p>
        </w:tc>
        <w:tc>
          <w:tcPr>
            <w:tcW w:w="4746" w:type="pct"/>
            <w:noWrap w:val="0"/>
            <w:vAlign w:val="top"/>
          </w:tcPr>
          <w:p w14:paraId="71E9B74E">
            <w:pPr>
              <w:keepNext w:val="0"/>
              <w:keepLines w:val="0"/>
              <w:suppressLineNumbers w:val="0"/>
              <w:adjustRightInd w:val="0"/>
              <w:snapToGrid w:val="0"/>
              <w:spacing w:before="120" w:beforeLines="50" w:beforeAutospacing="0" w:after="0" w:afterAutospacing="0" w:line="360" w:lineRule="auto"/>
              <w:ind w:left="0" w:right="0"/>
              <w:jc w:val="left"/>
              <w:rPr>
                <w:rFonts w:hint="default" w:ascii="Times New Roman" w:hAnsi="Times New Roman" w:eastAsia="Times New Roman" w:cs="Times New Roman"/>
                <w:b/>
                <w:color w:val="000000" w:themeColor="text1"/>
                <w:kern w:val="0"/>
                <w:sz w:val="24"/>
                <w:highlight w:val="none"/>
                <w14:textFill>
                  <w14:solidFill>
                    <w14:schemeClr w14:val="tx1"/>
                  </w14:solidFill>
                </w14:textFill>
              </w:rPr>
            </w:pPr>
            <w:r>
              <w:rPr>
                <w:rFonts w:hint="default" w:ascii="Times New Roman" w:hAnsi="Times New Roman" w:eastAsia="Times New Roman" w:cs="Times New Roman"/>
                <w:b/>
                <w:color w:val="000000" w:themeColor="text1"/>
                <w:kern w:val="0"/>
                <w:sz w:val="24"/>
                <w:highlight w:val="none"/>
                <w14:textFill>
                  <w14:solidFill>
                    <w14:schemeClr w14:val="tx1"/>
                  </w14:solidFill>
                </w14:textFill>
              </w:rPr>
              <w:t>1.</w:t>
            </w:r>
            <w:r>
              <w:rPr>
                <w:rFonts w:hint="default" w:ascii="Times New Roman" w:hAnsi="Times New Roman" w:eastAsia="Times New Roman" w:cs="Times New Roman"/>
                <w:b/>
                <w:color w:val="000000" w:themeColor="text1"/>
                <w:sz w:val="24"/>
                <w:highlight w:val="none"/>
                <w14:textFill>
                  <w14:solidFill>
                    <w14:schemeClr w14:val="tx1"/>
                  </w14:solidFill>
                </w14:textFill>
              </w:rPr>
              <w:t>大气环境</w:t>
            </w:r>
          </w:p>
          <w:p w14:paraId="5E64FADF">
            <w:pPr>
              <w:keepNext w:val="0"/>
              <w:keepLines w:val="0"/>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本项目500m范围不存在大气环境保护目标。</w:t>
            </w:r>
          </w:p>
          <w:p w14:paraId="1DF24284">
            <w:pPr>
              <w:keepNext w:val="0"/>
              <w:keepLines w:val="0"/>
              <w:suppressLineNumbers w:val="0"/>
              <w:adjustRightInd w:val="0"/>
              <w:snapToGrid w:val="0"/>
              <w:spacing w:before="120" w:beforeLines="50" w:beforeAutospacing="0" w:after="0" w:afterAutospacing="0" w:line="360" w:lineRule="auto"/>
              <w:ind w:left="0" w:right="0"/>
              <w:jc w:val="left"/>
              <w:rPr>
                <w:rFonts w:hint="default" w:ascii="Times New Roman" w:hAnsi="Times New Roman" w:eastAsia="Times New Roman" w:cs="Times New Roman"/>
                <w:b/>
                <w:color w:val="000000" w:themeColor="text1"/>
                <w:kern w:val="0"/>
                <w:sz w:val="24"/>
                <w:highlight w:val="none"/>
                <w14:textFill>
                  <w14:solidFill>
                    <w14:schemeClr w14:val="tx1"/>
                  </w14:solidFill>
                </w14:textFill>
              </w:rPr>
            </w:pPr>
            <w:r>
              <w:rPr>
                <w:rFonts w:hint="default" w:ascii="Times New Roman" w:hAnsi="Times New Roman" w:eastAsia="Times New Roman" w:cs="Times New Roman"/>
                <w:b/>
                <w:color w:val="000000" w:themeColor="text1"/>
                <w:kern w:val="0"/>
                <w:sz w:val="24"/>
                <w:highlight w:val="none"/>
                <w14:textFill>
                  <w14:solidFill>
                    <w14:schemeClr w14:val="tx1"/>
                  </w14:solidFill>
                </w14:textFill>
              </w:rPr>
              <w:t>2.声环境</w:t>
            </w:r>
          </w:p>
          <w:p w14:paraId="0947CC55">
            <w:pPr>
              <w:keepNext w:val="0"/>
              <w:keepLines w:val="0"/>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Times New Roman" w:cs="Times New Roman"/>
                <w:color w:val="000000" w:themeColor="text1"/>
                <w:kern w:val="0"/>
                <w:sz w:val="24"/>
                <w:highlight w:val="none"/>
                <w14:textFill>
                  <w14:solidFill>
                    <w14:schemeClr w14:val="tx1"/>
                  </w14:solidFill>
                </w14:textFill>
              </w:rPr>
            </w:pPr>
            <w:r>
              <w:rPr>
                <w:rFonts w:hint="default" w:ascii="Times New Roman" w:hAnsi="Times New Roman" w:eastAsia="Times New Roman" w:cs="Times New Roman"/>
                <w:color w:val="000000" w:themeColor="text1"/>
                <w:kern w:val="0"/>
                <w:sz w:val="24"/>
                <w:highlight w:val="none"/>
                <w14:textFill>
                  <w14:solidFill>
                    <w14:schemeClr w14:val="tx1"/>
                  </w14:solidFill>
                </w14:textFill>
              </w:rPr>
              <w:t>项目厂界外50m范围内不涉及声环境保护目标。</w:t>
            </w:r>
          </w:p>
          <w:p w14:paraId="1B2FD8D5">
            <w:pPr>
              <w:keepNext w:val="0"/>
              <w:keepLines w:val="0"/>
              <w:suppressLineNumbers w:val="0"/>
              <w:adjustRightInd w:val="0"/>
              <w:snapToGrid w:val="0"/>
              <w:spacing w:before="0" w:beforeAutospacing="0" w:after="0" w:afterAutospacing="0" w:line="360" w:lineRule="auto"/>
              <w:ind w:left="0" w:right="0"/>
              <w:jc w:val="left"/>
              <w:rPr>
                <w:rFonts w:hint="default"/>
                <w:color w:val="000000" w:themeColor="text1"/>
                <w14:textFill>
                  <w14:solidFill>
                    <w14:schemeClr w14:val="tx1"/>
                  </w14:solidFill>
                </w14:textFill>
              </w:rPr>
            </w:pPr>
            <w:r>
              <w:rPr>
                <w:rFonts w:hint="default" w:ascii="Times New Roman" w:hAnsi="Times New Roman" w:eastAsia="Times New Roman" w:cs="Times New Roman"/>
                <w:b/>
                <w:color w:val="000000" w:themeColor="text1"/>
                <w:kern w:val="0"/>
                <w:sz w:val="24"/>
                <w:highlight w:val="none"/>
                <w14:textFill>
                  <w14:solidFill>
                    <w14:schemeClr w14:val="tx1"/>
                  </w14:solidFill>
                </w14:textFill>
              </w:rPr>
              <w:t>3.地下水环境</w:t>
            </w:r>
          </w:p>
          <w:p w14:paraId="31760584">
            <w:pPr>
              <w:keepNext w:val="0"/>
              <w:keepLines w:val="0"/>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厂界外500米范围内没有地下水集中式饮用水水源和热水、矿泉水、温泉等特殊地下水资源。</w:t>
            </w:r>
          </w:p>
          <w:p w14:paraId="4C3CE8E5">
            <w:pPr>
              <w:keepNext w:val="0"/>
              <w:keepLines w:val="0"/>
              <w:suppressLineNumbers w:val="0"/>
              <w:adjustRightInd w:val="0"/>
              <w:snapToGrid w:val="0"/>
              <w:spacing w:before="0" w:beforeAutospacing="0" w:after="0" w:afterAutospacing="0" w:line="360" w:lineRule="auto"/>
              <w:ind w:left="0" w:right="0"/>
              <w:jc w:val="left"/>
              <w:rPr>
                <w:rFonts w:hint="default" w:ascii="Times New Roman" w:hAnsi="Times New Roman" w:eastAsia="Times New Roman" w:cs="Times New Roman"/>
                <w:b/>
                <w:color w:val="000000" w:themeColor="text1"/>
                <w:kern w:val="0"/>
                <w:sz w:val="24"/>
                <w:highlight w:val="none"/>
                <w14:textFill>
                  <w14:solidFill>
                    <w14:schemeClr w14:val="tx1"/>
                  </w14:solidFill>
                </w14:textFill>
              </w:rPr>
            </w:pPr>
            <w:r>
              <w:rPr>
                <w:rFonts w:hint="default" w:ascii="Times New Roman" w:hAnsi="Times New Roman" w:eastAsia="Times New Roman" w:cs="Times New Roman"/>
                <w:b/>
                <w:color w:val="000000" w:themeColor="text1"/>
                <w:kern w:val="0"/>
                <w:sz w:val="24"/>
                <w:highlight w:val="none"/>
                <w14:textFill>
                  <w14:solidFill>
                    <w14:schemeClr w14:val="tx1"/>
                  </w14:solidFill>
                </w14:textFill>
              </w:rPr>
              <w:t>4.生态环境</w:t>
            </w:r>
          </w:p>
          <w:p w14:paraId="2705A3E7">
            <w:pPr>
              <w:keepNext w:val="0"/>
              <w:keepLines w:val="0"/>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Times New Roman" w:cs="Times New Roman"/>
                <w:iCs/>
                <w:color w:val="000000" w:themeColor="text1"/>
                <w:sz w:val="24"/>
                <w:highlight w:val="none"/>
                <w14:textFill>
                  <w14:solidFill>
                    <w14:schemeClr w14:val="tx1"/>
                  </w14:solidFill>
                </w14:textFill>
              </w:rPr>
            </w:pPr>
            <w:r>
              <w:rPr>
                <w:rFonts w:hint="default" w:ascii="Times New Roman" w:hAnsi="Times New Roman" w:eastAsia="Times New Roman" w:cs="Times New Roman"/>
                <w:iCs/>
                <w:color w:val="000000" w:themeColor="text1"/>
                <w:sz w:val="24"/>
                <w:highlight w:val="none"/>
                <w14:textFill>
                  <w14:solidFill>
                    <w14:schemeClr w14:val="tx1"/>
                  </w14:solidFill>
                </w14:textFill>
              </w:rPr>
              <w:t>项目位于</w:t>
            </w:r>
            <w:r>
              <w:rPr>
                <w:rFonts w:hint="eastAsia" w:eastAsia="Times New Roman" w:cs="Times New Roman"/>
                <w:b w:val="0"/>
                <w:bCs w:val="0"/>
                <w:iCs/>
                <w:color w:val="000000" w:themeColor="text1"/>
                <w:sz w:val="24"/>
                <w:highlight w:val="none"/>
                <w:u w:val="none"/>
                <w:lang w:val="en-US" w:eastAsia="zh-CN"/>
                <w14:textFill>
                  <w14:solidFill>
                    <w14:schemeClr w14:val="tx1"/>
                  </w14:solidFill>
                </w14:textFill>
              </w:rPr>
              <w:t>安阳市汤阴县汤阴县众品大道原色非家具厂院内，属于汤阴高新技术产业开发区</w:t>
            </w:r>
            <w:r>
              <w:rPr>
                <w:rFonts w:hint="eastAsia" w:eastAsia="Times New Roman" w:cs="Times New Roman"/>
                <w:iCs/>
                <w:color w:val="000000" w:themeColor="text1"/>
                <w:sz w:val="24"/>
                <w:highlight w:val="none"/>
                <w:lang w:val="en-US" w:eastAsia="zh-CN"/>
                <w14:textFill>
                  <w14:solidFill>
                    <w14:schemeClr w14:val="tx1"/>
                  </w14:solidFill>
                </w14:textFill>
              </w:rPr>
              <w:t>，</w:t>
            </w:r>
            <w:r>
              <w:rPr>
                <w:rFonts w:hint="default" w:ascii="Times New Roman" w:hAnsi="Times New Roman" w:eastAsia="Times New Roman" w:cs="Times New Roman"/>
                <w:iCs/>
                <w:color w:val="000000" w:themeColor="text1"/>
                <w:sz w:val="24"/>
                <w:highlight w:val="none"/>
                <w14:textFill>
                  <w14:solidFill>
                    <w14:schemeClr w14:val="tx1"/>
                  </w14:solidFill>
                </w14:textFill>
              </w:rPr>
              <w:t>用地范围内无生态环境保护目标。</w:t>
            </w:r>
          </w:p>
          <w:p w14:paraId="0300D2D7">
            <w:pPr>
              <w:keepNext w:val="0"/>
              <w:keepLines w:val="0"/>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Times New Roman" w:cs="Times New Roman"/>
                <w:iCs/>
                <w:color w:val="000000" w:themeColor="text1"/>
                <w:sz w:val="24"/>
                <w:highlight w:val="none"/>
                <w14:textFill>
                  <w14:solidFill>
                    <w14:schemeClr w14:val="tx1"/>
                  </w14:solidFill>
                </w14:textFill>
              </w:rPr>
            </w:pPr>
          </w:p>
          <w:p w14:paraId="1B9A1EA8">
            <w:pPr>
              <w:keepNext w:val="0"/>
              <w:keepLines w:val="0"/>
              <w:suppressLineNumbers w:val="0"/>
              <w:adjustRightInd w:val="0"/>
              <w:snapToGrid w:val="0"/>
              <w:spacing w:before="0" w:beforeAutospacing="0" w:after="0" w:afterAutospacing="0" w:line="360" w:lineRule="auto"/>
              <w:ind w:left="0" w:right="0"/>
              <w:jc w:val="left"/>
              <w:rPr>
                <w:rFonts w:hint="default" w:ascii="Times New Roman" w:hAnsi="Times New Roman" w:eastAsia="Times New Roman" w:cs="Times New Roman"/>
                <w:iCs/>
                <w:color w:val="000000" w:themeColor="text1"/>
                <w:sz w:val="24"/>
                <w:highlight w:val="none"/>
                <w:lang w:val="en-US" w:eastAsia="zh-CN"/>
                <w14:textFill>
                  <w14:solidFill>
                    <w14:schemeClr w14:val="tx1"/>
                  </w14:solidFill>
                </w14:textFill>
              </w:rPr>
            </w:pPr>
          </w:p>
          <w:p w14:paraId="76FBF3DF">
            <w:pPr>
              <w:keepNext w:val="0"/>
              <w:keepLines w:val="0"/>
              <w:suppressLineNumbers w:val="0"/>
              <w:adjustRightInd w:val="0"/>
              <w:snapToGrid w:val="0"/>
              <w:spacing w:before="0" w:beforeAutospacing="0" w:after="0" w:afterAutospacing="0" w:line="360" w:lineRule="auto"/>
              <w:ind w:left="0" w:right="0"/>
              <w:jc w:val="left"/>
              <w:rPr>
                <w:rFonts w:hint="default" w:ascii="Times New Roman" w:hAnsi="Times New Roman" w:eastAsia="Times New Roman" w:cs="Times New Roman"/>
                <w:iCs/>
                <w:color w:val="000000" w:themeColor="text1"/>
                <w:sz w:val="24"/>
                <w:highlight w:val="none"/>
                <w:lang w:val="en-US" w:eastAsia="zh-CN"/>
                <w14:textFill>
                  <w14:solidFill>
                    <w14:schemeClr w14:val="tx1"/>
                  </w14:solidFill>
                </w14:textFill>
              </w:rPr>
            </w:pPr>
          </w:p>
          <w:p w14:paraId="1A0EF60A">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Times New Roman" w:cs="Times New Roman"/>
                <w:iCs/>
                <w:color w:val="000000" w:themeColor="text1"/>
                <w:sz w:val="24"/>
                <w:highlight w:val="none"/>
                <w:lang w:val="en-US" w:eastAsia="zh-CN"/>
                <w14:textFill>
                  <w14:solidFill>
                    <w14:schemeClr w14:val="tx1"/>
                  </w14:solidFill>
                </w14:textFill>
              </w:rPr>
            </w:pPr>
          </w:p>
          <w:p w14:paraId="66FB8279">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Times New Roman" w:cs="Times New Roman"/>
                <w:iCs/>
                <w:color w:val="000000" w:themeColor="text1"/>
                <w:sz w:val="24"/>
                <w:highlight w:val="none"/>
                <w:lang w:val="en-US" w:eastAsia="zh-CN"/>
                <w14:textFill>
                  <w14:solidFill>
                    <w14:schemeClr w14:val="tx1"/>
                  </w14:solidFill>
                </w14:textFill>
              </w:rPr>
            </w:pPr>
          </w:p>
          <w:p w14:paraId="3CFB5DF6">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Times New Roman" w:cs="Times New Roman"/>
                <w:iCs/>
                <w:color w:val="000000" w:themeColor="text1"/>
                <w:sz w:val="24"/>
                <w:highlight w:val="none"/>
                <w:lang w:val="en-US" w:eastAsia="zh-CN"/>
                <w14:textFill>
                  <w14:solidFill>
                    <w14:schemeClr w14:val="tx1"/>
                  </w14:solidFill>
                </w14:textFill>
              </w:rPr>
            </w:pPr>
          </w:p>
          <w:p w14:paraId="64263688">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Times New Roman" w:cs="Times New Roman"/>
                <w:iCs/>
                <w:color w:val="000000" w:themeColor="text1"/>
                <w:sz w:val="24"/>
                <w:highlight w:val="none"/>
                <w:lang w:val="en-US" w:eastAsia="zh-CN"/>
                <w14:textFill>
                  <w14:solidFill>
                    <w14:schemeClr w14:val="tx1"/>
                  </w14:solidFill>
                </w14:textFill>
              </w:rPr>
            </w:pPr>
          </w:p>
          <w:p w14:paraId="1E16925C">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Times New Roman" w:cs="Times New Roman"/>
                <w:iCs/>
                <w:color w:val="000000" w:themeColor="text1"/>
                <w:sz w:val="24"/>
                <w:highlight w:val="none"/>
                <w:lang w:val="en-US" w:eastAsia="zh-CN"/>
                <w14:textFill>
                  <w14:solidFill>
                    <w14:schemeClr w14:val="tx1"/>
                  </w14:solidFill>
                </w14:textFill>
              </w:rPr>
            </w:pPr>
          </w:p>
          <w:p w14:paraId="40A0307E">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Times New Roman" w:cs="Times New Roman"/>
                <w:iCs/>
                <w:color w:val="000000" w:themeColor="text1"/>
                <w:sz w:val="24"/>
                <w:highlight w:val="none"/>
                <w:lang w:val="en-US" w:eastAsia="zh-CN"/>
                <w14:textFill>
                  <w14:solidFill>
                    <w14:schemeClr w14:val="tx1"/>
                  </w14:solidFill>
                </w14:textFill>
              </w:rPr>
            </w:pPr>
          </w:p>
          <w:p w14:paraId="249AD904">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Times New Roman" w:cs="Times New Roman"/>
                <w:iCs/>
                <w:color w:val="000000" w:themeColor="text1"/>
                <w:sz w:val="24"/>
                <w:highlight w:val="none"/>
                <w:lang w:val="en-US" w:eastAsia="zh-CN"/>
                <w14:textFill>
                  <w14:solidFill>
                    <w14:schemeClr w14:val="tx1"/>
                  </w14:solidFill>
                </w14:textFill>
              </w:rPr>
            </w:pPr>
          </w:p>
          <w:p w14:paraId="7118C506">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Times New Roman" w:cs="Times New Roman"/>
                <w:iCs/>
                <w:color w:val="000000" w:themeColor="text1"/>
                <w:sz w:val="24"/>
                <w:highlight w:val="none"/>
                <w:lang w:val="en-US" w:eastAsia="zh-CN"/>
                <w14:textFill>
                  <w14:solidFill>
                    <w14:schemeClr w14:val="tx1"/>
                  </w14:solidFill>
                </w14:textFill>
              </w:rPr>
            </w:pPr>
          </w:p>
          <w:p w14:paraId="6804BD87">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Times New Roman" w:cs="Times New Roman"/>
                <w:iCs/>
                <w:color w:val="000000" w:themeColor="text1"/>
                <w:sz w:val="24"/>
                <w:highlight w:val="none"/>
                <w:lang w:val="en-US" w:eastAsia="zh-CN"/>
                <w14:textFill>
                  <w14:solidFill>
                    <w14:schemeClr w14:val="tx1"/>
                  </w14:solidFill>
                </w14:textFill>
              </w:rPr>
            </w:pPr>
          </w:p>
          <w:p w14:paraId="089EDF72">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Times New Roman" w:cs="Times New Roman"/>
                <w:iCs/>
                <w:color w:val="000000" w:themeColor="text1"/>
                <w:sz w:val="24"/>
                <w:highlight w:val="none"/>
                <w:lang w:val="en-US" w:eastAsia="zh-CN"/>
                <w14:textFill>
                  <w14:solidFill>
                    <w14:schemeClr w14:val="tx1"/>
                  </w14:solidFill>
                </w14:textFill>
              </w:rPr>
            </w:pPr>
          </w:p>
          <w:p w14:paraId="7558F20A">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Times New Roman" w:cs="Times New Roman"/>
                <w:iCs/>
                <w:color w:val="000000" w:themeColor="text1"/>
                <w:sz w:val="24"/>
                <w:highlight w:val="none"/>
                <w:lang w:val="en-US" w:eastAsia="zh-CN"/>
                <w14:textFill>
                  <w14:solidFill>
                    <w14:schemeClr w14:val="tx1"/>
                  </w14:solidFill>
                </w14:textFill>
              </w:rPr>
            </w:pPr>
          </w:p>
          <w:p w14:paraId="1276E93B">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Times New Roman" w:cs="Times New Roman"/>
                <w:iCs/>
                <w:color w:val="000000" w:themeColor="text1"/>
                <w:sz w:val="24"/>
                <w:highlight w:val="none"/>
                <w:lang w:val="en-US" w:eastAsia="zh-CN"/>
                <w14:textFill>
                  <w14:solidFill>
                    <w14:schemeClr w14:val="tx1"/>
                  </w14:solidFill>
                </w14:textFill>
              </w:rPr>
            </w:pPr>
          </w:p>
          <w:p w14:paraId="006D8025">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Times New Roman" w:cs="Times New Roman"/>
                <w:iCs/>
                <w:color w:val="000000" w:themeColor="text1"/>
                <w:sz w:val="24"/>
                <w:highlight w:val="none"/>
                <w:lang w:val="en-US" w:eastAsia="zh-CN"/>
                <w14:textFill>
                  <w14:solidFill>
                    <w14:schemeClr w14:val="tx1"/>
                  </w14:solidFill>
                </w14:textFill>
              </w:rPr>
            </w:pPr>
          </w:p>
        </w:tc>
      </w:tr>
      <w:tr w14:paraId="57E9A6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494" w:hRule="atLeast"/>
        </w:trPr>
        <w:tc>
          <w:tcPr>
            <w:tcW w:w="253" w:type="pct"/>
            <w:noWrap w:val="0"/>
            <w:vAlign w:val="center"/>
          </w:tcPr>
          <w:p w14:paraId="3FD3BE8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kern w:val="0"/>
                <w:sz w:val="24"/>
                <w:highlight w:val="none"/>
                <w14:textFill>
                  <w14:solidFill>
                    <w14:schemeClr w14:val="tx1"/>
                  </w14:solidFill>
                </w14:textFill>
              </w:rPr>
            </w:pPr>
            <w:r>
              <w:rPr>
                <w:rFonts w:hint="default" w:ascii="Times New Roman" w:hAnsi="Times New Roman" w:eastAsia="Times New Roman" w:cs="Times New Roman"/>
                <w:color w:val="000000" w:themeColor="text1"/>
                <w:kern w:val="0"/>
                <w:sz w:val="24"/>
                <w:highlight w:val="none"/>
                <w14:textFill>
                  <w14:solidFill>
                    <w14:schemeClr w14:val="tx1"/>
                  </w14:solidFill>
                </w14:textFill>
              </w:rPr>
              <w:t>污染物排放控制标准</w:t>
            </w:r>
          </w:p>
        </w:tc>
        <w:tc>
          <w:tcPr>
            <w:tcW w:w="4746" w:type="pct"/>
            <w:noWrap w:val="0"/>
            <w:vAlign w:val="top"/>
          </w:tcPr>
          <w:p w14:paraId="1F4C0B88">
            <w:pPr>
              <w:keepNext w:val="0"/>
              <w:keepLines w:val="0"/>
              <w:suppressLineNumbers w:val="0"/>
              <w:snapToGrid w:val="0"/>
              <w:spacing w:before="0" w:beforeAutospacing="0" w:after="0" w:afterAutospacing="0" w:line="360" w:lineRule="auto"/>
              <w:ind w:left="0" w:right="0"/>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14:textFill>
                  <w14:solidFill>
                    <w14:schemeClr w14:val="tx1"/>
                  </w14:solidFill>
                </w14:textFill>
              </w:rPr>
              <w:t>1.废气</w:t>
            </w:r>
          </w:p>
          <w:p w14:paraId="2AC08E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000000" w:themeColor="text1"/>
                <w:kern w:val="0"/>
                <w:sz w:val="24"/>
                <w:szCs w:val="24"/>
                <w:highlight w:val="none"/>
                <w:vertAlign w:val="baseline"/>
                <w:lang w:val="en-US" w:eastAsia="zh-CN"/>
                <w14:textFill>
                  <w14:solidFill>
                    <w14:schemeClr w14:val="tx1"/>
                  </w14:solidFill>
                </w14:textFill>
              </w:rPr>
            </w:pPr>
            <w:r>
              <w:rPr>
                <w:rFonts w:hint="default" w:ascii="Times New Roman" w:hAnsi="Times New Roman" w:eastAsia="Times New Roman" w:cs="Times New Roman"/>
                <w:color w:val="000000" w:themeColor="text1"/>
                <w:kern w:val="0"/>
                <w:sz w:val="24"/>
                <w:szCs w:val="24"/>
                <w:highlight w:val="none"/>
                <w14:textFill>
                  <w14:solidFill>
                    <w14:schemeClr w14:val="tx1"/>
                  </w14:solidFill>
                </w14:textFill>
              </w:rPr>
              <w:t>项目生产过程中</w:t>
            </w:r>
            <w:r>
              <w:rPr>
                <w:rFonts w:hint="eastAsia" w:eastAsia="宋体" w:cs="Times New Roman"/>
                <w:color w:val="000000" w:themeColor="text1"/>
                <w:kern w:val="0"/>
                <w:sz w:val="24"/>
                <w:szCs w:val="24"/>
                <w:highlight w:val="none"/>
                <w:lang w:eastAsia="zh-CN"/>
                <w14:textFill>
                  <w14:solidFill>
                    <w14:schemeClr w14:val="tx1"/>
                  </w14:solidFill>
                </w14:textFill>
              </w:rPr>
              <w:t>产生的废气主要是非甲烷总烃</w:t>
            </w:r>
            <w:r>
              <w:rPr>
                <w:rFonts w:hint="eastAsia" w:cs="Times New Roman"/>
                <w:color w:val="000000" w:themeColor="text1"/>
                <w:kern w:val="0"/>
                <w:sz w:val="24"/>
                <w:szCs w:val="24"/>
                <w:highlight w:val="none"/>
                <w:lang w:eastAsia="zh-CN"/>
                <w14:textFill>
                  <w14:solidFill>
                    <w14:schemeClr w14:val="tx1"/>
                  </w14:solidFill>
                </w14:textFill>
              </w:rPr>
              <w:t>，食堂油烟</w:t>
            </w:r>
            <w:r>
              <w:rPr>
                <w:rFonts w:hint="default" w:ascii="Times New Roman" w:hAnsi="Times New Roman" w:eastAsia="Times New Roman" w:cs="Times New Roman"/>
                <w:color w:val="000000" w:themeColor="text1"/>
                <w:kern w:val="0"/>
                <w:sz w:val="24"/>
                <w:szCs w:val="24"/>
                <w:highlight w:val="none"/>
                <w14:textFill>
                  <w14:solidFill>
                    <w14:schemeClr w14:val="tx1"/>
                  </w14:solidFill>
                </w14:textFill>
              </w:rPr>
              <w:t>，</w:t>
            </w:r>
            <w:r>
              <w:rPr>
                <w:rFonts w:hint="default" w:ascii="Times New Roman" w:hAnsi="Times New Roman" w:eastAsia="Times New Roman" w:cs="Times New Roman"/>
                <w:b w:val="0"/>
                <w:bCs/>
                <w:color w:val="000000" w:themeColor="text1"/>
                <w:sz w:val="24"/>
                <w:szCs w:val="24"/>
                <w:highlight w:val="none"/>
                <w14:textFill>
                  <w14:solidFill>
                    <w14:schemeClr w14:val="tx1"/>
                  </w14:solidFill>
                </w14:textFill>
              </w:rPr>
              <w:t>非甲烷总烃</w:t>
            </w:r>
            <w:r>
              <w:rPr>
                <w:rFonts w:hint="default" w:ascii="Times New Roman" w:hAnsi="Times New Roman" w:eastAsia="Times New Roman" w:cs="Times New Roman"/>
                <w:b w:val="0"/>
                <w:bCs/>
                <w:color w:val="000000" w:themeColor="text1"/>
                <w:sz w:val="24"/>
                <w:szCs w:val="24"/>
                <w:highlight w:val="none"/>
                <w:lang w:val="en-US" w:eastAsia="zh-CN"/>
                <w14:textFill>
                  <w14:solidFill>
                    <w14:schemeClr w14:val="tx1"/>
                  </w14:solidFill>
                </w14:textFill>
              </w:rPr>
              <w:t>排放执行《合成树脂工业污染物排放标准（GB31572-2015）（含2024年修改单版本）》</w:t>
            </w:r>
            <w:r>
              <w:rPr>
                <w:rFonts w:hint="default" w:ascii="Times New Roman" w:hAnsi="Times New Roman" w:eastAsia="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Times New Roman" w:cs="Times New Roman"/>
                <w:b w:val="0"/>
                <w:bCs/>
                <w:color w:val="000000" w:themeColor="text1"/>
                <w:sz w:val="24"/>
                <w:szCs w:val="24"/>
                <w:highlight w:val="none"/>
                <w:lang w:val="en-US" w:eastAsia="zh-CN"/>
                <w14:textFill>
                  <w14:solidFill>
                    <w14:schemeClr w14:val="tx1"/>
                  </w14:solidFill>
                </w14:textFill>
              </w:rPr>
              <w:t>《挥发性有机物无组织排放控制标准》（GB37822-2019）</w:t>
            </w:r>
            <w:r>
              <w:rPr>
                <w:rFonts w:hint="default" w:ascii="Times New Roman" w:hAnsi="Times New Roman" w:eastAsia="Times New Roman" w:cs="Times New Roman"/>
                <w:color w:val="000000" w:themeColor="text1"/>
                <w:kern w:val="0"/>
                <w:sz w:val="24"/>
                <w:szCs w:val="24"/>
                <w:highlight w:val="none"/>
                <w:lang w:val="en-US" w:eastAsia="zh-CN"/>
                <w14:textFill>
                  <w14:solidFill>
                    <w14:schemeClr w14:val="tx1"/>
                  </w14:solidFill>
                </w14:textFill>
              </w:rPr>
              <w:t>中限值要求，</w:t>
            </w:r>
            <w:r>
              <w:rPr>
                <w:rFonts w:hint="default" w:ascii="Times New Roman" w:hAnsi="Times New Roman" w:eastAsia="Times New Roman" w:cs="Times New Roman"/>
                <w:color w:val="000000" w:themeColor="text1"/>
                <w:kern w:val="0"/>
                <w:sz w:val="24"/>
                <w:szCs w:val="24"/>
                <w:highlight w:val="none"/>
                <w:vertAlign w:val="baseline"/>
                <w:lang w:val="en-US" w:eastAsia="zh-CN"/>
                <w14:textFill>
                  <w14:solidFill>
                    <w14:schemeClr w14:val="tx1"/>
                  </w14:solidFill>
                </w14:textFill>
              </w:rPr>
              <w:t>同时</w:t>
            </w:r>
            <w:r>
              <w:rPr>
                <w:rFonts w:hint="default" w:ascii="Times New Roman" w:hAnsi="Times New Roman" w:eastAsia="Times New Roman" w:cs="Times New Roman"/>
                <w:color w:val="000000" w:themeColor="text1"/>
                <w:kern w:val="0"/>
                <w:sz w:val="24"/>
                <w:szCs w:val="24"/>
                <w:highlight w:val="none"/>
                <w:lang w:val="en-US" w:eastAsia="zh-CN"/>
                <w14:textFill>
                  <w14:solidFill>
                    <w14:schemeClr w14:val="tx1"/>
                  </w14:solidFill>
                </w14:textFill>
              </w:rPr>
              <w:t>满足</w:t>
            </w:r>
            <w:r>
              <w:rPr>
                <w:rFonts w:hint="default" w:ascii="Times New Roman" w:hAnsi="Times New Roman" w:eastAsia="Times New Roman" w:cs="Times New Roman"/>
                <w:color w:val="000000" w:themeColor="text1"/>
                <w:kern w:val="0"/>
                <w:sz w:val="24"/>
                <w:szCs w:val="24"/>
                <w:highlight w:val="none"/>
                <w:vertAlign w:val="baseline"/>
                <w:lang w:val="en-US" w:eastAsia="zh-CN"/>
                <w14:textFill>
                  <w14:solidFill>
                    <w14:schemeClr w14:val="tx1"/>
                  </w14:solidFill>
                </w14:textFill>
              </w:rPr>
              <w:t>《河南省重污染天气重点行业应急减排措施制定技术指南（202</w:t>
            </w:r>
            <w:r>
              <w:rPr>
                <w:rFonts w:hint="eastAsia" w:ascii="Times New Roman" w:hAnsi="Times New Roman" w:eastAsia="Times New Roman" w:cs="Times New Roman"/>
                <w:color w:val="000000" w:themeColor="text1"/>
                <w:kern w:val="0"/>
                <w:sz w:val="24"/>
                <w:szCs w:val="24"/>
                <w:highlight w:val="none"/>
                <w:vertAlign w:val="baseline"/>
                <w:lang w:val="en-US" w:eastAsia="zh-CN"/>
                <w14:textFill>
                  <w14:solidFill>
                    <w14:schemeClr w14:val="tx1"/>
                  </w14:solidFill>
                </w14:textFill>
              </w:rPr>
              <w:t>4</w:t>
            </w:r>
            <w:r>
              <w:rPr>
                <w:rFonts w:hint="default" w:ascii="Times New Roman" w:hAnsi="Times New Roman" w:eastAsia="Times New Roman" w:cs="Times New Roman"/>
                <w:color w:val="000000" w:themeColor="text1"/>
                <w:kern w:val="0"/>
                <w:sz w:val="24"/>
                <w:szCs w:val="24"/>
                <w:highlight w:val="none"/>
                <w:vertAlign w:val="baseline"/>
                <w:lang w:val="en-US" w:eastAsia="zh-CN"/>
                <w14:textFill>
                  <w14:solidFill>
                    <w14:schemeClr w14:val="tx1"/>
                  </w14:solidFill>
                </w14:textFill>
              </w:rPr>
              <w:t>年版）》中塑料制品行业</w:t>
            </w:r>
            <w:r>
              <w:rPr>
                <w:rFonts w:hint="eastAsia" w:ascii="Times New Roman" w:hAnsi="Times New Roman" w:eastAsia="Times New Roman" w:cs="Times New Roman"/>
                <w:color w:val="000000" w:themeColor="text1"/>
                <w:kern w:val="0"/>
                <w:sz w:val="24"/>
                <w:szCs w:val="24"/>
                <w:highlight w:val="none"/>
                <w:vertAlign w:val="baseline"/>
                <w:lang w:val="en-US" w:eastAsia="zh-CN"/>
                <w14:textFill>
                  <w14:solidFill>
                    <w14:schemeClr w14:val="tx1"/>
                  </w14:solidFill>
                </w14:textFill>
              </w:rPr>
              <w:t>A级</w:t>
            </w:r>
            <w:r>
              <w:rPr>
                <w:rFonts w:hint="default" w:ascii="Times New Roman" w:hAnsi="Times New Roman" w:eastAsia="Times New Roman" w:cs="Times New Roman"/>
                <w:color w:val="000000" w:themeColor="text1"/>
                <w:kern w:val="0"/>
                <w:sz w:val="24"/>
                <w:szCs w:val="24"/>
                <w:highlight w:val="none"/>
                <w:vertAlign w:val="baseline"/>
                <w:lang w:val="en-US" w:eastAsia="zh-CN"/>
                <w14:textFill>
                  <w14:solidFill>
                    <w14:schemeClr w14:val="tx1"/>
                  </w14:solidFill>
                </w14:textFill>
              </w:rPr>
              <w:t>绩效要求</w:t>
            </w:r>
            <w:r>
              <w:rPr>
                <w:rFonts w:hint="eastAsia" w:eastAsia="Times New Roman" w:cs="Times New Roman"/>
                <w:color w:val="000000" w:themeColor="text1"/>
                <w:kern w:val="0"/>
                <w:sz w:val="24"/>
                <w:szCs w:val="24"/>
                <w:highlight w:val="none"/>
                <w:vertAlign w:val="baseline"/>
                <w:lang w:val="en-US" w:eastAsia="zh-CN"/>
                <w14:textFill>
                  <w14:solidFill>
                    <w14:schemeClr w14:val="tx1"/>
                  </w14:solidFill>
                </w14:textFill>
              </w:rPr>
              <w:t>；</w:t>
            </w:r>
            <w:r>
              <w:rPr>
                <w:rFonts w:hint="default" w:ascii="Times New Roman" w:hAnsi="Times New Roman" w:cs="Times New Roman"/>
                <w:color w:val="auto"/>
                <w:sz w:val="24"/>
                <w:highlight w:val="none"/>
              </w:rPr>
              <w:t>食堂油烟废气排放浓度执行《餐饮业油烟污染物排放标准》</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D</w:t>
            </w:r>
            <w:r>
              <w:rPr>
                <w:rFonts w:hint="default" w:ascii="Times New Roman" w:hAnsi="Times New Roman" w:cs="Times New Roman"/>
                <w:color w:val="auto"/>
                <w:sz w:val="24"/>
                <w:highlight w:val="none"/>
              </w:rPr>
              <w:t>B41/1604-2018）标准</w:t>
            </w:r>
            <w:r>
              <w:rPr>
                <w:rFonts w:hint="eastAsia" w:cs="Times New Roman"/>
                <w:color w:val="auto"/>
                <w:sz w:val="24"/>
                <w:highlight w:val="none"/>
                <w:lang w:eastAsia="zh-CN"/>
              </w:rPr>
              <w:t>。</w:t>
            </w:r>
          </w:p>
          <w:p w14:paraId="60D9C7E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480" w:firstLineChars="200"/>
              <w:jc w:val="center"/>
              <w:textAlignment w:val="auto"/>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14:textFill>
                  <w14:solidFill>
                    <w14:schemeClr w14:val="tx1"/>
                  </w14:solidFill>
                </w14:textFill>
              </w:rPr>
              <w:t>废</w:t>
            </w:r>
            <w: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t>气</w:t>
            </w:r>
            <w:r>
              <w:rPr>
                <w:rFonts w:hint="default" w:ascii="Times New Roman" w:hAnsi="Times New Roman" w:eastAsia="Times New Roman" w:cs="Times New Roman"/>
                <w:b/>
                <w:color w:val="000000" w:themeColor="text1"/>
                <w:sz w:val="24"/>
                <w:highlight w:val="none"/>
                <w14:textFill>
                  <w14:solidFill>
                    <w14:schemeClr w14:val="tx1"/>
                  </w14:solidFill>
                </w14:textFill>
              </w:rPr>
              <w:t>排放执行标准</w:t>
            </w:r>
          </w:p>
          <w:tbl>
            <w:tblPr>
              <w:tblStyle w:val="29"/>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641"/>
              <w:gridCol w:w="2889"/>
              <w:gridCol w:w="2460"/>
              <w:gridCol w:w="1623"/>
            </w:tblGrid>
            <w:tr w14:paraId="5D7949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noWrap w:val="0"/>
                  <w:vAlign w:val="center"/>
                </w:tcPr>
                <w:p w14:paraId="7D3502F5">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bCs/>
                      <w:color w:val="000000" w:themeColor="text1"/>
                      <w:highlight w:val="none"/>
                      <w14:textFill>
                        <w14:solidFill>
                          <w14:schemeClr w14:val="tx1"/>
                        </w14:solidFill>
                      </w14:textFill>
                    </w:rPr>
                  </w:pPr>
                  <w:r>
                    <w:rPr>
                      <w:rFonts w:hint="default" w:ascii="Times New Roman" w:hAnsi="Times New Roman" w:eastAsia="Times New Roman" w:cs="Times New Roman"/>
                      <w:b/>
                      <w:bCs/>
                      <w:color w:val="000000" w:themeColor="text1"/>
                      <w:highlight w:val="none"/>
                      <w14:textFill>
                        <w14:solidFill>
                          <w14:schemeClr w14:val="tx1"/>
                        </w14:solidFill>
                      </w14:textFill>
                    </w:rPr>
                    <w:t>污染物</w:t>
                  </w:r>
                </w:p>
              </w:tc>
              <w:tc>
                <w:tcPr>
                  <w:tcW w:w="641" w:type="dxa"/>
                  <w:noWrap w:val="0"/>
                  <w:vAlign w:val="center"/>
                </w:tcPr>
                <w:p w14:paraId="1547106C">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bCs/>
                      <w:color w:val="000000" w:themeColor="text1"/>
                      <w:highlight w:val="none"/>
                      <w:lang w:val="en-US" w:eastAsia="zh-CN"/>
                      <w14:textFill>
                        <w14:solidFill>
                          <w14:schemeClr w14:val="tx1"/>
                        </w14:solidFill>
                      </w14:textFill>
                    </w:rPr>
                  </w:pPr>
                  <w:r>
                    <w:rPr>
                      <w:rFonts w:hint="default" w:ascii="Times New Roman" w:hAnsi="Times New Roman" w:eastAsia="Times New Roman" w:cs="Times New Roman"/>
                      <w:b/>
                      <w:bCs/>
                      <w:color w:val="000000" w:themeColor="text1"/>
                      <w:highlight w:val="none"/>
                      <w:lang w:val="en-US" w:eastAsia="zh-CN"/>
                      <w14:textFill>
                        <w14:solidFill>
                          <w14:schemeClr w14:val="tx1"/>
                        </w14:solidFill>
                      </w14:textFill>
                    </w:rPr>
                    <w:t>类别</w:t>
                  </w:r>
                </w:p>
              </w:tc>
              <w:tc>
                <w:tcPr>
                  <w:tcW w:w="2889" w:type="dxa"/>
                  <w:noWrap w:val="0"/>
                  <w:vAlign w:val="center"/>
                </w:tcPr>
                <w:p w14:paraId="185DDAA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Times New Roman" w:cs="Times New Roman"/>
                      <w:b/>
                      <w:bCs/>
                      <w:color w:val="000000" w:themeColor="text1"/>
                      <w:highlight w:val="none"/>
                      <w:lang w:val="en-US" w:eastAsia="zh-CN"/>
                      <w14:textFill>
                        <w14:solidFill>
                          <w14:schemeClr w14:val="tx1"/>
                        </w14:solidFill>
                      </w14:textFill>
                    </w:rPr>
                    <w:t>标准名称</w:t>
                  </w:r>
                </w:p>
              </w:tc>
              <w:tc>
                <w:tcPr>
                  <w:tcW w:w="2460" w:type="dxa"/>
                  <w:noWrap w:val="0"/>
                  <w:vAlign w:val="center"/>
                </w:tcPr>
                <w:p w14:paraId="33A3735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Times New Roman" w:cs="Times New Roman"/>
                      <w:b/>
                      <w:bCs/>
                      <w:color w:val="000000" w:themeColor="text1"/>
                      <w:highlight w:val="none"/>
                      <w:lang w:val="en-US" w:eastAsia="zh-CN"/>
                      <w14:textFill>
                        <w14:solidFill>
                          <w14:schemeClr w14:val="tx1"/>
                        </w14:solidFill>
                      </w14:textFill>
                    </w:rPr>
                    <w:t>浓度限值</w:t>
                  </w:r>
                </w:p>
              </w:tc>
              <w:tc>
                <w:tcPr>
                  <w:tcW w:w="1623" w:type="dxa"/>
                  <w:noWrap w:val="0"/>
                  <w:vAlign w:val="center"/>
                </w:tcPr>
                <w:p w14:paraId="385C512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themeColor="text1"/>
                      <w:highlight w:val="none"/>
                      <w:lang w:eastAsia="zh-CN"/>
                      <w14:textFill>
                        <w14:solidFill>
                          <w14:schemeClr w14:val="tx1"/>
                        </w14:solidFill>
                      </w14:textFill>
                    </w:rPr>
                  </w:pPr>
                  <w:r>
                    <w:rPr>
                      <w:rFonts w:hint="default" w:ascii="Times New Roman" w:hAnsi="Times New Roman" w:eastAsia="Times New Roman" w:cs="Times New Roman"/>
                      <w:b/>
                      <w:bCs/>
                      <w:color w:val="000000" w:themeColor="text1"/>
                      <w:highlight w:val="none"/>
                      <w:lang w:val="en-US" w:eastAsia="zh-CN"/>
                      <w14:textFill>
                        <w14:solidFill>
                          <w14:schemeClr w14:val="tx1"/>
                        </w14:solidFill>
                      </w14:textFill>
                    </w:rPr>
                    <w:t>备注</w:t>
                  </w:r>
                </w:p>
              </w:tc>
            </w:tr>
            <w:tr w14:paraId="3EE6F6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669" w:type="dxa"/>
                  <w:vMerge w:val="restart"/>
                  <w:noWrap w:val="0"/>
                  <w:vAlign w:val="center"/>
                </w:tcPr>
                <w:p w14:paraId="1801F5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Times New Roman" w:cs="Times New Roman"/>
                      <w:color w:val="000000" w:themeColor="text1"/>
                      <w:highlight w:val="none"/>
                      <w:lang w:val="en-US" w:eastAsia="zh-CN"/>
                      <w14:textFill>
                        <w14:solidFill>
                          <w14:schemeClr w14:val="tx1"/>
                        </w14:solidFill>
                      </w14:textFill>
                    </w:rPr>
                    <w:t>非甲烷总烃</w:t>
                  </w:r>
                </w:p>
              </w:tc>
              <w:tc>
                <w:tcPr>
                  <w:tcW w:w="641" w:type="dxa"/>
                  <w:vMerge w:val="restart"/>
                  <w:noWrap w:val="0"/>
                  <w:vAlign w:val="center"/>
                </w:tcPr>
                <w:p w14:paraId="67F7AC7F">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val="0"/>
                      <w:bCs w:val="0"/>
                      <w:color w:val="000000" w:themeColor="text1"/>
                      <w:highlight w:val="none"/>
                      <w14:textFill>
                        <w14:solidFill>
                          <w14:schemeClr w14:val="tx1"/>
                        </w14:solidFill>
                      </w14:textFill>
                    </w:rPr>
                  </w:pPr>
                  <w:r>
                    <w:rPr>
                      <w:rFonts w:hint="default" w:ascii="Times New Roman" w:hAnsi="Times New Roman" w:eastAsia="Times New Roman" w:cs="Times New Roman"/>
                      <w:b w:val="0"/>
                      <w:bCs w:val="0"/>
                      <w:color w:val="000000" w:themeColor="text1"/>
                      <w:highlight w:val="none"/>
                      <w:lang w:val="en-US" w:eastAsia="zh-CN"/>
                      <w14:textFill>
                        <w14:solidFill>
                          <w14:schemeClr w14:val="tx1"/>
                        </w14:solidFill>
                      </w14:textFill>
                    </w:rPr>
                    <w:t>执行标准</w:t>
                  </w:r>
                </w:p>
              </w:tc>
              <w:tc>
                <w:tcPr>
                  <w:tcW w:w="2889" w:type="dxa"/>
                  <w:noWrap w:val="0"/>
                  <w:vAlign w:val="center"/>
                </w:tcPr>
                <w:p w14:paraId="088F3A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《合成树脂工业污染物排放标准（GB31572-2015）（含2024年修改单版本）》</w:t>
                  </w:r>
                </w:p>
              </w:tc>
              <w:tc>
                <w:tcPr>
                  <w:tcW w:w="2460" w:type="dxa"/>
                  <w:noWrap w:val="0"/>
                  <w:vAlign w:val="center"/>
                </w:tcPr>
                <w:p w14:paraId="6E4920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highlight w:val="none"/>
                      <w:vertAlign w:val="superscript"/>
                      <w:lang w:val="en-US" w:eastAsia="zh-CN"/>
                    </w:rPr>
                  </w:pPr>
                  <w:r>
                    <w:rPr>
                      <w:rFonts w:hint="default" w:ascii="Times New Roman" w:hAnsi="Times New Roman" w:cs="Times New Roman"/>
                      <w:color w:val="auto"/>
                      <w:highlight w:val="none"/>
                      <w:lang w:val="en-US" w:eastAsia="zh-CN"/>
                    </w:rPr>
                    <w:t>排气筒：60mg/m</w:t>
                  </w:r>
                  <w:r>
                    <w:rPr>
                      <w:rFonts w:hint="default" w:ascii="Times New Roman" w:hAnsi="Times New Roman" w:cs="Times New Roman"/>
                      <w:color w:val="auto"/>
                      <w:highlight w:val="none"/>
                      <w:vertAlign w:val="superscript"/>
                      <w:lang w:val="en-US" w:eastAsia="zh-CN"/>
                    </w:rPr>
                    <w:t>3</w:t>
                  </w:r>
                  <w:r>
                    <w:rPr>
                      <w:rFonts w:hint="eastAsia" w:ascii="Times New Roman" w:hAnsi="Times New Roman" w:cs="Times New Roman"/>
                      <w:color w:val="auto"/>
                      <w:highlight w:val="none"/>
                      <w:vertAlign w:val="baseline"/>
                      <w:lang w:val="en-US" w:eastAsia="zh-CN"/>
                    </w:rPr>
                    <w:t>；</w:t>
                  </w:r>
                  <w:r>
                    <w:rPr>
                      <w:rFonts w:hint="default" w:ascii="Times New Roman" w:hAnsi="Times New Roman" w:cs="Times New Roman"/>
                      <w:color w:val="auto"/>
                      <w:highlight w:val="none"/>
                      <w:lang w:val="en-US" w:eastAsia="zh-CN"/>
                    </w:rPr>
                    <w:t>边界：1h平均浓度值≤4.0mg/m</w:t>
                  </w:r>
                  <w:r>
                    <w:rPr>
                      <w:rFonts w:hint="default" w:ascii="Times New Roman" w:hAnsi="Times New Roman" w:cs="Times New Roman"/>
                      <w:color w:val="auto"/>
                      <w:highlight w:val="none"/>
                      <w:vertAlign w:val="superscript"/>
                      <w:lang w:val="en-US" w:eastAsia="zh-CN"/>
                    </w:rPr>
                    <w:t>3</w:t>
                  </w:r>
                  <w:r>
                    <w:rPr>
                      <w:rFonts w:hint="eastAsia" w:cs="Times New Roman"/>
                      <w:color w:val="auto"/>
                      <w:highlight w:val="none"/>
                      <w:shd w:val="clear" w:color="auto" w:fill="auto"/>
                      <w:vertAlign w:val="baseline"/>
                      <w:lang w:val="en-US" w:eastAsia="zh-CN"/>
                    </w:rPr>
                    <w:t>。单位产品非甲烷总烃排放量</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0.3kg/t</w:t>
                  </w:r>
                </w:p>
              </w:tc>
              <w:tc>
                <w:tcPr>
                  <w:tcW w:w="1623" w:type="dxa"/>
                  <w:noWrap w:val="0"/>
                  <w:vAlign w:val="center"/>
                </w:tcPr>
                <w:p w14:paraId="31A6E331">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highlight w:val="none"/>
                    </w:rPr>
                  </w:pPr>
                  <w:r>
                    <w:rPr>
                      <w:rFonts w:hint="default" w:ascii="Times New Roman" w:hAnsi="Times New Roman" w:eastAsia="Times New Roman" w:cs="Times New Roman"/>
                      <w:color w:val="auto"/>
                      <w:highlight w:val="none"/>
                    </w:rPr>
                    <w:t>排气筒高度至少不低于15m</w:t>
                  </w:r>
                </w:p>
              </w:tc>
            </w:tr>
            <w:tr w14:paraId="54E484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continue"/>
                  <w:noWrap w:val="0"/>
                  <w:vAlign w:val="center"/>
                </w:tcPr>
                <w:p w14:paraId="1781B642">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000000" w:themeColor="text1"/>
                      <w:highlight w:val="none"/>
                      <w:lang w:val="en-US" w:eastAsia="zh-CN"/>
                      <w14:textFill>
                        <w14:solidFill>
                          <w14:schemeClr w14:val="tx1"/>
                        </w14:solidFill>
                      </w14:textFill>
                    </w:rPr>
                  </w:pPr>
                </w:p>
              </w:tc>
              <w:tc>
                <w:tcPr>
                  <w:tcW w:w="641" w:type="dxa"/>
                  <w:vMerge w:val="continue"/>
                  <w:noWrap w:val="0"/>
                  <w:vAlign w:val="center"/>
                </w:tcPr>
                <w:p w14:paraId="6BF3BC3B">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val="0"/>
                      <w:bCs w:val="0"/>
                      <w:color w:val="000000" w:themeColor="text1"/>
                      <w:highlight w:val="none"/>
                      <w:lang w:val="en-US" w:eastAsia="zh-CN"/>
                      <w14:textFill>
                        <w14:solidFill>
                          <w14:schemeClr w14:val="tx1"/>
                        </w14:solidFill>
                      </w14:textFill>
                    </w:rPr>
                  </w:pPr>
                </w:p>
              </w:tc>
              <w:tc>
                <w:tcPr>
                  <w:tcW w:w="2889" w:type="dxa"/>
                  <w:noWrap w:val="0"/>
                  <w:vAlign w:val="center"/>
                </w:tcPr>
                <w:p w14:paraId="569BBF4A">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《挥发性有机物无组织排放控制标准》（GB37822-2019）</w:t>
                  </w:r>
                </w:p>
              </w:tc>
              <w:tc>
                <w:tcPr>
                  <w:tcW w:w="2460" w:type="dxa"/>
                  <w:noWrap w:val="0"/>
                  <w:vAlign w:val="center"/>
                </w:tcPr>
                <w:p w14:paraId="7E3282CB">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kern w:val="2"/>
                      <w:sz w:val="21"/>
                      <w:szCs w:val="21"/>
                      <w:highlight w:val="none"/>
                      <w:vertAlign w:val="baseline"/>
                      <w:lang w:val="en-US" w:eastAsia="zh-CN" w:bidi="ar-SA"/>
                    </w:rPr>
                  </w:pPr>
                  <w:r>
                    <w:rPr>
                      <w:rFonts w:hint="default" w:ascii="Times New Roman" w:hAnsi="Times New Roman" w:cs="Times New Roman"/>
                      <w:color w:val="auto"/>
                      <w:highlight w:val="none"/>
                      <w:lang w:val="en-US" w:eastAsia="zh-CN"/>
                    </w:rPr>
                    <w:t>厂房外监控点处：1h平均浓度值≤6mg/m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，任意一次浓度值≤20mg/m</w:t>
                  </w:r>
                  <w:r>
                    <w:rPr>
                      <w:rFonts w:hint="eastAsia" w:cs="Times New Roman"/>
                      <w:color w:val="auto"/>
                      <w:highlight w:val="none"/>
                      <w:vertAlign w:val="superscript"/>
                      <w:lang w:val="en-US" w:eastAsia="zh-CN"/>
                    </w:rPr>
                    <w:t>3</w:t>
                  </w:r>
                </w:p>
              </w:tc>
              <w:tc>
                <w:tcPr>
                  <w:tcW w:w="1623" w:type="dxa"/>
                  <w:noWrap w:val="0"/>
                  <w:vAlign w:val="center"/>
                </w:tcPr>
                <w:p w14:paraId="65232F98">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highlight w:val="none"/>
                    </w:rPr>
                  </w:pPr>
                  <w:r>
                    <w:rPr>
                      <w:rFonts w:hint="default" w:ascii="Times New Roman" w:hAnsi="Times New Roman" w:eastAsia="Times New Roman" w:cs="Times New Roman"/>
                      <w:color w:val="auto"/>
                      <w:highlight w:val="none"/>
                      <w:lang w:val="en-US" w:eastAsia="zh-CN"/>
                    </w:rPr>
                    <w:t>/</w:t>
                  </w:r>
                </w:p>
              </w:tc>
            </w:tr>
            <w:tr w14:paraId="45CC2A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continue"/>
                  <w:noWrap w:val="0"/>
                  <w:vAlign w:val="center"/>
                </w:tcPr>
                <w:p w14:paraId="4538661B">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000000" w:themeColor="text1"/>
                      <w:highlight w:val="none"/>
                      <w14:textFill>
                        <w14:solidFill>
                          <w14:schemeClr w14:val="tx1"/>
                        </w14:solidFill>
                      </w14:textFill>
                    </w:rPr>
                  </w:pPr>
                </w:p>
              </w:tc>
              <w:tc>
                <w:tcPr>
                  <w:tcW w:w="641" w:type="dxa"/>
                  <w:noWrap w:val="0"/>
                  <w:vAlign w:val="center"/>
                </w:tcPr>
                <w:p w14:paraId="081377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default" w:ascii="Times New Roman" w:hAnsi="Times New Roman" w:eastAsia="Times New Roman" w:cs="Times New Roman"/>
                      <w:b w:val="0"/>
                      <w:bCs w:val="0"/>
                      <w:color w:val="000000" w:themeColor="text1"/>
                      <w:highlight w:val="none"/>
                      <w:lang w:val="en-US" w:eastAsia="zh-CN"/>
                      <w14:textFill>
                        <w14:solidFill>
                          <w14:schemeClr w14:val="tx1"/>
                        </w14:solidFill>
                      </w14:textFill>
                    </w:rPr>
                    <w:t>地方文件</w:t>
                  </w:r>
                </w:p>
              </w:tc>
              <w:tc>
                <w:tcPr>
                  <w:tcW w:w="2889" w:type="dxa"/>
                  <w:noWrap w:val="0"/>
                  <w:vAlign w:val="center"/>
                </w:tcPr>
                <w:p w14:paraId="23C55985">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《河南省重污染天气重点行业应急减排措施制定技术指南（202</w:t>
                  </w:r>
                  <w:r>
                    <w:rPr>
                      <w:rFonts w:hint="eastAsia" w:ascii="Times New Roman" w:hAnsi="Times New Roman" w:cs="Times New Roman"/>
                      <w:color w:val="000000" w:themeColor="text1"/>
                      <w:highlight w:val="none"/>
                      <w:lang w:val="en-US" w:eastAsia="zh-CN"/>
                      <w14:textFill>
                        <w14:solidFill>
                          <w14:schemeClr w14:val="tx1"/>
                        </w14:solidFill>
                      </w14:textFill>
                    </w:rPr>
                    <w:t>4</w:t>
                  </w:r>
                  <w:r>
                    <w:rPr>
                      <w:rFonts w:hint="default" w:ascii="Times New Roman" w:hAnsi="Times New Roman" w:cs="Times New Roman"/>
                      <w:color w:val="000000" w:themeColor="text1"/>
                      <w:highlight w:val="none"/>
                      <w14:textFill>
                        <w14:solidFill>
                          <w14:schemeClr w14:val="tx1"/>
                        </w14:solidFill>
                      </w14:textFill>
                    </w:rPr>
                    <w:t>年版）》</w:t>
                  </w:r>
                </w:p>
              </w:tc>
              <w:tc>
                <w:tcPr>
                  <w:tcW w:w="2460" w:type="dxa"/>
                  <w:noWrap w:val="0"/>
                  <w:vAlign w:val="center"/>
                </w:tcPr>
                <w:p w14:paraId="6D2E0BF0">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000000" w:themeColor="text1"/>
                      <w:kern w:val="2"/>
                      <w:sz w:val="21"/>
                      <w:szCs w:val="21"/>
                      <w:highlight w:val="none"/>
                      <w:vertAlign w:val="superscript"/>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排气筒：</w:t>
                  </w:r>
                  <w:r>
                    <w:rPr>
                      <w:rFonts w:hint="eastAsia" w:ascii="Times New Roman" w:hAnsi="Times New Roman" w:cs="Times New Roman"/>
                      <w:color w:val="000000" w:themeColor="text1"/>
                      <w:highlight w:val="none"/>
                      <w:vertAlign w:val="baseline"/>
                      <w:lang w:val="en-US" w:eastAsia="zh-CN"/>
                      <w14:textFill>
                        <w14:solidFill>
                          <w14:schemeClr w14:val="tx1"/>
                        </w14:solidFill>
                      </w14:textFill>
                    </w:rPr>
                    <w:t>NMHC20mg/m</w:t>
                  </w:r>
                  <w:r>
                    <w:rPr>
                      <w:rFonts w:hint="eastAsia"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边界：1h平均浓度值</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2.0mg/m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w:t>
                  </w:r>
                  <w:r>
                    <w:rPr>
                      <w:rFonts w:hint="eastAsia" w:cs="Times New Roman"/>
                      <w:color w:val="000000" w:themeColor="text1"/>
                      <w:highlight w:val="none"/>
                      <w:vertAlign w:val="baseline"/>
                      <w:lang w:val="en-US" w:eastAsia="zh-CN"/>
                      <w14:textFill>
                        <w14:solidFill>
                          <w14:schemeClr w14:val="tx1"/>
                        </w14:solidFill>
                      </w14:textFill>
                    </w:rPr>
                    <w:t>生产</w:t>
                  </w:r>
                  <w:r>
                    <w:rPr>
                      <w:rFonts w:hint="eastAsia" w:ascii="Times New Roman" w:hAnsi="Times New Roman" w:cs="Times New Roman"/>
                      <w:color w:val="000000" w:themeColor="text1"/>
                      <w:highlight w:val="none"/>
                      <w:vertAlign w:val="baseline"/>
                      <w:lang w:val="en-US" w:eastAsia="zh-CN"/>
                      <w14:textFill>
                        <w14:solidFill>
                          <w14:schemeClr w14:val="tx1"/>
                        </w14:solidFill>
                      </w14:textFill>
                    </w:rPr>
                    <w:t>车间</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无组织监控点</w:t>
                  </w:r>
                  <w:r>
                    <w:rPr>
                      <w:rFonts w:hint="default" w:ascii="Times New Roman" w:hAnsi="Times New Roman" w:cs="Times New Roman"/>
                      <w:color w:val="000000" w:themeColor="text1"/>
                      <w:highlight w:val="none"/>
                      <w:lang w:val="en-US" w:eastAsia="zh-CN"/>
                      <w14:textFill>
                        <w14:solidFill>
                          <w14:schemeClr w14:val="tx1"/>
                        </w14:solidFill>
                      </w14:textFill>
                    </w:rPr>
                    <w:t>：4.0mg/m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p>
              </w:tc>
              <w:tc>
                <w:tcPr>
                  <w:tcW w:w="1623" w:type="dxa"/>
                  <w:noWrap w:val="0"/>
                  <w:vAlign w:val="center"/>
                </w:tcPr>
                <w:p w14:paraId="30E262F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Times New Roman" w:cs="Times New Roman"/>
                      <w:color w:val="000000" w:themeColor="text1"/>
                      <w:highlight w:val="none"/>
                      <w14:textFill>
                        <w14:solidFill>
                          <w14:schemeClr w14:val="tx1"/>
                        </w14:solidFill>
                      </w14:textFill>
                    </w:rPr>
                    <w:t>去除效率</w:t>
                  </w:r>
                  <w:r>
                    <w:rPr>
                      <w:rFonts w:hint="eastAsia" w:eastAsia="宋体" w:cs="Times New Roman"/>
                      <w:color w:val="000000" w:themeColor="text1"/>
                      <w:highlight w:val="none"/>
                      <w:lang w:eastAsia="zh-CN"/>
                      <w14:textFill>
                        <w14:solidFill>
                          <w14:schemeClr w14:val="tx1"/>
                        </w14:solidFill>
                      </w14:textFill>
                    </w:rPr>
                    <w:t>达到</w:t>
                  </w:r>
                  <w:r>
                    <w:rPr>
                      <w:rFonts w:hint="default" w:ascii="Times New Roman" w:hAnsi="Times New Roman" w:eastAsia="Times New Roman" w:cs="Times New Roman"/>
                      <w:color w:val="000000" w:themeColor="text1"/>
                      <w:highlight w:val="none"/>
                      <w:lang w:val="en-US" w:eastAsia="zh-CN"/>
                      <w14:textFill>
                        <w14:solidFill>
                          <w14:schemeClr w14:val="tx1"/>
                        </w14:solidFill>
                      </w14:textFill>
                    </w:rPr>
                    <w:t>8</w:t>
                  </w:r>
                  <w:r>
                    <w:rPr>
                      <w:rFonts w:hint="default" w:ascii="Times New Roman" w:hAnsi="Times New Roman" w:eastAsia="Times New Roman" w:cs="Times New Roman"/>
                      <w:color w:val="000000" w:themeColor="text1"/>
                      <w:highlight w:val="none"/>
                      <w14:textFill>
                        <w14:solidFill>
                          <w14:schemeClr w14:val="tx1"/>
                        </w14:solidFill>
                      </w14:textFill>
                    </w:rPr>
                    <w:t>0%</w:t>
                  </w:r>
                  <w:r>
                    <w:rPr>
                      <w:rFonts w:hint="eastAsia" w:eastAsia="宋体" w:cs="Times New Roman"/>
                      <w:color w:val="000000" w:themeColor="text1"/>
                      <w:highlight w:val="none"/>
                      <w:lang w:eastAsia="zh-CN"/>
                      <w14:textFill>
                        <w14:solidFill>
                          <w14:schemeClr w14:val="tx1"/>
                        </w14:solidFill>
                      </w14:textFill>
                    </w:rPr>
                    <w:t>以上</w:t>
                  </w:r>
                </w:p>
              </w:tc>
            </w:tr>
            <w:tr w14:paraId="797654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vMerge w:val="continue"/>
                  <w:noWrap w:val="0"/>
                  <w:vAlign w:val="center"/>
                </w:tcPr>
                <w:p w14:paraId="7F4FCE5D">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Cs/>
                      <w:color w:val="000000" w:themeColor="text1"/>
                      <w:highlight w:val="none"/>
                      <w14:textFill>
                        <w14:solidFill>
                          <w14:schemeClr w14:val="tx1"/>
                        </w14:solidFill>
                      </w14:textFill>
                    </w:rPr>
                  </w:pPr>
                </w:p>
              </w:tc>
              <w:tc>
                <w:tcPr>
                  <w:tcW w:w="641" w:type="dxa"/>
                  <w:noWrap w:val="0"/>
                  <w:vAlign w:val="center"/>
                </w:tcPr>
                <w:p w14:paraId="0FC035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highlight w:val="none"/>
                      <w:lang w:val="en-US" w:eastAsia="zh-CN"/>
                      <w14:textFill>
                        <w14:solidFill>
                          <w14:schemeClr w14:val="tx1"/>
                        </w14:solidFill>
                      </w14:textFill>
                    </w:rPr>
                    <w:t>从严执行</w:t>
                  </w:r>
                </w:p>
              </w:tc>
              <w:tc>
                <w:tcPr>
                  <w:tcW w:w="2889" w:type="dxa"/>
                  <w:noWrap w:val="0"/>
                  <w:vAlign w:val="center"/>
                </w:tcPr>
                <w:p w14:paraId="79B6AC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w:t>
                  </w:r>
                </w:p>
              </w:tc>
              <w:tc>
                <w:tcPr>
                  <w:tcW w:w="2460" w:type="dxa"/>
                  <w:noWrap w:val="0"/>
                  <w:vAlign w:val="center"/>
                </w:tcPr>
                <w:p w14:paraId="0328B6CE">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排气筒：</w:t>
                  </w:r>
                  <w:r>
                    <w:rPr>
                      <w:rFonts w:hint="eastAsia" w:ascii="Times New Roman" w:hAnsi="Times New Roman" w:cs="Times New Roman"/>
                      <w:color w:val="000000" w:themeColor="text1"/>
                      <w:highlight w:val="none"/>
                      <w:lang w:val="en-US" w:eastAsia="zh-CN"/>
                      <w14:textFill>
                        <w14:solidFill>
                          <w14:schemeClr w14:val="tx1"/>
                        </w14:solidFill>
                      </w14:textFill>
                    </w:rPr>
                    <w:t>20</w:t>
                  </w:r>
                  <w:r>
                    <w:rPr>
                      <w:rFonts w:hint="default" w:ascii="Times New Roman" w:hAnsi="Times New Roman" w:cs="Times New Roman"/>
                      <w:color w:val="000000" w:themeColor="text1"/>
                      <w:highlight w:val="none"/>
                      <w:lang w:val="en-US" w:eastAsia="zh-CN"/>
                      <w14:textFill>
                        <w14:solidFill>
                          <w14:schemeClr w14:val="tx1"/>
                        </w14:solidFill>
                      </w14:textFill>
                    </w:rPr>
                    <w:t>mg/m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边界：1h平均浓度值≤2.0mg/m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w:t>
                  </w:r>
                  <w:r>
                    <w:rPr>
                      <w:rFonts w:hint="eastAsia" w:cs="Times New Roman"/>
                      <w:color w:val="000000" w:themeColor="text1"/>
                      <w:highlight w:val="none"/>
                      <w:vertAlign w:val="baseline"/>
                      <w:lang w:val="en-US" w:eastAsia="zh-CN"/>
                      <w14:textFill>
                        <w14:solidFill>
                          <w14:schemeClr w14:val="tx1"/>
                        </w14:solidFill>
                      </w14:textFill>
                    </w:rPr>
                    <w:t>生产</w:t>
                  </w:r>
                  <w:r>
                    <w:rPr>
                      <w:rFonts w:hint="eastAsia" w:ascii="Times New Roman" w:hAnsi="Times New Roman" w:cs="Times New Roman"/>
                      <w:color w:val="000000" w:themeColor="text1"/>
                      <w:highlight w:val="none"/>
                      <w:vertAlign w:val="baseline"/>
                      <w:lang w:val="en-US" w:eastAsia="zh-CN"/>
                      <w14:textFill>
                        <w14:solidFill>
                          <w14:schemeClr w14:val="tx1"/>
                        </w14:solidFill>
                      </w14:textFill>
                    </w:rPr>
                    <w:t>车间</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无组织监控点</w:t>
                  </w:r>
                  <w:r>
                    <w:rPr>
                      <w:rFonts w:hint="default" w:ascii="Times New Roman" w:hAnsi="Times New Roman" w:cs="Times New Roman"/>
                      <w:color w:val="000000" w:themeColor="text1"/>
                      <w:highlight w:val="none"/>
                      <w:lang w:val="en-US" w:eastAsia="zh-CN"/>
                      <w14:textFill>
                        <w14:solidFill>
                          <w14:schemeClr w14:val="tx1"/>
                        </w14:solidFill>
                      </w14:textFill>
                    </w:rPr>
                    <w:t>：4.0mg/m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eastAsia" w:cs="Times New Roman"/>
                      <w:color w:val="000000" w:themeColor="text1"/>
                      <w:highlight w:val="none"/>
                      <w:vertAlign w:val="baseline"/>
                      <w:lang w:val="en-US" w:eastAsia="zh-CN"/>
                      <w14:textFill>
                        <w14:solidFill>
                          <w14:schemeClr w14:val="tx1"/>
                        </w14:solidFill>
                      </w14:textFill>
                    </w:rPr>
                    <w:t>。</w:t>
                  </w:r>
                  <w:r>
                    <w:rPr>
                      <w:rFonts w:hint="eastAsia" w:cs="Times New Roman"/>
                      <w:color w:val="000000" w:themeColor="text1"/>
                      <w:highlight w:val="none"/>
                      <w:shd w:val="clear" w:color="auto" w:fill="auto"/>
                      <w:vertAlign w:val="baseline"/>
                      <w:lang w:val="en-US" w:eastAsia="zh-CN"/>
                      <w14:textFill>
                        <w14:solidFill>
                          <w14:schemeClr w14:val="tx1"/>
                        </w14:solidFill>
                      </w14:textFill>
                    </w:rPr>
                    <w:t>单位产品非甲烷总烃排放量</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0.3kg/t</w:t>
                  </w:r>
                </w:p>
              </w:tc>
              <w:tc>
                <w:tcPr>
                  <w:tcW w:w="1623" w:type="dxa"/>
                  <w:noWrap w:val="0"/>
                  <w:vAlign w:val="center"/>
                </w:tcPr>
                <w:p w14:paraId="4BD5F2A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highlight w:val="none"/>
                      <w14:textFill>
                        <w14:solidFill>
                          <w14:schemeClr w14:val="tx1"/>
                        </w14:solidFill>
                      </w14:textFill>
                    </w:rPr>
                    <w:t>排气筒高度至少不低于15m</w:t>
                  </w:r>
                  <w:r>
                    <w:rPr>
                      <w:rFonts w:hint="default" w:ascii="Times New Roman" w:hAnsi="Times New Roman" w:eastAsia="Times New Roman" w:cs="Times New Roman"/>
                      <w:color w:val="000000" w:themeColor="text1"/>
                      <w:highlight w:val="none"/>
                      <w:lang w:eastAsia="zh-CN"/>
                      <w14:textFill>
                        <w14:solidFill>
                          <w14:schemeClr w14:val="tx1"/>
                        </w14:solidFill>
                      </w14:textFill>
                    </w:rPr>
                    <w:t>，</w:t>
                  </w:r>
                  <w:r>
                    <w:rPr>
                      <w:rFonts w:hint="default" w:ascii="Times New Roman" w:hAnsi="Times New Roman" w:eastAsia="Times New Roman" w:cs="Times New Roman"/>
                      <w:color w:val="000000" w:themeColor="text1"/>
                      <w:highlight w:val="none"/>
                      <w14:textFill>
                        <w14:solidFill>
                          <w14:schemeClr w14:val="tx1"/>
                        </w14:solidFill>
                      </w14:textFill>
                    </w:rPr>
                    <w:t>去除效</w:t>
                  </w:r>
                  <w:r>
                    <w:rPr>
                      <w:rFonts w:hint="eastAsia" w:eastAsia="宋体" w:cs="Times New Roman"/>
                      <w:color w:val="000000" w:themeColor="text1"/>
                      <w:highlight w:val="none"/>
                      <w:lang w:eastAsia="zh-CN"/>
                      <w14:textFill>
                        <w14:solidFill>
                          <w14:schemeClr w14:val="tx1"/>
                        </w14:solidFill>
                      </w14:textFill>
                    </w:rPr>
                    <w:t>达到</w:t>
                  </w:r>
                  <w:r>
                    <w:rPr>
                      <w:rFonts w:hint="default" w:ascii="Times New Roman" w:hAnsi="Times New Roman" w:eastAsia="Times New Roman" w:cs="Times New Roman"/>
                      <w:color w:val="000000" w:themeColor="text1"/>
                      <w:highlight w:val="none"/>
                      <w:lang w:val="en-US" w:eastAsia="zh-CN"/>
                      <w14:textFill>
                        <w14:solidFill>
                          <w14:schemeClr w14:val="tx1"/>
                        </w14:solidFill>
                      </w14:textFill>
                    </w:rPr>
                    <w:t>8</w:t>
                  </w:r>
                  <w:r>
                    <w:rPr>
                      <w:rFonts w:hint="default" w:ascii="Times New Roman" w:hAnsi="Times New Roman" w:eastAsia="Times New Roman" w:cs="Times New Roman"/>
                      <w:color w:val="000000" w:themeColor="text1"/>
                      <w:highlight w:val="none"/>
                      <w14:textFill>
                        <w14:solidFill>
                          <w14:schemeClr w14:val="tx1"/>
                        </w14:solidFill>
                      </w14:textFill>
                    </w:rPr>
                    <w:t>0%</w:t>
                  </w:r>
                  <w:r>
                    <w:rPr>
                      <w:rFonts w:hint="eastAsia" w:eastAsia="宋体" w:cs="Times New Roman"/>
                      <w:color w:val="000000" w:themeColor="text1"/>
                      <w:highlight w:val="none"/>
                      <w:lang w:eastAsia="zh-CN"/>
                      <w14:textFill>
                        <w14:solidFill>
                          <w14:schemeClr w14:val="tx1"/>
                        </w14:solidFill>
                      </w14:textFill>
                    </w:rPr>
                    <w:t>以上，</w:t>
                  </w:r>
                  <w:r>
                    <w:rPr>
                      <w:rFonts w:hint="eastAsia" w:eastAsia="宋体" w:cs="Times New Roman"/>
                      <w:color w:val="000000" w:themeColor="text1"/>
                      <w:highlight w:val="none"/>
                      <w:lang w:val="en-US" w:eastAsia="zh-CN"/>
                      <w14:textFill>
                        <w14:solidFill>
                          <w14:schemeClr w14:val="tx1"/>
                        </w14:solidFill>
                      </w14:textFill>
                    </w:rPr>
                    <w:t>单位产品非甲烷总烃排放量</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eastAsia="宋体" w:cs="Times New Roman"/>
                      <w:color w:val="000000" w:themeColor="text1"/>
                      <w:highlight w:val="none"/>
                      <w:lang w:val="en-US" w:eastAsia="zh-CN"/>
                      <w14:textFill>
                        <w14:solidFill>
                          <w14:schemeClr w14:val="tx1"/>
                        </w14:solidFill>
                      </w14:textFill>
                    </w:rPr>
                    <w:t>0.3kg/t</w:t>
                  </w:r>
                </w:p>
              </w:tc>
            </w:tr>
            <w:tr w14:paraId="56782B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9" w:type="dxa"/>
                  <w:noWrap w:val="0"/>
                  <w:vAlign w:val="center"/>
                </w:tcPr>
                <w:p w14:paraId="1F08AB6C">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000000" w:themeColor="text1"/>
                      <w:highlight w:val="none"/>
                      <w:lang w:eastAsia="zh-CN"/>
                      <w14:textFill>
                        <w14:solidFill>
                          <w14:schemeClr w14:val="tx1"/>
                        </w14:solidFill>
                      </w14:textFill>
                    </w:rPr>
                  </w:pPr>
                  <w:r>
                    <w:rPr>
                      <w:rFonts w:hint="eastAsia" w:eastAsia="宋体" w:cs="Times New Roman"/>
                      <w:bCs/>
                      <w:color w:val="000000" w:themeColor="text1"/>
                      <w:highlight w:val="none"/>
                      <w:lang w:eastAsia="zh-CN"/>
                      <w14:textFill>
                        <w14:solidFill>
                          <w14:schemeClr w14:val="tx1"/>
                        </w14:solidFill>
                      </w14:textFill>
                    </w:rPr>
                    <w:t>油烟</w:t>
                  </w:r>
                </w:p>
              </w:tc>
              <w:tc>
                <w:tcPr>
                  <w:tcW w:w="641" w:type="dxa"/>
                  <w:noWrap w:val="0"/>
                  <w:vAlign w:val="center"/>
                </w:tcPr>
                <w:p w14:paraId="06A46E56">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000000" w:themeColor="text1"/>
                      <w:highlight w:val="none"/>
                      <w:lang w:val="en-US" w:eastAsia="zh-CN"/>
                      <w14:textFill>
                        <w14:solidFill>
                          <w14:schemeClr w14:val="tx1"/>
                        </w14:solidFill>
                      </w14:textFill>
                    </w:rPr>
                  </w:pPr>
                  <w:r>
                    <w:rPr>
                      <w:rFonts w:hint="eastAsia" w:eastAsia="Times New Roman" w:cs="Times New Roman"/>
                      <w:color w:val="000000" w:themeColor="text1"/>
                      <w:highlight w:val="none"/>
                      <w:lang w:val="en-US" w:eastAsia="zh-CN"/>
                      <w14:textFill>
                        <w14:solidFill>
                          <w14:schemeClr w14:val="tx1"/>
                        </w14:solidFill>
                      </w14:textFill>
                    </w:rPr>
                    <w:t>地方文件</w:t>
                  </w:r>
                </w:p>
              </w:tc>
              <w:tc>
                <w:tcPr>
                  <w:tcW w:w="2889" w:type="dxa"/>
                  <w:noWrap w:val="0"/>
                  <w:vAlign w:val="center"/>
                </w:tcPr>
                <w:p w14:paraId="044E593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《餐饮业油烟污染物排放标准》（DB41/1604-2018）</w:t>
                  </w:r>
                </w:p>
              </w:tc>
              <w:tc>
                <w:tcPr>
                  <w:tcW w:w="2460" w:type="dxa"/>
                  <w:noWrap w:val="0"/>
                  <w:vAlign w:val="center"/>
                </w:tcPr>
                <w:p w14:paraId="6E812D7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排气筒或排风管：</w:t>
                  </w:r>
                  <w:r>
                    <w:rPr>
                      <w:rFonts w:hint="default" w:ascii="Times New Roman" w:hAnsi="Times New Roman" w:cs="Times New Roman"/>
                      <w:color w:val="auto"/>
                      <w:sz w:val="21"/>
                      <w:szCs w:val="21"/>
                      <w:lang w:val="en-US" w:eastAsia="zh-CN"/>
                    </w:rPr>
                    <w:t>1.5</w:t>
                  </w:r>
                  <w:r>
                    <w:rPr>
                      <w:rFonts w:hint="default" w:ascii="Times New Roman" w:hAnsi="Times New Roman" w:cs="Times New Roman"/>
                      <w:color w:val="000000" w:themeColor="text1"/>
                      <w:highlight w:val="none"/>
                      <w:lang w:val="en-US" w:eastAsia="zh-CN"/>
                      <w14:textFill>
                        <w14:solidFill>
                          <w14:schemeClr w14:val="tx1"/>
                        </w14:solidFill>
                      </w14:textFill>
                    </w:rPr>
                    <w:t>mg/m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p>
              </w:tc>
              <w:tc>
                <w:tcPr>
                  <w:tcW w:w="1623" w:type="dxa"/>
                  <w:noWrap w:val="0"/>
                  <w:vAlign w:val="center"/>
                </w:tcPr>
                <w:p w14:paraId="4BC3389F">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000000" w:themeColor="text1"/>
                      <w:highlight w:val="none"/>
                      <w14:textFill>
                        <w14:solidFill>
                          <w14:schemeClr w14:val="tx1"/>
                        </w14:solidFill>
                      </w14:textFill>
                    </w:rPr>
                  </w:pPr>
                  <w:r>
                    <w:rPr>
                      <w:rFonts w:hint="eastAsia" w:cs="Times New Roman"/>
                      <w:color w:val="auto"/>
                      <w:sz w:val="21"/>
                      <w:szCs w:val="21"/>
                      <w:lang w:eastAsia="zh-CN"/>
                    </w:rPr>
                    <w:t>处理效率</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90</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eastAsia="zh-CN"/>
                    </w:rPr>
                    <w:t>小</w:t>
                  </w:r>
                  <w:r>
                    <w:rPr>
                      <w:rFonts w:hint="default" w:ascii="Times New Roman" w:hAnsi="Times New Roman" w:cs="Times New Roman"/>
                      <w:color w:val="auto"/>
                      <w:sz w:val="21"/>
                      <w:szCs w:val="21"/>
                    </w:rPr>
                    <w:t>型）</w:t>
                  </w:r>
                </w:p>
              </w:tc>
            </w:tr>
          </w:tbl>
          <w:p w14:paraId="53D3B4AA">
            <w:pPr>
              <w:keepNext w:val="0"/>
              <w:keepLines w:val="0"/>
              <w:pageBreakBefore w:val="0"/>
              <w:widowControl w:val="0"/>
              <w:suppressLineNumbers w:val="0"/>
              <w:kinsoku/>
              <w:wordWrap/>
              <w:overflowPunct/>
              <w:topLinePunct w:val="0"/>
              <w:autoSpaceDE/>
              <w:autoSpaceDN/>
              <w:bidi w:val="0"/>
              <w:adjustRightInd/>
              <w:snapToGrid w:val="0"/>
              <w:spacing w:before="157" w:beforeLines="50" w:beforeAutospacing="0" w:after="0" w:afterAutospacing="0" w:line="348" w:lineRule="auto"/>
              <w:ind w:left="0" w:right="0"/>
              <w:textAlignment w:val="auto"/>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pPr>
            <w:r>
              <w:rPr>
                <w:rFonts w:hint="default" w:ascii="Times New Roman" w:hAnsi="Times New Roman" w:eastAsia="Times New Roman" w:cs="Times New Roman"/>
                <w:b/>
                <w:color w:val="000000" w:themeColor="text1"/>
                <w:sz w:val="24"/>
                <w:highlight w:val="none"/>
                <w14:textFill>
                  <w14:solidFill>
                    <w14:schemeClr w14:val="tx1"/>
                  </w14:solidFill>
                </w14:textFill>
              </w:rPr>
              <w:t>2.</w:t>
            </w:r>
            <w: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t>废水</w:t>
            </w:r>
          </w:p>
          <w:p w14:paraId="62AEDA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48" w:lineRule="auto"/>
              <w:ind w:left="0" w:right="0" w:firstLine="480" w:firstLineChars="200"/>
              <w:jc w:val="both"/>
              <w:textAlignment w:val="auto"/>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default" w:ascii="Times New Roman" w:hAnsi="Times New Roman" w:eastAsia="Times New Roman" w:cs="Times New Roman"/>
                <w:color w:val="000000" w:themeColor="text1"/>
                <w:kern w:val="0"/>
                <w:sz w:val="24"/>
                <w:highlight w:val="none"/>
                <w14:textFill>
                  <w14:solidFill>
                    <w14:schemeClr w14:val="tx1"/>
                  </w14:solidFill>
                </w14:textFill>
              </w:rPr>
              <w:t>本项目废水</w:t>
            </w:r>
            <w:r>
              <w:rPr>
                <w:rFonts w:hint="eastAsia" w:eastAsia="宋体" w:cs="Times New Roman"/>
                <w:color w:val="000000" w:themeColor="text1"/>
                <w:kern w:val="0"/>
                <w:sz w:val="24"/>
                <w:highlight w:val="none"/>
                <w:lang w:eastAsia="zh-CN"/>
                <w14:textFill>
                  <w14:solidFill>
                    <w14:schemeClr w14:val="tx1"/>
                  </w14:solidFill>
                </w14:textFill>
              </w:rPr>
              <w:t>仅排放</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生活废水，</w:t>
            </w:r>
            <w:r>
              <w:rPr>
                <w:rFonts w:hint="eastAsia" w:cs="Times New Roman"/>
                <w:color w:val="000000" w:themeColor="text1"/>
                <w:kern w:val="0"/>
                <w:sz w:val="24"/>
                <w:highlight w:val="none"/>
                <w:lang w:eastAsia="zh-CN"/>
                <w14:textFill>
                  <w14:solidFill>
                    <w14:schemeClr w14:val="tx1"/>
                  </w14:solidFill>
                </w14:textFill>
              </w:rPr>
              <w:t>生活污水排放</w:t>
            </w:r>
            <w:r>
              <w:rPr>
                <w:rFonts w:hint="default" w:ascii="Times New Roman" w:hAnsi="Times New Roman" w:eastAsia="Times New Roman" w:cs="Times New Roman"/>
                <w:color w:val="000000" w:themeColor="text1"/>
                <w:kern w:val="0"/>
                <w:sz w:val="24"/>
                <w:highlight w:val="none"/>
                <w14:textFill>
                  <w14:solidFill>
                    <w14:schemeClr w14:val="tx1"/>
                  </w14:solidFill>
                </w14:textFill>
              </w:rPr>
              <w:t>执行《污水综合排放标准》（GB8978-1996）表4三级标准，同时满足</w:t>
            </w:r>
            <w:r>
              <w:rPr>
                <w:rFonts w:hint="eastAsia" w:eastAsia="Times New Roman" w:cs="Times New Roman"/>
                <w:bCs/>
                <w:color w:val="000000" w:themeColor="text1"/>
                <w:kern w:val="0"/>
                <w:sz w:val="24"/>
                <w:highlight w:val="none"/>
                <w:lang w:eastAsia="zh-CN"/>
                <w14:textFill>
                  <w14:solidFill>
                    <w14:schemeClr w14:val="tx1"/>
                  </w14:solidFill>
                </w14:textFill>
              </w:rPr>
              <w:t>汤阴天雨污水净化有限公司</w:t>
            </w:r>
            <w:r>
              <w:rPr>
                <w:rFonts w:hint="default" w:ascii="Times New Roman" w:hAnsi="Times New Roman" w:eastAsia="Times New Roman" w:cs="Times New Roman"/>
                <w:color w:val="000000" w:themeColor="text1"/>
                <w:kern w:val="0"/>
                <w:sz w:val="24"/>
                <w:highlight w:val="none"/>
                <w14:textFill>
                  <w14:solidFill>
                    <w14:schemeClr w14:val="tx1"/>
                  </w14:solidFill>
                </w14:textFill>
              </w:rPr>
              <w:t>进水水质要求</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w:t>
            </w:r>
            <w:r>
              <w:rPr>
                <w:rFonts w:hint="default" w:ascii="Times New Roman" w:hAnsi="Times New Roman" w:eastAsia="Times New Roman" w:cs="Times New Roman"/>
                <w:color w:val="000000" w:themeColor="text1"/>
                <w:kern w:val="0"/>
                <w:sz w:val="24"/>
                <w:highlight w:val="none"/>
                <w14:textFill>
                  <w14:solidFill>
                    <w14:schemeClr w14:val="tx1"/>
                  </w14:solidFill>
                </w14:textFill>
              </w:rPr>
              <w:t>具体标准值见下表：</w:t>
            </w:r>
          </w:p>
          <w:p w14:paraId="426E1761">
            <w:pPr>
              <w:keepNext w:val="0"/>
              <w:keepLines w:val="0"/>
              <w:suppressLineNumbers w:val="0"/>
              <w:adjustRightInd w:val="0"/>
              <w:snapToGrid w:val="0"/>
              <w:spacing w:before="0" w:beforeAutospacing="0" w:after="0" w:afterAutospacing="0" w:line="240" w:lineRule="auto"/>
              <w:ind w:left="0" w:right="480"/>
              <w:jc w:val="center"/>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14:textFill>
                  <w14:solidFill>
                    <w14:schemeClr w14:val="tx1"/>
                  </w14:solidFill>
                </w14:textFill>
              </w:rPr>
              <w:t xml:space="preserve">废水排放执行标准   </w:t>
            </w:r>
            <w: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Times New Roman" w:cs="Times New Roman"/>
                <w:b/>
                <w:color w:val="000000" w:themeColor="text1"/>
                <w:sz w:val="24"/>
                <w:highlight w:val="none"/>
                <w14:textFill>
                  <w14:solidFill>
                    <w14:schemeClr w14:val="tx1"/>
                  </w14:solidFill>
                </w14:textFill>
              </w:rPr>
              <w:t>mg/L</w:t>
            </w:r>
          </w:p>
          <w:tbl>
            <w:tblPr>
              <w:tblStyle w:val="29"/>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686"/>
              <w:gridCol w:w="1312"/>
              <w:gridCol w:w="704"/>
              <w:gridCol w:w="765"/>
              <w:gridCol w:w="548"/>
              <w:gridCol w:w="656"/>
              <w:gridCol w:w="656"/>
            </w:tblGrid>
            <w:tr w14:paraId="5FB2B6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3686" w:type="dxa"/>
                  <w:noWrap w:val="0"/>
                  <w:vAlign w:val="center"/>
                </w:tcPr>
                <w:p w14:paraId="00D1820C">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pPr>
                  <w: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t>污染物</w:t>
                  </w:r>
                </w:p>
              </w:tc>
              <w:tc>
                <w:tcPr>
                  <w:tcW w:w="1312" w:type="dxa"/>
                  <w:noWrap w:val="0"/>
                  <w:vAlign w:val="center"/>
                </w:tcPr>
                <w:p w14:paraId="61D86DD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highlight w:val="none"/>
                      <w:u w:val="none"/>
                      <w:lang w:eastAsia="zh-CN"/>
                      <w14:textFill>
                        <w14:solidFill>
                          <w14:schemeClr w14:val="tx1"/>
                        </w14:solidFill>
                      </w14:textFill>
                    </w:rPr>
                  </w:pPr>
                  <w: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t>pH</w:t>
                  </w:r>
                  <w:r>
                    <w:rPr>
                      <w:rFonts w:hint="default" w:ascii="Times New Roman" w:hAnsi="Times New Roman" w:eastAsia="Times New Roman" w:cs="Times New Roman"/>
                      <w:b w:val="0"/>
                      <w:bCs w:val="0"/>
                      <w:color w:val="000000" w:themeColor="text1"/>
                      <w:highlight w:val="none"/>
                      <w:u w:val="none"/>
                      <w:lang w:eastAsia="zh-CN"/>
                      <w14:textFill>
                        <w14:solidFill>
                          <w14:schemeClr w14:val="tx1"/>
                        </w14:solidFill>
                      </w14:textFill>
                    </w:rPr>
                    <w:t>（</w:t>
                  </w:r>
                  <w:r>
                    <w:rPr>
                      <w:rFonts w:hint="default" w:ascii="Times New Roman" w:hAnsi="Times New Roman" w:eastAsia="Times New Roman" w:cs="Times New Roman"/>
                      <w:b w:val="0"/>
                      <w:bCs w:val="0"/>
                      <w:color w:val="000000" w:themeColor="text1"/>
                      <w:highlight w:val="none"/>
                      <w:u w:val="none"/>
                      <w:lang w:val="en-US" w:eastAsia="zh-CN"/>
                      <w14:textFill>
                        <w14:solidFill>
                          <w14:schemeClr w14:val="tx1"/>
                        </w14:solidFill>
                      </w14:textFill>
                    </w:rPr>
                    <w:t>无量纲</w:t>
                  </w:r>
                  <w:r>
                    <w:rPr>
                      <w:rFonts w:hint="default" w:ascii="Times New Roman" w:hAnsi="Times New Roman" w:eastAsia="Times New Roman" w:cs="Times New Roman"/>
                      <w:b w:val="0"/>
                      <w:bCs w:val="0"/>
                      <w:color w:val="000000" w:themeColor="text1"/>
                      <w:highlight w:val="none"/>
                      <w:u w:val="none"/>
                      <w:lang w:eastAsia="zh-CN"/>
                      <w14:textFill>
                        <w14:solidFill>
                          <w14:schemeClr w14:val="tx1"/>
                        </w14:solidFill>
                      </w14:textFill>
                    </w:rPr>
                    <w:t>）</w:t>
                  </w:r>
                </w:p>
              </w:tc>
              <w:tc>
                <w:tcPr>
                  <w:tcW w:w="704" w:type="dxa"/>
                  <w:noWrap w:val="0"/>
                  <w:vAlign w:val="center"/>
                </w:tcPr>
                <w:p w14:paraId="7979B142">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pPr>
                  <w: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t>COD</w:t>
                  </w:r>
                </w:p>
              </w:tc>
              <w:tc>
                <w:tcPr>
                  <w:tcW w:w="765" w:type="dxa"/>
                  <w:noWrap w:val="0"/>
                  <w:vAlign w:val="center"/>
                </w:tcPr>
                <w:p w14:paraId="388CBBE2">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pPr>
                  <w: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t>BOD</w:t>
                  </w:r>
                  <w:r>
                    <w:rPr>
                      <w:rFonts w:hint="default" w:ascii="Times New Roman" w:hAnsi="Times New Roman" w:eastAsia="Times New Roman" w:cs="Times New Roman"/>
                      <w:b w:val="0"/>
                      <w:bCs w:val="0"/>
                      <w:color w:val="000000" w:themeColor="text1"/>
                      <w:highlight w:val="none"/>
                      <w:u w:val="none"/>
                      <w:vertAlign w:val="subscript"/>
                      <w14:textFill>
                        <w14:solidFill>
                          <w14:schemeClr w14:val="tx1"/>
                        </w14:solidFill>
                      </w14:textFill>
                    </w:rPr>
                    <w:t>5</w:t>
                  </w:r>
                </w:p>
              </w:tc>
              <w:tc>
                <w:tcPr>
                  <w:tcW w:w="548" w:type="dxa"/>
                  <w:noWrap w:val="0"/>
                  <w:vAlign w:val="center"/>
                </w:tcPr>
                <w:p w14:paraId="39A46AA9">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pPr>
                  <w: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t>SS</w:t>
                  </w:r>
                </w:p>
              </w:tc>
              <w:tc>
                <w:tcPr>
                  <w:tcW w:w="656" w:type="dxa"/>
                  <w:noWrap w:val="0"/>
                  <w:vAlign w:val="center"/>
                </w:tcPr>
                <w:p w14:paraId="59CE0DB3">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pPr>
                  <w: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t>氨氮</w:t>
                  </w:r>
                </w:p>
              </w:tc>
              <w:tc>
                <w:tcPr>
                  <w:tcW w:w="656" w:type="dxa"/>
                  <w:noWrap w:val="0"/>
                  <w:vAlign w:val="center"/>
                </w:tcPr>
                <w:p w14:paraId="7792C44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highlight w:val="none"/>
                      <w:u w:val="none"/>
                      <w:lang w:val="en-US" w:eastAsia="zh-CN"/>
                      <w14:textFill>
                        <w14:solidFill>
                          <w14:schemeClr w14:val="tx1"/>
                        </w14:solidFill>
                      </w14:textFill>
                    </w:rPr>
                  </w:pPr>
                  <w:r>
                    <w:rPr>
                      <w:rFonts w:hint="eastAsia" w:eastAsia="宋体" w:cs="Times New Roman"/>
                      <w:b w:val="0"/>
                      <w:bCs w:val="0"/>
                      <w:color w:val="000000" w:themeColor="text1"/>
                      <w:highlight w:val="none"/>
                      <w:u w:val="none"/>
                      <w:lang w:val="en-US" w:eastAsia="zh-CN"/>
                      <w14:textFill>
                        <w14:solidFill>
                          <w14:schemeClr w14:val="tx1"/>
                        </w14:solidFill>
                      </w14:textFill>
                    </w:rPr>
                    <w:t>TP</w:t>
                  </w:r>
                </w:p>
              </w:tc>
            </w:tr>
            <w:tr w14:paraId="30AB3F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3686" w:type="dxa"/>
                  <w:noWrap w:val="0"/>
                  <w:vAlign w:val="center"/>
                </w:tcPr>
                <w:p w14:paraId="11262307">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pPr>
                  <w: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t>《污水综合排放标准》（GB8978-1996）表4三级标准</w:t>
                  </w:r>
                </w:p>
              </w:tc>
              <w:tc>
                <w:tcPr>
                  <w:tcW w:w="1312" w:type="dxa"/>
                  <w:noWrap w:val="0"/>
                  <w:vAlign w:val="center"/>
                </w:tcPr>
                <w:p w14:paraId="74A5E80A">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pPr>
                  <w: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t>6~9</w:t>
                  </w:r>
                </w:p>
              </w:tc>
              <w:tc>
                <w:tcPr>
                  <w:tcW w:w="704" w:type="dxa"/>
                  <w:noWrap w:val="0"/>
                  <w:vAlign w:val="center"/>
                </w:tcPr>
                <w:p w14:paraId="27353EB8">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pPr>
                  <w: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t>500</w:t>
                  </w:r>
                </w:p>
              </w:tc>
              <w:tc>
                <w:tcPr>
                  <w:tcW w:w="765" w:type="dxa"/>
                  <w:noWrap w:val="0"/>
                  <w:vAlign w:val="center"/>
                </w:tcPr>
                <w:p w14:paraId="2A87EE0F">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pPr>
                  <w: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t>300</w:t>
                  </w:r>
                </w:p>
              </w:tc>
              <w:tc>
                <w:tcPr>
                  <w:tcW w:w="548" w:type="dxa"/>
                  <w:noWrap w:val="0"/>
                  <w:vAlign w:val="center"/>
                </w:tcPr>
                <w:p w14:paraId="208A5FA7">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pPr>
                  <w: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t>400</w:t>
                  </w:r>
                </w:p>
              </w:tc>
              <w:tc>
                <w:tcPr>
                  <w:tcW w:w="656" w:type="dxa"/>
                  <w:noWrap w:val="0"/>
                  <w:vAlign w:val="center"/>
                </w:tcPr>
                <w:p w14:paraId="1FEA4A08">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pPr>
                  <w: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t>/</w:t>
                  </w:r>
                </w:p>
              </w:tc>
              <w:tc>
                <w:tcPr>
                  <w:tcW w:w="656" w:type="dxa"/>
                  <w:noWrap w:val="0"/>
                  <w:vAlign w:val="center"/>
                </w:tcPr>
                <w:p w14:paraId="5A2B59B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highlight w:val="none"/>
                      <w:u w:val="none"/>
                      <w:lang w:val="en-US" w:eastAsia="zh-CN"/>
                      <w14:textFill>
                        <w14:solidFill>
                          <w14:schemeClr w14:val="tx1"/>
                        </w14:solidFill>
                      </w14:textFill>
                    </w:rPr>
                  </w:pPr>
                  <w:r>
                    <w:rPr>
                      <w:rFonts w:hint="eastAsia" w:eastAsia="宋体" w:cs="Times New Roman"/>
                      <w:b w:val="0"/>
                      <w:bCs w:val="0"/>
                      <w:color w:val="000000" w:themeColor="text1"/>
                      <w:highlight w:val="none"/>
                      <w:u w:val="none"/>
                      <w:lang w:val="en-US" w:eastAsia="zh-CN"/>
                      <w14:textFill>
                        <w14:solidFill>
                          <w14:schemeClr w14:val="tx1"/>
                        </w14:solidFill>
                      </w14:textFill>
                    </w:rPr>
                    <w:t>/</w:t>
                  </w:r>
                </w:p>
              </w:tc>
            </w:tr>
            <w:tr w14:paraId="37DDD3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3686" w:type="dxa"/>
                  <w:noWrap w:val="0"/>
                  <w:vAlign w:val="center"/>
                </w:tcPr>
                <w:p w14:paraId="0154E891">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pPr>
                  <w:r>
                    <w:rPr>
                      <w:rFonts w:hint="eastAsia" w:eastAsia="Times New Roman" w:cs="Times New Roman"/>
                      <w:b w:val="0"/>
                      <w:bCs w:val="0"/>
                      <w:color w:val="000000" w:themeColor="text1"/>
                      <w:highlight w:val="none"/>
                      <w:u w:val="none"/>
                      <w:lang w:eastAsia="zh-CN"/>
                      <w14:textFill>
                        <w14:solidFill>
                          <w14:schemeClr w14:val="tx1"/>
                        </w14:solidFill>
                      </w14:textFill>
                    </w:rPr>
                    <w:t>汤阴天雨污水净化有限公司</w:t>
                  </w:r>
                  <w:r>
                    <w:rPr>
                      <w:rFonts w:hint="default" w:ascii="Times New Roman" w:hAnsi="Times New Roman" w:eastAsia="Times New Roman" w:cs="Times New Roman"/>
                      <w:b w:val="0"/>
                      <w:bCs w:val="0"/>
                      <w:color w:val="000000" w:themeColor="text1"/>
                      <w:highlight w:val="none"/>
                      <w:u w:val="none"/>
                      <w14:textFill>
                        <w14:solidFill>
                          <w14:schemeClr w14:val="tx1"/>
                        </w14:solidFill>
                      </w14:textFill>
                    </w:rPr>
                    <w:t>进水水质要求</w:t>
                  </w:r>
                </w:p>
              </w:tc>
              <w:tc>
                <w:tcPr>
                  <w:tcW w:w="1312" w:type="dxa"/>
                  <w:noWrap w:val="0"/>
                  <w:vAlign w:val="center"/>
                </w:tcPr>
                <w:p w14:paraId="3C546B8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highlight w:val="none"/>
                      <w:u w:val="none"/>
                      <w:lang w:val="en-US" w:eastAsia="zh-CN"/>
                      <w14:textFill>
                        <w14:solidFill>
                          <w14:schemeClr w14:val="tx1"/>
                        </w14:solidFill>
                      </w14:textFill>
                    </w:rPr>
                  </w:pPr>
                  <w:r>
                    <w:rPr>
                      <w:rFonts w:hint="eastAsia" w:ascii="Times New Roman" w:hAnsi="Times New Roman" w:eastAsia="Times New Roman" w:cs="Times New Roman"/>
                      <w:b w:val="0"/>
                      <w:bCs w:val="0"/>
                      <w:color w:val="000000" w:themeColor="text1"/>
                      <w:highlight w:val="none"/>
                      <w:u w:val="none"/>
                      <w:lang w:val="en-US" w:eastAsia="zh-CN"/>
                      <w14:textFill>
                        <w14:solidFill>
                          <w14:schemeClr w14:val="tx1"/>
                        </w14:solidFill>
                      </w14:textFill>
                    </w:rPr>
                    <w:t>6-9</w:t>
                  </w:r>
                </w:p>
              </w:tc>
              <w:tc>
                <w:tcPr>
                  <w:tcW w:w="704" w:type="dxa"/>
                  <w:noWrap w:val="0"/>
                  <w:vAlign w:val="center"/>
                </w:tcPr>
                <w:p w14:paraId="6023111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highlight w:val="none"/>
                      <w:u w:val="none"/>
                      <w:lang w:val="en-US" w:eastAsia="zh-CN"/>
                      <w14:textFill>
                        <w14:solidFill>
                          <w14:schemeClr w14:val="tx1"/>
                        </w14:solidFill>
                      </w14:textFill>
                    </w:rPr>
                  </w:pPr>
                  <w:r>
                    <w:rPr>
                      <w:rFonts w:hint="eastAsia" w:cs="Times New Roman"/>
                      <w:b w:val="0"/>
                      <w:bCs w:val="0"/>
                      <w:color w:val="000000" w:themeColor="text1"/>
                      <w:highlight w:val="none"/>
                      <w:u w:val="none"/>
                      <w:lang w:val="en-US" w:eastAsia="zh-CN"/>
                      <w14:textFill>
                        <w14:solidFill>
                          <w14:schemeClr w14:val="tx1"/>
                        </w14:solidFill>
                      </w14:textFill>
                    </w:rPr>
                    <w:t>450</w:t>
                  </w:r>
                </w:p>
              </w:tc>
              <w:tc>
                <w:tcPr>
                  <w:tcW w:w="765" w:type="dxa"/>
                  <w:noWrap w:val="0"/>
                  <w:vAlign w:val="center"/>
                </w:tcPr>
                <w:p w14:paraId="48FE87B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highlight w:val="none"/>
                      <w:u w:val="none"/>
                      <w:lang w:val="en-US" w:eastAsia="zh-CN"/>
                      <w14:textFill>
                        <w14:solidFill>
                          <w14:schemeClr w14:val="tx1"/>
                        </w14:solidFill>
                      </w14:textFill>
                    </w:rPr>
                  </w:pPr>
                  <w:r>
                    <w:rPr>
                      <w:rFonts w:hint="eastAsia" w:cs="Times New Roman"/>
                      <w:b w:val="0"/>
                      <w:bCs w:val="0"/>
                      <w:color w:val="000000" w:themeColor="text1"/>
                      <w:highlight w:val="none"/>
                      <w:u w:val="none"/>
                      <w:lang w:val="en-US" w:eastAsia="zh-CN"/>
                      <w14:textFill>
                        <w14:solidFill>
                          <w14:schemeClr w14:val="tx1"/>
                        </w14:solidFill>
                      </w14:textFill>
                    </w:rPr>
                    <w:t>200</w:t>
                  </w:r>
                </w:p>
              </w:tc>
              <w:tc>
                <w:tcPr>
                  <w:tcW w:w="548" w:type="dxa"/>
                  <w:noWrap w:val="0"/>
                  <w:vAlign w:val="center"/>
                </w:tcPr>
                <w:p w14:paraId="0A4B774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highlight w:val="none"/>
                      <w:u w:val="none"/>
                      <w:lang w:val="en-US" w:eastAsia="zh-CN"/>
                      <w14:textFill>
                        <w14:solidFill>
                          <w14:schemeClr w14:val="tx1"/>
                        </w14:solidFill>
                      </w14:textFill>
                    </w:rPr>
                  </w:pPr>
                  <w:r>
                    <w:rPr>
                      <w:rFonts w:hint="eastAsia" w:cs="Times New Roman"/>
                      <w:b w:val="0"/>
                      <w:bCs w:val="0"/>
                      <w:color w:val="000000" w:themeColor="text1"/>
                      <w:highlight w:val="none"/>
                      <w:u w:val="none"/>
                      <w:lang w:val="en-US" w:eastAsia="zh-CN"/>
                      <w14:textFill>
                        <w14:solidFill>
                          <w14:schemeClr w14:val="tx1"/>
                        </w14:solidFill>
                      </w14:textFill>
                    </w:rPr>
                    <w:t>200</w:t>
                  </w:r>
                </w:p>
              </w:tc>
              <w:tc>
                <w:tcPr>
                  <w:tcW w:w="656" w:type="dxa"/>
                  <w:noWrap w:val="0"/>
                  <w:vAlign w:val="center"/>
                </w:tcPr>
                <w:p w14:paraId="6E46239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highlight w:val="none"/>
                      <w:u w:val="none"/>
                      <w:lang w:val="en-US" w:eastAsia="zh-CN"/>
                      <w14:textFill>
                        <w14:solidFill>
                          <w14:schemeClr w14:val="tx1"/>
                        </w14:solidFill>
                      </w14:textFill>
                    </w:rPr>
                  </w:pPr>
                  <w:r>
                    <w:rPr>
                      <w:rFonts w:hint="eastAsia" w:cs="Times New Roman"/>
                      <w:b w:val="0"/>
                      <w:bCs w:val="0"/>
                      <w:color w:val="000000" w:themeColor="text1"/>
                      <w:highlight w:val="none"/>
                      <w:u w:val="none"/>
                      <w:lang w:val="en-US" w:eastAsia="zh-CN"/>
                      <w14:textFill>
                        <w14:solidFill>
                          <w14:schemeClr w14:val="tx1"/>
                        </w14:solidFill>
                      </w14:textFill>
                    </w:rPr>
                    <w:t>40</w:t>
                  </w:r>
                </w:p>
              </w:tc>
              <w:tc>
                <w:tcPr>
                  <w:tcW w:w="656" w:type="dxa"/>
                  <w:noWrap w:val="0"/>
                  <w:vAlign w:val="center"/>
                </w:tcPr>
                <w:p w14:paraId="1B8CD795">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val="0"/>
                      <w:bCs w:val="0"/>
                      <w:color w:val="000000" w:themeColor="text1"/>
                      <w:highlight w:val="none"/>
                      <w:u w:val="none"/>
                      <w:lang w:val="en-US" w:eastAsia="zh-CN"/>
                      <w14:textFill>
                        <w14:solidFill>
                          <w14:schemeClr w14:val="tx1"/>
                        </w14:solidFill>
                      </w14:textFill>
                    </w:rPr>
                  </w:pPr>
                  <w:r>
                    <w:rPr>
                      <w:rFonts w:hint="eastAsia" w:eastAsia="Times New Roman" w:cs="Times New Roman"/>
                      <w:b w:val="0"/>
                      <w:bCs w:val="0"/>
                      <w:color w:val="000000" w:themeColor="text1"/>
                      <w:highlight w:val="none"/>
                      <w:u w:val="none"/>
                      <w:lang w:val="en-US" w:eastAsia="zh-CN"/>
                      <w14:textFill>
                        <w14:solidFill>
                          <w14:schemeClr w14:val="tx1"/>
                        </w14:solidFill>
                      </w14:textFill>
                    </w:rPr>
                    <w:t>5</w:t>
                  </w:r>
                </w:p>
              </w:tc>
            </w:tr>
          </w:tbl>
          <w:p w14:paraId="113D11E8">
            <w:pPr>
              <w:keepNext w:val="0"/>
              <w:keepLines w:val="0"/>
              <w:pageBreakBefore w:val="0"/>
              <w:widowControl w:val="0"/>
              <w:suppressLineNumbers w:val="0"/>
              <w:kinsoku/>
              <w:wordWrap/>
              <w:overflowPunct/>
              <w:topLinePunct w:val="0"/>
              <w:autoSpaceDE/>
              <w:autoSpaceDN/>
              <w:bidi w:val="0"/>
              <w:adjustRightInd/>
              <w:snapToGrid w:val="0"/>
              <w:spacing w:before="157" w:beforeLines="50" w:beforeAutospacing="0" w:after="0" w:afterAutospacing="0" w:line="348" w:lineRule="auto"/>
              <w:ind w:left="0" w:right="0"/>
              <w:textAlignment w:val="auto"/>
              <w:rPr>
                <w:rFonts w:hint="default" w:ascii="Times New Roman" w:hAnsi="Times New Roman" w:eastAsia="Times New Roman" w:cs="Times New Roman"/>
                <w:b/>
                <w:bCs/>
                <w:color w:val="000000" w:themeColor="text1"/>
                <w:sz w:val="24"/>
                <w:highlight w:val="none"/>
                <w:u w:val="none"/>
                <w14:textFill>
                  <w14:solidFill>
                    <w14:schemeClr w14:val="tx1"/>
                  </w14:solidFill>
                </w14:textFill>
              </w:rPr>
            </w:pPr>
            <w:r>
              <w:rPr>
                <w:rFonts w:hint="default" w:ascii="Times New Roman" w:hAnsi="Times New Roman" w:eastAsia="Times New Roman" w:cs="Times New Roman"/>
                <w:b/>
                <w:bCs/>
                <w:color w:val="000000" w:themeColor="text1"/>
                <w:sz w:val="24"/>
                <w:highlight w:val="none"/>
                <w:u w:val="none"/>
                <w:lang w:val="en-US" w:eastAsia="zh-CN"/>
                <w14:textFill>
                  <w14:solidFill>
                    <w14:schemeClr w14:val="tx1"/>
                  </w14:solidFill>
                </w14:textFill>
              </w:rPr>
              <w:t>3.</w:t>
            </w:r>
            <w:r>
              <w:rPr>
                <w:rFonts w:hint="default" w:ascii="Times New Roman" w:hAnsi="Times New Roman" w:eastAsia="Times New Roman" w:cs="Times New Roman"/>
                <w:b/>
                <w:bCs/>
                <w:color w:val="000000" w:themeColor="text1"/>
                <w:sz w:val="24"/>
                <w:highlight w:val="none"/>
                <w:u w:val="none"/>
                <w14:textFill>
                  <w14:solidFill>
                    <w14:schemeClr w14:val="tx1"/>
                  </w14:solidFill>
                </w14:textFill>
              </w:rPr>
              <w:t>噪声</w:t>
            </w:r>
          </w:p>
          <w:p w14:paraId="22070F75">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48" w:lineRule="auto"/>
              <w:ind w:left="0" w:right="0" w:firstLine="480" w:firstLineChars="200"/>
              <w:textAlignment w:val="auto"/>
              <w:rPr>
                <w:rFonts w:hint="default" w:ascii="Times New Roman" w:hAnsi="Times New Roman" w:eastAsia="Times New Roman" w:cs="Times New Roman"/>
                <w:b w:val="0"/>
                <w:bCs w:val="0"/>
                <w:color w:val="000000" w:themeColor="text1"/>
                <w:kern w:val="0"/>
                <w:sz w:val="24"/>
                <w:highlight w:val="none"/>
                <w:u w:val="none"/>
                <w14:textFill>
                  <w14:solidFill>
                    <w14:schemeClr w14:val="tx1"/>
                  </w14:solidFill>
                </w14:textFill>
              </w:rPr>
            </w:pPr>
            <w:r>
              <w:rPr>
                <w:rFonts w:hint="eastAsia" w:eastAsia="宋体" w:cs="Times New Roman"/>
                <w:b w:val="0"/>
                <w:bCs w:val="0"/>
                <w:color w:val="000000" w:themeColor="text1"/>
                <w:kern w:val="0"/>
                <w:sz w:val="24"/>
                <w:highlight w:val="none"/>
                <w:u w:val="none"/>
                <w:lang w:eastAsia="zh-CN"/>
                <w14:textFill>
                  <w14:solidFill>
                    <w14:schemeClr w14:val="tx1"/>
                  </w14:solidFill>
                </w14:textFill>
              </w:rPr>
              <w:t>项目</w:t>
            </w:r>
            <w:r>
              <w:rPr>
                <w:rFonts w:hint="default" w:ascii="Times New Roman" w:hAnsi="Times New Roman" w:eastAsia="Times New Roman" w:cs="Times New Roman"/>
                <w:b w:val="0"/>
                <w:bCs w:val="0"/>
                <w:color w:val="000000" w:themeColor="text1"/>
                <w:kern w:val="0"/>
                <w:sz w:val="24"/>
                <w:highlight w:val="none"/>
                <w:u w:val="none"/>
                <w14:textFill>
                  <w14:solidFill>
                    <w14:schemeClr w14:val="tx1"/>
                  </w14:solidFill>
                </w14:textFill>
              </w:rPr>
              <w:t>运营期厂界噪声排放执行《工业企业厂界环境噪声排放标准》（</w:t>
            </w:r>
            <w:r>
              <w:rPr>
                <w:rFonts w:hint="default" w:ascii="Times New Roman" w:hAnsi="Times New Roman" w:eastAsia="Times New Roman" w:cs="Times New Roman"/>
                <w:b w:val="0"/>
                <w:bCs w:val="0"/>
                <w:color w:val="000000" w:themeColor="text1"/>
                <w:sz w:val="24"/>
                <w:highlight w:val="none"/>
                <w:u w:val="none"/>
                <w14:textFill>
                  <w14:solidFill>
                    <w14:schemeClr w14:val="tx1"/>
                  </w14:solidFill>
                </w14:textFill>
              </w:rPr>
              <w:t>GB12348-2008）中</w:t>
            </w:r>
            <w:r>
              <w:rPr>
                <w:rFonts w:hint="eastAsia" w:eastAsia="宋体" w:cs="Times New Roman"/>
                <w:b w:val="0"/>
                <w:bCs w:val="0"/>
                <w:color w:val="000000" w:themeColor="text1"/>
                <w:sz w:val="24"/>
                <w:highlight w:val="none"/>
                <w:u w:val="none"/>
                <w:lang w:val="en-US" w:eastAsia="zh-CN"/>
                <w14:textFill>
                  <w14:solidFill>
                    <w14:schemeClr w14:val="tx1"/>
                  </w14:solidFill>
                </w14:textFill>
              </w:rPr>
              <w:t>3</w:t>
            </w:r>
            <w:r>
              <w:rPr>
                <w:rFonts w:hint="default" w:ascii="Times New Roman" w:hAnsi="Times New Roman" w:eastAsia="Times New Roman" w:cs="Times New Roman"/>
                <w:b w:val="0"/>
                <w:bCs w:val="0"/>
                <w:color w:val="000000" w:themeColor="text1"/>
                <w:sz w:val="24"/>
                <w:highlight w:val="none"/>
                <w:u w:val="none"/>
                <w14:textFill>
                  <w14:solidFill>
                    <w14:schemeClr w14:val="tx1"/>
                  </w14:solidFill>
                </w14:textFill>
              </w:rPr>
              <w:t>类区标准限值：</w:t>
            </w:r>
            <w:r>
              <w:rPr>
                <w:rFonts w:hint="default" w:ascii="Times New Roman" w:hAnsi="Times New Roman" w:eastAsia="Times New Roman" w:cs="Times New Roman"/>
                <w:b w:val="0"/>
                <w:bCs w:val="0"/>
                <w:color w:val="000000" w:themeColor="text1"/>
                <w:kern w:val="0"/>
                <w:sz w:val="24"/>
                <w:highlight w:val="none"/>
                <w:u w:val="none"/>
                <w14:textFill>
                  <w14:solidFill>
                    <w14:schemeClr w14:val="tx1"/>
                  </w14:solidFill>
                </w14:textFill>
              </w:rPr>
              <w:t>昼间≤6</w:t>
            </w:r>
            <w:r>
              <w:rPr>
                <w:rFonts w:hint="eastAsia" w:eastAsia="宋体" w:cs="Times New Roman"/>
                <w:b w:val="0"/>
                <w:bCs w:val="0"/>
                <w:color w:val="000000" w:themeColor="text1"/>
                <w:kern w:val="0"/>
                <w:sz w:val="24"/>
                <w:highlight w:val="none"/>
                <w:u w:val="none"/>
                <w:lang w:val="en-US" w:eastAsia="zh-CN"/>
                <w14:textFill>
                  <w14:solidFill>
                    <w14:schemeClr w14:val="tx1"/>
                  </w14:solidFill>
                </w14:textFill>
              </w:rPr>
              <w:t>5</w:t>
            </w:r>
            <w:r>
              <w:rPr>
                <w:rFonts w:hint="default" w:ascii="Times New Roman" w:hAnsi="Times New Roman" w:eastAsia="Times New Roman" w:cs="Times New Roman"/>
                <w:b w:val="0"/>
                <w:bCs w:val="0"/>
                <w:color w:val="000000" w:themeColor="text1"/>
                <w:kern w:val="0"/>
                <w:sz w:val="24"/>
                <w:highlight w:val="none"/>
                <w:u w:val="none"/>
                <w14:textFill>
                  <w14:solidFill>
                    <w14:schemeClr w14:val="tx1"/>
                  </w14:solidFill>
                </w14:textFill>
              </w:rPr>
              <w:t>dB(A)，夜间≤5</w:t>
            </w:r>
            <w:r>
              <w:rPr>
                <w:rFonts w:hint="eastAsia" w:eastAsia="宋体" w:cs="Times New Roman"/>
                <w:b w:val="0"/>
                <w:bCs w:val="0"/>
                <w:color w:val="000000" w:themeColor="text1"/>
                <w:kern w:val="0"/>
                <w:sz w:val="24"/>
                <w:highlight w:val="none"/>
                <w:u w:val="none"/>
                <w:lang w:val="en-US" w:eastAsia="zh-CN"/>
                <w14:textFill>
                  <w14:solidFill>
                    <w14:schemeClr w14:val="tx1"/>
                  </w14:solidFill>
                </w14:textFill>
              </w:rPr>
              <w:t>5</w:t>
            </w:r>
            <w:r>
              <w:rPr>
                <w:rFonts w:hint="default" w:ascii="Times New Roman" w:hAnsi="Times New Roman" w:eastAsia="Times New Roman" w:cs="Times New Roman"/>
                <w:b w:val="0"/>
                <w:bCs w:val="0"/>
                <w:color w:val="000000" w:themeColor="text1"/>
                <w:kern w:val="0"/>
                <w:sz w:val="24"/>
                <w:highlight w:val="none"/>
                <w:u w:val="none"/>
                <w14:textFill>
                  <w14:solidFill>
                    <w14:schemeClr w14:val="tx1"/>
                  </w14:solidFill>
                </w14:textFill>
              </w:rPr>
              <w:t>dB(A)。</w:t>
            </w:r>
          </w:p>
          <w:p w14:paraId="404D72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48" w:lineRule="auto"/>
              <w:ind w:left="0" w:right="0"/>
              <w:textAlignment w:val="auto"/>
              <w:rPr>
                <w:rFonts w:hint="default" w:ascii="Times New Roman" w:hAnsi="Times New Roman" w:eastAsia="Times New Roman" w:cs="Times New Roman"/>
                <w:b/>
                <w:bCs/>
                <w:color w:val="000000" w:themeColor="text1"/>
                <w:kern w:val="0"/>
                <w:sz w:val="24"/>
                <w:highlight w:val="none"/>
                <w:u w:val="none"/>
                <w14:textFill>
                  <w14:solidFill>
                    <w14:schemeClr w14:val="tx1"/>
                  </w14:solidFill>
                </w14:textFill>
              </w:rPr>
            </w:pPr>
            <w:r>
              <w:rPr>
                <w:rFonts w:hint="default" w:ascii="Times New Roman" w:hAnsi="Times New Roman" w:eastAsia="Times New Roman" w:cs="Times New Roman"/>
                <w:b/>
                <w:bCs/>
                <w:color w:val="000000" w:themeColor="text1"/>
                <w:kern w:val="0"/>
                <w:sz w:val="24"/>
                <w:highlight w:val="none"/>
                <w:u w:val="none"/>
                <w:lang w:val="en-US" w:eastAsia="zh-CN"/>
                <w14:textFill>
                  <w14:solidFill>
                    <w14:schemeClr w14:val="tx1"/>
                  </w14:solidFill>
                </w14:textFill>
              </w:rPr>
              <w:t>4</w:t>
            </w:r>
            <w:r>
              <w:rPr>
                <w:rFonts w:hint="default" w:ascii="Times New Roman" w:hAnsi="Times New Roman" w:eastAsia="Times New Roman" w:cs="Times New Roman"/>
                <w:b/>
                <w:bCs/>
                <w:color w:val="000000" w:themeColor="text1"/>
                <w:kern w:val="0"/>
                <w:sz w:val="24"/>
                <w:highlight w:val="none"/>
                <w:u w:val="none"/>
                <w14:textFill>
                  <w14:solidFill>
                    <w14:schemeClr w14:val="tx1"/>
                  </w14:solidFill>
                </w14:textFill>
              </w:rPr>
              <w:t>.固废</w:t>
            </w:r>
          </w:p>
          <w:p w14:paraId="38ECAA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48" w:lineRule="auto"/>
              <w:ind w:left="0" w:right="0" w:firstLine="480" w:firstLineChars="200"/>
              <w:textAlignment w:val="auto"/>
              <w:rPr>
                <w:rFonts w:hint="default" w:ascii="Times New Roman" w:hAnsi="Times New Roman" w:eastAsia="Times New Roman" w:cs="Times New Roman"/>
                <w:b w:val="0"/>
                <w:bCs w:val="0"/>
                <w:color w:val="000000" w:themeColor="text1"/>
                <w:sz w:val="24"/>
                <w:highlight w:val="none"/>
                <w:u w:val="none"/>
                <w14:textFill>
                  <w14:solidFill>
                    <w14:schemeClr w14:val="tx1"/>
                  </w14:solidFill>
                </w14:textFill>
              </w:rPr>
            </w:pPr>
            <w:r>
              <w:rPr>
                <w:rFonts w:hint="default" w:ascii="Times New Roman" w:hAnsi="Times New Roman" w:eastAsia="Times New Roman" w:cs="Times New Roman"/>
                <w:b w:val="0"/>
                <w:bCs w:val="0"/>
                <w:color w:val="000000" w:themeColor="text1"/>
                <w:kern w:val="0"/>
                <w:sz w:val="24"/>
                <w:highlight w:val="none"/>
                <w:u w:val="none"/>
                <w14:textFill>
                  <w14:solidFill>
                    <w14:schemeClr w14:val="tx1"/>
                  </w14:solidFill>
                </w14:textFill>
              </w:rPr>
              <w:t>（1）项目一般固体废物厂区暂存执行《一般工业固体废物贮存和填埋污染控制标准》（GB18599-2020）</w:t>
            </w:r>
            <w:r>
              <w:rPr>
                <w:rFonts w:hint="default" w:ascii="Times New Roman" w:hAnsi="Times New Roman" w:eastAsia="Times New Roman" w:cs="Times New Roman"/>
                <w:b w:val="0"/>
                <w:bCs w:val="0"/>
                <w:color w:val="000000" w:themeColor="text1"/>
                <w:sz w:val="24"/>
                <w:highlight w:val="none"/>
                <w:u w:val="none"/>
                <w14:textFill>
                  <w14:solidFill>
                    <w14:schemeClr w14:val="tx1"/>
                  </w14:solidFill>
                </w14:textFill>
              </w:rPr>
              <w:t>中相关要求。</w:t>
            </w:r>
          </w:p>
          <w:p w14:paraId="55F81CDB">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48" w:lineRule="auto"/>
              <w:ind w:left="0" w:right="0" w:firstLine="480" w:firstLineChars="200"/>
              <w:textAlignment w:val="auto"/>
              <w:rPr>
                <w:rFonts w:hint="default" w:ascii="Times New Roman" w:hAnsi="Times New Roman" w:eastAsia="Times New Roman" w:cs="Times New Roman"/>
                <w:b w:val="0"/>
                <w:bCs w:val="0"/>
                <w:color w:val="000000" w:themeColor="text1"/>
                <w:sz w:val="24"/>
                <w:highlight w:val="none"/>
                <w:u w:val="none"/>
                <w14:textFill>
                  <w14:solidFill>
                    <w14:schemeClr w14:val="tx1"/>
                  </w14:solidFill>
                </w14:textFill>
              </w:rPr>
            </w:pPr>
            <w:r>
              <w:rPr>
                <w:rFonts w:hint="default" w:ascii="Times New Roman" w:hAnsi="Times New Roman" w:eastAsia="Times New Roman" w:cs="Times New Roman"/>
                <w:b w:val="0"/>
                <w:bCs w:val="0"/>
                <w:color w:val="000000" w:themeColor="text1"/>
                <w:sz w:val="24"/>
                <w:highlight w:val="none"/>
                <w:u w:val="none"/>
                <w14:textFill>
                  <w14:solidFill>
                    <w14:schemeClr w14:val="tx1"/>
                  </w14:solidFill>
                </w14:textFill>
              </w:rPr>
              <w:t>（2）危险废物</w:t>
            </w:r>
            <w:r>
              <w:rPr>
                <w:rFonts w:hint="default" w:ascii="Times New Roman" w:hAnsi="Times New Roman" w:eastAsia="Times New Roman" w:cs="Times New Roman"/>
                <w:b w:val="0"/>
                <w:bCs w:val="0"/>
                <w:color w:val="000000" w:themeColor="text1"/>
                <w:kern w:val="0"/>
                <w:sz w:val="24"/>
                <w:highlight w:val="none"/>
                <w:u w:val="none"/>
                <w14:textFill>
                  <w14:solidFill>
                    <w14:schemeClr w14:val="tx1"/>
                  </w14:solidFill>
                </w14:textFill>
              </w:rPr>
              <w:t>厂区暂存执行</w:t>
            </w:r>
            <w:r>
              <w:rPr>
                <w:rFonts w:hint="default" w:ascii="Times New Roman" w:hAnsi="Times New Roman" w:eastAsia="Times New Roman" w:cs="Times New Roman"/>
                <w:b w:val="0"/>
                <w:bCs w:val="0"/>
                <w:color w:val="000000" w:themeColor="text1"/>
                <w:sz w:val="24"/>
                <w:highlight w:val="none"/>
                <w:u w:val="none"/>
                <w14:textFill>
                  <w14:solidFill>
                    <w14:schemeClr w14:val="tx1"/>
                  </w14:solidFill>
                </w14:textFill>
              </w:rPr>
              <w:t>《危险废物贮存污染控制标准》（GB18597-20</w:t>
            </w:r>
            <w:r>
              <w:rPr>
                <w:rFonts w:hint="default" w:ascii="Times New Roman" w:hAnsi="Times New Roman" w:eastAsia="Times New Roman" w:cs="Times New Roman"/>
                <w:b w:val="0"/>
                <w:bCs w:val="0"/>
                <w:color w:val="000000" w:themeColor="text1"/>
                <w:sz w:val="24"/>
                <w:highlight w:val="none"/>
                <w:u w:val="none"/>
                <w:lang w:val="en-US" w:eastAsia="zh-CN"/>
                <w14:textFill>
                  <w14:solidFill>
                    <w14:schemeClr w14:val="tx1"/>
                  </w14:solidFill>
                </w14:textFill>
              </w:rPr>
              <w:t>23</w:t>
            </w:r>
            <w:r>
              <w:rPr>
                <w:rFonts w:hint="default" w:ascii="Times New Roman" w:hAnsi="Times New Roman" w:eastAsia="Times New Roman" w:cs="Times New Roman"/>
                <w:b w:val="0"/>
                <w:bCs w:val="0"/>
                <w:color w:val="000000" w:themeColor="text1"/>
                <w:sz w:val="24"/>
                <w:highlight w:val="none"/>
                <w:u w:val="none"/>
                <w14:textFill>
                  <w14:solidFill>
                    <w14:schemeClr w14:val="tx1"/>
                  </w14:solidFill>
                </w14:textFill>
              </w:rPr>
              <w:t>）。</w:t>
            </w:r>
          </w:p>
        </w:tc>
      </w:tr>
      <w:tr w14:paraId="0D463A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84" w:hRule="atLeast"/>
        </w:trPr>
        <w:tc>
          <w:tcPr>
            <w:tcW w:w="253" w:type="pct"/>
            <w:noWrap w:val="0"/>
            <w:vAlign w:val="center"/>
          </w:tcPr>
          <w:p w14:paraId="3EB4797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kern w:val="0"/>
                <w:sz w:val="24"/>
                <w:highlight w:val="none"/>
                <w14:textFill>
                  <w14:solidFill>
                    <w14:schemeClr w14:val="tx1"/>
                  </w14:solidFill>
                </w14:textFill>
              </w:rPr>
            </w:pPr>
            <w:r>
              <w:rPr>
                <w:rFonts w:hint="default" w:ascii="Times New Roman" w:hAnsi="Times New Roman" w:eastAsia="Times New Roman" w:cs="Times New Roman"/>
                <w:color w:val="000000" w:themeColor="text1"/>
                <w:kern w:val="0"/>
                <w:sz w:val="24"/>
                <w:highlight w:val="none"/>
                <w14:textFill>
                  <w14:solidFill>
                    <w14:schemeClr w14:val="tx1"/>
                  </w14:solidFill>
                </w14:textFill>
              </w:rPr>
              <w:t>总量控制指标</w:t>
            </w:r>
          </w:p>
        </w:tc>
        <w:tc>
          <w:tcPr>
            <w:tcW w:w="4746" w:type="pct"/>
            <w:noWrap w:val="0"/>
            <w:vAlign w:val="top"/>
          </w:tcPr>
          <w:p w14:paraId="42315C68">
            <w:pPr>
              <w:keepNext w:val="0"/>
              <w:keepLines w:val="0"/>
              <w:suppressLineNumbers w:val="0"/>
              <w:tabs>
                <w:tab w:val="left" w:pos="720"/>
              </w:tabs>
              <w:spacing w:before="0" w:beforeAutospacing="0" w:after="0" w:afterAutospacing="0" w:line="360" w:lineRule="auto"/>
              <w:ind w:left="0" w:right="0"/>
              <w:rPr>
                <w:rFonts w:hint="eastAsia" w:ascii="Times New Roman" w:hAnsi="Times New Roman" w:cs="Times New Roman"/>
                <w:b/>
                <w:bCs/>
                <w:snapToGrid w:val="0"/>
                <w:color w:val="000000"/>
                <w:sz w:val="24"/>
                <w:szCs w:val="24"/>
                <w:highlight w:val="none"/>
                <w:lang w:val="en-US" w:eastAsia="zh-CN"/>
              </w:rPr>
            </w:pPr>
          </w:p>
          <w:p w14:paraId="5D2B3953">
            <w:pPr>
              <w:keepNext w:val="0"/>
              <w:keepLines w:val="0"/>
              <w:suppressLineNumbers w:val="0"/>
              <w:tabs>
                <w:tab w:val="left" w:pos="720"/>
              </w:tabs>
              <w:spacing w:before="0" w:beforeAutospacing="0" w:after="0" w:afterAutospacing="0" w:line="360" w:lineRule="auto"/>
              <w:ind w:left="0" w:right="0"/>
              <w:rPr>
                <w:rFonts w:hint="eastAsia" w:ascii="Times New Roman" w:hAnsi="Times New Roman" w:cs="Times New Roman"/>
                <w:b/>
                <w:bCs/>
                <w:snapToGrid w:val="0"/>
                <w:color w:val="000000"/>
                <w:sz w:val="24"/>
                <w:szCs w:val="24"/>
                <w:highlight w:val="none"/>
                <w:lang w:val="en-US" w:eastAsia="zh-CN"/>
              </w:rPr>
            </w:pPr>
          </w:p>
          <w:p w14:paraId="2D0828F1">
            <w:pPr>
              <w:keepNext w:val="0"/>
              <w:keepLines w:val="0"/>
              <w:suppressLineNumbers w:val="0"/>
              <w:tabs>
                <w:tab w:val="left" w:pos="720"/>
              </w:tabs>
              <w:spacing w:before="0" w:beforeAutospacing="0" w:after="0" w:afterAutospacing="0" w:line="360" w:lineRule="auto"/>
              <w:ind w:left="0" w:right="0"/>
              <w:rPr>
                <w:rFonts w:hint="eastAsia" w:ascii="Times New Roman" w:hAnsi="Times New Roman" w:cs="Times New Roman"/>
                <w:b/>
                <w:bCs/>
                <w:snapToGrid w:val="0"/>
                <w:color w:val="000000"/>
                <w:sz w:val="24"/>
                <w:szCs w:val="24"/>
                <w:highlight w:val="none"/>
                <w:lang w:val="en-US" w:eastAsia="zh-CN"/>
              </w:rPr>
            </w:pPr>
          </w:p>
          <w:p w14:paraId="0FA8A9EB">
            <w:pPr>
              <w:keepNext w:val="0"/>
              <w:keepLines w:val="0"/>
              <w:suppressLineNumbers w:val="0"/>
              <w:tabs>
                <w:tab w:val="left" w:pos="720"/>
              </w:tabs>
              <w:spacing w:before="0" w:beforeAutospacing="0" w:after="0" w:afterAutospacing="0" w:line="360" w:lineRule="auto"/>
              <w:ind w:left="0" w:right="0"/>
              <w:rPr>
                <w:rFonts w:hint="eastAsia" w:ascii="Times New Roman" w:hAnsi="Times New Roman" w:cs="Times New Roman"/>
                <w:b/>
                <w:bCs/>
                <w:snapToGrid w:val="0"/>
                <w:color w:val="000000"/>
                <w:sz w:val="24"/>
                <w:szCs w:val="24"/>
                <w:highlight w:val="none"/>
                <w:lang w:val="en-US" w:eastAsia="zh-CN"/>
              </w:rPr>
            </w:pPr>
          </w:p>
          <w:p w14:paraId="02542CBA">
            <w:pPr>
              <w:keepNext w:val="0"/>
              <w:keepLines w:val="0"/>
              <w:suppressLineNumbers w:val="0"/>
              <w:tabs>
                <w:tab w:val="left" w:pos="720"/>
              </w:tabs>
              <w:spacing w:before="0" w:beforeAutospacing="0" w:after="0" w:afterAutospacing="0" w:line="360" w:lineRule="auto"/>
              <w:ind w:left="0" w:right="0"/>
              <w:rPr>
                <w:rFonts w:hint="eastAsia" w:ascii="Times New Roman" w:hAnsi="Times New Roman" w:cs="Times New Roman"/>
                <w:b/>
                <w:bCs/>
                <w:snapToGrid w:val="0"/>
                <w:color w:val="000000"/>
                <w:sz w:val="24"/>
                <w:szCs w:val="24"/>
                <w:highlight w:val="none"/>
                <w:lang w:val="en-US" w:eastAsia="zh-CN"/>
              </w:rPr>
            </w:pPr>
          </w:p>
          <w:p w14:paraId="3A88303E">
            <w:pPr>
              <w:keepNext w:val="0"/>
              <w:keepLines w:val="0"/>
              <w:suppressLineNumbers w:val="0"/>
              <w:tabs>
                <w:tab w:val="left" w:pos="720"/>
              </w:tabs>
              <w:spacing w:before="0" w:beforeAutospacing="0" w:after="0" w:afterAutospacing="0" w:line="360" w:lineRule="auto"/>
              <w:ind w:left="0" w:right="0"/>
              <w:rPr>
                <w:rFonts w:hint="eastAsia" w:ascii="Times New Roman" w:hAnsi="Times New Roman" w:cs="Times New Roman"/>
                <w:b/>
                <w:bCs/>
                <w:snapToGrid w:val="0"/>
                <w:color w:val="000000"/>
                <w:sz w:val="24"/>
                <w:szCs w:val="24"/>
                <w:highlight w:val="none"/>
                <w:lang w:val="en-US" w:eastAsia="zh-CN"/>
              </w:rPr>
            </w:pPr>
          </w:p>
          <w:p w14:paraId="4471976E">
            <w:pPr>
              <w:keepNext w:val="0"/>
              <w:keepLines w:val="0"/>
              <w:suppressLineNumbers w:val="0"/>
              <w:tabs>
                <w:tab w:val="left" w:pos="720"/>
              </w:tabs>
              <w:spacing w:before="0" w:beforeAutospacing="0" w:after="0" w:afterAutospacing="0" w:line="360" w:lineRule="auto"/>
              <w:ind w:left="0" w:right="0"/>
              <w:rPr>
                <w:rFonts w:hint="eastAsia" w:ascii="Times New Roman" w:hAnsi="Times New Roman" w:cs="Times New Roman"/>
                <w:b/>
                <w:bCs/>
                <w:snapToGrid w:val="0"/>
                <w:color w:val="000000"/>
                <w:sz w:val="24"/>
                <w:szCs w:val="24"/>
                <w:highlight w:val="none"/>
                <w:lang w:val="en-US" w:eastAsia="zh-CN"/>
              </w:rPr>
            </w:pPr>
          </w:p>
          <w:p w14:paraId="0A1708CE">
            <w:pPr>
              <w:keepNext w:val="0"/>
              <w:keepLines w:val="0"/>
              <w:suppressLineNumbers w:val="0"/>
              <w:tabs>
                <w:tab w:val="left" w:pos="720"/>
              </w:tabs>
              <w:spacing w:before="0" w:beforeAutospacing="0" w:after="0" w:afterAutospacing="0" w:line="360" w:lineRule="auto"/>
              <w:ind w:left="0" w:right="0"/>
              <w:rPr>
                <w:rFonts w:hint="eastAsia" w:ascii="Times New Roman" w:hAnsi="Times New Roman" w:cs="Times New Roman"/>
                <w:b/>
                <w:bCs/>
                <w:snapToGrid w:val="0"/>
                <w:color w:val="000000"/>
                <w:sz w:val="24"/>
                <w:szCs w:val="24"/>
                <w:highlight w:val="none"/>
                <w:lang w:val="en-US" w:eastAsia="zh-CN"/>
              </w:rPr>
            </w:pPr>
          </w:p>
          <w:p w14:paraId="78B2E1CE">
            <w:pPr>
              <w:keepNext w:val="0"/>
              <w:keepLines w:val="0"/>
              <w:suppressLineNumbers w:val="0"/>
              <w:tabs>
                <w:tab w:val="left" w:pos="720"/>
              </w:tabs>
              <w:spacing w:before="0" w:beforeAutospacing="0" w:after="0" w:afterAutospacing="0" w:line="360" w:lineRule="auto"/>
              <w:ind w:left="0" w:right="0"/>
              <w:rPr>
                <w:rFonts w:hint="eastAsia" w:ascii="Times New Roman" w:hAnsi="Times New Roman" w:cs="Times New Roman"/>
                <w:b/>
                <w:bCs/>
                <w:snapToGrid w:val="0"/>
                <w:color w:val="000000"/>
                <w:sz w:val="24"/>
                <w:szCs w:val="24"/>
                <w:highlight w:val="none"/>
                <w:lang w:val="en-US" w:eastAsia="zh-CN"/>
              </w:rPr>
            </w:pPr>
          </w:p>
          <w:p w14:paraId="6DBF7269">
            <w:pPr>
              <w:keepNext w:val="0"/>
              <w:keepLines w:val="0"/>
              <w:suppressLineNumbers w:val="0"/>
              <w:tabs>
                <w:tab w:val="left" w:pos="720"/>
              </w:tabs>
              <w:spacing w:before="0" w:beforeAutospacing="0" w:after="0" w:afterAutospacing="0" w:line="360" w:lineRule="auto"/>
              <w:ind w:left="0" w:right="0"/>
              <w:rPr>
                <w:rFonts w:hint="eastAsia" w:ascii="Times New Roman" w:hAnsi="Times New Roman" w:cs="Times New Roman"/>
                <w:b/>
                <w:bCs/>
                <w:snapToGrid w:val="0"/>
                <w:color w:val="000000"/>
                <w:sz w:val="24"/>
                <w:szCs w:val="24"/>
                <w:highlight w:val="none"/>
                <w:lang w:val="en-US" w:eastAsia="zh-CN"/>
              </w:rPr>
            </w:pPr>
          </w:p>
          <w:p w14:paraId="46983230">
            <w:pPr>
              <w:keepNext w:val="0"/>
              <w:keepLines w:val="0"/>
              <w:suppressLineNumbers w:val="0"/>
              <w:tabs>
                <w:tab w:val="left" w:pos="720"/>
              </w:tabs>
              <w:spacing w:before="0" w:beforeAutospacing="0" w:after="0" w:afterAutospacing="0" w:line="360" w:lineRule="auto"/>
              <w:ind w:left="0" w:right="0"/>
              <w:rPr>
                <w:rFonts w:hint="eastAsia" w:ascii="Times New Roman" w:hAnsi="Times New Roman" w:cs="Times New Roman"/>
                <w:b/>
                <w:bCs/>
                <w:snapToGrid w:val="0"/>
                <w:color w:val="000000"/>
                <w:sz w:val="24"/>
                <w:szCs w:val="24"/>
                <w:highlight w:val="none"/>
                <w:lang w:val="en-US" w:eastAsia="zh-CN"/>
              </w:rPr>
            </w:pPr>
          </w:p>
          <w:p w14:paraId="6EF6D29B">
            <w:pPr>
              <w:keepNext w:val="0"/>
              <w:keepLines w:val="0"/>
              <w:suppressLineNumbers w:val="0"/>
              <w:tabs>
                <w:tab w:val="left" w:pos="720"/>
              </w:tabs>
              <w:spacing w:before="0" w:beforeAutospacing="0" w:after="0" w:afterAutospacing="0" w:line="360" w:lineRule="auto"/>
              <w:ind w:left="0" w:right="0"/>
              <w:rPr>
                <w:rFonts w:hint="eastAsia" w:ascii="Times New Roman" w:hAnsi="Times New Roman" w:cs="Times New Roman"/>
                <w:snapToGrid w:val="0"/>
                <w:color w:val="auto"/>
                <w:sz w:val="24"/>
                <w:szCs w:val="24"/>
                <w:highlight w:val="none"/>
                <w:lang w:val="en-US" w:eastAsia="zh-CN"/>
              </w:rPr>
            </w:pPr>
            <w:r>
              <w:rPr>
                <w:rFonts w:hint="eastAsia" w:cs="Times New Roman"/>
                <w:b/>
                <w:bCs/>
                <w:snapToGrid w:val="0"/>
                <w:color w:val="auto"/>
                <w:sz w:val="24"/>
                <w:szCs w:val="24"/>
                <w:highlight w:val="none"/>
                <w:lang w:val="en-US" w:eastAsia="zh-CN"/>
              </w:rPr>
              <w:t>1.</w:t>
            </w:r>
            <w:r>
              <w:rPr>
                <w:rFonts w:hint="eastAsia" w:ascii="Times New Roman" w:hAnsi="Times New Roman" w:cs="Times New Roman"/>
                <w:b/>
                <w:bCs/>
                <w:snapToGrid w:val="0"/>
                <w:color w:val="auto"/>
                <w:sz w:val="24"/>
                <w:szCs w:val="24"/>
                <w:highlight w:val="none"/>
                <w:lang w:val="en-US" w:eastAsia="zh-CN"/>
              </w:rPr>
              <w:t>本工程排放量</w:t>
            </w:r>
          </w:p>
          <w:p w14:paraId="52E3645B">
            <w:pPr>
              <w:keepNext w:val="0"/>
              <w:keepLines w:val="0"/>
              <w:suppressLineNumbers w:val="0"/>
              <w:tabs>
                <w:tab w:val="left" w:pos="720"/>
              </w:tabs>
              <w:spacing w:before="0" w:beforeAutospacing="0" w:after="0" w:afterAutospacing="0" w:line="360" w:lineRule="auto"/>
              <w:ind w:left="0" w:right="0" w:firstLine="482"/>
              <w:rPr>
                <w:rFonts w:hint="eastAsia" w:ascii="Times New Roman" w:hAnsi="Times New Roman" w:eastAsia="宋体" w:cs="Times New Roman"/>
                <w:snapToGrid w:val="0"/>
                <w:color w:val="auto"/>
                <w:sz w:val="24"/>
                <w:szCs w:val="24"/>
                <w:highlight w:val="none"/>
                <w:lang w:val="en-US" w:eastAsia="zh-CN"/>
              </w:rPr>
            </w:pPr>
            <w:r>
              <w:rPr>
                <w:rFonts w:hint="default" w:ascii="Times New Roman" w:hAnsi="Times New Roman" w:cs="Times New Roman"/>
                <w:snapToGrid w:val="0"/>
                <w:color w:val="auto"/>
                <w:sz w:val="24"/>
                <w:szCs w:val="24"/>
                <w:highlight w:val="none"/>
                <w:lang w:val="en-US" w:eastAsia="zh-CN"/>
              </w:rPr>
              <w:t>本项目建成后</w:t>
            </w:r>
            <w:r>
              <w:rPr>
                <w:rFonts w:hint="eastAsia" w:ascii="Times New Roman" w:hAnsi="Times New Roman" w:cs="Times New Roman"/>
                <w:snapToGrid w:val="0"/>
                <w:color w:val="auto"/>
                <w:sz w:val="24"/>
                <w:szCs w:val="24"/>
                <w:highlight w:val="none"/>
                <w:lang w:val="en-US" w:eastAsia="zh-CN"/>
              </w:rPr>
              <w:t>污染物排放量</w:t>
            </w:r>
            <w:r>
              <w:rPr>
                <w:rFonts w:hint="default" w:ascii="Times New Roman" w:hAnsi="Times New Roman" w:cs="Times New Roman"/>
                <w:snapToGrid w:val="0"/>
                <w:color w:val="auto"/>
                <w:sz w:val="24"/>
                <w:szCs w:val="24"/>
                <w:highlight w:val="none"/>
                <w:lang w:val="en-US" w:eastAsia="zh-CN"/>
              </w:rPr>
              <w:t>为</w:t>
            </w:r>
            <w:r>
              <w:rPr>
                <w:rFonts w:hint="eastAsia" w:cs="Times New Roman"/>
                <w:snapToGrid w:val="0"/>
                <w:color w:val="auto"/>
                <w:sz w:val="24"/>
                <w:szCs w:val="24"/>
                <w:highlight w:val="none"/>
                <w:lang w:val="en-US" w:eastAsia="zh-CN"/>
              </w:rPr>
              <w:t>：油烟0.0006t/a，</w:t>
            </w:r>
            <w:r>
              <w:rPr>
                <w:rFonts w:hint="default" w:ascii="Times New Roman" w:hAnsi="Times New Roman" w:cs="Times New Roman"/>
                <w:snapToGrid w:val="0"/>
                <w:color w:val="auto"/>
                <w:sz w:val="24"/>
                <w:szCs w:val="24"/>
                <w:highlight w:val="none"/>
                <w:lang w:val="en-US" w:eastAsia="zh-CN"/>
              </w:rPr>
              <w:t>非甲烷总烃</w:t>
            </w:r>
            <w:r>
              <w:rPr>
                <w:rFonts w:hint="eastAsia" w:cs="Times New Roman"/>
                <w:snapToGrid w:val="0"/>
                <w:color w:val="auto"/>
                <w:sz w:val="24"/>
                <w:szCs w:val="24"/>
                <w:highlight w:val="none"/>
                <w:lang w:val="en-US" w:eastAsia="zh-CN"/>
              </w:rPr>
              <w:t>0.1798</w:t>
            </w:r>
            <w:r>
              <w:rPr>
                <w:rFonts w:hint="default" w:ascii="Times New Roman" w:hAnsi="Times New Roman" w:cs="Times New Roman"/>
                <w:snapToGrid w:val="0"/>
                <w:color w:val="auto"/>
                <w:sz w:val="24"/>
                <w:szCs w:val="24"/>
                <w:highlight w:val="none"/>
                <w:lang w:val="en-US" w:eastAsia="zh-CN"/>
              </w:rPr>
              <w:t>t/a</w:t>
            </w:r>
            <w:r>
              <w:rPr>
                <w:rFonts w:hint="eastAsia" w:ascii="Times New Roman" w:hAnsi="Times New Roman" w:cs="Times New Roman"/>
                <w:snapToGrid w:val="0"/>
                <w:color w:val="auto"/>
                <w:sz w:val="24"/>
                <w:szCs w:val="24"/>
                <w:highlight w:val="none"/>
                <w:lang w:val="en-US" w:eastAsia="zh-CN"/>
              </w:rPr>
              <w:t>、</w:t>
            </w:r>
            <w:r>
              <w:rPr>
                <w:rFonts w:hint="eastAsia" w:ascii="Times New Roman" w:hAnsi="Times New Roman" w:eastAsia="宋体"/>
                <w:color w:val="auto"/>
                <w:sz w:val="24"/>
              </w:rPr>
              <w:t>COD 0.</w:t>
            </w:r>
            <w:r>
              <w:rPr>
                <w:rFonts w:hint="eastAsia" w:ascii="Times New Roman" w:hAnsi="Times New Roman"/>
                <w:color w:val="auto"/>
                <w:sz w:val="24"/>
                <w:lang w:val="en-US" w:eastAsia="zh-CN"/>
              </w:rPr>
              <w:t>0</w:t>
            </w:r>
            <w:r>
              <w:rPr>
                <w:rFonts w:hint="eastAsia"/>
                <w:color w:val="auto"/>
                <w:sz w:val="24"/>
                <w:lang w:val="en-US" w:eastAsia="zh-CN"/>
              </w:rPr>
              <w:t>304</w:t>
            </w:r>
            <w:r>
              <w:rPr>
                <w:rFonts w:hint="eastAsia" w:ascii="Times New Roman" w:hAnsi="Times New Roman"/>
                <w:color w:val="auto"/>
                <w:sz w:val="24"/>
                <w:lang w:val="en-US" w:eastAsia="zh-CN"/>
              </w:rPr>
              <w:t>t/a、总磷0.000</w:t>
            </w:r>
            <w:r>
              <w:rPr>
                <w:rFonts w:hint="eastAsia"/>
                <w:color w:val="auto"/>
                <w:sz w:val="24"/>
                <w:lang w:val="en-US" w:eastAsia="zh-CN"/>
              </w:rPr>
              <w:t>3</w:t>
            </w:r>
            <w:r>
              <w:rPr>
                <w:rFonts w:hint="eastAsia" w:ascii="Times New Roman" w:hAnsi="Times New Roman" w:eastAsia="宋体"/>
                <w:color w:val="auto"/>
                <w:sz w:val="24"/>
              </w:rPr>
              <w:t>t/a</w:t>
            </w:r>
            <w:r>
              <w:rPr>
                <w:rFonts w:hint="eastAsia"/>
                <w:color w:val="auto"/>
                <w:sz w:val="24"/>
                <w:lang w:eastAsia="zh-CN"/>
              </w:rPr>
              <w:t>。</w:t>
            </w:r>
            <w:r>
              <w:rPr>
                <w:rFonts w:hint="eastAsia" w:ascii="Times New Roman" w:hAnsi="Times New Roman" w:eastAsia="宋体" w:cs="Times New Roman"/>
                <w:color w:val="auto"/>
                <w:sz w:val="24"/>
                <w:lang w:eastAsia="zh-CN"/>
              </w:rPr>
              <w:t>COD出厂排放量为</w:t>
            </w:r>
            <w:r>
              <w:rPr>
                <w:rFonts w:hint="eastAsia" w:ascii="Times New Roman" w:hAnsi="Times New Roman" w:eastAsia="宋体" w:cs="Times New Roman"/>
                <w:color w:val="auto"/>
                <w:sz w:val="24"/>
                <w:lang w:val="en-US" w:eastAsia="zh-CN"/>
              </w:rPr>
              <w:t>0.</w:t>
            </w:r>
            <w:r>
              <w:rPr>
                <w:rFonts w:hint="eastAsia" w:eastAsia="宋体" w:cs="Times New Roman"/>
                <w:color w:val="auto"/>
                <w:sz w:val="24"/>
                <w:lang w:val="en-US" w:eastAsia="zh-CN"/>
              </w:rPr>
              <w:t>1431</w:t>
            </w:r>
            <w:r>
              <w:rPr>
                <w:rFonts w:hint="eastAsia" w:ascii="Times New Roman" w:hAnsi="Times New Roman" w:eastAsia="宋体" w:cs="Times New Roman"/>
                <w:color w:val="auto"/>
                <w:sz w:val="24"/>
                <w:lang w:eastAsia="zh-CN"/>
              </w:rPr>
              <w:t>t/a、总磷出厂排放量</w:t>
            </w:r>
            <w:r>
              <w:rPr>
                <w:rFonts w:hint="eastAsia" w:ascii="Times New Roman" w:hAnsi="Times New Roman" w:eastAsia="宋体" w:cs="Times New Roman"/>
                <w:color w:val="auto"/>
                <w:sz w:val="24"/>
                <w:lang w:val="en-US" w:eastAsia="zh-CN"/>
              </w:rPr>
              <w:t>0.0</w:t>
            </w:r>
            <w:r>
              <w:rPr>
                <w:rFonts w:hint="eastAsia" w:eastAsia="宋体" w:cs="Times New Roman"/>
                <w:color w:val="auto"/>
                <w:sz w:val="24"/>
                <w:lang w:val="en-US" w:eastAsia="zh-CN"/>
              </w:rPr>
              <w:t>017</w:t>
            </w:r>
            <w:r>
              <w:rPr>
                <w:rFonts w:hint="eastAsia" w:ascii="Times New Roman" w:hAnsi="Times New Roman" w:eastAsia="宋体" w:cs="Times New Roman"/>
                <w:color w:val="auto"/>
                <w:sz w:val="24"/>
                <w:lang w:val="en-US" w:eastAsia="zh-CN"/>
              </w:rPr>
              <w:t>t/a；COD出污水处理厂</w:t>
            </w:r>
            <w:r>
              <w:rPr>
                <w:rFonts w:hint="eastAsia" w:ascii="Times New Roman" w:hAnsi="Times New Roman" w:eastAsia="宋体" w:cs="Times New Roman"/>
                <w:color w:val="auto"/>
                <w:sz w:val="24"/>
                <w:lang w:eastAsia="zh-CN"/>
              </w:rPr>
              <w:t>排放量为</w:t>
            </w:r>
            <w:r>
              <w:rPr>
                <w:rFonts w:hint="eastAsia" w:ascii="Times New Roman" w:hAnsi="Times New Roman" w:eastAsia="宋体"/>
                <w:color w:val="auto"/>
                <w:sz w:val="24"/>
              </w:rPr>
              <w:t>0.</w:t>
            </w:r>
            <w:r>
              <w:rPr>
                <w:rFonts w:hint="eastAsia" w:ascii="Times New Roman" w:hAnsi="Times New Roman"/>
                <w:color w:val="auto"/>
                <w:sz w:val="24"/>
                <w:lang w:val="en-US" w:eastAsia="zh-CN"/>
              </w:rPr>
              <w:t>0</w:t>
            </w:r>
            <w:r>
              <w:rPr>
                <w:rFonts w:hint="eastAsia"/>
                <w:color w:val="auto"/>
                <w:sz w:val="24"/>
                <w:lang w:val="en-US" w:eastAsia="zh-CN"/>
              </w:rPr>
              <w:t>304</w:t>
            </w:r>
            <w:r>
              <w:rPr>
                <w:rFonts w:hint="eastAsia" w:ascii="Times New Roman" w:hAnsi="Times New Roman" w:eastAsia="宋体" w:cs="Times New Roman"/>
                <w:color w:val="auto"/>
                <w:sz w:val="24"/>
                <w:lang w:eastAsia="zh-CN"/>
              </w:rPr>
              <w:t>t/a</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lang w:val="en-US" w:eastAsia="zh-CN"/>
              </w:rPr>
              <w:t>总磷出污水厂排放量为</w:t>
            </w:r>
            <w:r>
              <w:rPr>
                <w:rFonts w:hint="eastAsia" w:ascii="Times New Roman" w:hAnsi="Times New Roman"/>
                <w:color w:val="auto"/>
                <w:sz w:val="24"/>
                <w:lang w:val="en-US" w:eastAsia="zh-CN"/>
              </w:rPr>
              <w:t>0.000</w:t>
            </w:r>
            <w:r>
              <w:rPr>
                <w:rFonts w:hint="eastAsia"/>
                <w:color w:val="auto"/>
                <w:sz w:val="24"/>
                <w:lang w:val="en-US" w:eastAsia="zh-CN"/>
              </w:rPr>
              <w:t>3t</w:t>
            </w:r>
            <w:r>
              <w:rPr>
                <w:rFonts w:hint="eastAsia" w:ascii="Times New Roman" w:hAnsi="Times New Roman" w:eastAsia="宋体" w:cs="Times New Roman"/>
                <w:color w:val="auto"/>
                <w:sz w:val="24"/>
                <w:lang w:val="en-US" w:eastAsia="zh-CN"/>
              </w:rPr>
              <w:t>/a。</w:t>
            </w:r>
          </w:p>
          <w:p w14:paraId="2651E600">
            <w:pPr>
              <w:keepNext w:val="0"/>
              <w:keepLines w:val="0"/>
              <w:suppressLineNumbers w:val="0"/>
              <w:tabs>
                <w:tab w:val="left" w:pos="720"/>
              </w:tabs>
              <w:spacing w:before="0" w:beforeAutospacing="0" w:after="0" w:afterAutospacing="0" w:line="360" w:lineRule="auto"/>
              <w:ind w:left="0" w:right="0"/>
              <w:rPr>
                <w:rFonts w:hint="eastAsia" w:ascii="Times New Roman" w:hAnsi="Times New Roman" w:cs="Times New Roman"/>
                <w:snapToGrid w:val="0"/>
                <w:color w:val="auto"/>
                <w:sz w:val="24"/>
                <w:szCs w:val="24"/>
                <w:highlight w:val="none"/>
                <w:lang w:val="en-US" w:eastAsia="zh-CN"/>
              </w:rPr>
            </w:pPr>
            <w:r>
              <w:rPr>
                <w:rFonts w:hint="eastAsia" w:cs="Times New Roman"/>
                <w:b/>
                <w:bCs/>
                <w:snapToGrid w:val="0"/>
                <w:color w:val="auto"/>
                <w:sz w:val="24"/>
                <w:szCs w:val="24"/>
                <w:highlight w:val="none"/>
                <w:lang w:val="en-US" w:eastAsia="zh-CN"/>
              </w:rPr>
              <w:t>2</w:t>
            </w:r>
            <w:r>
              <w:rPr>
                <w:rFonts w:hint="eastAsia" w:ascii="Times New Roman" w:hAnsi="Times New Roman" w:cs="Times New Roman"/>
                <w:b/>
                <w:bCs/>
                <w:snapToGrid w:val="0"/>
                <w:color w:val="auto"/>
                <w:sz w:val="24"/>
                <w:szCs w:val="24"/>
                <w:highlight w:val="none"/>
                <w:lang w:val="en-US" w:eastAsia="zh-CN"/>
              </w:rPr>
              <w:t>.总量控制指标</w:t>
            </w:r>
          </w:p>
          <w:p w14:paraId="3495873C">
            <w:pPr>
              <w:keepNext w:val="0"/>
              <w:keepLines w:val="0"/>
              <w:suppressLineNumbers w:val="0"/>
              <w:tabs>
                <w:tab w:val="left" w:pos="720"/>
              </w:tabs>
              <w:spacing w:before="0" w:beforeAutospacing="0" w:after="0" w:afterAutospacing="0" w:line="360" w:lineRule="auto"/>
              <w:ind w:left="0" w:right="0" w:firstLine="482"/>
              <w:rPr>
                <w:rFonts w:hint="eastAsia" w:ascii="Times New Roman" w:hAnsi="Times New Roman" w:eastAsia="宋体" w:cs="Times New Roman"/>
                <w:snapToGrid w:val="0"/>
                <w:color w:val="auto"/>
                <w:sz w:val="24"/>
                <w:szCs w:val="24"/>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本项目建成后，污染物总量控制指标为</w:t>
            </w:r>
            <w:r>
              <w:rPr>
                <w:rFonts w:hint="default" w:ascii="Times New Roman" w:hAnsi="Times New Roman" w:cs="Times New Roman"/>
                <w:snapToGrid w:val="0"/>
                <w:color w:val="auto"/>
                <w:sz w:val="24"/>
                <w:szCs w:val="24"/>
                <w:highlight w:val="none"/>
                <w:lang w:val="en-US" w:eastAsia="zh-CN"/>
              </w:rPr>
              <w:t>非甲烷总烃</w:t>
            </w:r>
            <w:r>
              <w:rPr>
                <w:rFonts w:hint="eastAsia" w:cs="Times New Roman"/>
                <w:snapToGrid w:val="0"/>
                <w:color w:val="auto"/>
                <w:sz w:val="24"/>
                <w:szCs w:val="24"/>
                <w:highlight w:val="none"/>
                <w:lang w:val="en-US" w:eastAsia="zh-CN"/>
              </w:rPr>
              <w:t>0.1798</w:t>
            </w:r>
            <w:r>
              <w:rPr>
                <w:rFonts w:hint="default" w:ascii="Times New Roman" w:hAnsi="Times New Roman" w:cs="Times New Roman"/>
                <w:snapToGrid w:val="0"/>
                <w:color w:val="auto"/>
                <w:sz w:val="24"/>
                <w:szCs w:val="24"/>
                <w:highlight w:val="none"/>
                <w:lang w:val="en-US" w:eastAsia="zh-CN"/>
              </w:rPr>
              <w:t>t/a</w:t>
            </w:r>
            <w:r>
              <w:rPr>
                <w:rFonts w:hint="eastAsia" w:ascii="Times New Roman" w:hAnsi="Times New Roman" w:cs="Times New Roman"/>
                <w:snapToGrid w:val="0"/>
                <w:color w:val="auto"/>
                <w:sz w:val="24"/>
                <w:szCs w:val="24"/>
                <w:highlight w:val="none"/>
                <w:lang w:val="en-US" w:eastAsia="zh-CN"/>
              </w:rPr>
              <w:t>、</w:t>
            </w:r>
            <w:r>
              <w:rPr>
                <w:rFonts w:hint="eastAsia" w:ascii="Times New Roman" w:hAnsi="Times New Roman" w:eastAsia="宋体"/>
                <w:color w:val="auto"/>
                <w:sz w:val="24"/>
              </w:rPr>
              <w:t>COD 0.</w:t>
            </w:r>
            <w:r>
              <w:rPr>
                <w:rFonts w:hint="eastAsia" w:ascii="Times New Roman" w:hAnsi="Times New Roman"/>
                <w:color w:val="auto"/>
                <w:sz w:val="24"/>
                <w:lang w:val="en-US" w:eastAsia="zh-CN"/>
              </w:rPr>
              <w:t>0</w:t>
            </w:r>
            <w:r>
              <w:rPr>
                <w:rFonts w:hint="eastAsia"/>
                <w:color w:val="auto"/>
                <w:sz w:val="24"/>
                <w:lang w:val="en-US" w:eastAsia="zh-CN"/>
              </w:rPr>
              <w:t>304</w:t>
            </w:r>
            <w:r>
              <w:rPr>
                <w:rFonts w:hint="eastAsia" w:ascii="Times New Roman" w:hAnsi="Times New Roman"/>
                <w:color w:val="auto"/>
                <w:sz w:val="24"/>
                <w:lang w:val="en-US" w:eastAsia="zh-CN"/>
              </w:rPr>
              <w:t>t/a、总磷0.000</w:t>
            </w:r>
            <w:r>
              <w:rPr>
                <w:rFonts w:hint="eastAsia"/>
                <w:color w:val="auto"/>
                <w:sz w:val="24"/>
                <w:lang w:val="en-US" w:eastAsia="zh-CN"/>
              </w:rPr>
              <w:t>3</w:t>
            </w:r>
            <w:r>
              <w:rPr>
                <w:rFonts w:hint="eastAsia" w:ascii="Times New Roman" w:hAnsi="Times New Roman" w:eastAsia="宋体"/>
                <w:color w:val="auto"/>
                <w:sz w:val="24"/>
              </w:rPr>
              <w:t>t/a</w:t>
            </w:r>
            <w:r>
              <w:rPr>
                <w:rFonts w:hint="eastAsia"/>
                <w:color w:val="auto"/>
                <w:sz w:val="24"/>
                <w:lang w:eastAsia="zh-CN"/>
              </w:rPr>
              <w:t>。</w:t>
            </w:r>
            <w:r>
              <w:rPr>
                <w:rFonts w:hint="eastAsia" w:ascii="Times New Roman" w:hAnsi="Times New Roman" w:eastAsia="宋体" w:cs="Times New Roman"/>
                <w:snapToGrid w:val="0"/>
                <w:color w:val="auto"/>
                <w:sz w:val="24"/>
                <w:szCs w:val="24"/>
                <w:highlight w:val="none"/>
                <w:lang w:val="en-US" w:eastAsia="zh-CN"/>
              </w:rPr>
              <w:t>本项目非甲烷总烃</w:t>
            </w:r>
            <w:r>
              <w:rPr>
                <w:rFonts w:hint="eastAsia" w:ascii="Times New Roman" w:hAnsi="Times New Roman" w:cs="Times New Roman"/>
                <w:snapToGrid w:val="0"/>
                <w:color w:val="auto"/>
                <w:sz w:val="24"/>
                <w:szCs w:val="24"/>
                <w:highlight w:val="none"/>
                <w:lang w:val="en-US" w:eastAsia="zh-CN"/>
              </w:rPr>
              <w:t>需要</w:t>
            </w:r>
            <w:r>
              <w:rPr>
                <w:rFonts w:hint="eastAsia" w:cs="Times New Roman"/>
                <w:snapToGrid w:val="0"/>
                <w:color w:val="auto"/>
                <w:sz w:val="24"/>
                <w:szCs w:val="24"/>
                <w:highlight w:val="none"/>
                <w:lang w:val="en-US" w:eastAsia="zh-CN"/>
              </w:rPr>
              <w:t>倍量替代</w:t>
            </w:r>
            <w:r>
              <w:rPr>
                <w:rFonts w:hint="eastAsia" w:ascii="Times New Roman" w:hAnsi="Times New Roman" w:cs="Times New Roman"/>
                <w:snapToGrid w:val="0"/>
                <w:color w:val="auto"/>
                <w:sz w:val="24"/>
                <w:szCs w:val="24"/>
                <w:highlight w:val="none"/>
                <w:lang w:val="en-US" w:eastAsia="zh-CN"/>
              </w:rPr>
              <w:t>，倍量替代量为</w:t>
            </w:r>
            <w:r>
              <w:rPr>
                <w:rFonts w:hint="eastAsia" w:cs="Times New Roman"/>
                <w:snapToGrid w:val="0"/>
                <w:color w:val="auto"/>
                <w:sz w:val="24"/>
                <w:szCs w:val="24"/>
                <w:highlight w:val="none"/>
                <w:lang w:val="en-US" w:eastAsia="zh-CN"/>
              </w:rPr>
              <w:t>0.3596</w:t>
            </w:r>
            <w:r>
              <w:rPr>
                <w:rFonts w:hint="eastAsia" w:ascii="Times New Roman" w:hAnsi="Times New Roman" w:cs="Times New Roman"/>
                <w:snapToGrid w:val="0"/>
                <w:color w:val="auto"/>
                <w:sz w:val="24"/>
                <w:szCs w:val="24"/>
                <w:highlight w:val="none"/>
                <w:lang w:val="en-US" w:eastAsia="zh-CN"/>
              </w:rPr>
              <w:t>t/a，COD、总磷等量替代，替代量为</w:t>
            </w:r>
            <w:r>
              <w:rPr>
                <w:rFonts w:hint="eastAsia" w:ascii="Times New Roman" w:hAnsi="Times New Roman" w:eastAsia="宋体"/>
                <w:color w:val="auto"/>
                <w:sz w:val="24"/>
              </w:rPr>
              <w:t>COD0.</w:t>
            </w:r>
            <w:r>
              <w:rPr>
                <w:rFonts w:hint="eastAsia" w:ascii="Times New Roman" w:hAnsi="Times New Roman"/>
                <w:color w:val="auto"/>
                <w:sz w:val="24"/>
                <w:lang w:val="en-US" w:eastAsia="zh-CN"/>
              </w:rPr>
              <w:t>0</w:t>
            </w:r>
            <w:r>
              <w:rPr>
                <w:rFonts w:hint="eastAsia"/>
                <w:color w:val="auto"/>
                <w:sz w:val="24"/>
                <w:lang w:val="en-US" w:eastAsia="zh-CN"/>
              </w:rPr>
              <w:t>304</w:t>
            </w:r>
            <w:r>
              <w:rPr>
                <w:rFonts w:hint="eastAsia" w:ascii="Times New Roman" w:hAnsi="Times New Roman"/>
                <w:color w:val="auto"/>
                <w:sz w:val="24"/>
                <w:lang w:val="en-US" w:eastAsia="zh-CN"/>
              </w:rPr>
              <w:t>t/a、总磷0.000</w:t>
            </w:r>
            <w:r>
              <w:rPr>
                <w:rFonts w:hint="eastAsia"/>
                <w:color w:val="auto"/>
                <w:sz w:val="24"/>
                <w:lang w:val="en-US" w:eastAsia="zh-CN"/>
              </w:rPr>
              <w:t>3</w:t>
            </w:r>
            <w:r>
              <w:rPr>
                <w:rFonts w:hint="eastAsia" w:ascii="Times New Roman" w:hAnsi="Times New Roman" w:eastAsia="宋体"/>
                <w:color w:val="auto"/>
                <w:sz w:val="24"/>
              </w:rPr>
              <w:t>t/a</w:t>
            </w:r>
            <w:r>
              <w:rPr>
                <w:rFonts w:hint="eastAsia" w:ascii="Times New Roman" w:hAnsi="Times New Roman" w:eastAsia="宋体"/>
                <w:color w:val="auto"/>
                <w:sz w:val="24"/>
                <w:lang w:eastAsia="zh-CN"/>
              </w:rPr>
              <w:t>。</w:t>
            </w:r>
            <w:r>
              <w:rPr>
                <w:rFonts w:hint="eastAsia"/>
                <w:color w:val="auto"/>
                <w:sz w:val="24"/>
                <w:lang w:eastAsia="zh-CN"/>
              </w:rPr>
              <w:t>本项目</w:t>
            </w:r>
            <w:r>
              <w:rPr>
                <w:rFonts w:hint="eastAsia"/>
                <w:color w:val="auto"/>
                <w:sz w:val="24"/>
                <w:lang w:val="en-US" w:eastAsia="zh-CN"/>
              </w:rPr>
              <w:t>VOCs</w:t>
            </w:r>
            <w:r>
              <w:rPr>
                <w:rFonts w:hint="eastAsia" w:cs="Times New Roman"/>
                <w:snapToGrid w:val="0"/>
                <w:color w:val="auto"/>
                <w:sz w:val="24"/>
                <w:szCs w:val="24"/>
                <w:highlight w:val="none"/>
                <w:lang w:val="en-US" w:eastAsia="zh-CN"/>
              </w:rPr>
              <w:t>使用汤阴县色非家具厂关闭项目VOCs减排削减量，</w:t>
            </w:r>
            <w:r>
              <w:rPr>
                <w:rFonts w:hint="eastAsia" w:ascii="Times New Roman" w:hAnsi="Times New Roman" w:eastAsia="宋体"/>
                <w:color w:val="auto"/>
                <w:sz w:val="24"/>
              </w:rPr>
              <w:t>COD</w:t>
            </w:r>
            <w:r>
              <w:rPr>
                <w:rFonts w:hint="eastAsia"/>
                <w:color w:val="auto"/>
                <w:sz w:val="24"/>
                <w:lang w:eastAsia="zh-CN"/>
              </w:rPr>
              <w:t>、总磷</w:t>
            </w:r>
            <w:r>
              <w:rPr>
                <w:rFonts w:hint="eastAsia" w:cs="Times New Roman"/>
                <w:snapToGrid w:val="0"/>
                <w:color w:val="auto"/>
                <w:sz w:val="24"/>
                <w:szCs w:val="24"/>
                <w:highlight w:val="none"/>
                <w:lang w:val="en-US" w:eastAsia="zh-CN"/>
              </w:rPr>
              <w:t>使用安阳市华洋针织有限责任公司年加工25000吨针织染整项目COD、总磷减排削减量，以上减排削减量满足本项目替代要求。</w:t>
            </w:r>
          </w:p>
          <w:p w14:paraId="36961F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rPr>
            </w:pPr>
          </w:p>
          <w:p w14:paraId="38FAE6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rPr>
            </w:pPr>
          </w:p>
          <w:p w14:paraId="234F64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rPr>
            </w:pPr>
          </w:p>
          <w:p w14:paraId="6E150D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rPr>
            </w:pPr>
          </w:p>
          <w:p w14:paraId="08C77B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rPr>
            </w:pPr>
          </w:p>
          <w:p w14:paraId="70D5EFE1">
            <w:pPr>
              <w:pStyle w:val="2"/>
              <w:keepLines w:val="0"/>
              <w:suppressLineNumbers w:val="0"/>
              <w:spacing w:beforeAutospacing="0" w:afterAutospacing="0"/>
              <w:ind w:right="0"/>
              <w:rPr>
                <w:rFonts w:hint="default"/>
              </w:rPr>
            </w:pPr>
          </w:p>
          <w:p w14:paraId="1FC2EA18">
            <w:pPr>
              <w:keepNext w:val="0"/>
              <w:keepLines w:val="0"/>
              <w:suppressLineNumbers w:val="0"/>
              <w:spacing w:before="0" w:beforeAutospacing="0" w:after="0" w:afterAutospacing="0"/>
              <w:ind w:left="0" w:right="0"/>
              <w:rPr>
                <w:rFonts w:hint="default"/>
              </w:rPr>
            </w:pPr>
          </w:p>
          <w:p w14:paraId="7460DF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rPr>
            </w:pPr>
          </w:p>
          <w:p w14:paraId="00BF91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rPr>
            </w:pPr>
          </w:p>
          <w:p w14:paraId="33B9D475">
            <w:pPr>
              <w:keepNext w:val="0"/>
              <w:keepLines w:val="0"/>
              <w:suppressLineNumbers w:val="0"/>
              <w:spacing w:before="0" w:beforeAutospacing="0" w:after="0" w:afterAutospacing="0"/>
              <w:ind w:left="0" w:right="0"/>
              <w:rPr>
                <w:rFonts w:hint="default"/>
                <w:lang w:val="en-US"/>
              </w:rPr>
            </w:pPr>
          </w:p>
          <w:p w14:paraId="24004052">
            <w:pPr>
              <w:keepNext w:val="0"/>
              <w:keepLines w:val="0"/>
              <w:suppressLineNumbers w:val="0"/>
              <w:spacing w:before="0" w:beforeAutospacing="0" w:after="0" w:afterAutospacing="0"/>
              <w:ind w:left="0" w:right="0"/>
              <w:rPr>
                <w:rFonts w:hint="default"/>
                <w:lang w:val="en-US"/>
              </w:rPr>
            </w:pPr>
          </w:p>
          <w:p w14:paraId="38D8F087">
            <w:pPr>
              <w:keepNext w:val="0"/>
              <w:keepLines w:val="0"/>
              <w:suppressLineNumbers w:val="0"/>
              <w:spacing w:before="0" w:beforeAutospacing="0" w:after="0" w:afterAutospacing="0"/>
              <w:ind w:left="0" w:right="0"/>
              <w:rPr>
                <w:rFonts w:hint="default"/>
                <w:lang w:val="en-US"/>
              </w:rPr>
            </w:pPr>
          </w:p>
        </w:tc>
      </w:tr>
    </w:tbl>
    <w:p w14:paraId="1D2F2345">
      <w:pPr>
        <w:pStyle w:val="26"/>
        <w:jc w:val="center"/>
        <w:rPr>
          <w:rFonts w:hint="default" w:ascii="Times New Roman" w:hAnsi="Times New Roman" w:eastAsia="黑体" w:cs="Times New Roman"/>
          <w:snapToGrid w:val="0"/>
          <w:color w:val="000000" w:themeColor="text1"/>
          <w:sz w:val="36"/>
          <w:szCs w:val="36"/>
          <w:highlight w:val="none"/>
          <w14:textFill>
            <w14:solidFill>
              <w14:schemeClr w14:val="tx1"/>
            </w14:solidFill>
          </w14:textFill>
        </w:rPr>
        <w:sectPr>
          <w:pgSz w:w="11905" w:h="16838"/>
          <w:pgMar w:top="1417" w:right="1417" w:bottom="1417" w:left="1701" w:header="851" w:footer="1077" w:gutter="0"/>
          <w:pgBorders w:offsetFrom="page">
            <w:top w:val="none" w:sz="0" w:space="0"/>
            <w:left w:val="none" w:sz="0" w:space="0"/>
            <w:bottom w:val="none" w:sz="0" w:space="0"/>
            <w:right w:val="none" w:sz="0" w:space="0"/>
          </w:pgBorders>
          <w:pgNumType w:fmt="decimal"/>
          <w:cols w:space="720" w:num="1"/>
          <w:titlePg/>
          <w:rtlGutter w:val="0"/>
          <w:docGrid w:linePitch="312" w:charSpace="0"/>
        </w:sectPr>
      </w:pPr>
    </w:p>
    <w:p w14:paraId="10CAC42F">
      <w:pPr>
        <w:pStyle w:val="26"/>
        <w:spacing w:before="0" w:beforeAutospacing="0" w:after="0" w:afterAutospacing="0"/>
        <w:jc w:val="center"/>
        <w:outlineLvl w:val="0"/>
        <w:rPr>
          <w:rFonts w:hint="default" w:ascii="Times New Roman" w:hAnsi="Times New Roman" w:eastAsia="黑体" w:cs="Times New Roman"/>
          <w:b w:val="0"/>
          <w:bCs w:val="0"/>
          <w:snapToGrid w:val="0"/>
          <w:color w:val="000000" w:themeColor="text1"/>
          <w:sz w:val="30"/>
          <w:szCs w:val="30"/>
          <w:highlight w:val="none"/>
          <w14:textFill>
            <w14:solidFill>
              <w14:schemeClr w14:val="tx1"/>
            </w14:solidFill>
          </w14:textFill>
        </w:rPr>
      </w:pPr>
      <w:bookmarkStart w:id="23" w:name="_Toc19507"/>
      <w:r>
        <w:rPr>
          <w:rFonts w:hint="default" w:ascii="Times New Roman" w:hAnsi="Times New Roman" w:eastAsia="黑体" w:cs="Times New Roman"/>
          <w:b w:val="0"/>
          <w:bCs w:val="0"/>
          <w:snapToGrid w:val="0"/>
          <w:color w:val="000000" w:themeColor="text1"/>
          <w:sz w:val="30"/>
          <w:szCs w:val="30"/>
          <w:highlight w:val="none"/>
          <w14:textFill>
            <w14:solidFill>
              <w14:schemeClr w14:val="tx1"/>
            </w14:solidFill>
          </w14:textFill>
        </w:rPr>
        <w:t>四、主要环境影响和保护措施</w:t>
      </w:r>
      <w:bookmarkEnd w:id="23"/>
    </w:p>
    <w:tbl>
      <w:tblPr>
        <w:tblStyle w:val="29"/>
        <w:tblW w:w="50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8586"/>
      </w:tblGrid>
      <w:tr w14:paraId="22A86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230" w:type="pct"/>
            <w:noWrap w:val="0"/>
            <w:tcMar>
              <w:left w:w="28" w:type="dxa"/>
              <w:right w:w="28" w:type="dxa"/>
            </w:tcMar>
            <w:vAlign w:val="center"/>
          </w:tcPr>
          <w:p w14:paraId="033FAA4B">
            <w:pPr>
              <w:pStyle w:val="26"/>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Cs/>
                <w:color w:val="000000" w:themeColor="text1"/>
                <w:kern w:val="2"/>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kern w:val="2"/>
                <w:szCs w:val="24"/>
                <w:highlight w:val="none"/>
                <w14:textFill>
                  <w14:solidFill>
                    <w14:schemeClr w14:val="tx1"/>
                  </w14:solidFill>
                </w14:textFill>
              </w:rPr>
              <w:t>施工期环境保护措施</w:t>
            </w:r>
          </w:p>
        </w:tc>
        <w:tc>
          <w:tcPr>
            <w:tcW w:w="4769" w:type="pct"/>
            <w:noWrap w:val="0"/>
            <w:vAlign w:val="center"/>
          </w:tcPr>
          <w:p w14:paraId="613E0386">
            <w:pPr>
              <w:keepNext w:val="0"/>
              <w:keepLines w:val="0"/>
              <w:pageBreakBefore w:val="0"/>
              <w:widowControl/>
              <w:suppressLineNumbers w:val="0"/>
              <w:kinsoku/>
              <w:wordWrap/>
              <w:topLinePunct w:val="0"/>
              <w:bidi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Times New Roman" w:cs="Times New Roman"/>
                <w:b/>
                <w:bCs/>
                <w:color w:val="000000" w:themeColor="text1"/>
                <w:sz w:val="18"/>
                <w:szCs w:val="18"/>
                <w:highlight w:val="none"/>
                <w14:textFill>
                  <w14:solidFill>
                    <w14:schemeClr w14:val="tx1"/>
                  </w14:solidFill>
                </w14:textFill>
              </w:rPr>
            </w:pPr>
            <w:r>
              <w:rPr>
                <w:rFonts w:hint="default" w:ascii="Times New Roman" w:hAnsi="Times New Roman" w:eastAsia="Times New Roman" w:cs="Times New Roman"/>
                <w:color w:val="000000" w:themeColor="text1"/>
                <w:sz w:val="24"/>
                <w:highlight w:val="none"/>
                <w14:textFill>
                  <w14:solidFill>
                    <w14:schemeClr w14:val="tx1"/>
                  </w14:solidFill>
                </w14:textFill>
              </w:rPr>
              <w:t>本项目生产车间</w:t>
            </w:r>
            <w:r>
              <w:rPr>
                <w:rFonts w:hint="eastAsia" w:eastAsia="宋体" w:cs="Times New Roman"/>
                <w:color w:val="000000" w:themeColor="text1"/>
                <w:sz w:val="24"/>
                <w:highlight w:val="none"/>
                <w:lang w:eastAsia="zh-CN"/>
                <w14:textFill>
                  <w14:solidFill>
                    <w14:schemeClr w14:val="tx1"/>
                  </w14:solidFill>
                </w14:textFill>
              </w:rPr>
              <w:t>租赁现有厂房</w:t>
            </w:r>
            <w:r>
              <w:rPr>
                <w:rFonts w:hint="default" w:ascii="Times New Roman" w:hAnsi="Times New Roman" w:eastAsia="Times New Roman" w:cs="Times New Roman"/>
                <w:color w:val="000000" w:themeColor="text1"/>
                <w:sz w:val="24"/>
                <w:highlight w:val="none"/>
                <w14:textFill>
                  <w14:solidFill>
                    <w14:schemeClr w14:val="tx1"/>
                  </w14:solidFill>
                </w14:textFill>
              </w:rPr>
              <w:t>，施工期工作内容主要为生产设备安装，工艺简单；主要污染为噪声，对周边环境造成的影响很小。不再进行环境影响分析。</w:t>
            </w:r>
          </w:p>
        </w:tc>
      </w:tr>
      <w:tr w14:paraId="16074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6" w:hRule="atLeast"/>
          <w:jc w:val="center"/>
        </w:trPr>
        <w:tc>
          <w:tcPr>
            <w:tcW w:w="230" w:type="pct"/>
            <w:noWrap w:val="0"/>
            <w:tcMar>
              <w:left w:w="28" w:type="dxa"/>
              <w:right w:w="28" w:type="dxa"/>
            </w:tcMar>
            <w:vAlign w:val="center"/>
          </w:tcPr>
          <w:p w14:paraId="36471E16">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kern w:val="2"/>
                <w:szCs w:val="24"/>
                <w:highlight w:val="none"/>
                <w14:textFill>
                  <w14:solidFill>
                    <w14:schemeClr w14:val="tx1"/>
                  </w14:solidFill>
                </w14:textFill>
              </w:rPr>
            </w:pPr>
            <w:r>
              <w:rPr>
                <w:rFonts w:hint="default" w:ascii="Times New Roman" w:hAnsi="Times New Roman" w:eastAsia="Times New Roman" w:cs="Times New Roman"/>
                <w:bCs/>
                <w:color w:val="000000" w:themeColor="text1"/>
                <w:sz w:val="24"/>
                <w:highlight w:val="none"/>
                <w14:textFill>
                  <w14:solidFill>
                    <w14:schemeClr w14:val="tx1"/>
                  </w14:solidFill>
                </w14:textFill>
              </w:rPr>
              <w:t>运营期环境影响和保护措施</w:t>
            </w:r>
          </w:p>
        </w:tc>
        <w:tc>
          <w:tcPr>
            <w:tcW w:w="4769" w:type="pct"/>
            <w:noWrap w:val="0"/>
            <w:vAlign w:val="center"/>
          </w:tcPr>
          <w:p w14:paraId="0C4C84DF">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rPr>
                <w:rFonts w:hint="default" w:ascii="Times New Roman" w:hAnsi="Times New Roman" w:eastAsia="宋体" w:cs="Times New Roman"/>
                <w:b/>
                <w:color w:val="000000" w:themeColor="text1"/>
                <w:sz w:val="24"/>
                <w:highlight w:val="none"/>
                <w:lang w:eastAsia="zh-CN"/>
                <w14:textFill>
                  <w14:solidFill>
                    <w14:schemeClr w14:val="tx1"/>
                  </w14:solidFill>
                </w14:textFill>
              </w:rPr>
            </w:pPr>
            <w: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t>1</w:t>
            </w:r>
            <w:r>
              <w:rPr>
                <w:rFonts w:hint="default" w:ascii="Times New Roman" w:hAnsi="Times New Roman" w:eastAsia="Times New Roman" w:cs="Times New Roman"/>
                <w:b/>
                <w:color w:val="000000" w:themeColor="text1"/>
                <w:sz w:val="24"/>
                <w:highlight w:val="none"/>
                <w14:textFill>
                  <w14:solidFill>
                    <w14:schemeClr w14:val="tx1"/>
                  </w14:solidFill>
                </w14:textFill>
              </w:rPr>
              <w:t>.</w:t>
            </w:r>
            <w:r>
              <w:rPr>
                <w:rFonts w:hint="default" w:ascii="Times New Roman" w:hAnsi="Times New Roman" w:eastAsia="Times New Roman" w:cs="Times New Roman"/>
                <w:b/>
                <w:color w:val="000000" w:themeColor="text1"/>
                <w:sz w:val="24"/>
                <w:highlight w:val="none"/>
                <w:lang w:eastAsia="zh-CN"/>
                <w14:textFill>
                  <w14:solidFill>
                    <w14:schemeClr w14:val="tx1"/>
                  </w14:solidFill>
                </w14:textFill>
              </w:rPr>
              <w:t>废气</w:t>
            </w:r>
          </w:p>
          <w:p w14:paraId="22D08768">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240" w:firstLineChars="100"/>
              <w:rPr>
                <w:rFonts w:hint="default" w:ascii="Times New Roman" w:hAnsi="Times New Roman" w:eastAsia="Times New Roman" w:cs="Times New Roman"/>
                <w:b/>
                <w:color w:val="000000" w:themeColor="text1"/>
                <w:sz w:val="24"/>
                <w:highlight w:val="none"/>
                <w:lang w:eastAsia="zh-CN"/>
                <w14:textFill>
                  <w14:solidFill>
                    <w14:schemeClr w14:val="tx1"/>
                  </w14:solidFill>
                </w14:textFill>
              </w:rPr>
            </w:pPr>
            <w: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t>1</w:t>
            </w:r>
            <w:r>
              <w:rPr>
                <w:rFonts w:hint="default" w:ascii="Times New Roman" w:hAnsi="Times New Roman" w:eastAsia="Times New Roman" w:cs="Times New Roman"/>
                <w:b/>
                <w:color w:val="000000" w:themeColor="text1"/>
                <w:sz w:val="24"/>
                <w:highlight w:val="none"/>
                <w14:textFill>
                  <w14:solidFill>
                    <w14:schemeClr w14:val="tx1"/>
                  </w14:solidFill>
                </w14:textFill>
              </w:rPr>
              <w:t>.1</w:t>
            </w:r>
            <w:r>
              <w:rPr>
                <w:rFonts w:hint="default" w:ascii="Times New Roman" w:hAnsi="Times New Roman" w:eastAsia="Times New Roman" w:cs="Times New Roman"/>
                <w:b/>
                <w:color w:val="000000" w:themeColor="text1"/>
                <w:sz w:val="24"/>
                <w:highlight w:val="none"/>
                <w:lang w:eastAsia="zh-CN"/>
                <w14:textFill>
                  <w14:solidFill>
                    <w14:schemeClr w14:val="tx1"/>
                  </w14:solidFill>
                </w14:textFill>
              </w:rPr>
              <w:t>废气源强分析</w:t>
            </w:r>
          </w:p>
          <w:p w14:paraId="47512EDD">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b w:val="0"/>
                <w:bCs/>
                <w:color w:val="000000" w:themeColor="text1"/>
                <w:sz w:val="24"/>
                <w:highlight w:val="none"/>
                <w:lang w:eastAsia="zh-CN"/>
                <w14:textFill>
                  <w14:solidFill>
                    <w14:schemeClr w14:val="tx1"/>
                  </w14:solidFill>
                </w14:textFill>
              </w:rPr>
            </w:pPr>
            <w:r>
              <w:rPr>
                <w:rFonts w:hint="default" w:ascii="Times New Roman" w:hAnsi="Times New Roman" w:eastAsia="Times New Roman" w:cs="Times New Roman"/>
                <w:b w:val="0"/>
                <w:bCs/>
                <w:color w:val="000000" w:themeColor="text1"/>
                <w:sz w:val="24"/>
                <w:highlight w:val="none"/>
                <w:lang w:eastAsia="zh-CN"/>
                <w14:textFill>
                  <w14:solidFill>
                    <w14:schemeClr w14:val="tx1"/>
                  </w14:solidFill>
                </w14:textFill>
              </w:rPr>
              <w:t>本项目</w:t>
            </w:r>
            <w:r>
              <w:rPr>
                <w:rFonts w:hint="eastAsia" w:ascii="Times New Roman" w:hAnsi="Times New Roman" w:eastAsia="Times New Roman" w:cs="Times New Roman"/>
                <w:b w:val="0"/>
                <w:bCs/>
                <w:color w:val="000000" w:themeColor="text1"/>
                <w:sz w:val="24"/>
                <w:highlight w:val="none"/>
                <w:lang w:eastAsia="zh-CN"/>
                <w14:textFill>
                  <w14:solidFill>
                    <w14:schemeClr w14:val="tx1"/>
                  </w14:solidFill>
                </w14:textFill>
              </w:rPr>
              <w:t>原材料使用的</w:t>
            </w:r>
            <w:r>
              <w:rPr>
                <w:rFonts w:hint="eastAsia" w:eastAsia="Times New Roman" w:cs="Times New Roman"/>
                <w:b w:val="0"/>
                <w:bCs/>
                <w:color w:val="000000" w:themeColor="text1"/>
                <w:sz w:val="24"/>
                <w:highlight w:val="none"/>
                <w:lang w:eastAsia="zh-CN"/>
                <w14:textFill>
                  <w14:solidFill>
                    <w14:schemeClr w14:val="tx1"/>
                  </w14:solidFill>
                </w14:textFill>
              </w:rPr>
              <w:t>热熔胶颗粒、聚乙烯颗粒为</w:t>
            </w:r>
            <w:r>
              <w:rPr>
                <w:rFonts w:hint="eastAsia" w:eastAsia="Times New Roman" w:cs="Times New Roman"/>
                <w:b w:val="0"/>
                <w:bCs/>
                <w:color w:val="000000" w:themeColor="text1"/>
                <w:sz w:val="24"/>
                <w:highlight w:val="none"/>
                <w:lang w:val="en-US" w:eastAsia="zh-CN"/>
                <w14:textFill>
                  <w14:solidFill>
                    <w14:schemeClr w14:val="tx1"/>
                  </w14:solidFill>
                </w14:textFill>
              </w:rPr>
              <w:t>2-5mm</w:t>
            </w:r>
            <w:r>
              <w:rPr>
                <w:rFonts w:hint="eastAsia" w:ascii="Times New Roman" w:hAnsi="Times New Roman" w:eastAsia="Times New Roman" w:cs="Times New Roman"/>
                <w:b w:val="0"/>
                <w:bCs/>
                <w:color w:val="000000" w:themeColor="text1"/>
                <w:sz w:val="24"/>
                <w:highlight w:val="none"/>
                <w:lang w:eastAsia="zh-CN"/>
                <w14:textFill>
                  <w14:solidFill>
                    <w14:schemeClr w14:val="tx1"/>
                  </w14:solidFill>
                </w14:textFill>
              </w:rPr>
              <w:t>颗粒</w:t>
            </w:r>
            <w:r>
              <w:rPr>
                <w:rFonts w:hint="eastAsia" w:eastAsia="Times New Roman" w:cs="Times New Roman"/>
                <w:b w:val="0"/>
                <w:bCs/>
                <w:color w:val="000000" w:themeColor="text1"/>
                <w:sz w:val="24"/>
                <w:highlight w:val="none"/>
                <w:lang w:eastAsia="zh-CN"/>
                <w14:textFill>
                  <w14:solidFill>
                    <w14:schemeClr w14:val="tx1"/>
                  </w14:solidFill>
                </w14:textFill>
              </w:rPr>
              <w:t>，故本项目</w:t>
            </w:r>
            <w:r>
              <w:rPr>
                <w:rFonts w:hint="eastAsia" w:ascii="Times New Roman" w:hAnsi="Times New Roman" w:eastAsia="Times New Roman" w:cs="Times New Roman"/>
                <w:b w:val="0"/>
                <w:bCs/>
                <w:color w:val="000000" w:themeColor="text1"/>
                <w:sz w:val="24"/>
                <w:highlight w:val="none"/>
                <w:lang w:eastAsia="zh-CN"/>
                <w14:textFill>
                  <w14:solidFill>
                    <w14:schemeClr w14:val="tx1"/>
                  </w14:solidFill>
                </w14:textFill>
              </w:rPr>
              <w:t>不产生粉尘，</w:t>
            </w:r>
            <w:r>
              <w:rPr>
                <w:rFonts w:hint="default" w:ascii="Times New Roman" w:hAnsi="Times New Roman" w:eastAsia="Times New Roman" w:cs="Times New Roman"/>
                <w:b w:val="0"/>
                <w:bCs/>
                <w:color w:val="000000" w:themeColor="text1"/>
                <w:sz w:val="24"/>
                <w:highlight w:val="none"/>
                <w:lang w:eastAsia="zh-CN"/>
                <w14:textFill>
                  <w14:solidFill>
                    <w14:schemeClr w14:val="tx1"/>
                  </w14:solidFill>
                </w14:textFill>
              </w:rPr>
              <w:t>运营期大气污染物主要是</w:t>
            </w:r>
            <w:r>
              <w:rPr>
                <w:rFonts w:hint="eastAsia" w:eastAsia="Times New Roman" w:cs="Times New Roman"/>
                <w:b w:val="0"/>
                <w:bCs/>
                <w:color w:val="000000" w:themeColor="text1"/>
                <w:sz w:val="24"/>
                <w:highlight w:val="none"/>
                <w:lang w:eastAsia="zh-CN"/>
                <w14:textFill>
                  <w14:solidFill>
                    <w14:schemeClr w14:val="tx1"/>
                  </w14:solidFill>
                </w14:textFill>
              </w:rPr>
              <w:t>挤出（吹塑）、高频复合、粘合、喷码过程产生的非甲烷总烃以及食堂油烟</w:t>
            </w:r>
            <w:r>
              <w:rPr>
                <w:rFonts w:hint="default" w:ascii="Times New Roman" w:hAnsi="Times New Roman" w:eastAsia="Times New Roman" w:cs="Times New Roman"/>
                <w:b w:val="0"/>
                <w:bCs/>
                <w:color w:val="000000" w:themeColor="text1"/>
                <w:sz w:val="24"/>
                <w:highlight w:val="none"/>
                <w:lang w:eastAsia="zh-CN"/>
                <w14:textFill>
                  <w14:solidFill>
                    <w14:schemeClr w14:val="tx1"/>
                  </w14:solidFill>
                </w14:textFill>
              </w:rPr>
              <w:t>。</w:t>
            </w:r>
          </w:p>
          <w:p w14:paraId="3A837D0A">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eastAsia"/>
                <w:sz w:val="24"/>
                <w:lang w:eastAsia="zh-CN"/>
              </w:rPr>
            </w:pPr>
            <w:r>
              <w:rPr>
                <w:rFonts w:hint="eastAsia" w:eastAsia="Times New Roman" w:cs="Times New Roman"/>
                <w:b w:val="0"/>
                <w:bCs/>
                <w:color w:val="000000" w:themeColor="text1"/>
                <w:sz w:val="24"/>
                <w:highlight w:val="none"/>
                <w:u w:val="none"/>
                <w:lang w:eastAsia="zh-CN"/>
                <w14:textFill>
                  <w14:solidFill>
                    <w14:schemeClr w14:val="tx1"/>
                  </w14:solidFill>
                </w14:textFill>
              </w:rPr>
              <w:t>（</w:t>
            </w:r>
            <w:r>
              <w:rPr>
                <w:rFonts w:hint="eastAsia" w:eastAsia="Times New Roman" w:cs="Times New Roman"/>
                <w:b w:val="0"/>
                <w:bCs/>
                <w:color w:val="000000" w:themeColor="text1"/>
                <w:sz w:val="24"/>
                <w:highlight w:val="none"/>
                <w:u w:val="none"/>
                <w:lang w:val="en-US" w:eastAsia="zh-CN"/>
                <w14:textFill>
                  <w14:solidFill>
                    <w14:schemeClr w14:val="tx1"/>
                  </w14:solidFill>
                </w14:textFill>
              </w:rPr>
              <w:t>1</w:t>
            </w:r>
            <w:r>
              <w:rPr>
                <w:rFonts w:hint="eastAsia" w:eastAsia="Times New Roman" w:cs="Times New Roman"/>
                <w:b w:val="0"/>
                <w:bCs/>
                <w:color w:val="000000" w:themeColor="text1"/>
                <w:sz w:val="24"/>
                <w:highlight w:val="none"/>
                <w:u w:val="none"/>
                <w:lang w:eastAsia="zh-CN"/>
                <w14:textFill>
                  <w14:solidFill>
                    <w14:schemeClr w14:val="tx1"/>
                  </w14:solidFill>
                </w14:textFill>
              </w:rPr>
              <w:t>）挤出</w:t>
            </w:r>
            <w:r>
              <w:rPr>
                <w:rFonts w:hint="default"/>
                <w:sz w:val="24"/>
              </w:rPr>
              <w:t>（</w:t>
            </w:r>
            <w:r>
              <w:rPr>
                <w:rFonts w:hint="eastAsia"/>
                <w:sz w:val="24"/>
                <w:lang w:eastAsia="zh-CN"/>
              </w:rPr>
              <w:t>吹膜</w:t>
            </w:r>
            <w:r>
              <w:rPr>
                <w:rFonts w:hint="default"/>
                <w:sz w:val="24"/>
              </w:rPr>
              <w:t>）</w:t>
            </w:r>
            <w:r>
              <w:rPr>
                <w:rFonts w:hint="eastAsia"/>
                <w:sz w:val="24"/>
                <w:lang w:eastAsia="zh-CN"/>
              </w:rPr>
              <w:t>废气</w:t>
            </w:r>
          </w:p>
          <w:p w14:paraId="113AF146">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eastAsia"/>
                <w:color w:val="auto"/>
                <w:lang w:val="en-US" w:eastAsia="zh-CN"/>
              </w:rPr>
            </w:pPr>
            <w:r>
              <w:rPr>
                <w:rFonts w:hint="eastAsia" w:eastAsia="Times New Roman" w:cs="Times New Roman"/>
                <w:b w:val="0"/>
                <w:bCs/>
                <w:color w:val="auto"/>
                <w:sz w:val="24"/>
                <w:highlight w:val="none"/>
                <w:u w:val="none"/>
                <w:lang w:eastAsia="zh-CN"/>
              </w:rPr>
              <w:t>项目吹膜过程加热温度为160℃~200℃，聚乙烯颗粒的热分解温度约为280~300℃，加热温度低于其分解温度，</w:t>
            </w:r>
            <w:r>
              <w:rPr>
                <w:rFonts w:hint="eastAsia" w:eastAsia="Times New Roman" w:cs="Times New Roman"/>
                <w:b w:val="0"/>
                <w:bCs/>
                <w:color w:val="auto"/>
                <w:sz w:val="24"/>
                <w:highlight w:val="none"/>
                <w:u w:val="none"/>
                <w:lang w:val="en-US" w:eastAsia="zh-CN"/>
              </w:rPr>
              <w:t xml:space="preserve">热熔胶熔融温度为190 </w:t>
            </w:r>
            <w:r>
              <w:rPr>
                <w:rFonts w:hint="default" w:ascii="Times New Roman" w:hAnsi="Times New Roman" w:eastAsia="Times New Roman" w:cs="Times New Roman"/>
                <w:b w:val="0"/>
                <w:bCs/>
                <w:color w:val="auto"/>
                <w:sz w:val="24"/>
                <w:highlight w:val="none"/>
                <w:u w:val="none"/>
                <w:lang w:val="en-US" w:eastAsia="zh-CN"/>
              </w:rPr>
              <w:t>±</w:t>
            </w:r>
            <w:r>
              <w:rPr>
                <w:rFonts w:hint="eastAsia" w:ascii="Times New Roman" w:hAnsi="Times New Roman" w:eastAsia="Times New Roman" w:cs="Times New Roman"/>
                <w:b w:val="0"/>
                <w:bCs/>
                <w:color w:val="auto"/>
                <w:sz w:val="24"/>
                <w:highlight w:val="none"/>
                <w:u w:val="none"/>
                <w:lang w:val="en-US" w:eastAsia="zh-CN"/>
              </w:rPr>
              <w:t xml:space="preserve"> </w:t>
            </w:r>
            <w:r>
              <w:rPr>
                <w:rFonts w:hint="eastAsia" w:eastAsia="Times New Roman" w:cs="Times New Roman"/>
                <w:b w:val="0"/>
                <w:bCs/>
                <w:color w:val="auto"/>
                <w:sz w:val="24"/>
                <w:highlight w:val="none"/>
                <w:u w:val="none"/>
                <w:lang w:val="en-US" w:eastAsia="zh-CN"/>
              </w:rPr>
              <w:t>0.4</w:t>
            </w:r>
            <w:r>
              <w:rPr>
                <w:rFonts w:hint="eastAsia" w:eastAsia="Times New Roman" w:cs="Times New Roman"/>
                <w:b w:val="0"/>
                <w:bCs/>
                <w:color w:val="auto"/>
                <w:sz w:val="24"/>
                <w:highlight w:val="none"/>
                <w:u w:val="none"/>
                <w:lang w:eastAsia="zh-CN"/>
              </w:rPr>
              <w:t>℃，</w:t>
            </w:r>
            <w:r>
              <w:rPr>
                <w:rFonts w:hint="eastAsia" w:eastAsia="Times New Roman" w:cs="Times New Roman"/>
                <w:b w:val="0"/>
                <w:bCs/>
                <w:color w:val="auto"/>
                <w:sz w:val="24"/>
                <w:highlight w:val="none"/>
                <w:u w:val="none"/>
                <w:lang w:val="en-US" w:eastAsia="zh-CN"/>
              </w:rPr>
              <w:t>长时间处于高温下会使其热分解，</w:t>
            </w:r>
            <w:r>
              <w:rPr>
                <w:rFonts w:hint="eastAsia" w:eastAsia="Times New Roman" w:cs="Times New Roman"/>
                <w:b w:val="0"/>
                <w:bCs/>
                <w:color w:val="auto"/>
                <w:sz w:val="24"/>
                <w:highlight w:val="none"/>
                <w:u w:val="none"/>
                <w:lang w:eastAsia="zh-CN"/>
              </w:rPr>
              <w:t>因此，在加热过程中基本无分解废气产生，但其在受热的情况下，聚乙烯中残存未聚合的反应单体挥发至空气中，从而形成有机废气；</w:t>
            </w:r>
            <w:r>
              <w:rPr>
                <w:rFonts w:hint="eastAsia" w:ascii="Times New Roman" w:hAnsi="Times New Roman" w:eastAsia="Times New Roman" w:cs="Times New Roman"/>
                <w:b w:val="0"/>
                <w:bCs/>
                <w:color w:val="auto"/>
                <w:sz w:val="24"/>
                <w:highlight w:val="none"/>
                <w:u w:val="none"/>
                <w:lang w:eastAsia="zh-CN"/>
              </w:rPr>
              <w:t>参考</w:t>
            </w:r>
            <w:r>
              <w:rPr>
                <w:rFonts w:hint="default" w:ascii="Times New Roman" w:hAnsi="Times New Roman" w:eastAsia="Times New Roman" w:cs="Times New Roman"/>
                <w:b w:val="0"/>
                <w:bCs/>
                <w:color w:val="auto"/>
                <w:sz w:val="24"/>
                <w:highlight w:val="none"/>
                <w:u w:val="none"/>
                <w:lang w:eastAsia="zh-CN"/>
              </w:rPr>
              <w:t>《排放源统计调查产排污核算方法和系数手册》中&lt;292塑料制品行业系数手册&gt;2921塑料薄膜制造行业系数表，挥发性有机物（以非甲烷总烃计）产污系数为</w:t>
            </w:r>
            <w:r>
              <w:rPr>
                <w:rFonts w:hint="eastAsia" w:ascii="Times New Roman" w:hAnsi="Times New Roman" w:eastAsia="Times New Roman" w:cs="Times New Roman"/>
                <w:b w:val="0"/>
                <w:bCs/>
                <w:color w:val="auto"/>
                <w:sz w:val="24"/>
                <w:highlight w:val="none"/>
                <w:u w:val="none"/>
                <w:lang w:val="en-US" w:eastAsia="zh-CN"/>
              </w:rPr>
              <w:t>2</w:t>
            </w:r>
            <w:r>
              <w:rPr>
                <w:rFonts w:hint="default" w:ascii="Times New Roman" w:hAnsi="Times New Roman" w:eastAsia="Times New Roman" w:cs="Times New Roman"/>
                <w:b w:val="0"/>
                <w:bCs/>
                <w:color w:val="auto"/>
                <w:sz w:val="24"/>
                <w:highlight w:val="none"/>
                <w:u w:val="none"/>
                <w:lang w:eastAsia="zh-CN"/>
              </w:rPr>
              <w:t>.5千克/吨-产品</w:t>
            </w:r>
            <w:r>
              <w:rPr>
                <w:rFonts w:hint="eastAsia" w:ascii="Times New Roman" w:hAnsi="Times New Roman" w:eastAsia="Times New Roman" w:cs="Times New Roman"/>
                <w:b w:val="0"/>
                <w:bCs/>
                <w:color w:val="auto"/>
                <w:sz w:val="24"/>
                <w:highlight w:val="none"/>
                <w:u w:val="none"/>
                <w:lang w:eastAsia="zh-CN"/>
              </w:rPr>
              <w:t>，本项目内膜产生量为</w:t>
            </w:r>
            <w:r>
              <w:rPr>
                <w:rFonts w:hint="eastAsia" w:eastAsia="Times New Roman" w:cs="Times New Roman"/>
                <w:b w:val="0"/>
                <w:bCs/>
                <w:color w:val="auto"/>
                <w:sz w:val="24"/>
                <w:highlight w:val="none"/>
                <w:u w:val="none"/>
                <w:lang w:val="en-US" w:eastAsia="zh-CN"/>
              </w:rPr>
              <w:t>290</w:t>
            </w:r>
            <w:r>
              <w:rPr>
                <w:rFonts w:hint="eastAsia" w:ascii="Times New Roman" w:hAnsi="Times New Roman" w:eastAsia="Times New Roman" w:cs="Times New Roman"/>
                <w:b w:val="0"/>
                <w:bCs/>
                <w:color w:val="auto"/>
                <w:sz w:val="24"/>
                <w:highlight w:val="none"/>
                <w:u w:val="none"/>
                <w:lang w:val="en-US" w:eastAsia="zh-CN"/>
              </w:rPr>
              <w:t>t/a，</w:t>
            </w:r>
            <w:r>
              <w:rPr>
                <w:rFonts w:hint="default" w:ascii="Times New Roman" w:hAnsi="Times New Roman" w:eastAsia="Times New Roman" w:cs="Times New Roman"/>
                <w:b w:val="0"/>
                <w:bCs/>
                <w:color w:val="auto"/>
                <w:sz w:val="24"/>
                <w:highlight w:val="none"/>
                <w:u w:val="none"/>
                <w:lang w:eastAsia="zh-CN"/>
              </w:rPr>
              <w:t>则</w:t>
            </w:r>
            <w:r>
              <w:rPr>
                <w:rFonts w:hint="eastAsia" w:ascii="Times New Roman" w:hAnsi="Times New Roman" w:eastAsia="Times New Roman" w:cs="Times New Roman"/>
                <w:b w:val="0"/>
                <w:bCs/>
                <w:color w:val="auto"/>
                <w:sz w:val="24"/>
                <w:highlight w:val="none"/>
                <w:u w:val="none"/>
                <w:lang w:eastAsia="zh-CN"/>
              </w:rPr>
              <w:t>挤出（吹膜）</w:t>
            </w:r>
            <w:r>
              <w:rPr>
                <w:rFonts w:hint="default" w:ascii="Times New Roman" w:hAnsi="Times New Roman" w:eastAsia="Times New Roman" w:cs="Times New Roman"/>
                <w:b w:val="0"/>
                <w:bCs/>
                <w:color w:val="auto"/>
                <w:sz w:val="24"/>
                <w:highlight w:val="none"/>
                <w:u w:val="none"/>
                <w:lang w:eastAsia="zh-CN"/>
              </w:rPr>
              <w:t>过程中VOC</w:t>
            </w:r>
            <w:r>
              <w:rPr>
                <w:rFonts w:hint="eastAsia" w:ascii="Times New Roman" w:hAnsi="Times New Roman" w:eastAsia="Times New Roman" w:cs="Times New Roman"/>
                <w:b w:val="0"/>
                <w:bCs/>
                <w:color w:val="auto"/>
                <w:sz w:val="24"/>
                <w:highlight w:val="none"/>
                <w:u w:val="none"/>
                <w:lang w:val="en-US" w:eastAsia="zh-CN"/>
              </w:rPr>
              <w:t>s</w:t>
            </w:r>
            <w:r>
              <w:rPr>
                <w:rFonts w:hint="default" w:ascii="Times New Roman" w:hAnsi="Times New Roman" w:eastAsia="Times New Roman" w:cs="Times New Roman"/>
                <w:b w:val="0"/>
                <w:bCs/>
                <w:color w:val="auto"/>
                <w:sz w:val="24"/>
                <w:highlight w:val="none"/>
                <w:u w:val="none"/>
                <w:lang w:eastAsia="zh-CN"/>
              </w:rPr>
              <w:t>（以非甲烷总烃计）产生量</w:t>
            </w:r>
            <w:r>
              <w:rPr>
                <w:rFonts w:hint="eastAsia" w:ascii="Times New Roman" w:hAnsi="Times New Roman" w:eastAsia="Times New Roman" w:cs="Times New Roman"/>
                <w:b w:val="0"/>
                <w:bCs/>
                <w:color w:val="auto"/>
                <w:sz w:val="24"/>
                <w:highlight w:val="none"/>
                <w:u w:val="none"/>
                <w:lang w:eastAsia="zh-CN"/>
              </w:rPr>
              <w:t>为</w:t>
            </w:r>
            <w:r>
              <w:rPr>
                <w:rFonts w:hint="eastAsia" w:eastAsia="Times New Roman" w:cs="Times New Roman"/>
                <w:b w:val="0"/>
                <w:bCs/>
                <w:color w:val="auto"/>
                <w:sz w:val="24"/>
                <w:highlight w:val="none"/>
                <w:u w:val="none"/>
                <w:lang w:val="en-US" w:eastAsia="zh-CN"/>
              </w:rPr>
              <w:t>0.725</w:t>
            </w:r>
            <w:r>
              <w:rPr>
                <w:rFonts w:hint="default" w:ascii="Times New Roman" w:hAnsi="Times New Roman" w:eastAsia="Times New Roman" w:cs="Times New Roman"/>
                <w:b w:val="0"/>
                <w:bCs/>
                <w:color w:val="auto"/>
                <w:sz w:val="24"/>
                <w:highlight w:val="none"/>
                <w:u w:val="none"/>
                <w:lang w:eastAsia="zh-CN"/>
              </w:rPr>
              <w:t>t/</w:t>
            </w:r>
            <w:r>
              <w:rPr>
                <w:rFonts w:hint="eastAsia" w:ascii="Times New Roman" w:hAnsi="Times New Roman" w:eastAsia="Times New Roman" w:cs="Times New Roman"/>
                <w:b w:val="0"/>
                <w:bCs/>
                <w:color w:val="auto"/>
                <w:sz w:val="24"/>
                <w:highlight w:val="none"/>
                <w:u w:val="none"/>
                <w:lang w:val="en-US" w:eastAsia="zh-CN"/>
              </w:rPr>
              <w:t>a。本项目在挤出（吹膜）机上方设置</w:t>
            </w:r>
            <w:r>
              <w:rPr>
                <w:rFonts w:hint="eastAsia" w:eastAsia="Times New Roman" w:cs="Times New Roman"/>
                <w:b w:val="0"/>
                <w:bCs/>
                <w:color w:val="auto"/>
                <w:sz w:val="24"/>
                <w:highlight w:val="none"/>
                <w:u w:val="none"/>
                <w:lang w:val="en-US" w:eastAsia="zh-CN"/>
              </w:rPr>
              <w:t>密闭</w:t>
            </w:r>
            <w:r>
              <w:rPr>
                <w:rFonts w:hint="eastAsia" w:ascii="Times New Roman" w:hAnsi="Times New Roman" w:eastAsia="Times New Roman" w:cs="Times New Roman"/>
                <w:b w:val="0"/>
                <w:bCs/>
                <w:color w:val="auto"/>
                <w:sz w:val="24"/>
                <w:highlight w:val="none"/>
                <w:u w:val="none"/>
                <w:lang w:val="en-US" w:eastAsia="zh-CN"/>
              </w:rPr>
              <w:t>集气罩</w:t>
            </w:r>
            <w:r>
              <w:rPr>
                <w:rFonts w:hint="eastAsia" w:eastAsia="Times New Roman" w:cs="Times New Roman"/>
                <w:b w:val="0"/>
                <w:bCs/>
                <w:color w:val="auto"/>
                <w:sz w:val="24"/>
                <w:highlight w:val="none"/>
                <w:u w:val="none"/>
                <w:lang w:val="en-US" w:eastAsia="zh-CN"/>
              </w:rPr>
              <w:t>，将污染治理设施</w:t>
            </w:r>
            <w:r>
              <w:rPr>
                <w:rFonts w:hint="default" w:ascii="Segoe UI" w:hAnsi="Segoe UI" w:eastAsia="Segoe UI" w:cs="Segoe UI"/>
                <w:i w:val="0"/>
                <w:iCs w:val="0"/>
                <w:caps w:val="0"/>
                <w:color w:val="0D0D0D"/>
                <w:spacing w:val="0"/>
                <w:sz w:val="24"/>
                <w:szCs w:val="24"/>
                <w:shd w:val="clear" w:fill="FFFFFF"/>
              </w:rPr>
              <w:t>风机安装在废气处理设备的前端</w:t>
            </w:r>
            <w:r>
              <w:rPr>
                <w:rFonts w:hint="eastAsia" w:ascii="Segoe UI" w:hAnsi="Segoe UI" w:eastAsia="宋体" w:cs="Segoe UI"/>
                <w:i w:val="0"/>
                <w:iCs w:val="0"/>
                <w:caps w:val="0"/>
                <w:color w:val="0D0D0D"/>
                <w:spacing w:val="0"/>
                <w:sz w:val="24"/>
                <w:szCs w:val="24"/>
                <w:shd w:val="clear" w:fill="FFFFFF"/>
                <w:lang w:eastAsia="zh-CN"/>
              </w:rPr>
              <w:t>，</w:t>
            </w:r>
            <w:r>
              <w:rPr>
                <w:rFonts w:hint="eastAsia" w:eastAsia="Times New Roman" w:cs="Times New Roman"/>
                <w:b w:val="0"/>
                <w:bCs/>
                <w:color w:val="auto"/>
                <w:sz w:val="24"/>
                <w:highlight w:val="none"/>
                <w:u w:val="none"/>
                <w:lang w:val="en-US" w:eastAsia="zh-CN"/>
              </w:rPr>
              <w:t>保持正压收集</w:t>
            </w:r>
            <w:r>
              <w:rPr>
                <w:rFonts w:hint="eastAsia" w:ascii="Times New Roman" w:hAnsi="Times New Roman" w:eastAsia="Times New Roman" w:cs="Times New Roman"/>
                <w:b w:val="0"/>
                <w:bCs/>
                <w:color w:val="auto"/>
                <w:sz w:val="24"/>
                <w:highlight w:val="none"/>
                <w:u w:val="none"/>
                <w:lang w:val="en-US" w:eastAsia="zh-CN"/>
              </w:rPr>
              <w:t>，废气</w:t>
            </w:r>
            <w:r>
              <w:rPr>
                <w:rFonts w:hint="eastAsia" w:eastAsia="Times New Roman" w:cs="Times New Roman"/>
                <w:b w:val="0"/>
                <w:bCs/>
                <w:color w:val="auto"/>
                <w:sz w:val="24"/>
                <w:highlight w:val="none"/>
                <w:u w:val="none"/>
                <w:lang w:val="en-US" w:eastAsia="zh-CN"/>
              </w:rPr>
              <w:t>密闭</w:t>
            </w:r>
            <w:r>
              <w:rPr>
                <w:rFonts w:hint="eastAsia" w:ascii="Times New Roman" w:hAnsi="Times New Roman" w:eastAsia="Times New Roman" w:cs="Times New Roman"/>
                <w:b w:val="0"/>
                <w:bCs/>
                <w:color w:val="auto"/>
                <w:sz w:val="24"/>
                <w:highlight w:val="none"/>
                <w:u w:val="none"/>
                <w:lang w:val="en-US" w:eastAsia="zh-CN"/>
              </w:rPr>
              <w:t>经集气罩收集后引入“活性炭吸附、脱附+催化燃烧”污染治理设施处理，</w:t>
            </w:r>
            <w:r>
              <w:rPr>
                <w:rFonts w:hint="eastAsia" w:eastAsia="Times New Roman" w:cs="Times New Roman"/>
                <w:b w:val="0"/>
                <w:bCs/>
                <w:color w:val="auto"/>
                <w:sz w:val="24"/>
                <w:highlight w:val="none"/>
                <w:u w:val="none"/>
                <w:lang w:val="en-US" w:eastAsia="zh-CN"/>
              </w:rPr>
              <w:t>参考</w:t>
            </w:r>
            <w:r>
              <w:rPr>
                <w:rFonts w:hint="eastAsia" w:eastAsia="宋体"/>
                <w:b w:val="0"/>
                <w:color w:val="auto"/>
                <w:sz w:val="24"/>
                <w:szCs w:val="24"/>
                <w:highlight w:val="none"/>
                <w:lang w:val="en-US" w:eastAsia="zh-CN"/>
              </w:rPr>
              <w:t>生态环境部关于印发《2021年主要污染物总量减排核算技术指南》的通知（环办综合</w:t>
            </w:r>
            <w:r>
              <w:rPr>
                <w:rFonts w:hint="eastAsia"/>
                <w:color w:val="auto"/>
                <w:sz w:val="24"/>
                <w:szCs w:val="24"/>
                <w:lang w:val="en-US" w:eastAsia="zh-CN"/>
              </w:rPr>
              <w:t>〔2021〕</w:t>
            </w:r>
            <w:r>
              <w:rPr>
                <w:rFonts w:hint="eastAsia" w:eastAsia="宋体"/>
                <w:b w:val="0"/>
                <w:color w:val="auto"/>
                <w:sz w:val="24"/>
                <w:szCs w:val="24"/>
                <w:highlight w:val="none"/>
                <w:lang w:val="en-US" w:eastAsia="zh-CN"/>
              </w:rPr>
              <w:t>487号），密闭式集气罩正压收集的</w:t>
            </w:r>
            <w:r>
              <w:rPr>
                <w:rFonts w:hint="eastAsia"/>
                <w:color w:val="auto"/>
                <w:sz w:val="24"/>
                <w:lang w:val="en-US" w:eastAsia="zh-CN"/>
              </w:rPr>
              <w:t>集气效率以80%计，参考《河南海克节水科技有限公司年产5千万米灌溉水带项目（二期） 竣工环境保护验收监测报告表》（附件9），该项目与本项目</w:t>
            </w:r>
            <w:r>
              <w:rPr>
                <w:rFonts w:hint="eastAsia" w:eastAsia="Times New Roman" w:cs="Times New Roman"/>
                <w:b w:val="0"/>
                <w:bCs/>
                <w:color w:val="auto"/>
                <w:sz w:val="24"/>
                <w:highlight w:val="none"/>
                <w:u w:val="none"/>
                <w:lang w:eastAsia="zh-CN"/>
              </w:rPr>
              <w:t>挤出</w:t>
            </w:r>
            <w:r>
              <w:rPr>
                <w:rFonts w:hint="default"/>
                <w:color w:val="auto"/>
                <w:sz w:val="24"/>
              </w:rPr>
              <w:t>（</w:t>
            </w:r>
            <w:r>
              <w:rPr>
                <w:rFonts w:hint="eastAsia"/>
                <w:color w:val="auto"/>
                <w:sz w:val="24"/>
                <w:lang w:eastAsia="zh-CN"/>
              </w:rPr>
              <w:t>吹膜</w:t>
            </w:r>
            <w:r>
              <w:rPr>
                <w:rFonts w:hint="default"/>
                <w:color w:val="auto"/>
                <w:sz w:val="24"/>
              </w:rPr>
              <w:t>）</w:t>
            </w:r>
            <w:r>
              <w:rPr>
                <w:rFonts w:hint="eastAsia"/>
                <w:color w:val="auto"/>
                <w:sz w:val="24"/>
                <w:lang w:eastAsia="zh-CN"/>
              </w:rPr>
              <w:t>工序</w:t>
            </w:r>
            <w:r>
              <w:rPr>
                <w:rFonts w:hint="eastAsia"/>
                <w:color w:val="auto"/>
                <w:sz w:val="24"/>
                <w:lang w:val="en-US" w:eastAsia="zh-CN"/>
              </w:rPr>
              <w:t>使用的原料基本一致，活性炭吸附、脱附+催化燃烧对该类VOCs的处理效率为92.8-95.2%，本次取均值94%，工作时间以4800h计，挤出（吹膜）废气的产排情况见下表。</w:t>
            </w:r>
          </w:p>
          <w:p w14:paraId="42A4A7A6">
            <w:pPr>
              <w:keepNext w:val="0"/>
              <w:keepLines w:val="0"/>
              <w:pageBreakBefore w:val="0"/>
              <w:widowControl w:val="0"/>
              <w:suppressLineNumbers w:val="0"/>
              <w:kinsoku/>
              <w:wordWrap/>
              <w:topLinePunct w:val="0"/>
              <w:autoSpaceDE w:val="0"/>
              <w:autoSpaceDN w:val="0"/>
              <w:bidi w:val="0"/>
              <w:adjustRightInd w:val="0"/>
              <w:snapToGrid w:val="0"/>
              <w:spacing w:before="0" w:beforeAutospacing="0" w:after="0" w:afterAutospacing="0" w:line="240" w:lineRule="auto"/>
              <w:ind w:left="0" w:right="0"/>
              <w:jc w:val="both"/>
              <w:rPr>
                <w:rFonts w:hint="eastAsia"/>
                <w:b/>
                <w:bCs/>
                <w:color w:val="auto"/>
                <w:sz w:val="24"/>
                <w:lang w:val="en-US" w:eastAsia="zh-CN"/>
              </w:rPr>
            </w:pPr>
          </w:p>
          <w:p w14:paraId="3D21A492">
            <w:pPr>
              <w:keepNext w:val="0"/>
              <w:keepLines w:val="0"/>
              <w:pageBreakBefore w:val="0"/>
              <w:widowControl w:val="0"/>
              <w:suppressLineNumbers w:val="0"/>
              <w:kinsoku/>
              <w:wordWrap/>
              <w:topLinePunct w:val="0"/>
              <w:autoSpaceDE w:val="0"/>
              <w:autoSpaceDN w:val="0"/>
              <w:bidi w:val="0"/>
              <w:adjustRightInd w:val="0"/>
              <w:snapToGrid w:val="0"/>
              <w:spacing w:before="0" w:beforeAutospacing="0" w:after="0" w:afterAutospacing="0" w:line="240" w:lineRule="auto"/>
              <w:ind w:left="0" w:right="0"/>
              <w:jc w:val="center"/>
              <w:rPr>
                <w:rFonts w:hint="eastAsia"/>
                <w:color w:val="auto"/>
                <w:sz w:val="24"/>
                <w:lang w:val="en-US" w:eastAsia="zh-CN"/>
              </w:rPr>
            </w:pPr>
            <w:r>
              <w:rPr>
                <w:rFonts w:hint="eastAsia"/>
                <w:b/>
                <w:bCs/>
                <w:color w:val="auto"/>
                <w:sz w:val="24"/>
                <w:lang w:val="en-US" w:eastAsia="zh-CN"/>
              </w:rPr>
              <w:t>挤出（吹膜）废气产排情况一览表</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044"/>
              <w:gridCol w:w="919"/>
              <w:gridCol w:w="1001"/>
              <w:gridCol w:w="1001"/>
              <w:gridCol w:w="998"/>
              <w:gridCol w:w="864"/>
              <w:gridCol w:w="875"/>
              <w:gridCol w:w="824"/>
              <w:gridCol w:w="842"/>
            </w:tblGrid>
            <w:tr w14:paraId="35388D1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90" w:hRule="atLeast"/>
                <w:jc w:val="center"/>
              </w:trPr>
              <w:tc>
                <w:tcPr>
                  <w:tcW w:w="624" w:type="pct"/>
                  <w:vMerge w:val="restart"/>
                  <w:tcBorders>
                    <w:tl2br w:val="nil"/>
                    <w:tr2bl w:val="nil"/>
                  </w:tcBorders>
                  <w:noWrap w:val="0"/>
                  <w:vAlign w:val="center"/>
                </w:tcPr>
                <w:p w14:paraId="2A8ED449">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eastAsia" w:ascii="Times New Roman" w:hAnsi="Times New Roman" w:eastAsia="宋体" w:cs="Times New Roman"/>
                      <w:b/>
                      <w:bCs/>
                      <w:color w:val="auto"/>
                      <w:kern w:val="0"/>
                      <w:sz w:val="21"/>
                      <w:szCs w:val="21"/>
                      <w:lang w:eastAsia="zh-CN"/>
                    </w:rPr>
                  </w:pPr>
                  <w:r>
                    <w:rPr>
                      <w:rFonts w:hint="eastAsia" w:ascii="Times New Roman" w:hAnsi="Times New Roman" w:eastAsia="宋体" w:cs="Times New Roman"/>
                      <w:b/>
                      <w:bCs/>
                      <w:color w:val="auto"/>
                      <w:kern w:val="0"/>
                      <w:sz w:val="21"/>
                      <w:szCs w:val="21"/>
                      <w:lang w:eastAsia="zh-CN"/>
                    </w:rPr>
                    <w:t>工序</w:t>
                  </w:r>
                </w:p>
              </w:tc>
              <w:tc>
                <w:tcPr>
                  <w:tcW w:w="549" w:type="pct"/>
                  <w:vMerge w:val="restart"/>
                  <w:tcBorders>
                    <w:tl2br w:val="nil"/>
                    <w:tr2bl w:val="nil"/>
                  </w:tcBorders>
                  <w:noWrap w:val="0"/>
                  <w:vAlign w:val="center"/>
                </w:tcPr>
                <w:p w14:paraId="679BF116">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val="en-US" w:eastAsia="zh-CN" w:bidi="ar"/>
                    </w:rPr>
                    <w:t>污染物</w:t>
                  </w:r>
                </w:p>
              </w:tc>
              <w:tc>
                <w:tcPr>
                  <w:tcW w:w="598" w:type="pct"/>
                  <w:vMerge w:val="restart"/>
                  <w:tcBorders>
                    <w:tl2br w:val="nil"/>
                    <w:tr2bl w:val="nil"/>
                  </w:tcBorders>
                  <w:noWrap w:val="0"/>
                  <w:vAlign w:val="center"/>
                </w:tcPr>
                <w:p w14:paraId="32F26E2E">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val="en-US" w:eastAsia="zh-CN" w:bidi="ar"/>
                    </w:rPr>
                    <w:t>产生量t/a</w:t>
                  </w:r>
                </w:p>
              </w:tc>
              <w:tc>
                <w:tcPr>
                  <w:tcW w:w="1194" w:type="pct"/>
                  <w:gridSpan w:val="2"/>
                  <w:tcBorders>
                    <w:tl2br w:val="nil"/>
                    <w:tr2bl w:val="nil"/>
                  </w:tcBorders>
                  <w:noWrap w:val="0"/>
                  <w:vAlign w:val="center"/>
                </w:tcPr>
                <w:p w14:paraId="04397696">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收集</w:t>
                  </w:r>
                  <w:r>
                    <w:rPr>
                      <w:rFonts w:hint="eastAsia" w:cs="Times New Roman"/>
                      <w:b/>
                      <w:bCs/>
                      <w:color w:val="auto"/>
                      <w:kern w:val="0"/>
                      <w:sz w:val="21"/>
                      <w:szCs w:val="21"/>
                      <w:lang w:val="en-US" w:eastAsia="zh-CN" w:bidi="ar"/>
                    </w:rPr>
                    <w:t>情况</w:t>
                  </w:r>
                </w:p>
              </w:tc>
              <w:tc>
                <w:tcPr>
                  <w:tcW w:w="1039" w:type="pct"/>
                  <w:gridSpan w:val="2"/>
                  <w:tcBorders>
                    <w:tl2br w:val="nil"/>
                    <w:tr2bl w:val="nil"/>
                  </w:tcBorders>
                  <w:noWrap w:val="0"/>
                  <w:vAlign w:val="center"/>
                </w:tcPr>
                <w:p w14:paraId="1EDF3771">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bidi="ar"/>
                    </w:rPr>
                  </w:pPr>
                  <w:r>
                    <w:rPr>
                      <w:rFonts w:hint="eastAsia" w:ascii="Times New Roman" w:hAnsi="Times New Roman" w:eastAsia="宋体" w:cs="Times New Roman"/>
                      <w:b/>
                      <w:bCs/>
                      <w:color w:val="auto"/>
                      <w:kern w:val="0"/>
                      <w:sz w:val="21"/>
                      <w:szCs w:val="21"/>
                      <w:lang w:val="en-US" w:eastAsia="zh-CN" w:bidi="ar"/>
                    </w:rPr>
                    <w:t>有组织</w:t>
                  </w:r>
                  <w:r>
                    <w:rPr>
                      <w:rFonts w:hint="default" w:ascii="Times New Roman" w:hAnsi="Times New Roman" w:eastAsia="宋体" w:cs="Times New Roman"/>
                      <w:b/>
                      <w:bCs/>
                      <w:color w:val="auto"/>
                      <w:kern w:val="0"/>
                      <w:sz w:val="21"/>
                      <w:szCs w:val="21"/>
                      <w:lang w:val="en-US" w:eastAsia="zh-CN" w:bidi="ar"/>
                    </w:rPr>
                    <w:t>排放</w:t>
                  </w:r>
                </w:p>
              </w:tc>
              <w:tc>
                <w:tcPr>
                  <w:tcW w:w="994" w:type="pct"/>
                  <w:gridSpan w:val="2"/>
                  <w:tcBorders>
                    <w:tl2br w:val="nil"/>
                    <w:tr2bl w:val="nil"/>
                  </w:tcBorders>
                  <w:noWrap w:val="0"/>
                  <w:vAlign w:val="center"/>
                </w:tcPr>
                <w:p w14:paraId="6E060E37">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bidi="ar"/>
                    </w:rPr>
                  </w:pPr>
                  <w:r>
                    <w:rPr>
                      <w:rFonts w:hint="eastAsia" w:ascii="Times New Roman" w:hAnsi="Times New Roman" w:eastAsia="宋体" w:cs="Times New Roman"/>
                      <w:b/>
                      <w:bCs/>
                      <w:color w:val="auto"/>
                      <w:kern w:val="0"/>
                      <w:sz w:val="21"/>
                      <w:szCs w:val="21"/>
                      <w:lang w:val="en-US" w:eastAsia="zh-CN" w:bidi="ar"/>
                    </w:rPr>
                    <w:t>无组织排放</w:t>
                  </w:r>
                </w:p>
              </w:tc>
            </w:tr>
            <w:tr w14:paraId="465232D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667" w:hRule="atLeast"/>
                <w:jc w:val="center"/>
              </w:trPr>
              <w:tc>
                <w:tcPr>
                  <w:tcW w:w="624" w:type="pct"/>
                  <w:vMerge w:val="continue"/>
                  <w:tcBorders>
                    <w:tl2br w:val="nil"/>
                    <w:tr2bl w:val="nil"/>
                  </w:tcBorders>
                  <w:noWrap w:val="0"/>
                  <w:vAlign w:val="center"/>
                </w:tcPr>
                <w:p w14:paraId="28B89AF8">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宋体" w:cs="Times New Roman"/>
                      <w:color w:val="auto"/>
                      <w:kern w:val="2"/>
                      <w:sz w:val="21"/>
                      <w:szCs w:val="21"/>
                    </w:rPr>
                  </w:pPr>
                </w:p>
              </w:tc>
              <w:tc>
                <w:tcPr>
                  <w:tcW w:w="549" w:type="pct"/>
                  <w:vMerge w:val="continue"/>
                  <w:tcBorders>
                    <w:tl2br w:val="nil"/>
                    <w:tr2bl w:val="nil"/>
                  </w:tcBorders>
                  <w:noWrap w:val="0"/>
                  <w:vAlign w:val="center"/>
                </w:tcPr>
                <w:p w14:paraId="6EEC938F">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宋体" w:cs="Times New Roman"/>
                      <w:color w:val="auto"/>
                      <w:kern w:val="2"/>
                      <w:sz w:val="21"/>
                      <w:szCs w:val="21"/>
                    </w:rPr>
                  </w:pPr>
                </w:p>
              </w:tc>
              <w:tc>
                <w:tcPr>
                  <w:tcW w:w="598" w:type="pct"/>
                  <w:vMerge w:val="continue"/>
                  <w:tcBorders>
                    <w:tl2br w:val="nil"/>
                    <w:tr2bl w:val="nil"/>
                  </w:tcBorders>
                  <w:noWrap w:val="0"/>
                  <w:vAlign w:val="center"/>
                </w:tcPr>
                <w:p w14:paraId="6C574359">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宋体" w:cs="Times New Roman"/>
                      <w:color w:val="auto"/>
                      <w:kern w:val="2"/>
                      <w:sz w:val="21"/>
                      <w:szCs w:val="21"/>
                    </w:rPr>
                  </w:pPr>
                </w:p>
              </w:tc>
              <w:tc>
                <w:tcPr>
                  <w:tcW w:w="598" w:type="pct"/>
                  <w:tcBorders>
                    <w:tl2br w:val="nil"/>
                    <w:tr2bl w:val="nil"/>
                  </w:tcBorders>
                  <w:noWrap w:val="0"/>
                  <w:vAlign w:val="center"/>
                </w:tcPr>
                <w:p w14:paraId="16567519">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eastAsia" w:cs="Times New Roman"/>
                      <w:b/>
                      <w:bCs/>
                      <w:color w:val="auto"/>
                      <w:kern w:val="0"/>
                      <w:sz w:val="21"/>
                      <w:szCs w:val="21"/>
                      <w:lang w:val="en-US" w:eastAsia="zh-CN" w:bidi="ar"/>
                    </w:rPr>
                    <w:t>收集</w:t>
                  </w:r>
                  <w:r>
                    <w:rPr>
                      <w:rFonts w:hint="default" w:ascii="Times New Roman" w:hAnsi="Times New Roman" w:eastAsia="宋体" w:cs="Times New Roman"/>
                      <w:b/>
                      <w:bCs/>
                      <w:color w:val="auto"/>
                      <w:kern w:val="0"/>
                      <w:sz w:val="21"/>
                      <w:szCs w:val="21"/>
                      <w:lang w:val="en-US" w:eastAsia="zh-CN" w:bidi="ar"/>
                    </w:rPr>
                    <w:t>量t/a</w:t>
                  </w:r>
                </w:p>
              </w:tc>
              <w:tc>
                <w:tcPr>
                  <w:tcW w:w="596" w:type="pct"/>
                  <w:tcBorders>
                    <w:tl2br w:val="nil"/>
                    <w:tr2bl w:val="nil"/>
                  </w:tcBorders>
                  <w:noWrap w:val="0"/>
                  <w:vAlign w:val="center"/>
                </w:tcPr>
                <w:p w14:paraId="4DDF5AA1">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bidi="ar"/>
                    </w:rPr>
                  </w:pPr>
                  <w:r>
                    <w:rPr>
                      <w:rFonts w:hint="eastAsia" w:cs="Times New Roman"/>
                      <w:b/>
                      <w:bCs/>
                      <w:color w:val="auto"/>
                      <w:kern w:val="0"/>
                      <w:sz w:val="21"/>
                      <w:szCs w:val="21"/>
                      <w:lang w:val="en-US" w:eastAsia="zh-CN" w:bidi="ar"/>
                    </w:rPr>
                    <w:t>速率</w:t>
                  </w:r>
                  <w:r>
                    <w:rPr>
                      <w:rFonts w:hint="default" w:ascii="Times New Roman" w:hAnsi="Times New Roman" w:eastAsia="宋体" w:cs="Times New Roman"/>
                      <w:b/>
                      <w:bCs/>
                      <w:color w:val="auto"/>
                      <w:kern w:val="0"/>
                      <w:sz w:val="21"/>
                      <w:szCs w:val="21"/>
                      <w:lang w:val="en-US" w:eastAsia="zh-CN" w:bidi="ar"/>
                    </w:rPr>
                    <w:t>kg/h</w:t>
                  </w:r>
                </w:p>
              </w:tc>
              <w:tc>
                <w:tcPr>
                  <w:tcW w:w="516" w:type="pct"/>
                  <w:tcBorders>
                    <w:tl2br w:val="nil"/>
                    <w:tr2bl w:val="nil"/>
                  </w:tcBorders>
                  <w:noWrap w:val="0"/>
                  <w:vAlign w:val="center"/>
                </w:tcPr>
                <w:p w14:paraId="0FC71412">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highlight w:val="yellow"/>
                    </w:rPr>
                  </w:pPr>
                  <w:r>
                    <w:rPr>
                      <w:rFonts w:hint="default" w:ascii="Times New Roman" w:hAnsi="Times New Roman" w:eastAsia="宋体" w:cs="Times New Roman"/>
                      <w:b/>
                      <w:bCs/>
                      <w:color w:val="auto"/>
                      <w:kern w:val="0"/>
                      <w:sz w:val="21"/>
                      <w:szCs w:val="21"/>
                      <w:lang w:val="en-US" w:eastAsia="zh-CN" w:bidi="ar"/>
                    </w:rPr>
                    <w:t>排放量t/a</w:t>
                  </w:r>
                </w:p>
              </w:tc>
              <w:tc>
                <w:tcPr>
                  <w:tcW w:w="522" w:type="pct"/>
                  <w:tcBorders>
                    <w:tl2br w:val="nil"/>
                    <w:tr2bl w:val="nil"/>
                  </w:tcBorders>
                  <w:noWrap w:val="0"/>
                  <w:vAlign w:val="center"/>
                </w:tcPr>
                <w:p w14:paraId="05D9E0FD">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val="en-US" w:eastAsia="zh-CN" w:bidi="ar"/>
                    </w:rPr>
                    <w:t>速率kg/h</w:t>
                  </w:r>
                </w:p>
              </w:tc>
              <w:tc>
                <w:tcPr>
                  <w:tcW w:w="492" w:type="pct"/>
                  <w:tcBorders>
                    <w:tl2br w:val="nil"/>
                    <w:tr2bl w:val="nil"/>
                  </w:tcBorders>
                  <w:noWrap w:val="0"/>
                  <w:vAlign w:val="center"/>
                </w:tcPr>
                <w:p w14:paraId="12628E7C">
                  <w:pPr>
                    <w:keepNext w:val="0"/>
                    <w:keepLines w:val="0"/>
                    <w:pageBreakBefore w:val="0"/>
                    <w:widowControl/>
                    <w:suppressLineNumbers w:val="0"/>
                    <w:kinsoku/>
                    <w:wordWrap/>
                    <w:topLinePunct w:val="0"/>
                    <w:bidi w:val="0"/>
                    <w:adjustRightInd w:val="0"/>
                    <w:snapToGrid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排放量t/a</w:t>
                  </w:r>
                </w:p>
              </w:tc>
              <w:tc>
                <w:tcPr>
                  <w:tcW w:w="501" w:type="pct"/>
                  <w:tcBorders>
                    <w:tl2br w:val="nil"/>
                    <w:tr2bl w:val="nil"/>
                  </w:tcBorders>
                  <w:noWrap w:val="0"/>
                  <w:vAlign w:val="center"/>
                </w:tcPr>
                <w:p w14:paraId="6973BADC">
                  <w:pPr>
                    <w:keepNext w:val="0"/>
                    <w:keepLines w:val="0"/>
                    <w:pageBreakBefore w:val="0"/>
                    <w:widowControl/>
                    <w:suppressLineNumbers w:val="0"/>
                    <w:kinsoku/>
                    <w:wordWrap/>
                    <w:topLinePunct w:val="0"/>
                    <w:bidi w:val="0"/>
                    <w:adjustRightInd w:val="0"/>
                    <w:snapToGrid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速率kg/h</w:t>
                  </w:r>
                </w:p>
              </w:tc>
            </w:tr>
            <w:tr w14:paraId="422F205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624" w:type="pct"/>
                  <w:tcBorders>
                    <w:tl2br w:val="nil"/>
                    <w:tr2bl w:val="nil"/>
                  </w:tcBorders>
                  <w:noWrap w:val="0"/>
                  <w:vAlign w:val="center"/>
                </w:tcPr>
                <w:p w14:paraId="2063C1A6">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eastAsia" w:ascii="Times New Roman" w:hAnsi="Times New Roman" w:eastAsia="宋体" w:cs="Times New Roman"/>
                      <w:b w:val="0"/>
                      <w:bCs w:val="0"/>
                      <w:color w:val="auto"/>
                      <w:kern w:val="0"/>
                      <w:sz w:val="21"/>
                      <w:szCs w:val="21"/>
                      <w:highlight w:val="none"/>
                      <w:u w:val="none" w:color="auto"/>
                      <w:lang w:eastAsia="zh-CN"/>
                    </w:rPr>
                  </w:pPr>
                  <w:r>
                    <w:rPr>
                      <w:rFonts w:hint="eastAsia"/>
                      <w:b w:val="0"/>
                      <w:bCs w:val="0"/>
                      <w:color w:val="auto"/>
                      <w:sz w:val="21"/>
                      <w:szCs w:val="21"/>
                      <w:lang w:val="en-US" w:eastAsia="zh-CN"/>
                    </w:rPr>
                    <w:t>挤出（吹膜）</w:t>
                  </w:r>
                </w:p>
              </w:tc>
              <w:tc>
                <w:tcPr>
                  <w:tcW w:w="549" w:type="pct"/>
                  <w:tcBorders>
                    <w:tl2br w:val="nil"/>
                    <w:tr2bl w:val="nil"/>
                  </w:tcBorders>
                  <w:noWrap w:val="0"/>
                  <w:vAlign w:val="center"/>
                </w:tcPr>
                <w:p w14:paraId="24AE8E28">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u w:val="none" w:color="auto"/>
                      <w:lang w:val="en-US" w:eastAsia="zh-CN"/>
                    </w:rPr>
                  </w:pPr>
                  <w:r>
                    <w:rPr>
                      <w:rFonts w:hint="eastAsia" w:ascii="Times New Roman" w:hAnsi="Times New Roman" w:eastAsia="宋体" w:cs="Times New Roman"/>
                      <w:b w:val="0"/>
                      <w:bCs w:val="0"/>
                      <w:color w:val="auto"/>
                      <w:kern w:val="0"/>
                      <w:sz w:val="21"/>
                      <w:szCs w:val="21"/>
                      <w:highlight w:val="none"/>
                      <w:u w:val="none" w:color="auto"/>
                      <w:lang w:val="en-US" w:eastAsia="zh-CN"/>
                    </w:rPr>
                    <w:t>VOCs</w:t>
                  </w:r>
                </w:p>
              </w:tc>
              <w:tc>
                <w:tcPr>
                  <w:tcW w:w="598" w:type="pct"/>
                  <w:tcBorders>
                    <w:tl2br w:val="nil"/>
                    <w:tr2bl w:val="nil"/>
                  </w:tcBorders>
                  <w:noWrap w:val="0"/>
                  <w:vAlign w:val="center"/>
                </w:tcPr>
                <w:p w14:paraId="183670F8">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0.725</w:t>
                  </w:r>
                </w:p>
              </w:tc>
              <w:tc>
                <w:tcPr>
                  <w:tcW w:w="598" w:type="pct"/>
                  <w:tcBorders>
                    <w:tl2br w:val="nil"/>
                    <w:tr2bl w:val="nil"/>
                  </w:tcBorders>
                  <w:noWrap w:val="0"/>
                  <w:vAlign w:val="center"/>
                </w:tcPr>
                <w:p w14:paraId="1FF80ED5">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0.58</w:t>
                  </w:r>
                </w:p>
              </w:tc>
              <w:tc>
                <w:tcPr>
                  <w:tcW w:w="596" w:type="pct"/>
                  <w:tcBorders>
                    <w:tl2br w:val="nil"/>
                    <w:tr2bl w:val="nil"/>
                  </w:tcBorders>
                  <w:noWrap w:val="0"/>
                  <w:vAlign w:val="center"/>
                </w:tcPr>
                <w:p w14:paraId="15713A93">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0.1208</w:t>
                  </w:r>
                </w:p>
              </w:tc>
              <w:tc>
                <w:tcPr>
                  <w:tcW w:w="516" w:type="pct"/>
                  <w:tcBorders>
                    <w:tl2br w:val="nil"/>
                    <w:tr2bl w:val="nil"/>
                  </w:tcBorders>
                  <w:noWrap w:val="0"/>
                  <w:vAlign w:val="center"/>
                </w:tcPr>
                <w:p w14:paraId="23A3DCAA">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0.0348</w:t>
                  </w:r>
                </w:p>
              </w:tc>
              <w:tc>
                <w:tcPr>
                  <w:tcW w:w="522" w:type="pct"/>
                  <w:tcBorders>
                    <w:tl2br w:val="nil"/>
                    <w:tr2bl w:val="nil"/>
                  </w:tcBorders>
                  <w:noWrap w:val="0"/>
                  <w:vAlign w:val="center"/>
                </w:tcPr>
                <w:p w14:paraId="6F4F0752">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0.0073</w:t>
                  </w:r>
                </w:p>
              </w:tc>
              <w:tc>
                <w:tcPr>
                  <w:tcW w:w="492" w:type="pct"/>
                  <w:tcBorders>
                    <w:tl2br w:val="nil"/>
                    <w:tr2bl w:val="nil"/>
                  </w:tcBorders>
                  <w:noWrap w:val="0"/>
                  <w:vAlign w:val="center"/>
                </w:tcPr>
                <w:p w14:paraId="4F37FF2D">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0.145</w:t>
                  </w:r>
                </w:p>
              </w:tc>
              <w:tc>
                <w:tcPr>
                  <w:tcW w:w="501" w:type="pct"/>
                  <w:tcBorders>
                    <w:tl2br w:val="nil"/>
                    <w:tr2bl w:val="nil"/>
                  </w:tcBorders>
                  <w:noWrap w:val="0"/>
                  <w:vAlign w:val="center"/>
                </w:tcPr>
                <w:p w14:paraId="52E9EB80">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0.0302</w:t>
                  </w:r>
                </w:p>
              </w:tc>
            </w:tr>
          </w:tbl>
          <w:p w14:paraId="3F26AE37">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eastAsia"/>
                <w:sz w:val="24"/>
                <w:lang w:eastAsia="zh-CN"/>
              </w:rPr>
            </w:pPr>
            <w:r>
              <w:rPr>
                <w:rFonts w:hint="eastAsia" w:eastAsia="Times New Roman" w:cs="Times New Roman"/>
                <w:b w:val="0"/>
                <w:bCs/>
                <w:color w:val="000000" w:themeColor="text1"/>
                <w:sz w:val="24"/>
                <w:highlight w:val="none"/>
                <w:u w:val="none"/>
                <w:lang w:eastAsia="zh-CN"/>
                <w14:textFill>
                  <w14:solidFill>
                    <w14:schemeClr w14:val="tx1"/>
                  </w14:solidFill>
                </w14:textFill>
              </w:rPr>
              <w:t>（</w:t>
            </w:r>
            <w:r>
              <w:rPr>
                <w:rFonts w:hint="eastAsia" w:eastAsia="Times New Roman" w:cs="Times New Roman"/>
                <w:b w:val="0"/>
                <w:bCs/>
                <w:color w:val="000000" w:themeColor="text1"/>
                <w:sz w:val="24"/>
                <w:highlight w:val="none"/>
                <w:u w:val="none"/>
                <w:lang w:val="en-US" w:eastAsia="zh-CN"/>
                <w14:textFill>
                  <w14:solidFill>
                    <w14:schemeClr w14:val="tx1"/>
                  </w14:solidFill>
                </w14:textFill>
              </w:rPr>
              <w:t>2</w:t>
            </w:r>
            <w:r>
              <w:rPr>
                <w:rFonts w:hint="eastAsia" w:eastAsia="Times New Roman" w:cs="Times New Roman"/>
                <w:b w:val="0"/>
                <w:bCs/>
                <w:color w:val="000000" w:themeColor="text1"/>
                <w:sz w:val="24"/>
                <w:highlight w:val="none"/>
                <w:u w:val="none"/>
                <w:lang w:eastAsia="zh-CN"/>
                <w14:textFill>
                  <w14:solidFill>
                    <w14:schemeClr w14:val="tx1"/>
                  </w14:solidFill>
                </w14:textFill>
              </w:rPr>
              <w:t>）高频复合、粘合</w:t>
            </w:r>
            <w:r>
              <w:rPr>
                <w:rFonts w:hint="eastAsia"/>
                <w:sz w:val="24"/>
                <w:lang w:eastAsia="zh-CN"/>
              </w:rPr>
              <w:t>废气</w:t>
            </w:r>
          </w:p>
          <w:p w14:paraId="142C0CE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default" w:eastAsia="Times New Roman" w:cs="Times New Roman"/>
                <w:b w:val="0"/>
                <w:bCs/>
                <w:color w:val="000000" w:themeColor="text1"/>
                <w:sz w:val="24"/>
                <w:highlight w:val="none"/>
                <w:lang w:val="en-US" w:eastAsia="zh-CN"/>
                <w14:textFill>
                  <w14:solidFill>
                    <w14:schemeClr w14:val="tx1"/>
                  </w14:solidFill>
                </w14:textFill>
              </w:rPr>
            </w:pPr>
            <w:r>
              <w:rPr>
                <w:rFonts w:hint="eastAsia"/>
                <w:color w:val="auto"/>
                <w:sz w:val="24"/>
                <w:szCs w:val="24"/>
                <w:lang w:eastAsia="zh-CN"/>
              </w:rPr>
              <w:t>项目内膜与编织外层连接的方式有两种，一种是通过高频物理合成（高频复合）进行连接</w:t>
            </w:r>
            <w:r>
              <w:rPr>
                <w:rFonts w:hint="eastAsia" w:ascii="Times New Roman" w:hAnsi="Times New Roman"/>
                <w:color w:val="auto"/>
                <w:sz w:val="24"/>
                <w:szCs w:val="24"/>
                <w:lang w:eastAsia="zh-CN"/>
              </w:rPr>
              <w:t>：编织成型的水带通过高频复合机进行复合，高频复合机利用水为介质，采用电加热方式，温度控制在50℃~</w:t>
            </w:r>
            <w:r>
              <w:rPr>
                <w:rFonts w:hint="eastAsia"/>
                <w:color w:val="auto"/>
                <w:sz w:val="24"/>
                <w:szCs w:val="24"/>
                <w:lang w:val="en-US" w:eastAsia="zh-CN"/>
              </w:rPr>
              <w:t>6</w:t>
            </w:r>
            <w:r>
              <w:rPr>
                <w:rFonts w:hint="eastAsia" w:ascii="Times New Roman" w:hAnsi="Times New Roman"/>
                <w:color w:val="auto"/>
                <w:sz w:val="24"/>
                <w:szCs w:val="24"/>
                <w:lang w:eastAsia="zh-CN"/>
              </w:rPr>
              <w:t>0℃，将内膜中的热熔胶软化，使内膜与编织外层复合</w:t>
            </w:r>
            <w:r>
              <w:rPr>
                <w:rFonts w:hint="eastAsia"/>
                <w:color w:val="auto"/>
                <w:sz w:val="24"/>
                <w:szCs w:val="24"/>
                <w:lang w:eastAsia="zh-CN"/>
              </w:rPr>
              <w:t>。一种是通过</w:t>
            </w:r>
            <w:r>
              <w:rPr>
                <w:rFonts w:hint="eastAsia" w:ascii="Times New Roman" w:hAnsi="Times New Roman" w:eastAsia="宋体" w:cs="Times New Roman"/>
                <w:b w:val="0"/>
                <w:bCs w:val="0"/>
                <w:color w:val="auto"/>
                <w:sz w:val="24"/>
                <w:lang w:val="en-US" w:eastAsia="zh-CN"/>
              </w:rPr>
              <w:t>水带</w:t>
            </w:r>
            <w:r>
              <w:rPr>
                <w:rFonts w:hint="eastAsia" w:cs="Times New Roman"/>
                <w:b w:val="0"/>
                <w:bCs w:val="0"/>
                <w:color w:val="auto"/>
                <w:sz w:val="24"/>
                <w:lang w:val="en-US" w:eastAsia="zh-CN"/>
              </w:rPr>
              <w:t>粘合机进行连接：</w:t>
            </w:r>
            <w:r>
              <w:rPr>
                <w:rFonts w:hint="eastAsia" w:ascii="Times New Roman" w:hAnsi="Times New Roman" w:eastAsia="宋体" w:cs="Times New Roman"/>
                <w:b w:val="0"/>
                <w:bCs w:val="0"/>
                <w:color w:val="auto"/>
                <w:sz w:val="24"/>
                <w:lang w:val="en-US" w:eastAsia="zh-CN"/>
              </w:rPr>
              <w:t>水粘机水粘段利用电热丝将内膜外侧热熔胶</w:t>
            </w:r>
            <w:r>
              <w:rPr>
                <w:rFonts w:hint="eastAsia" w:cs="Times New Roman"/>
                <w:b w:val="0"/>
                <w:bCs w:val="0"/>
                <w:color w:val="auto"/>
                <w:sz w:val="24"/>
                <w:lang w:val="en-US" w:eastAsia="zh-CN"/>
              </w:rPr>
              <w:t>软化</w:t>
            </w:r>
            <w:r>
              <w:rPr>
                <w:rFonts w:hint="eastAsia" w:ascii="Times New Roman" w:hAnsi="Times New Roman" w:eastAsia="宋体" w:cs="Times New Roman"/>
                <w:b w:val="0"/>
                <w:bCs w:val="0"/>
                <w:color w:val="auto"/>
                <w:sz w:val="24"/>
                <w:lang w:val="en-US" w:eastAsia="zh-CN"/>
              </w:rPr>
              <w:t>，</w:t>
            </w:r>
            <w:r>
              <w:rPr>
                <w:rFonts w:hint="eastAsia" w:cs="Times New Roman"/>
                <w:b w:val="0"/>
                <w:bCs w:val="0"/>
                <w:color w:val="auto"/>
                <w:sz w:val="24"/>
                <w:lang w:val="en-US" w:eastAsia="zh-CN"/>
              </w:rPr>
              <w:t>温度控制在</w:t>
            </w:r>
            <w:r>
              <w:rPr>
                <w:rFonts w:hint="eastAsia" w:ascii="Times New Roman" w:hAnsi="Times New Roman"/>
                <w:color w:val="auto"/>
                <w:sz w:val="24"/>
                <w:szCs w:val="24"/>
                <w:lang w:eastAsia="zh-CN"/>
              </w:rPr>
              <w:t>50℃~</w:t>
            </w:r>
            <w:r>
              <w:rPr>
                <w:rFonts w:hint="eastAsia"/>
                <w:color w:val="auto"/>
                <w:sz w:val="24"/>
                <w:szCs w:val="24"/>
                <w:lang w:val="en-US" w:eastAsia="zh-CN"/>
              </w:rPr>
              <w:t>80</w:t>
            </w:r>
            <w:r>
              <w:rPr>
                <w:rFonts w:hint="eastAsia" w:ascii="Times New Roman" w:hAnsi="Times New Roman"/>
                <w:color w:val="auto"/>
                <w:sz w:val="24"/>
                <w:szCs w:val="24"/>
                <w:lang w:eastAsia="zh-CN"/>
              </w:rPr>
              <w:t>℃，</w:t>
            </w:r>
            <w:r>
              <w:rPr>
                <w:rFonts w:hint="eastAsia" w:ascii="Times New Roman" w:hAnsi="Times New Roman" w:eastAsia="宋体" w:cs="Times New Roman"/>
                <w:b w:val="0"/>
                <w:bCs w:val="0"/>
                <w:color w:val="auto"/>
                <w:sz w:val="24"/>
                <w:lang w:val="en-US" w:eastAsia="zh-CN"/>
              </w:rPr>
              <w:t>将水带内膜外侧与水带外编织网粘合在一起</w:t>
            </w:r>
            <w:r>
              <w:rPr>
                <w:rFonts w:hint="eastAsia" w:cs="Times New Roman"/>
                <w:b w:val="0"/>
                <w:bCs w:val="0"/>
                <w:color w:val="auto"/>
                <w:sz w:val="24"/>
                <w:lang w:val="en-US" w:eastAsia="zh-CN"/>
              </w:rPr>
              <w:t>。软化温度较低，达不到聚乙烯和热熔胶的熔点，</w:t>
            </w:r>
            <w:r>
              <w:rPr>
                <w:rFonts w:hint="eastAsia" w:ascii="Times New Roman" w:hAnsi="Times New Roman"/>
                <w:b w:val="0"/>
                <w:bCs/>
                <w:color w:val="auto"/>
                <w:sz w:val="24"/>
                <w:szCs w:val="24"/>
                <w:highlight w:val="none"/>
                <w:lang w:val="en-US" w:eastAsia="zh-CN"/>
              </w:rPr>
              <w:t>VOCs</w:t>
            </w:r>
            <w:r>
              <w:rPr>
                <w:rFonts w:hint="default"/>
                <w:bCs/>
                <w:sz w:val="24"/>
              </w:rPr>
              <w:t>产生量很小，本次评价仅定性分析</w:t>
            </w:r>
            <w:r>
              <w:rPr>
                <w:rFonts w:hint="eastAsia"/>
                <w:bCs/>
                <w:sz w:val="24"/>
                <w:lang w:eastAsia="zh-CN"/>
              </w:rPr>
              <w:t>，不再定量分析，项目在高频复合机、粘合机上方设置密闭集气罩，废气经收集后引入</w:t>
            </w:r>
            <w:r>
              <w:rPr>
                <w:rFonts w:hint="eastAsia"/>
                <w:bCs/>
                <w:sz w:val="24"/>
                <w:lang w:val="en-US" w:eastAsia="zh-CN"/>
              </w:rPr>
              <w:t>“吸附、脱附+催化燃烧”处理设施中处理</w:t>
            </w:r>
            <w:r>
              <w:rPr>
                <w:rFonts w:hint="eastAsia"/>
                <w:bCs/>
                <w:sz w:val="24"/>
              </w:rPr>
              <w:t>。</w:t>
            </w:r>
          </w:p>
          <w:p w14:paraId="3F877ACD">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eastAsia"/>
                <w:sz w:val="24"/>
                <w:lang w:eastAsia="zh-CN"/>
              </w:rPr>
            </w:pPr>
            <w:r>
              <w:rPr>
                <w:rFonts w:hint="eastAsia" w:eastAsia="Times New Roman" w:cs="Times New Roman"/>
                <w:b w:val="0"/>
                <w:bCs/>
                <w:color w:val="000000" w:themeColor="text1"/>
                <w:sz w:val="24"/>
                <w:highlight w:val="none"/>
                <w:u w:val="none"/>
                <w:lang w:eastAsia="zh-CN"/>
                <w14:textFill>
                  <w14:solidFill>
                    <w14:schemeClr w14:val="tx1"/>
                  </w14:solidFill>
                </w14:textFill>
              </w:rPr>
              <w:t>（</w:t>
            </w:r>
            <w:r>
              <w:rPr>
                <w:rFonts w:hint="eastAsia" w:eastAsia="Times New Roman" w:cs="Times New Roman"/>
                <w:b w:val="0"/>
                <w:bCs/>
                <w:color w:val="000000" w:themeColor="text1"/>
                <w:sz w:val="24"/>
                <w:highlight w:val="none"/>
                <w:u w:val="none"/>
                <w:lang w:val="en-US" w:eastAsia="zh-CN"/>
                <w14:textFill>
                  <w14:solidFill>
                    <w14:schemeClr w14:val="tx1"/>
                  </w14:solidFill>
                </w14:textFill>
              </w:rPr>
              <w:t>3）喷码</w:t>
            </w:r>
            <w:r>
              <w:rPr>
                <w:rFonts w:hint="eastAsia"/>
                <w:sz w:val="24"/>
                <w:lang w:eastAsia="zh-CN"/>
              </w:rPr>
              <w:t>废气</w:t>
            </w:r>
          </w:p>
          <w:p w14:paraId="2983D6E3">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eastAsia" w:ascii="Times New Roman" w:hAnsi="Times New Roman"/>
                <w:b w:val="0"/>
                <w:bCs/>
                <w:color w:val="auto"/>
                <w:sz w:val="24"/>
                <w:szCs w:val="24"/>
                <w:highlight w:val="none"/>
                <w:lang w:val="en-US" w:eastAsia="zh-CN"/>
              </w:rPr>
            </w:pPr>
            <w:r>
              <w:rPr>
                <w:rFonts w:hint="eastAsia" w:ascii="Times New Roman" w:hAnsi="Times New Roman"/>
                <w:b w:val="0"/>
                <w:bCs/>
                <w:color w:val="auto"/>
                <w:sz w:val="24"/>
                <w:szCs w:val="24"/>
                <w:highlight w:val="none"/>
                <w:lang w:eastAsia="zh-CN"/>
              </w:rPr>
              <w:t>项目喷码过程使用</w:t>
            </w:r>
            <w:r>
              <w:rPr>
                <w:rFonts w:hint="eastAsia"/>
                <w:b w:val="0"/>
                <w:bCs/>
                <w:color w:val="auto"/>
                <w:sz w:val="24"/>
                <w:szCs w:val="24"/>
                <w:highlight w:val="none"/>
                <w:lang w:eastAsia="zh-CN"/>
              </w:rPr>
              <w:t>水性油墨</w:t>
            </w:r>
            <w:r>
              <w:rPr>
                <w:rFonts w:hint="eastAsia"/>
                <w:b w:val="0"/>
                <w:bCs/>
                <w:color w:val="auto"/>
                <w:sz w:val="24"/>
                <w:szCs w:val="24"/>
                <w:highlight w:val="none"/>
                <w:lang w:val="en-US" w:eastAsia="zh-CN"/>
              </w:rPr>
              <w:t>，</w:t>
            </w:r>
            <w:r>
              <w:rPr>
                <w:rFonts w:hint="eastAsia" w:ascii="Times New Roman" w:hAnsi="Times New Roman"/>
                <w:b w:val="0"/>
                <w:bCs/>
                <w:color w:val="auto"/>
                <w:sz w:val="24"/>
                <w:szCs w:val="24"/>
                <w:highlight w:val="none"/>
                <w:lang w:val="en-US" w:eastAsia="zh-CN"/>
              </w:rPr>
              <w:t>根据《挥发性有机物无组织排放控制标准》（GB37822—2019）要求，VOCs质量占比大于等于10%的含VOCs产品，其使用过程应采用密闭设备或在密闭空间内操作，废气应排至VOCs废气收集处理系统，</w:t>
            </w:r>
            <w:r>
              <w:rPr>
                <w:rFonts w:hint="eastAsia"/>
                <w:color w:val="auto"/>
                <w:sz w:val="24"/>
                <w:szCs w:val="24"/>
                <w:lang w:val="en-US" w:eastAsia="zh-CN"/>
              </w:rPr>
              <w:t>根据《重点行业挥发性有机物综合治理方案》（环大气〔2019〕53号）：“企业采用符合国家有关低VOCs含量产品规定的涂料、油墨、胶粘剂等，排放浓度稳定达标且排放速率、排放绩效等满足相关规定的，相应生产工序可不要求建设末端治理设施。使用的原辅材料VOCs含量（质量比）低于10%的工序，可不要求采取无组织排放收集措施”，根</w:t>
            </w:r>
            <w:r>
              <w:rPr>
                <w:rFonts w:hint="eastAsia" w:ascii="Times New Roman" w:hAnsi="Times New Roman"/>
                <w:b w:val="0"/>
                <w:bCs/>
                <w:color w:val="auto"/>
                <w:sz w:val="24"/>
                <w:szCs w:val="24"/>
                <w:highlight w:val="none"/>
                <w:lang w:eastAsia="zh-CN"/>
              </w:rPr>
              <w:t>据本项目</w:t>
            </w:r>
            <w:r>
              <w:rPr>
                <w:rFonts w:hint="eastAsia"/>
                <w:b w:val="0"/>
                <w:bCs/>
                <w:color w:val="auto"/>
                <w:sz w:val="24"/>
                <w:szCs w:val="24"/>
                <w:highlight w:val="none"/>
                <w:lang w:eastAsia="zh-CN"/>
              </w:rPr>
              <w:t>水性油墨挥发性有机物检测报告（附件</w:t>
            </w:r>
            <w:r>
              <w:rPr>
                <w:rFonts w:hint="eastAsia"/>
                <w:b w:val="0"/>
                <w:bCs/>
                <w:color w:val="auto"/>
                <w:sz w:val="24"/>
                <w:szCs w:val="24"/>
                <w:highlight w:val="none"/>
                <w:lang w:val="en-US" w:eastAsia="zh-CN"/>
              </w:rPr>
              <w:t>10</w:t>
            </w:r>
            <w:r>
              <w:rPr>
                <w:rFonts w:hint="eastAsia"/>
                <w:b w:val="0"/>
                <w:bCs/>
                <w:color w:val="auto"/>
                <w:sz w:val="24"/>
                <w:szCs w:val="24"/>
                <w:highlight w:val="none"/>
                <w:lang w:eastAsia="zh-CN"/>
              </w:rPr>
              <w:t>）</w:t>
            </w:r>
            <w:r>
              <w:rPr>
                <w:rFonts w:hint="eastAsia" w:ascii="Times New Roman" w:hAnsi="Times New Roman"/>
                <w:b w:val="0"/>
                <w:bCs/>
                <w:color w:val="auto"/>
                <w:sz w:val="24"/>
                <w:szCs w:val="24"/>
                <w:highlight w:val="none"/>
                <w:lang w:eastAsia="zh-CN"/>
              </w:rPr>
              <w:t>，</w:t>
            </w:r>
            <w:r>
              <w:rPr>
                <w:rFonts w:hint="eastAsia" w:ascii="Times New Roman" w:hAnsi="Times New Roman"/>
                <w:b w:val="0"/>
                <w:bCs/>
                <w:color w:val="auto"/>
                <w:sz w:val="24"/>
                <w:szCs w:val="24"/>
                <w:highlight w:val="none"/>
                <w:lang w:val="en-US" w:eastAsia="zh-CN"/>
              </w:rPr>
              <w:t>VOCs的含量为0.13%，能够满足《油墨中可挥发性有机物（</w:t>
            </w:r>
            <w:r>
              <w:rPr>
                <w:rFonts w:hint="eastAsia"/>
                <w:color w:val="auto"/>
                <w:sz w:val="24"/>
                <w:szCs w:val="24"/>
                <w:lang w:val="en-US" w:eastAsia="zh-CN"/>
              </w:rPr>
              <w:t>VOCs</w:t>
            </w:r>
            <w:r>
              <w:rPr>
                <w:rFonts w:hint="eastAsia" w:ascii="Times New Roman" w:hAnsi="Times New Roman"/>
                <w:b w:val="0"/>
                <w:bCs/>
                <w:color w:val="auto"/>
                <w:sz w:val="24"/>
                <w:szCs w:val="24"/>
                <w:highlight w:val="none"/>
                <w:lang w:val="en-US" w:eastAsia="zh-CN"/>
              </w:rPr>
              <w:t>）含量的限值》（GB38507-202</w:t>
            </w:r>
            <w:r>
              <w:rPr>
                <w:rFonts w:hint="eastAsia"/>
                <w:b w:val="0"/>
                <w:bCs/>
                <w:color w:val="auto"/>
                <w:sz w:val="24"/>
                <w:szCs w:val="24"/>
                <w:highlight w:val="none"/>
                <w:lang w:val="en-US" w:eastAsia="zh-CN"/>
              </w:rPr>
              <w:t>0）</w:t>
            </w:r>
            <w:r>
              <w:rPr>
                <w:rFonts w:hint="eastAsia" w:ascii="Times New Roman" w:hAnsi="Times New Roman"/>
                <w:b w:val="0"/>
                <w:bCs/>
                <w:color w:val="auto"/>
                <w:sz w:val="24"/>
                <w:szCs w:val="24"/>
                <w:highlight w:val="none"/>
                <w:lang w:val="en-US" w:eastAsia="zh-CN"/>
              </w:rPr>
              <w:t>中要求，</w:t>
            </w:r>
            <w:r>
              <w:rPr>
                <w:rFonts w:hint="eastAsia"/>
                <w:b w:val="0"/>
                <w:bCs/>
                <w:color w:val="auto"/>
                <w:sz w:val="24"/>
                <w:szCs w:val="24"/>
                <w:highlight w:val="none"/>
                <w:lang w:val="en-US" w:eastAsia="zh-CN"/>
              </w:rPr>
              <w:t>满足</w:t>
            </w:r>
            <w:r>
              <w:rPr>
                <w:rFonts w:hint="eastAsia"/>
                <w:color w:val="auto"/>
                <w:sz w:val="24"/>
                <w:szCs w:val="24"/>
                <w:lang w:val="en-US" w:eastAsia="zh-CN"/>
              </w:rPr>
              <w:t>（环大气〔2019〕53号）要求，</w:t>
            </w:r>
            <w:r>
              <w:rPr>
                <w:rFonts w:hint="eastAsia"/>
                <w:b w:val="0"/>
                <w:bCs/>
                <w:color w:val="auto"/>
                <w:sz w:val="24"/>
                <w:szCs w:val="24"/>
                <w:highlight w:val="none"/>
                <w:lang w:eastAsia="zh-CN"/>
              </w:rPr>
              <w:t>项目油墨</w:t>
            </w:r>
            <w:r>
              <w:rPr>
                <w:rFonts w:hint="eastAsia" w:ascii="Times New Roman" w:hAnsi="Times New Roman"/>
                <w:b w:val="0"/>
                <w:bCs/>
                <w:color w:val="auto"/>
                <w:sz w:val="24"/>
                <w:szCs w:val="24"/>
                <w:highlight w:val="none"/>
                <w:lang w:eastAsia="zh-CN"/>
              </w:rPr>
              <w:t>使用量很少，本次仅定性分析，</w:t>
            </w:r>
            <w:r>
              <w:rPr>
                <w:rFonts w:hint="eastAsia"/>
                <w:b w:val="0"/>
                <w:bCs/>
                <w:color w:val="auto"/>
                <w:sz w:val="24"/>
                <w:szCs w:val="24"/>
                <w:highlight w:val="none"/>
                <w:lang w:eastAsia="zh-CN"/>
              </w:rPr>
              <w:t>本</w:t>
            </w:r>
            <w:r>
              <w:rPr>
                <w:rFonts w:hint="eastAsia"/>
                <w:bCs/>
                <w:sz w:val="24"/>
                <w:lang w:eastAsia="zh-CN"/>
              </w:rPr>
              <w:t>项目在喷码机上方设置密闭集气罩，废气经收集后引入</w:t>
            </w:r>
            <w:r>
              <w:rPr>
                <w:rFonts w:hint="eastAsia"/>
                <w:bCs/>
                <w:sz w:val="24"/>
                <w:lang w:val="en-US" w:eastAsia="zh-CN"/>
              </w:rPr>
              <w:t>“活性炭吸附、脱附+催化燃烧”处理设施中处理</w:t>
            </w:r>
            <w:r>
              <w:rPr>
                <w:rFonts w:hint="eastAsia" w:ascii="Times New Roman" w:hAnsi="Times New Roman"/>
                <w:b w:val="0"/>
                <w:bCs/>
                <w:color w:val="auto"/>
                <w:sz w:val="24"/>
                <w:szCs w:val="24"/>
                <w:highlight w:val="none"/>
                <w:lang w:val="en-US" w:eastAsia="zh-CN"/>
              </w:rPr>
              <w:t>。</w:t>
            </w:r>
          </w:p>
          <w:p w14:paraId="46E4A1ED">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b w:val="0"/>
                <w:bCs/>
                <w:color w:val="auto"/>
                <w:sz w:val="24"/>
                <w:szCs w:val="24"/>
                <w:highlight w:val="none"/>
                <w:lang w:val="en-US" w:eastAsia="zh-CN"/>
              </w:rPr>
            </w:pPr>
            <w:r>
              <w:rPr>
                <w:rFonts w:hint="eastAsia" w:ascii="Times New Roman" w:hAnsi="Times New Roman"/>
                <w:b w:val="0"/>
                <w:bCs/>
                <w:color w:val="auto"/>
                <w:sz w:val="24"/>
                <w:szCs w:val="24"/>
                <w:highlight w:val="none"/>
                <w:lang w:val="en-US" w:eastAsia="zh-CN"/>
              </w:rPr>
              <w:t>（</w:t>
            </w:r>
            <w:r>
              <w:rPr>
                <w:rFonts w:hint="eastAsia"/>
                <w:b w:val="0"/>
                <w:bCs/>
                <w:color w:val="auto"/>
                <w:sz w:val="24"/>
                <w:szCs w:val="24"/>
                <w:highlight w:val="none"/>
                <w:lang w:val="en-US" w:eastAsia="zh-CN"/>
              </w:rPr>
              <w:t>4</w:t>
            </w:r>
            <w:r>
              <w:rPr>
                <w:rFonts w:hint="eastAsia" w:ascii="Times New Roman" w:hAnsi="Times New Roman"/>
                <w:b w:val="0"/>
                <w:bCs/>
                <w:color w:val="auto"/>
                <w:sz w:val="24"/>
                <w:szCs w:val="24"/>
                <w:highlight w:val="none"/>
                <w:lang w:val="en-US" w:eastAsia="zh-CN"/>
              </w:rPr>
              <w:t>）危废间废气</w:t>
            </w:r>
            <w:r>
              <w:rPr>
                <w:rFonts w:hint="eastAsia"/>
                <w:b w:val="0"/>
                <w:bCs/>
                <w:color w:val="auto"/>
                <w:sz w:val="24"/>
                <w:szCs w:val="24"/>
                <w:highlight w:val="none"/>
                <w:lang w:val="en-US" w:eastAsia="zh-CN"/>
              </w:rPr>
              <w:t xml:space="preserve">  </w:t>
            </w:r>
          </w:p>
          <w:p w14:paraId="7624E11E">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eastAsia"/>
                <w:b w:val="0"/>
                <w:bCs/>
                <w:color w:val="auto"/>
                <w:sz w:val="24"/>
                <w:szCs w:val="24"/>
                <w:highlight w:val="none"/>
                <w:lang w:val="en-US" w:eastAsia="zh-CN"/>
              </w:rPr>
            </w:pPr>
            <w:r>
              <w:rPr>
                <w:rFonts w:hint="eastAsia" w:ascii="Times New Roman" w:hAnsi="Times New Roman"/>
                <w:b w:val="0"/>
                <w:bCs/>
                <w:color w:val="auto"/>
                <w:sz w:val="24"/>
                <w:szCs w:val="24"/>
                <w:highlight w:val="none"/>
                <w:lang w:val="en-US" w:eastAsia="zh-CN"/>
              </w:rPr>
              <w:t>本项目危险废物为</w:t>
            </w:r>
            <w:r>
              <w:rPr>
                <w:rFonts w:hint="eastAsia"/>
                <w:b w:val="0"/>
                <w:bCs/>
                <w:color w:val="auto"/>
                <w:sz w:val="24"/>
                <w:szCs w:val="24"/>
                <w:highlight w:val="none"/>
                <w:lang w:val="en-US" w:eastAsia="zh-CN"/>
              </w:rPr>
              <w:t>废活性炭、废润滑油桶、废催化剂，废润滑油桶密闭，废活性炭、废催化剂袋装封闭后存放于纸箱内二次密闭，在危废间内暂存</w:t>
            </w:r>
            <w:r>
              <w:rPr>
                <w:rFonts w:hint="eastAsia" w:cs="Times New Roman"/>
                <w:b w:val="0"/>
                <w:bCs w:val="0"/>
                <w:color w:val="auto"/>
                <w:sz w:val="24"/>
                <w:szCs w:val="24"/>
                <w:highlight w:val="none"/>
                <w:lang w:val="en-US" w:eastAsia="zh-CN"/>
              </w:rPr>
              <w:t>，可能会挥发一些残留的有机废气，产生量极小，因此不作定量分析，环评建议在危废暂存间上方接集气管道，将危废间废气</w:t>
            </w:r>
            <w:r>
              <w:rPr>
                <w:rFonts w:hint="eastAsia"/>
                <w:bCs/>
                <w:sz w:val="24"/>
                <w:lang w:eastAsia="zh-CN"/>
              </w:rPr>
              <w:t>引入</w:t>
            </w:r>
            <w:r>
              <w:rPr>
                <w:rFonts w:hint="eastAsia"/>
                <w:bCs/>
                <w:sz w:val="24"/>
                <w:lang w:val="en-US" w:eastAsia="zh-CN"/>
              </w:rPr>
              <w:t>“活性炭吸附、脱附+催化燃烧”处理设施中处理，保证废气最小程度排入大气。</w:t>
            </w:r>
          </w:p>
          <w:p w14:paraId="2E5402E9">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eastAsia" w:ascii="Times New Roman" w:hAnsi="Times New Roman"/>
                <w:b w:val="0"/>
                <w:bCs/>
                <w:color w:val="auto"/>
                <w:sz w:val="24"/>
                <w:szCs w:val="24"/>
                <w:highlight w:val="none"/>
                <w:lang w:val="en-US" w:eastAsia="zh-CN"/>
              </w:rPr>
            </w:pPr>
            <w:r>
              <w:rPr>
                <w:rFonts w:hint="eastAsia" w:ascii="Times New Roman" w:hAnsi="Times New Roman"/>
                <w:b w:val="0"/>
                <w:bCs/>
                <w:color w:val="auto"/>
                <w:sz w:val="24"/>
                <w:szCs w:val="24"/>
                <w:highlight w:val="none"/>
                <w:lang w:val="en-US" w:eastAsia="zh-CN"/>
              </w:rPr>
              <w:t>（5）食堂油烟</w:t>
            </w:r>
          </w:p>
          <w:p w14:paraId="18D42652">
            <w:pPr>
              <w:pStyle w:val="14"/>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default"/>
                <w:bCs/>
                <w:color w:val="FF0000"/>
                <w:sz w:val="24"/>
                <w:lang w:val="en-US" w:eastAsia="zh-CN"/>
              </w:rPr>
            </w:pPr>
            <w:r>
              <w:rPr>
                <w:rFonts w:hint="default" w:ascii="Times New Roman" w:hAnsi="Times New Roman" w:eastAsia="宋体" w:cs="Times New Roman"/>
                <w:b w:val="0"/>
                <w:bCs w:val="0"/>
                <w:color w:val="auto"/>
                <w:sz w:val="24"/>
                <w:lang w:val="en-US" w:eastAsia="zh-CN"/>
              </w:rPr>
              <w:t>食用油和食品在加热过程中产生的油烟，对周围大气环境产生一定的影响。根据《中国居民膳食指南（2016 年）》食用耗油系数为25-30g/人</w:t>
            </w:r>
            <w:r>
              <w:rPr>
                <w:rFonts w:hint="eastAsia" w:ascii="宋体" w:hAnsi="宋体" w:eastAsia="宋体" w:cs="宋体"/>
                <w:b w:val="0"/>
                <w:bCs w:val="0"/>
                <w:color w:val="auto"/>
                <w:sz w:val="24"/>
                <w:lang w:val="en-US" w:eastAsia="zh-CN"/>
              </w:rPr>
              <w:t>·</w:t>
            </w:r>
            <w:r>
              <w:rPr>
                <w:rFonts w:hint="default" w:ascii="Times New Roman" w:hAnsi="Times New Roman" w:eastAsia="宋体" w:cs="Times New Roman"/>
                <w:b w:val="0"/>
                <w:bCs w:val="0"/>
                <w:color w:val="auto"/>
                <w:sz w:val="24"/>
                <w:lang w:val="en-US" w:eastAsia="zh-CN"/>
              </w:rPr>
              <w:t>天，本项目取30g/人</w:t>
            </w:r>
            <w:r>
              <w:rPr>
                <w:rFonts w:hint="eastAsia" w:ascii="宋体" w:hAnsi="宋体" w:eastAsia="宋体" w:cs="宋体"/>
                <w:b w:val="0"/>
                <w:bCs w:val="0"/>
                <w:color w:val="auto"/>
                <w:sz w:val="24"/>
                <w:lang w:val="en-US" w:eastAsia="zh-CN"/>
              </w:rPr>
              <w:t>·</w:t>
            </w:r>
            <w:r>
              <w:rPr>
                <w:rFonts w:hint="default" w:ascii="Times New Roman" w:hAnsi="Times New Roman" w:eastAsia="宋体" w:cs="Times New Roman"/>
                <w:b w:val="0"/>
                <w:bCs w:val="0"/>
                <w:color w:val="auto"/>
                <w:sz w:val="24"/>
                <w:lang w:val="en-US" w:eastAsia="zh-CN"/>
              </w:rPr>
              <w:t>天，</w:t>
            </w:r>
            <w:r>
              <w:rPr>
                <w:rFonts w:hint="eastAsia" w:ascii="Times New Roman" w:hAnsi="Times New Roman" w:eastAsia="宋体" w:cs="Times New Roman"/>
                <w:b w:val="0"/>
                <w:bCs w:val="0"/>
                <w:color w:val="auto"/>
                <w:sz w:val="24"/>
                <w:lang w:val="en-US" w:eastAsia="zh-CN"/>
              </w:rPr>
              <w:t>本项目</w:t>
            </w:r>
            <w:r>
              <w:rPr>
                <w:rFonts w:hint="eastAsia" w:cs="Times New Roman"/>
                <w:b w:val="0"/>
                <w:bCs w:val="0"/>
                <w:color w:val="auto"/>
                <w:sz w:val="24"/>
                <w:lang w:val="en-US" w:eastAsia="zh-CN"/>
              </w:rPr>
              <w:t>厂区内食宿</w:t>
            </w:r>
            <w:r>
              <w:rPr>
                <w:rFonts w:hint="eastAsia" w:ascii="Times New Roman" w:hAnsi="Times New Roman" w:eastAsia="宋体" w:cs="Times New Roman"/>
                <w:b w:val="0"/>
                <w:bCs w:val="0"/>
                <w:color w:val="auto"/>
                <w:sz w:val="24"/>
                <w:lang w:val="en-US" w:eastAsia="zh-CN"/>
              </w:rPr>
              <w:t>员工为</w:t>
            </w:r>
            <w:r>
              <w:rPr>
                <w:rFonts w:hint="eastAsia" w:cs="Times New Roman"/>
                <w:b w:val="0"/>
                <w:bCs w:val="0"/>
                <w:color w:val="auto"/>
                <w:sz w:val="24"/>
                <w:lang w:val="en-US" w:eastAsia="zh-CN"/>
              </w:rPr>
              <w:t>8</w:t>
            </w:r>
            <w:r>
              <w:rPr>
                <w:rFonts w:hint="eastAsia" w:ascii="Times New Roman" w:hAnsi="Times New Roman" w:eastAsia="宋体" w:cs="Times New Roman"/>
                <w:b w:val="0"/>
                <w:bCs w:val="0"/>
                <w:color w:val="auto"/>
                <w:sz w:val="24"/>
                <w:lang w:val="en-US" w:eastAsia="zh-CN"/>
              </w:rPr>
              <w:t>人，年工作300天，根据不同的炒炸工况，油的挥发量不同，平均约占总耗油量的2%-4%，本项目取3%，则项目食堂油烟日产生量为0.</w:t>
            </w:r>
            <w:r>
              <w:rPr>
                <w:rFonts w:hint="eastAsia" w:cs="Times New Roman"/>
                <w:b w:val="0"/>
                <w:bCs w:val="0"/>
                <w:color w:val="auto"/>
                <w:sz w:val="24"/>
                <w:lang w:val="en-US" w:eastAsia="zh-CN"/>
              </w:rPr>
              <w:t>0072</w:t>
            </w:r>
            <w:r>
              <w:rPr>
                <w:rFonts w:hint="eastAsia" w:ascii="Times New Roman" w:hAnsi="Times New Roman" w:eastAsia="宋体" w:cs="Times New Roman"/>
                <w:b w:val="0"/>
                <w:bCs w:val="0"/>
                <w:color w:val="auto"/>
                <w:sz w:val="24"/>
                <w:lang w:val="en-US" w:eastAsia="zh-CN"/>
              </w:rPr>
              <w:t>kg/d（0.0</w:t>
            </w:r>
            <w:r>
              <w:rPr>
                <w:rFonts w:hint="eastAsia" w:cs="Times New Roman"/>
                <w:b w:val="0"/>
                <w:bCs w:val="0"/>
                <w:color w:val="auto"/>
                <w:sz w:val="24"/>
                <w:lang w:val="en-US" w:eastAsia="zh-CN"/>
              </w:rPr>
              <w:t>022</w:t>
            </w:r>
            <w:r>
              <w:rPr>
                <w:rFonts w:hint="eastAsia" w:ascii="Times New Roman" w:hAnsi="Times New Roman" w:eastAsia="宋体" w:cs="Times New Roman"/>
                <w:b w:val="0"/>
                <w:bCs w:val="0"/>
                <w:color w:val="auto"/>
                <w:sz w:val="24"/>
                <w:lang w:val="en-US" w:eastAsia="zh-CN"/>
              </w:rPr>
              <w:t>t/a），</w:t>
            </w:r>
            <w:r>
              <w:rPr>
                <w:rFonts w:hint="default" w:ascii="Times New Roman" w:hAnsi="Times New Roman" w:eastAsia="宋体" w:cs="Times New Roman"/>
                <w:b w:val="0"/>
                <w:bCs w:val="0"/>
                <w:color w:val="auto"/>
                <w:sz w:val="24"/>
                <w:lang w:val="en-US" w:eastAsia="zh-CN"/>
              </w:rPr>
              <w:t>烹饪时间约为</w:t>
            </w:r>
            <w:r>
              <w:rPr>
                <w:rFonts w:hint="eastAsia" w:ascii="Times New Roman" w:hAnsi="Times New Roman" w:eastAsia="宋体" w:cs="Times New Roman"/>
                <w:b w:val="0"/>
                <w:bCs w:val="0"/>
                <w:color w:val="auto"/>
                <w:sz w:val="24"/>
                <w:lang w:val="en-US" w:eastAsia="zh-CN"/>
              </w:rPr>
              <w:t>3</w:t>
            </w:r>
            <w:r>
              <w:rPr>
                <w:rFonts w:hint="default" w:ascii="Times New Roman" w:hAnsi="Times New Roman" w:eastAsia="宋体" w:cs="Times New Roman"/>
                <w:b w:val="0"/>
                <w:bCs w:val="0"/>
                <w:color w:val="auto"/>
                <w:sz w:val="24"/>
                <w:lang w:val="en-US" w:eastAsia="zh-CN"/>
              </w:rPr>
              <w:t>h/d</w:t>
            </w:r>
            <w:r>
              <w:rPr>
                <w:rFonts w:hint="eastAsia" w:ascii="Times New Roman" w:hAnsi="Times New Roman" w:eastAsia="宋体" w:cs="Times New Roman"/>
                <w:b w:val="0"/>
                <w:bCs w:val="0"/>
                <w:color w:val="auto"/>
                <w:sz w:val="24"/>
                <w:lang w:val="en-US" w:eastAsia="zh-CN"/>
              </w:rPr>
              <w:t>，</w:t>
            </w:r>
            <w:r>
              <w:rPr>
                <w:rFonts w:hint="default" w:ascii="Times New Roman" w:hAnsi="Times New Roman" w:eastAsia="宋体" w:cs="Times New Roman"/>
                <w:b w:val="0"/>
                <w:bCs w:val="0"/>
                <w:color w:val="auto"/>
                <w:sz w:val="24"/>
                <w:lang w:val="en-US" w:eastAsia="zh-CN"/>
              </w:rPr>
              <w:t>本项目</w:t>
            </w:r>
            <w:r>
              <w:rPr>
                <w:rFonts w:hint="eastAsia" w:ascii="Times New Roman" w:hAnsi="Times New Roman" w:eastAsia="宋体" w:cs="Times New Roman"/>
                <w:b w:val="0"/>
                <w:bCs w:val="0"/>
                <w:color w:val="auto"/>
                <w:sz w:val="24"/>
                <w:lang w:val="en-US" w:eastAsia="zh-CN"/>
              </w:rPr>
              <w:t>设置1</w:t>
            </w:r>
            <w:r>
              <w:rPr>
                <w:rFonts w:hint="default" w:ascii="Times New Roman" w:hAnsi="Times New Roman" w:eastAsia="宋体" w:cs="Times New Roman"/>
                <w:b w:val="0"/>
                <w:bCs w:val="0"/>
                <w:color w:val="auto"/>
                <w:sz w:val="24"/>
                <w:lang w:val="en-US" w:eastAsia="zh-CN"/>
              </w:rPr>
              <w:t>个基准灶头，根据《餐饮业油烟污染物排放标准》（DB41/1604－2018）规定，</w:t>
            </w:r>
            <w:r>
              <w:rPr>
                <w:rFonts w:hint="eastAsia" w:ascii="Times New Roman" w:hAnsi="Times New Roman" w:eastAsia="宋体" w:cs="Times New Roman"/>
                <w:b w:val="0"/>
                <w:bCs w:val="0"/>
                <w:color w:val="auto"/>
                <w:sz w:val="24"/>
                <w:lang w:val="en-US" w:eastAsia="zh-CN"/>
              </w:rPr>
              <w:t>1个灶头</w:t>
            </w:r>
            <w:r>
              <w:rPr>
                <w:rFonts w:hint="default" w:ascii="Times New Roman" w:hAnsi="Times New Roman" w:eastAsia="宋体" w:cs="Times New Roman"/>
                <w:b w:val="0"/>
                <w:bCs w:val="0"/>
                <w:color w:val="auto"/>
                <w:sz w:val="24"/>
                <w:lang w:val="en-US" w:eastAsia="zh-CN"/>
              </w:rPr>
              <w:t>属</w:t>
            </w:r>
            <w:r>
              <w:rPr>
                <w:rFonts w:hint="eastAsia" w:ascii="Times New Roman" w:hAnsi="Times New Roman" w:eastAsia="宋体" w:cs="Times New Roman"/>
                <w:b w:val="0"/>
                <w:bCs w:val="0"/>
                <w:color w:val="auto"/>
                <w:sz w:val="24"/>
                <w:lang w:val="en-US" w:eastAsia="zh-CN"/>
              </w:rPr>
              <w:t>小</w:t>
            </w:r>
            <w:r>
              <w:rPr>
                <w:rFonts w:hint="default" w:ascii="Times New Roman" w:hAnsi="Times New Roman" w:eastAsia="宋体" w:cs="Times New Roman"/>
                <w:b w:val="0"/>
                <w:bCs w:val="0"/>
                <w:color w:val="auto"/>
                <w:sz w:val="24"/>
                <w:lang w:val="en-US" w:eastAsia="zh-CN"/>
              </w:rPr>
              <w:t>型规模，</w:t>
            </w:r>
            <w:r>
              <w:rPr>
                <w:rFonts w:hint="eastAsia" w:ascii="Times New Roman" w:hAnsi="Times New Roman" w:eastAsia="宋体" w:cs="Times New Roman"/>
                <w:b w:val="0"/>
                <w:bCs w:val="0"/>
                <w:color w:val="auto"/>
                <w:sz w:val="24"/>
                <w:lang w:val="en-US" w:eastAsia="zh-CN"/>
              </w:rPr>
              <w:t>小</w:t>
            </w:r>
            <w:r>
              <w:rPr>
                <w:rFonts w:hint="default" w:ascii="Times New Roman" w:hAnsi="Times New Roman" w:eastAsia="宋体" w:cs="Times New Roman"/>
                <w:b w:val="0"/>
                <w:bCs w:val="0"/>
                <w:color w:val="auto"/>
                <w:sz w:val="24"/>
                <w:lang w:val="en-US" w:eastAsia="zh-CN"/>
              </w:rPr>
              <w:t>型</w:t>
            </w:r>
            <w:r>
              <w:rPr>
                <w:rFonts w:hint="eastAsia" w:ascii="Times New Roman" w:hAnsi="Times New Roman" w:eastAsia="宋体" w:cs="Times New Roman"/>
                <w:b w:val="0"/>
                <w:bCs w:val="0"/>
                <w:color w:val="auto"/>
                <w:sz w:val="24"/>
                <w:lang w:val="en-US" w:eastAsia="zh-CN"/>
              </w:rPr>
              <w:t>规模</w:t>
            </w:r>
            <w:r>
              <w:rPr>
                <w:rFonts w:hint="default" w:ascii="Times New Roman" w:hAnsi="Times New Roman" w:eastAsia="宋体" w:cs="Times New Roman"/>
                <w:b w:val="0"/>
                <w:bCs w:val="0"/>
                <w:color w:val="auto"/>
                <w:sz w:val="24"/>
                <w:lang w:val="en-US" w:eastAsia="zh-CN"/>
              </w:rPr>
              <w:t>饮食业单位净化设施去除效率≥9</w:t>
            </w:r>
            <w:r>
              <w:rPr>
                <w:rFonts w:hint="eastAsia" w:ascii="Times New Roman" w:hAnsi="Times New Roman" w:eastAsia="宋体" w:cs="Times New Roman"/>
                <w:b w:val="0"/>
                <w:bCs w:val="0"/>
                <w:color w:val="auto"/>
                <w:sz w:val="24"/>
                <w:lang w:val="en-US" w:eastAsia="zh-CN"/>
              </w:rPr>
              <w:t>0</w:t>
            </w:r>
            <w:r>
              <w:rPr>
                <w:rFonts w:hint="default" w:ascii="Times New Roman" w:hAnsi="Times New Roman" w:eastAsia="宋体" w:cs="Times New Roman"/>
                <w:b w:val="0"/>
                <w:bCs w:val="0"/>
                <w:color w:val="auto"/>
                <w:sz w:val="24"/>
                <w:lang w:val="en-US" w:eastAsia="zh-CN"/>
              </w:rPr>
              <w:t>%</w:t>
            </w:r>
            <w:r>
              <w:rPr>
                <w:rFonts w:hint="eastAsia" w:ascii="Times New Roman" w:hAnsi="Times New Roman" w:eastAsia="宋体" w:cs="Times New Roman"/>
                <w:b w:val="0"/>
                <w:bCs w:val="0"/>
                <w:color w:val="auto"/>
                <w:sz w:val="24"/>
                <w:lang w:val="en-US" w:eastAsia="zh-CN"/>
              </w:rPr>
              <w:t>，本项目在灶头上方设置1个集气罩，集气罩的大小为</w:t>
            </w:r>
            <w:r>
              <w:rPr>
                <w:rFonts w:hint="eastAsia" w:cs="Times New Roman"/>
                <w:b w:val="0"/>
                <w:bCs w:val="0"/>
                <w:color w:val="auto"/>
                <w:sz w:val="24"/>
                <w:lang w:val="en-US" w:eastAsia="zh-CN"/>
              </w:rPr>
              <w:t>0.25m</w:t>
            </w:r>
            <w:r>
              <w:rPr>
                <w:rFonts w:hint="eastAsia" w:cs="Times New Roman"/>
                <w:b w:val="0"/>
                <w:bCs w:val="0"/>
                <w:color w:val="auto"/>
                <w:sz w:val="24"/>
                <w:vertAlign w:val="superscript"/>
                <w:lang w:val="en-US" w:eastAsia="zh-CN"/>
              </w:rPr>
              <w:t>2</w:t>
            </w:r>
            <w:r>
              <w:rPr>
                <w:rFonts w:hint="eastAsia" w:ascii="Times New Roman" w:hAnsi="Times New Roman" w:eastAsia="宋体" w:cs="Times New Roman"/>
                <w:b w:val="0"/>
                <w:bCs w:val="0"/>
                <w:color w:val="auto"/>
                <w:sz w:val="24"/>
                <w:lang w:val="en-US" w:eastAsia="zh-CN"/>
              </w:rPr>
              <w:t>（0.5m*0.5m），集气效率取</w:t>
            </w:r>
            <w:r>
              <w:rPr>
                <w:rFonts w:hint="eastAsia" w:cs="Times New Roman"/>
                <w:b w:val="0"/>
                <w:bCs w:val="0"/>
                <w:color w:val="auto"/>
                <w:sz w:val="24"/>
                <w:lang w:val="en-US" w:eastAsia="zh-CN"/>
              </w:rPr>
              <w:t>80</w:t>
            </w:r>
            <w:r>
              <w:rPr>
                <w:rFonts w:hint="eastAsia" w:ascii="Times New Roman" w:hAnsi="Times New Roman" w:eastAsia="宋体" w:cs="Times New Roman"/>
                <w:b w:val="0"/>
                <w:bCs w:val="0"/>
                <w:color w:val="auto"/>
                <w:sz w:val="24"/>
                <w:lang w:val="en-US" w:eastAsia="zh-CN"/>
              </w:rPr>
              <w:t>%，油烟经过集气罩收集后由静电油烟净化器</w:t>
            </w:r>
            <w:r>
              <w:rPr>
                <w:rFonts w:hint="default" w:ascii="Times New Roman" w:hAnsi="Times New Roman" w:eastAsia="宋体" w:cs="Times New Roman"/>
                <w:b w:val="0"/>
                <w:bCs w:val="0"/>
                <w:color w:val="auto"/>
                <w:sz w:val="24"/>
                <w:lang w:val="en-US" w:eastAsia="zh-CN"/>
              </w:rPr>
              <w:t>进行处理</w:t>
            </w:r>
            <w:r>
              <w:rPr>
                <w:rFonts w:hint="eastAsia" w:ascii="Times New Roman" w:hAnsi="Times New Roman" w:eastAsia="宋体" w:cs="Times New Roman"/>
                <w:b w:val="0"/>
                <w:bCs w:val="0"/>
                <w:color w:val="auto"/>
                <w:sz w:val="24"/>
                <w:lang w:val="en-US" w:eastAsia="zh-CN"/>
              </w:rPr>
              <w:t>，风机风量为</w:t>
            </w:r>
            <w:r>
              <w:rPr>
                <w:rFonts w:hint="eastAsia" w:cs="Times New Roman"/>
                <w:b w:val="0"/>
                <w:bCs w:val="0"/>
                <w:color w:val="auto"/>
                <w:sz w:val="24"/>
                <w:lang w:val="en-US" w:eastAsia="zh-CN"/>
              </w:rPr>
              <w:t>2000</w:t>
            </w:r>
            <w:r>
              <w:rPr>
                <w:rFonts w:hint="eastAsia" w:ascii="Times New Roman" w:hAnsi="Times New Roman" w:eastAsia="宋体" w:cs="Times New Roman"/>
                <w:b w:val="0"/>
                <w:bCs w:val="0"/>
                <w:color w:val="auto"/>
                <w:sz w:val="24"/>
                <w:lang w:val="en-US" w:eastAsia="zh-CN"/>
              </w:rPr>
              <w:t>m</w:t>
            </w:r>
            <w:r>
              <w:rPr>
                <w:rFonts w:hint="eastAsia" w:ascii="Times New Roman" w:hAnsi="Times New Roman" w:eastAsia="宋体" w:cs="Times New Roman"/>
                <w:b w:val="0"/>
                <w:bCs w:val="0"/>
                <w:color w:val="auto"/>
                <w:sz w:val="24"/>
                <w:vertAlign w:val="superscript"/>
                <w:lang w:val="en-US" w:eastAsia="zh-CN"/>
              </w:rPr>
              <w:t>3</w:t>
            </w:r>
            <w:r>
              <w:rPr>
                <w:rFonts w:hint="eastAsia" w:ascii="Times New Roman" w:hAnsi="Times New Roman" w:eastAsia="宋体" w:cs="Times New Roman"/>
                <w:b w:val="0"/>
                <w:bCs w:val="0"/>
                <w:color w:val="auto"/>
                <w:sz w:val="24"/>
                <w:lang w:val="en-US" w:eastAsia="zh-CN"/>
              </w:rPr>
              <w:t>/h，处理后通过排气筒排放</w:t>
            </w:r>
            <w:r>
              <w:rPr>
                <w:rFonts w:hint="default" w:ascii="Times New Roman" w:hAnsi="Times New Roman" w:eastAsia="宋体" w:cs="Times New Roman"/>
                <w:b w:val="0"/>
                <w:bCs w:val="0"/>
                <w:color w:val="auto"/>
                <w:sz w:val="24"/>
                <w:lang w:val="en-US" w:eastAsia="zh-CN"/>
              </w:rPr>
              <w:t>，</w:t>
            </w:r>
            <w:r>
              <w:rPr>
                <w:rFonts w:hint="eastAsia" w:ascii="Times New Roman" w:hAnsi="Times New Roman" w:eastAsia="宋体" w:cs="Times New Roman"/>
                <w:b w:val="0"/>
                <w:bCs w:val="0"/>
                <w:color w:val="auto"/>
                <w:sz w:val="24"/>
                <w:lang w:val="en-US" w:eastAsia="zh-CN"/>
              </w:rPr>
              <w:t>油烟的产生浓度为</w:t>
            </w:r>
            <w:r>
              <w:rPr>
                <w:rFonts w:hint="eastAsia" w:cs="Times New Roman"/>
                <w:b w:val="0"/>
                <w:bCs w:val="0"/>
                <w:color w:val="auto"/>
                <w:sz w:val="24"/>
                <w:lang w:val="en-US" w:eastAsia="zh-CN"/>
              </w:rPr>
              <w:t>1.0</w:t>
            </w:r>
            <w:r>
              <w:rPr>
                <w:rFonts w:hint="eastAsia" w:ascii="Times New Roman" w:hAnsi="Times New Roman" w:eastAsia="宋体" w:cs="Times New Roman"/>
                <w:b w:val="0"/>
                <w:bCs w:val="0"/>
                <w:color w:val="auto"/>
                <w:sz w:val="24"/>
                <w:lang w:val="en-US" w:eastAsia="zh-CN"/>
              </w:rPr>
              <w:t>mg/m</w:t>
            </w:r>
            <w:r>
              <w:rPr>
                <w:rFonts w:hint="eastAsia" w:ascii="Times New Roman" w:hAnsi="Times New Roman" w:eastAsia="宋体" w:cs="Times New Roman"/>
                <w:b w:val="0"/>
                <w:bCs w:val="0"/>
                <w:color w:val="auto"/>
                <w:sz w:val="24"/>
                <w:vertAlign w:val="superscript"/>
                <w:lang w:val="en-US" w:eastAsia="zh-CN"/>
              </w:rPr>
              <w:t>3</w:t>
            </w:r>
            <w:r>
              <w:rPr>
                <w:rFonts w:hint="eastAsia" w:ascii="Times New Roman" w:hAnsi="Times New Roman" w:eastAsia="宋体" w:cs="Times New Roman"/>
                <w:b w:val="0"/>
                <w:bCs w:val="0"/>
                <w:color w:val="auto"/>
                <w:sz w:val="24"/>
                <w:vertAlign w:val="baseline"/>
                <w:lang w:val="en-US" w:eastAsia="zh-CN"/>
              </w:rPr>
              <w:t>，</w:t>
            </w:r>
            <w:r>
              <w:rPr>
                <w:rFonts w:hint="eastAsia" w:ascii="Times New Roman" w:hAnsi="Times New Roman" w:eastAsia="宋体" w:cs="Times New Roman"/>
                <w:b w:val="0"/>
                <w:bCs w:val="0"/>
                <w:color w:val="auto"/>
                <w:sz w:val="24"/>
                <w:lang w:val="en-US" w:eastAsia="zh-CN"/>
              </w:rPr>
              <w:t>静电油烟净化器的</w:t>
            </w:r>
            <w:r>
              <w:rPr>
                <w:rFonts w:hint="default" w:ascii="Times New Roman" w:hAnsi="Times New Roman" w:eastAsia="宋体" w:cs="Times New Roman"/>
                <w:b w:val="0"/>
                <w:bCs w:val="0"/>
                <w:color w:val="auto"/>
                <w:sz w:val="24"/>
                <w:lang w:val="en-US" w:eastAsia="zh-CN"/>
              </w:rPr>
              <w:t>净化效率为9</w:t>
            </w:r>
            <w:r>
              <w:rPr>
                <w:rFonts w:hint="eastAsia" w:ascii="Times New Roman" w:hAnsi="Times New Roman" w:eastAsia="宋体" w:cs="Times New Roman"/>
                <w:b w:val="0"/>
                <w:bCs w:val="0"/>
                <w:color w:val="auto"/>
                <w:sz w:val="24"/>
                <w:lang w:val="en-US" w:eastAsia="zh-CN"/>
              </w:rPr>
              <w:t>0</w:t>
            </w:r>
            <w:r>
              <w:rPr>
                <w:rFonts w:hint="default" w:ascii="Times New Roman" w:hAnsi="Times New Roman" w:eastAsia="宋体" w:cs="Times New Roman"/>
                <w:b w:val="0"/>
                <w:bCs w:val="0"/>
                <w:color w:val="auto"/>
                <w:sz w:val="24"/>
                <w:lang w:val="en-US" w:eastAsia="zh-CN"/>
              </w:rPr>
              <w:t>%</w:t>
            </w:r>
            <w:r>
              <w:rPr>
                <w:rFonts w:hint="eastAsia" w:ascii="Times New Roman" w:hAnsi="Times New Roman" w:eastAsia="宋体" w:cs="Times New Roman"/>
                <w:b w:val="0"/>
                <w:bCs w:val="0"/>
                <w:color w:val="auto"/>
                <w:sz w:val="24"/>
                <w:lang w:val="en-US" w:eastAsia="zh-CN"/>
              </w:rPr>
              <w:t>，则油烟的排放量为0.00</w:t>
            </w:r>
            <w:r>
              <w:rPr>
                <w:rFonts w:hint="eastAsia" w:cs="Times New Roman"/>
                <w:b w:val="0"/>
                <w:bCs w:val="0"/>
                <w:color w:val="auto"/>
                <w:sz w:val="24"/>
                <w:lang w:val="en-US" w:eastAsia="zh-CN"/>
              </w:rPr>
              <w:t>02</w:t>
            </w:r>
            <w:r>
              <w:rPr>
                <w:rFonts w:hint="eastAsia" w:ascii="Times New Roman" w:hAnsi="Times New Roman" w:eastAsia="宋体" w:cs="Times New Roman"/>
                <w:b w:val="0"/>
                <w:bCs w:val="0"/>
                <w:color w:val="auto"/>
                <w:sz w:val="24"/>
                <w:lang w:val="en-US" w:eastAsia="zh-CN"/>
              </w:rPr>
              <w:t>t/a，排放速率为0.00</w:t>
            </w:r>
            <w:r>
              <w:rPr>
                <w:rFonts w:hint="eastAsia" w:cs="Times New Roman"/>
                <w:b w:val="0"/>
                <w:bCs w:val="0"/>
                <w:color w:val="auto"/>
                <w:sz w:val="24"/>
                <w:lang w:val="en-US" w:eastAsia="zh-CN"/>
              </w:rPr>
              <w:t>02</w:t>
            </w:r>
            <w:r>
              <w:rPr>
                <w:rFonts w:hint="eastAsia" w:ascii="Times New Roman" w:hAnsi="Times New Roman" w:eastAsia="宋体" w:cs="Times New Roman"/>
                <w:b w:val="0"/>
                <w:bCs w:val="0"/>
                <w:color w:val="auto"/>
                <w:sz w:val="24"/>
                <w:lang w:val="en-US" w:eastAsia="zh-CN"/>
              </w:rPr>
              <w:t>kg/h，排放浓度为</w:t>
            </w:r>
            <w:r>
              <w:rPr>
                <w:rFonts w:hint="eastAsia" w:cs="Times New Roman"/>
                <w:b w:val="0"/>
                <w:bCs w:val="0"/>
                <w:color w:val="auto"/>
                <w:sz w:val="24"/>
                <w:lang w:val="en-US" w:eastAsia="zh-CN"/>
              </w:rPr>
              <w:t>0.1</w:t>
            </w:r>
            <w:r>
              <w:rPr>
                <w:rFonts w:hint="eastAsia" w:ascii="Times New Roman" w:hAnsi="Times New Roman" w:eastAsia="宋体" w:cs="Times New Roman"/>
                <w:b w:val="0"/>
                <w:bCs w:val="0"/>
                <w:color w:val="auto"/>
                <w:sz w:val="24"/>
                <w:lang w:val="en-US" w:eastAsia="zh-CN"/>
              </w:rPr>
              <w:t>mg/m</w:t>
            </w:r>
            <w:r>
              <w:rPr>
                <w:rFonts w:hint="eastAsia" w:ascii="Times New Roman" w:hAnsi="Times New Roman" w:eastAsia="宋体" w:cs="Times New Roman"/>
                <w:b w:val="0"/>
                <w:bCs w:val="0"/>
                <w:color w:val="auto"/>
                <w:sz w:val="24"/>
                <w:vertAlign w:val="superscript"/>
                <w:lang w:val="en-US" w:eastAsia="zh-CN"/>
              </w:rPr>
              <w:t>3</w:t>
            </w:r>
            <w:r>
              <w:rPr>
                <w:rFonts w:hint="eastAsia" w:ascii="Times New Roman" w:hAnsi="Times New Roman" w:eastAsia="宋体" w:cs="Times New Roman"/>
                <w:b w:val="0"/>
                <w:bCs w:val="0"/>
                <w:color w:val="auto"/>
                <w:sz w:val="24"/>
                <w:vertAlign w:val="baseline"/>
                <w:lang w:val="en-US" w:eastAsia="zh-CN"/>
              </w:rPr>
              <w:t>。</w:t>
            </w:r>
            <w:r>
              <w:rPr>
                <w:rFonts w:hint="eastAsia"/>
                <w:b w:val="0"/>
                <w:bCs/>
                <w:color w:val="auto"/>
                <w:sz w:val="24"/>
                <w:szCs w:val="24"/>
                <w:highlight w:val="none"/>
                <w:lang w:val="en-US" w:eastAsia="zh-CN"/>
              </w:rPr>
              <w:t xml:space="preserve">  </w:t>
            </w:r>
          </w:p>
          <w:p w14:paraId="4DBA3D08">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b/>
                <w:bCs w:val="0"/>
                <w:color w:val="000000" w:themeColor="text1"/>
                <w:sz w:val="24"/>
                <w:highlight w:val="none"/>
                <w:lang w:val="en-US" w:eastAsia="zh-CN"/>
                <w14:textFill>
                  <w14:solidFill>
                    <w14:schemeClr w14:val="tx1"/>
                  </w14:solidFill>
                </w14:textFill>
              </w:rPr>
            </w:pPr>
            <w:r>
              <w:rPr>
                <w:rFonts w:hint="default" w:ascii="Times New Roman" w:hAnsi="Times New Roman" w:eastAsia="Times New Roman" w:cs="Times New Roman"/>
                <w:b/>
                <w:bCs w:val="0"/>
                <w:color w:val="000000" w:themeColor="text1"/>
                <w:sz w:val="24"/>
                <w:highlight w:val="none"/>
                <w:lang w:val="en-US" w:eastAsia="zh-CN"/>
                <w14:textFill>
                  <w14:solidFill>
                    <w14:schemeClr w14:val="tx1"/>
                  </w14:solidFill>
                </w14:textFill>
              </w:rPr>
              <w:t>1.</w:t>
            </w:r>
            <w:r>
              <w:rPr>
                <w:rFonts w:hint="eastAsia" w:eastAsia="Times New Roman" w:cs="Times New Roman"/>
                <w:b/>
                <w:bCs w:val="0"/>
                <w:color w:val="000000" w:themeColor="text1"/>
                <w:sz w:val="24"/>
                <w:highlight w:val="none"/>
                <w:lang w:val="en-US" w:eastAsia="zh-CN"/>
                <w14:textFill>
                  <w14:solidFill>
                    <w14:schemeClr w14:val="tx1"/>
                  </w14:solidFill>
                </w14:textFill>
              </w:rPr>
              <w:t>2</w:t>
            </w:r>
            <w:r>
              <w:rPr>
                <w:rFonts w:hint="default" w:ascii="Times New Roman" w:hAnsi="Times New Roman" w:eastAsia="Times New Roman" w:cs="Times New Roman"/>
                <w:b/>
                <w:bCs w:val="0"/>
                <w:color w:val="000000" w:themeColor="text1"/>
                <w:sz w:val="24"/>
                <w:highlight w:val="none"/>
                <w:vertAlign w:val="baseline"/>
                <w:lang w:val="en-US" w:eastAsia="zh-CN"/>
                <w14:textFill>
                  <w14:solidFill>
                    <w14:schemeClr w14:val="tx1"/>
                  </w14:solidFill>
                </w14:textFill>
              </w:rPr>
              <w:t>治理设施</w:t>
            </w:r>
          </w:p>
          <w:p w14:paraId="7C6CB2B0">
            <w:pPr>
              <w:keepNext w:val="0"/>
              <w:keepLines w:val="0"/>
              <w:pageBreakBefore w:val="0"/>
              <w:widowControl w:val="0"/>
              <w:suppressLineNumbers w:val="0"/>
              <w:kinsoku/>
              <w:wordWrap/>
              <w:topLinePunct w:val="0"/>
              <w:autoSpaceDE w:val="0"/>
              <w:autoSpaceDN w:val="0"/>
              <w:bidi w:val="0"/>
              <w:adjustRightInd w:val="0"/>
              <w:snapToGrid w:val="0"/>
              <w:spacing w:before="0" w:beforeAutospacing="0" w:after="0" w:afterAutospacing="0" w:line="360" w:lineRule="auto"/>
              <w:ind w:left="0" w:right="0" w:firstLine="460" w:firstLineChars="192"/>
              <w:jc w:val="both"/>
              <w:rPr>
                <w:rFonts w:hint="default" w:ascii="Times New Roman" w:hAnsi="Times New Roman" w:eastAsia="宋体" w:cs="Times New Roman"/>
                <w:b w:val="0"/>
                <w:bCs w:val="0"/>
                <w:color w:val="auto"/>
                <w:kern w:val="2"/>
                <w:sz w:val="24"/>
                <w:szCs w:val="24"/>
                <w:highlight w:val="none"/>
                <w:u w:val="none" w:color="auto"/>
                <w:lang w:val="en-US" w:eastAsia="zh-CN" w:bidi="ar-SA"/>
              </w:rPr>
            </w:pPr>
            <w:r>
              <w:rPr>
                <w:rFonts w:hint="eastAsia" w:cs="Times New Roman"/>
                <w:b w:val="0"/>
                <w:bCs w:val="0"/>
                <w:color w:val="auto"/>
                <w:kern w:val="2"/>
                <w:sz w:val="24"/>
                <w:szCs w:val="24"/>
                <w:highlight w:val="none"/>
                <w:u w:val="none" w:color="auto"/>
                <w:lang w:val="en-US" w:eastAsia="zh-CN" w:bidi="ar-SA"/>
              </w:rPr>
              <w:t>本项目在2台挤出（吹膜）机、5台高频复合机、5台水带粘合机上方、5台喷码机上方</w:t>
            </w:r>
            <w:r>
              <w:rPr>
                <w:rFonts w:hint="default" w:ascii="Times New Roman" w:hAnsi="Times New Roman" w:eastAsia="宋体" w:cs="Times New Roman"/>
                <w:b w:val="0"/>
                <w:bCs w:val="0"/>
                <w:color w:val="auto"/>
                <w:kern w:val="2"/>
                <w:sz w:val="24"/>
                <w:szCs w:val="24"/>
                <w:highlight w:val="none"/>
                <w:u w:val="none" w:color="auto"/>
                <w:lang w:val="en-US" w:eastAsia="zh-CN" w:bidi="ar-SA"/>
              </w:rPr>
              <w:t>设置</w:t>
            </w:r>
            <w:r>
              <w:rPr>
                <w:rFonts w:hint="eastAsia" w:cs="Times New Roman"/>
                <w:b w:val="0"/>
                <w:bCs w:val="0"/>
                <w:color w:val="auto"/>
                <w:kern w:val="2"/>
                <w:sz w:val="24"/>
                <w:szCs w:val="24"/>
                <w:highlight w:val="none"/>
                <w:u w:val="none" w:color="auto"/>
                <w:lang w:val="en-US" w:eastAsia="zh-CN" w:bidi="ar-SA"/>
              </w:rPr>
              <w:t>密闭集气罩，总计17个，单个集气罩面积为0.25m</w:t>
            </w:r>
            <w:r>
              <w:rPr>
                <w:rFonts w:hint="eastAsia" w:cs="Times New Roman"/>
                <w:b w:val="0"/>
                <w:bCs w:val="0"/>
                <w:color w:val="auto"/>
                <w:kern w:val="2"/>
                <w:sz w:val="24"/>
                <w:szCs w:val="24"/>
                <w:highlight w:val="none"/>
                <w:u w:val="none" w:color="auto"/>
                <w:vertAlign w:val="superscript"/>
                <w:lang w:val="en-US" w:eastAsia="zh-CN" w:bidi="ar-SA"/>
              </w:rPr>
              <w:t>2</w:t>
            </w:r>
            <w:r>
              <w:rPr>
                <w:rFonts w:hint="eastAsia" w:ascii="Times New Roman" w:hAnsi="Times New Roman" w:eastAsia="宋体" w:cs="Times New Roman"/>
                <w:b w:val="0"/>
                <w:bCs w:val="0"/>
                <w:color w:val="auto"/>
                <w:kern w:val="2"/>
                <w:sz w:val="24"/>
                <w:szCs w:val="24"/>
                <w:highlight w:val="none"/>
                <w:u w:val="none" w:color="auto"/>
                <w:lang w:val="en-US" w:eastAsia="zh-CN" w:bidi="ar-SA"/>
              </w:rPr>
              <w:t>，</w:t>
            </w:r>
            <w:r>
              <w:rPr>
                <w:rFonts w:hint="eastAsia" w:cs="Times New Roman"/>
                <w:b w:val="0"/>
                <w:bCs w:val="0"/>
                <w:color w:val="auto"/>
                <w:kern w:val="2"/>
                <w:sz w:val="24"/>
                <w:szCs w:val="24"/>
                <w:highlight w:val="none"/>
                <w:u w:val="none" w:color="auto"/>
                <w:lang w:val="en-US" w:eastAsia="zh-CN" w:bidi="ar-SA"/>
              </w:rPr>
              <w:t>根据</w:t>
            </w:r>
            <w:r>
              <w:rPr>
                <w:rFonts w:hint="default" w:ascii="Times New Roman" w:hAnsi="Times New Roman" w:eastAsia="宋体" w:cs="Times New Roman"/>
                <w:b w:val="0"/>
                <w:bCs w:val="0"/>
                <w:color w:val="auto"/>
                <w:kern w:val="2"/>
                <w:sz w:val="24"/>
                <w:szCs w:val="24"/>
                <w:highlight w:val="none"/>
                <w:u w:val="none" w:color="auto"/>
                <w:vertAlign w:val="baseline"/>
                <w:lang w:val="en-US" w:eastAsia="zh-CN" w:bidi="ar-SA"/>
              </w:rPr>
              <w:t>《挥发性有机物无组织排放控制标准》（GB37822-2019）中进风口控制风速不应低于0.3m/s，本项目取</w:t>
            </w:r>
            <w:r>
              <w:rPr>
                <w:rFonts w:hint="eastAsia" w:cs="Times New Roman"/>
                <w:b w:val="0"/>
                <w:bCs w:val="0"/>
                <w:color w:val="auto"/>
                <w:kern w:val="2"/>
                <w:sz w:val="24"/>
                <w:szCs w:val="24"/>
                <w:highlight w:val="none"/>
                <w:u w:val="none" w:color="auto"/>
                <w:vertAlign w:val="baseline"/>
                <w:lang w:val="en-US" w:eastAsia="zh-CN" w:bidi="ar-SA"/>
              </w:rPr>
              <w:t>0.3</w:t>
            </w:r>
            <w:r>
              <w:rPr>
                <w:rFonts w:hint="default" w:ascii="Times New Roman" w:hAnsi="Times New Roman" w:eastAsia="宋体" w:cs="Times New Roman"/>
                <w:b w:val="0"/>
                <w:bCs w:val="0"/>
                <w:color w:val="auto"/>
                <w:kern w:val="2"/>
                <w:sz w:val="24"/>
                <w:szCs w:val="24"/>
                <w:highlight w:val="none"/>
                <w:u w:val="none" w:color="auto"/>
                <w:vertAlign w:val="baseline"/>
                <w:lang w:val="en-US" w:eastAsia="zh-CN" w:bidi="ar-SA"/>
              </w:rPr>
              <w:t>m/s</w:t>
            </w:r>
            <w:r>
              <w:rPr>
                <w:rFonts w:hint="default" w:ascii="Times New Roman" w:hAnsi="Times New Roman" w:eastAsia="宋体" w:cs="Times New Roman"/>
                <w:b w:val="0"/>
                <w:bCs w:val="0"/>
                <w:color w:val="auto"/>
                <w:kern w:val="2"/>
                <w:sz w:val="24"/>
                <w:szCs w:val="24"/>
                <w:highlight w:val="none"/>
                <w:u w:val="none" w:color="auto"/>
                <w:lang w:val="en-US" w:eastAsia="zh-CN" w:bidi="ar-SA"/>
              </w:rPr>
              <w:t>，</w:t>
            </w:r>
            <w:r>
              <w:rPr>
                <w:rFonts w:hint="eastAsia" w:cs="Times New Roman"/>
                <w:b w:val="0"/>
                <w:bCs w:val="0"/>
                <w:color w:val="auto"/>
                <w:kern w:val="2"/>
                <w:sz w:val="24"/>
                <w:szCs w:val="24"/>
                <w:highlight w:val="none"/>
                <w:u w:val="none" w:color="auto"/>
                <w:lang w:val="en-US" w:eastAsia="zh-CN" w:bidi="ar-SA"/>
              </w:rPr>
              <w:t>则项目需要的风量为4590m</w:t>
            </w:r>
            <w:r>
              <w:rPr>
                <w:rFonts w:hint="eastAsia" w:cs="Times New Roman"/>
                <w:b w:val="0"/>
                <w:bCs w:val="0"/>
                <w:color w:val="auto"/>
                <w:kern w:val="2"/>
                <w:sz w:val="24"/>
                <w:szCs w:val="24"/>
                <w:highlight w:val="none"/>
                <w:u w:val="none" w:color="auto"/>
                <w:vertAlign w:val="superscript"/>
                <w:lang w:val="en-US" w:eastAsia="zh-CN" w:bidi="ar-SA"/>
              </w:rPr>
              <w:t>3</w:t>
            </w:r>
            <w:r>
              <w:rPr>
                <w:rFonts w:hint="eastAsia" w:cs="Times New Roman"/>
                <w:b w:val="0"/>
                <w:bCs w:val="0"/>
                <w:color w:val="auto"/>
                <w:kern w:val="2"/>
                <w:sz w:val="24"/>
                <w:szCs w:val="24"/>
                <w:highlight w:val="none"/>
                <w:u w:val="none" w:color="auto"/>
                <w:lang w:val="en-US" w:eastAsia="zh-CN" w:bidi="ar-SA"/>
              </w:rPr>
              <w:t>/h，考虑到风量损失1.2倍并取整，即6000m</w:t>
            </w:r>
            <w:r>
              <w:rPr>
                <w:rFonts w:hint="eastAsia" w:cs="Times New Roman"/>
                <w:b w:val="0"/>
                <w:bCs w:val="0"/>
                <w:color w:val="auto"/>
                <w:kern w:val="2"/>
                <w:sz w:val="24"/>
                <w:szCs w:val="24"/>
                <w:highlight w:val="none"/>
                <w:u w:val="none" w:color="auto"/>
                <w:vertAlign w:val="superscript"/>
                <w:lang w:val="en-US" w:eastAsia="zh-CN" w:bidi="ar-SA"/>
              </w:rPr>
              <w:t>3</w:t>
            </w:r>
            <w:r>
              <w:rPr>
                <w:rFonts w:hint="eastAsia" w:cs="Times New Roman"/>
                <w:b w:val="0"/>
                <w:bCs w:val="0"/>
                <w:color w:val="auto"/>
                <w:kern w:val="2"/>
                <w:sz w:val="24"/>
                <w:szCs w:val="24"/>
                <w:highlight w:val="none"/>
                <w:u w:val="none" w:color="auto"/>
                <w:lang w:val="en-US" w:eastAsia="zh-CN" w:bidi="ar-SA"/>
              </w:rPr>
              <w:t>/h，</w:t>
            </w:r>
            <w:r>
              <w:rPr>
                <w:rFonts w:hint="default" w:ascii="Times New Roman" w:hAnsi="Times New Roman" w:eastAsia="宋体" w:cs="Times New Roman"/>
                <w:b w:val="0"/>
                <w:bCs w:val="0"/>
                <w:color w:val="auto"/>
                <w:kern w:val="2"/>
                <w:sz w:val="24"/>
                <w:szCs w:val="24"/>
                <w:highlight w:val="none"/>
                <w:u w:val="none" w:color="auto"/>
                <w:lang w:val="en-US" w:eastAsia="zh-CN" w:bidi="ar-SA"/>
              </w:rPr>
              <w:t>收集的VOC</w:t>
            </w:r>
            <w:r>
              <w:rPr>
                <w:rFonts w:hint="eastAsia" w:cs="Times New Roman"/>
                <w:b w:val="0"/>
                <w:bCs w:val="0"/>
                <w:color w:val="auto"/>
                <w:kern w:val="2"/>
                <w:sz w:val="24"/>
                <w:szCs w:val="24"/>
                <w:highlight w:val="none"/>
                <w:u w:val="none" w:color="auto"/>
                <w:vertAlign w:val="baseline"/>
                <w:lang w:val="en-US" w:eastAsia="zh-CN" w:bidi="ar-SA"/>
              </w:rPr>
              <w:t>s</w:t>
            </w:r>
            <w:r>
              <w:rPr>
                <w:rFonts w:hint="default" w:ascii="Times New Roman" w:hAnsi="Times New Roman" w:eastAsia="宋体" w:cs="Times New Roman"/>
                <w:b w:val="0"/>
                <w:bCs w:val="0"/>
                <w:color w:val="auto"/>
                <w:kern w:val="2"/>
                <w:sz w:val="24"/>
                <w:szCs w:val="24"/>
                <w:highlight w:val="none"/>
                <w:u w:val="none" w:color="auto"/>
                <w:lang w:val="en-US" w:eastAsia="zh-CN" w:bidi="ar-SA"/>
              </w:rPr>
              <w:t>（以非甲烷总烃计）经</w:t>
            </w:r>
            <w:r>
              <w:rPr>
                <w:rFonts w:hint="eastAsia" w:cs="Times New Roman"/>
                <w:b w:val="0"/>
                <w:bCs w:val="0"/>
                <w:color w:val="auto"/>
                <w:kern w:val="2"/>
                <w:sz w:val="24"/>
                <w:szCs w:val="24"/>
                <w:highlight w:val="none"/>
                <w:u w:val="none" w:color="auto"/>
                <w:lang w:val="en-US" w:eastAsia="zh-CN" w:bidi="ar-SA"/>
              </w:rPr>
              <w:t>“吸附、脱附+催化燃烧”</w:t>
            </w:r>
            <w:r>
              <w:rPr>
                <w:rFonts w:hint="default" w:ascii="Times New Roman" w:hAnsi="Times New Roman" w:eastAsia="宋体" w:cs="Times New Roman"/>
                <w:b w:val="0"/>
                <w:bCs w:val="0"/>
                <w:color w:val="auto"/>
                <w:kern w:val="2"/>
                <w:sz w:val="24"/>
                <w:szCs w:val="24"/>
                <w:highlight w:val="none"/>
                <w:u w:val="none" w:color="auto"/>
                <w:lang w:val="en-US" w:eastAsia="zh-CN" w:bidi="ar-SA"/>
              </w:rPr>
              <w:t>处理后（收集效率为</w:t>
            </w:r>
            <w:r>
              <w:rPr>
                <w:rFonts w:hint="eastAsia" w:cs="Times New Roman"/>
                <w:b w:val="0"/>
                <w:bCs w:val="0"/>
                <w:color w:val="auto"/>
                <w:kern w:val="2"/>
                <w:sz w:val="24"/>
                <w:szCs w:val="24"/>
                <w:highlight w:val="none"/>
                <w:u w:val="none" w:color="auto"/>
                <w:lang w:val="en-US" w:eastAsia="zh-CN" w:bidi="ar-SA"/>
              </w:rPr>
              <w:t>以80%计</w:t>
            </w:r>
            <w:r>
              <w:rPr>
                <w:rFonts w:hint="default" w:ascii="Times New Roman" w:hAnsi="Times New Roman" w:eastAsia="宋体" w:cs="Times New Roman"/>
                <w:b w:val="0"/>
                <w:bCs w:val="0"/>
                <w:color w:val="auto"/>
                <w:kern w:val="2"/>
                <w:sz w:val="24"/>
                <w:szCs w:val="24"/>
                <w:highlight w:val="none"/>
                <w:u w:val="none" w:color="auto"/>
                <w:lang w:val="en-US" w:eastAsia="zh-CN" w:bidi="ar-SA"/>
              </w:rPr>
              <w:t>，</w:t>
            </w:r>
            <w:r>
              <w:rPr>
                <w:rFonts w:hint="eastAsia" w:cs="Times New Roman"/>
                <w:b w:val="0"/>
                <w:bCs w:val="0"/>
                <w:color w:val="auto"/>
                <w:kern w:val="2"/>
                <w:sz w:val="24"/>
                <w:szCs w:val="24"/>
                <w:highlight w:val="none"/>
                <w:u w:val="none" w:color="auto"/>
                <w:lang w:val="en-US" w:eastAsia="zh-CN" w:bidi="ar-SA"/>
              </w:rPr>
              <w:t>整体</w:t>
            </w:r>
            <w:r>
              <w:rPr>
                <w:rFonts w:hint="default" w:ascii="Times New Roman" w:hAnsi="Times New Roman" w:eastAsia="宋体" w:cs="Times New Roman"/>
                <w:b w:val="0"/>
                <w:bCs w:val="0"/>
                <w:color w:val="auto"/>
                <w:kern w:val="2"/>
                <w:sz w:val="24"/>
                <w:szCs w:val="24"/>
                <w:highlight w:val="none"/>
                <w:u w:val="none" w:color="auto"/>
                <w:lang w:val="en-US" w:eastAsia="zh-CN" w:bidi="ar-SA"/>
              </w:rPr>
              <w:t>去除效率按</w:t>
            </w:r>
            <w:r>
              <w:rPr>
                <w:rFonts w:hint="eastAsia" w:cs="Times New Roman"/>
                <w:b w:val="0"/>
                <w:bCs w:val="0"/>
                <w:color w:val="auto"/>
                <w:kern w:val="2"/>
                <w:sz w:val="24"/>
                <w:szCs w:val="24"/>
                <w:highlight w:val="none"/>
                <w:u w:val="none" w:color="auto"/>
                <w:lang w:val="en-US" w:eastAsia="zh-CN" w:bidi="ar-SA"/>
              </w:rPr>
              <w:t>94</w:t>
            </w:r>
            <w:r>
              <w:rPr>
                <w:rFonts w:hint="eastAsia" w:ascii="Times New Roman" w:hAnsi="Times New Roman" w:cs="Times New Roman"/>
                <w:b w:val="0"/>
                <w:bCs w:val="0"/>
                <w:color w:val="auto"/>
                <w:kern w:val="2"/>
                <w:sz w:val="24"/>
                <w:szCs w:val="24"/>
                <w:highlight w:val="none"/>
                <w:u w:val="none" w:color="auto"/>
                <w:lang w:val="en-US" w:eastAsia="zh-CN" w:bidi="ar-SA"/>
              </w:rPr>
              <w:t>%</w:t>
            </w:r>
            <w:r>
              <w:rPr>
                <w:rFonts w:hint="default" w:ascii="Times New Roman" w:hAnsi="Times New Roman" w:eastAsia="宋体" w:cs="Times New Roman"/>
                <w:b w:val="0"/>
                <w:bCs w:val="0"/>
                <w:color w:val="auto"/>
                <w:kern w:val="2"/>
                <w:sz w:val="24"/>
                <w:szCs w:val="24"/>
                <w:highlight w:val="none"/>
                <w:u w:val="none" w:color="auto"/>
                <w:lang w:val="en-US" w:eastAsia="zh-CN" w:bidi="ar-SA"/>
              </w:rPr>
              <w:t>计）经</w:t>
            </w:r>
            <w:r>
              <w:rPr>
                <w:rFonts w:hint="eastAsia" w:cs="Times New Roman"/>
                <w:b w:val="0"/>
                <w:bCs w:val="0"/>
                <w:color w:val="auto"/>
                <w:kern w:val="2"/>
                <w:sz w:val="24"/>
                <w:szCs w:val="24"/>
                <w:highlight w:val="none"/>
                <w:u w:val="none" w:color="auto"/>
                <w:lang w:val="en-US" w:eastAsia="zh-CN" w:bidi="ar-SA"/>
              </w:rPr>
              <w:t>不低于</w:t>
            </w:r>
            <w:r>
              <w:rPr>
                <w:rFonts w:hint="default" w:ascii="Times New Roman" w:hAnsi="Times New Roman" w:eastAsia="宋体" w:cs="Times New Roman"/>
                <w:b w:val="0"/>
                <w:bCs w:val="0"/>
                <w:color w:val="auto"/>
                <w:kern w:val="2"/>
                <w:sz w:val="24"/>
                <w:szCs w:val="24"/>
                <w:highlight w:val="none"/>
                <w:u w:val="none" w:color="auto"/>
                <w:lang w:val="en-US" w:eastAsia="zh-CN" w:bidi="ar-SA"/>
              </w:rPr>
              <w:t>15m高排气筒达标排放（DA00</w:t>
            </w:r>
            <w:r>
              <w:rPr>
                <w:rFonts w:hint="eastAsia" w:ascii="Times New Roman" w:hAnsi="Times New Roman" w:eastAsia="宋体" w:cs="Times New Roman"/>
                <w:b w:val="0"/>
                <w:bCs w:val="0"/>
                <w:color w:val="auto"/>
                <w:kern w:val="2"/>
                <w:sz w:val="24"/>
                <w:szCs w:val="24"/>
                <w:highlight w:val="none"/>
                <w:u w:val="none" w:color="auto"/>
                <w:lang w:val="en-US" w:eastAsia="zh-CN" w:bidi="ar-SA"/>
              </w:rPr>
              <w:t>1</w:t>
            </w:r>
            <w:r>
              <w:rPr>
                <w:rFonts w:hint="default" w:ascii="Times New Roman" w:hAnsi="Times New Roman" w:eastAsia="宋体" w:cs="Times New Roman"/>
                <w:b w:val="0"/>
                <w:bCs w:val="0"/>
                <w:color w:val="auto"/>
                <w:kern w:val="2"/>
                <w:sz w:val="24"/>
                <w:szCs w:val="24"/>
                <w:highlight w:val="none"/>
                <w:u w:val="none" w:color="auto"/>
                <w:lang w:val="en-US" w:eastAsia="zh-CN" w:bidi="ar-SA"/>
              </w:rPr>
              <w:t>）。</w:t>
            </w:r>
          </w:p>
          <w:p w14:paraId="474EF685">
            <w:pPr>
              <w:keepNext w:val="0"/>
              <w:keepLines w:val="0"/>
              <w:pageBreakBefore w:val="0"/>
              <w:widowControl w:val="0"/>
              <w:suppressLineNumbers w:val="0"/>
              <w:kinsoku/>
              <w:wordWrap/>
              <w:topLinePunct w:val="0"/>
              <w:autoSpaceDE w:val="0"/>
              <w:autoSpaceDN w:val="0"/>
              <w:bidi w:val="0"/>
              <w:adjustRightInd w:val="0"/>
              <w:snapToGrid w:val="0"/>
              <w:spacing w:before="0" w:beforeAutospacing="0" w:after="0" w:afterAutospacing="0" w:line="360" w:lineRule="auto"/>
              <w:ind w:left="0" w:right="0" w:firstLine="460" w:firstLineChars="192"/>
              <w:jc w:val="both"/>
              <w:rPr>
                <w:rFonts w:hint="default" w:cs="Times New Roman"/>
                <w:b w:val="0"/>
                <w:bCs w:val="0"/>
                <w:color w:val="auto"/>
                <w:kern w:val="2"/>
                <w:sz w:val="24"/>
                <w:szCs w:val="24"/>
                <w:highlight w:val="none"/>
                <w:u w:val="none" w:color="auto"/>
                <w:lang w:val="en-US" w:eastAsia="zh-CN" w:bidi="ar-SA"/>
              </w:rPr>
            </w:pPr>
            <w:r>
              <w:rPr>
                <w:rFonts w:hint="eastAsia" w:cs="Times New Roman"/>
                <w:b w:val="0"/>
                <w:bCs w:val="0"/>
                <w:color w:val="auto"/>
                <w:kern w:val="2"/>
                <w:sz w:val="24"/>
                <w:szCs w:val="24"/>
                <w:highlight w:val="none"/>
                <w:u w:val="none" w:color="auto"/>
                <w:lang w:val="en-US" w:eastAsia="zh-CN" w:bidi="ar-SA"/>
              </w:rPr>
              <w:t>本项目在灶头上方设置1个集气罩，集气罩的大小为0.25m</w:t>
            </w:r>
            <w:r>
              <w:rPr>
                <w:rFonts w:hint="eastAsia" w:cs="Times New Roman"/>
                <w:b w:val="0"/>
                <w:bCs w:val="0"/>
                <w:color w:val="auto"/>
                <w:kern w:val="2"/>
                <w:sz w:val="24"/>
                <w:szCs w:val="24"/>
                <w:highlight w:val="none"/>
                <w:u w:val="none" w:color="auto"/>
                <w:vertAlign w:val="superscript"/>
                <w:lang w:val="en-US" w:eastAsia="zh-CN" w:bidi="ar-SA"/>
              </w:rPr>
              <w:t>2</w:t>
            </w:r>
            <w:r>
              <w:rPr>
                <w:rFonts w:hint="eastAsia" w:cs="Times New Roman"/>
                <w:b w:val="0"/>
                <w:bCs w:val="0"/>
                <w:color w:val="auto"/>
                <w:kern w:val="2"/>
                <w:sz w:val="24"/>
                <w:szCs w:val="24"/>
                <w:highlight w:val="none"/>
                <w:u w:val="none" w:color="auto"/>
                <w:lang w:val="en-US" w:eastAsia="zh-CN" w:bidi="ar-SA"/>
              </w:rPr>
              <w:t>（0.5m*0.5m），集气效率取80%，油烟经过集气罩收集后由静电油烟净化器</w:t>
            </w:r>
            <w:r>
              <w:rPr>
                <w:rFonts w:hint="default" w:cs="Times New Roman"/>
                <w:b w:val="0"/>
                <w:bCs w:val="0"/>
                <w:color w:val="auto"/>
                <w:kern w:val="2"/>
                <w:sz w:val="24"/>
                <w:szCs w:val="24"/>
                <w:highlight w:val="none"/>
                <w:u w:val="none" w:color="auto"/>
                <w:lang w:val="en-US" w:eastAsia="zh-CN" w:bidi="ar-SA"/>
              </w:rPr>
              <w:t>进行处理</w:t>
            </w:r>
            <w:r>
              <w:rPr>
                <w:rFonts w:hint="eastAsia" w:cs="Times New Roman"/>
                <w:b w:val="0"/>
                <w:bCs w:val="0"/>
                <w:color w:val="auto"/>
                <w:kern w:val="2"/>
                <w:sz w:val="24"/>
                <w:szCs w:val="24"/>
                <w:highlight w:val="none"/>
                <w:u w:val="none" w:color="auto"/>
                <w:lang w:val="en-US" w:eastAsia="zh-CN" w:bidi="ar-SA"/>
              </w:rPr>
              <w:t>，净化效率按90%取，油烟净化器风机设计风量为2000m</w:t>
            </w:r>
            <w:r>
              <w:rPr>
                <w:rFonts w:hint="eastAsia" w:cs="Times New Roman"/>
                <w:b w:val="0"/>
                <w:bCs w:val="0"/>
                <w:color w:val="auto"/>
                <w:kern w:val="2"/>
                <w:sz w:val="24"/>
                <w:szCs w:val="24"/>
                <w:highlight w:val="none"/>
                <w:u w:val="none" w:color="auto"/>
                <w:vertAlign w:val="superscript"/>
                <w:lang w:val="en-US" w:eastAsia="zh-CN" w:bidi="ar-SA"/>
              </w:rPr>
              <w:t>3</w:t>
            </w:r>
            <w:r>
              <w:rPr>
                <w:rFonts w:hint="eastAsia" w:cs="Times New Roman"/>
                <w:b w:val="0"/>
                <w:bCs w:val="0"/>
                <w:color w:val="auto"/>
                <w:kern w:val="2"/>
                <w:sz w:val="24"/>
                <w:szCs w:val="24"/>
                <w:highlight w:val="none"/>
                <w:u w:val="none" w:color="auto"/>
                <w:lang w:val="en-US" w:eastAsia="zh-CN" w:bidi="ar-SA"/>
              </w:rPr>
              <w:t>/h，处理后通过排气筒排放。</w:t>
            </w:r>
          </w:p>
          <w:p w14:paraId="05178437">
            <w:pPr>
              <w:keepNext w:val="0"/>
              <w:keepLines w:val="0"/>
              <w:pageBreakBefore w:val="0"/>
              <w:widowControl w:val="0"/>
              <w:suppressLineNumbers w:val="0"/>
              <w:kinsoku/>
              <w:wordWrap/>
              <w:topLinePunct w:val="0"/>
              <w:autoSpaceDE w:val="0"/>
              <w:autoSpaceDN w:val="0"/>
              <w:bidi w:val="0"/>
              <w:adjustRightInd w:val="0"/>
              <w:snapToGrid w:val="0"/>
              <w:spacing w:before="0" w:beforeAutospacing="0" w:after="0" w:afterAutospacing="0" w:line="360" w:lineRule="auto"/>
              <w:ind w:left="0" w:right="0" w:firstLine="460" w:firstLineChars="192"/>
              <w:jc w:val="both"/>
              <w:rPr>
                <w:rFonts w:hint="default" w:ascii="Times New Roman" w:hAnsi="Times New Roman" w:eastAsia="宋体" w:cs="Times New Roman"/>
                <w:b w:val="0"/>
                <w:bCs w:val="0"/>
                <w:color w:val="auto"/>
                <w:kern w:val="2"/>
                <w:sz w:val="24"/>
                <w:szCs w:val="24"/>
                <w:highlight w:val="none"/>
                <w:u w:val="none" w:color="auto"/>
                <w:lang w:val="en-US" w:eastAsia="zh-CN" w:bidi="ar-SA"/>
              </w:rPr>
            </w:pPr>
            <w:r>
              <w:rPr>
                <w:rFonts w:hint="default" w:ascii="Times New Roman" w:hAnsi="Times New Roman" w:eastAsia="宋体" w:cs="Times New Roman"/>
                <w:b w:val="0"/>
                <w:bCs w:val="0"/>
                <w:color w:val="auto"/>
                <w:kern w:val="2"/>
                <w:sz w:val="24"/>
                <w:szCs w:val="24"/>
                <w:highlight w:val="none"/>
                <w:u w:val="none" w:color="auto"/>
                <w:lang w:val="en-US" w:eastAsia="zh-CN" w:bidi="ar-SA"/>
              </w:rPr>
              <w:t>本项目废气污染防治可行技术参考《排污许可证申请与核发技术规范橡胶和塑料制品工业》（HJ1122-2020）</w:t>
            </w:r>
            <w:r>
              <w:rPr>
                <w:rFonts w:hint="eastAsia" w:cs="Times New Roman"/>
                <w:b w:val="0"/>
                <w:bCs w:val="0"/>
                <w:color w:val="auto"/>
                <w:kern w:val="2"/>
                <w:sz w:val="24"/>
                <w:szCs w:val="24"/>
                <w:highlight w:val="none"/>
                <w:u w:val="none" w:color="auto"/>
                <w:lang w:val="en-US" w:eastAsia="zh-CN" w:bidi="ar-SA"/>
              </w:rPr>
              <w:t>、</w:t>
            </w:r>
            <w:r>
              <w:rPr>
                <w:rFonts w:hint="eastAsia"/>
                <w:color w:val="auto"/>
                <w:sz w:val="24"/>
              </w:rPr>
              <w:t>《排污许可证申请与核发技术规范</w:t>
            </w:r>
            <w:r>
              <w:rPr>
                <w:rFonts w:hint="eastAsia"/>
                <w:color w:val="auto"/>
                <w:sz w:val="24"/>
                <w:lang w:val="en-US" w:eastAsia="zh-CN"/>
              </w:rPr>
              <w:t xml:space="preserve"> </w:t>
            </w:r>
            <w:r>
              <w:rPr>
                <w:rFonts w:hint="eastAsia"/>
                <w:color w:val="auto"/>
                <w:sz w:val="24"/>
              </w:rPr>
              <w:t>食品制造工业》（HJ1030.3-2019）</w:t>
            </w:r>
            <w:r>
              <w:rPr>
                <w:rFonts w:hint="eastAsia"/>
                <w:color w:val="auto"/>
                <w:sz w:val="24"/>
                <w:lang w:eastAsia="zh-CN"/>
              </w:rPr>
              <w:t>。</w:t>
            </w:r>
            <w:r>
              <w:rPr>
                <w:rFonts w:hint="default" w:ascii="Times New Roman" w:hAnsi="Times New Roman" w:eastAsia="宋体" w:cs="Times New Roman"/>
                <w:b w:val="0"/>
                <w:bCs w:val="0"/>
                <w:color w:val="auto"/>
                <w:kern w:val="2"/>
                <w:sz w:val="24"/>
                <w:szCs w:val="24"/>
                <w:highlight w:val="none"/>
                <w:u w:val="none" w:color="auto"/>
                <w:lang w:val="en-US" w:eastAsia="zh-CN" w:bidi="ar-SA"/>
              </w:rPr>
              <w:t>项目污染治理设施情况详见下表。</w:t>
            </w:r>
          </w:p>
          <w:p w14:paraId="48EE569B">
            <w:pPr>
              <w:keepNext w:val="0"/>
              <w:keepLines w:val="0"/>
              <w:pageBreakBefore w:val="0"/>
              <w:widowControl w:val="0"/>
              <w:suppressLineNumbers w:val="0"/>
              <w:kinsoku/>
              <w:wordWrap/>
              <w:topLinePunct w:val="0"/>
              <w:autoSpaceDE w:val="0"/>
              <w:autoSpaceDN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kern w:val="2"/>
                <w:sz w:val="24"/>
                <w:szCs w:val="24"/>
                <w:highlight w:val="none"/>
                <w:u w:val="none" w:color="auto"/>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u w:val="none" w:color="auto"/>
                <w:lang w:val="en-US" w:eastAsia="zh-CN" w:bidi="ar-SA"/>
                <w14:textFill>
                  <w14:solidFill>
                    <w14:schemeClr w14:val="tx1"/>
                  </w14:solidFill>
                </w14:textFill>
              </w:rPr>
              <w:t>有组织废气污染治理设施情况表</w:t>
            </w:r>
          </w:p>
          <w:tbl>
            <w:tblPr>
              <w:tblStyle w:val="30"/>
              <w:tblW w:w="4997" w:type="pct"/>
              <w:jc w:val="center"/>
              <w:tblBorders>
                <w:top w:val="single" w:color="auto" w:sz="2" w:space="0"/>
                <w:left w:val="none" w:color="auto" w:sz="4" w:space="0"/>
                <w:bottom w:val="single" w:color="auto" w:sz="2" w:space="0"/>
                <w:right w:val="non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9"/>
              <w:gridCol w:w="646"/>
              <w:gridCol w:w="2624"/>
              <w:gridCol w:w="1162"/>
              <w:gridCol w:w="954"/>
              <w:gridCol w:w="959"/>
              <w:gridCol w:w="852"/>
            </w:tblGrid>
            <w:tr w14:paraId="37814CFB">
              <w:tblPrEx>
                <w:tblBorders>
                  <w:top w:val="single" w:color="auto" w:sz="2" w:space="0"/>
                  <w:left w:val="none" w:color="auto" w:sz="4" w:space="0"/>
                  <w:bottom w:val="single" w:color="auto" w:sz="2"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98" w:type="pct"/>
                  <w:tcBorders>
                    <w:top w:val="single" w:color="auto" w:sz="2" w:space="0"/>
                    <w:left w:val="nil"/>
                    <w:bottom w:val="single" w:color="auto" w:sz="4" w:space="0"/>
                    <w:right w:val="single" w:color="auto" w:sz="4" w:space="0"/>
                  </w:tcBorders>
                  <w:noWrap w:val="0"/>
                  <w:vAlign w:val="center"/>
                </w:tcPr>
                <w:p w14:paraId="1417ABC8">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产污环节</w:t>
                  </w:r>
                </w:p>
              </w:tc>
              <w:tc>
                <w:tcPr>
                  <w:tcW w:w="386" w:type="pct"/>
                  <w:tcBorders>
                    <w:top w:val="single" w:color="auto" w:sz="2" w:space="0"/>
                    <w:left w:val="single" w:color="auto" w:sz="4" w:space="0"/>
                    <w:bottom w:val="single" w:color="auto" w:sz="4" w:space="0"/>
                    <w:right w:val="single" w:color="auto" w:sz="4" w:space="0"/>
                  </w:tcBorders>
                  <w:noWrap w:val="0"/>
                  <w:vAlign w:val="center"/>
                </w:tcPr>
                <w:p w14:paraId="3414E7AF">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pPr>
                  <w:r>
                    <w:rPr>
                      <w:rFonts w:hint="eastAsia" w:cs="Times New Roman"/>
                      <w:b/>
                      <w:bCs/>
                      <w:color w:val="000000" w:themeColor="text1"/>
                      <w:kern w:val="0"/>
                      <w:sz w:val="21"/>
                      <w:szCs w:val="21"/>
                      <w:lang w:val="en-US" w:eastAsia="zh-CN" w:bidi="ar"/>
                      <w14:textFill>
                        <w14:solidFill>
                          <w14:schemeClr w14:val="tx1"/>
                        </w14:solidFill>
                      </w14:textFill>
                    </w:rPr>
                    <w:t>污染物</w:t>
                  </w:r>
                </w:p>
              </w:tc>
              <w:tc>
                <w:tcPr>
                  <w:tcW w:w="1568" w:type="pct"/>
                  <w:tcBorders>
                    <w:top w:val="single" w:color="auto" w:sz="2" w:space="0"/>
                    <w:left w:val="single" w:color="auto" w:sz="4" w:space="0"/>
                    <w:bottom w:val="single" w:color="auto" w:sz="4" w:space="0"/>
                    <w:right w:val="single" w:color="auto" w:sz="4" w:space="0"/>
                  </w:tcBorders>
                  <w:noWrap w:val="0"/>
                  <w:vAlign w:val="center"/>
                </w:tcPr>
                <w:p w14:paraId="2E0D4FC7">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治理设施</w:t>
                  </w:r>
                </w:p>
              </w:tc>
              <w:tc>
                <w:tcPr>
                  <w:tcW w:w="694" w:type="pct"/>
                  <w:tcBorders>
                    <w:top w:val="single" w:color="auto" w:sz="2" w:space="0"/>
                    <w:left w:val="single" w:color="auto" w:sz="4" w:space="0"/>
                    <w:bottom w:val="single" w:color="auto" w:sz="4" w:space="0"/>
                    <w:right w:val="single" w:color="auto" w:sz="4" w:space="0"/>
                  </w:tcBorders>
                  <w:noWrap w:val="0"/>
                  <w:vAlign w:val="center"/>
                </w:tcPr>
                <w:p w14:paraId="65E43F0A">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收集效率%</w:t>
                  </w:r>
                </w:p>
              </w:tc>
              <w:tc>
                <w:tcPr>
                  <w:tcW w:w="570" w:type="pct"/>
                  <w:tcBorders>
                    <w:top w:val="single" w:color="auto" w:sz="2" w:space="0"/>
                    <w:left w:val="single" w:color="auto" w:sz="4" w:space="0"/>
                    <w:bottom w:val="single" w:color="auto" w:sz="4" w:space="0"/>
                    <w:right w:val="single" w:color="auto" w:sz="4" w:space="0"/>
                  </w:tcBorders>
                  <w:noWrap w:val="0"/>
                  <w:vAlign w:val="center"/>
                </w:tcPr>
                <w:p w14:paraId="52959828">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治理工艺除去率%</w:t>
                  </w:r>
                </w:p>
              </w:tc>
              <w:tc>
                <w:tcPr>
                  <w:tcW w:w="573" w:type="pct"/>
                  <w:tcBorders>
                    <w:top w:val="single" w:color="auto" w:sz="2" w:space="0"/>
                    <w:left w:val="single" w:color="auto" w:sz="4" w:space="0"/>
                    <w:bottom w:val="single" w:color="auto" w:sz="4" w:space="0"/>
                    <w:right w:val="single" w:color="auto" w:sz="4" w:space="0"/>
                  </w:tcBorders>
                  <w:noWrap w:val="0"/>
                  <w:vAlign w:val="center"/>
                </w:tcPr>
                <w:p w14:paraId="63AA7817">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是否为可行技术</w:t>
                  </w:r>
                </w:p>
              </w:tc>
              <w:tc>
                <w:tcPr>
                  <w:tcW w:w="509" w:type="pct"/>
                  <w:tcBorders>
                    <w:top w:val="single" w:color="auto" w:sz="2" w:space="0"/>
                    <w:left w:val="single" w:color="auto" w:sz="4" w:space="0"/>
                    <w:bottom w:val="single" w:color="auto" w:sz="4" w:space="0"/>
                    <w:right w:val="nil"/>
                  </w:tcBorders>
                  <w:noWrap w:val="0"/>
                  <w:vAlign w:val="center"/>
                </w:tcPr>
                <w:p w14:paraId="50A9F380">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年工作时间</w:t>
                  </w:r>
                </w:p>
              </w:tc>
            </w:tr>
            <w:tr w14:paraId="4AB4A52A">
              <w:tblPrEx>
                <w:tblBorders>
                  <w:top w:val="single" w:color="auto" w:sz="2" w:space="0"/>
                  <w:left w:val="none" w:color="auto" w:sz="4" w:space="0"/>
                  <w:bottom w:val="single" w:color="auto" w:sz="2"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698" w:type="pct"/>
                  <w:tcBorders>
                    <w:top w:val="single" w:color="auto" w:sz="4" w:space="0"/>
                    <w:left w:val="nil"/>
                    <w:bottom w:val="single" w:color="auto" w:sz="4" w:space="0"/>
                    <w:right w:val="single" w:color="auto" w:sz="4" w:space="0"/>
                  </w:tcBorders>
                  <w:noWrap w:val="0"/>
                  <w:vAlign w:val="center"/>
                </w:tcPr>
                <w:p w14:paraId="1A5B2DC8">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eastAsia" w:ascii="Times New Roman" w:hAnsi="Times New Roman" w:eastAsia="宋体" w:cs="Times New Roman"/>
                      <w:b w:val="0"/>
                      <w:bCs w:val="0"/>
                      <w:color w:val="000000" w:themeColor="text1"/>
                      <w:kern w:val="0"/>
                      <w:sz w:val="21"/>
                      <w:szCs w:val="21"/>
                      <w:lang w:eastAsia="zh-CN"/>
                      <w14:textFill>
                        <w14:solidFill>
                          <w14:schemeClr w14:val="tx1"/>
                        </w14:solidFill>
                      </w14:textFill>
                    </w:rPr>
                  </w:pPr>
                  <w:r>
                    <w:rPr>
                      <w:rFonts w:hint="eastAsia" w:cs="Times New Roman"/>
                      <w:b w:val="0"/>
                      <w:bCs w:val="0"/>
                      <w:color w:val="000000" w:themeColor="text1"/>
                      <w:kern w:val="0"/>
                      <w:sz w:val="21"/>
                      <w:szCs w:val="21"/>
                      <w:lang w:eastAsia="zh-CN"/>
                      <w14:textFill>
                        <w14:solidFill>
                          <w14:schemeClr w14:val="tx1"/>
                        </w14:solidFill>
                      </w14:textFill>
                    </w:rPr>
                    <w:t>挤出（吹膜）、高频复合、粘合、喷码</w:t>
                  </w:r>
                </w:p>
              </w:tc>
              <w:tc>
                <w:tcPr>
                  <w:tcW w:w="386" w:type="pct"/>
                  <w:tcBorders>
                    <w:top w:val="single" w:color="auto" w:sz="4" w:space="0"/>
                    <w:left w:val="single" w:color="auto" w:sz="4" w:space="0"/>
                    <w:bottom w:val="single" w:color="auto" w:sz="4" w:space="0"/>
                    <w:right w:val="single" w:color="auto" w:sz="4" w:space="0"/>
                  </w:tcBorders>
                  <w:noWrap w:val="0"/>
                  <w:vAlign w:val="center"/>
                </w:tcPr>
                <w:p w14:paraId="38CFD9BC">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kern w:val="2"/>
                      <w:sz w:val="21"/>
                      <w:szCs w:val="21"/>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u w:val="none" w:color="auto"/>
                      <w:lang w:val="en-US" w:eastAsia="zh-CN"/>
                      <w14:textFill>
                        <w14:solidFill>
                          <w14:schemeClr w14:val="tx1"/>
                        </w14:solidFill>
                      </w14:textFill>
                    </w:rPr>
                    <w:t>VOCs</w:t>
                  </w:r>
                </w:p>
              </w:tc>
              <w:tc>
                <w:tcPr>
                  <w:tcW w:w="1568" w:type="pct"/>
                  <w:tcBorders>
                    <w:top w:val="single" w:color="auto" w:sz="4" w:space="0"/>
                    <w:left w:val="single" w:color="auto" w:sz="4" w:space="0"/>
                    <w:bottom w:val="single" w:color="auto" w:sz="4" w:space="0"/>
                    <w:right w:val="single" w:color="auto" w:sz="4" w:space="0"/>
                  </w:tcBorders>
                  <w:noWrap w:val="0"/>
                  <w:vAlign w:val="center"/>
                </w:tcPr>
                <w:p w14:paraId="36DB2BAF">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
                      <w14:textFill>
                        <w14:solidFill>
                          <w14:schemeClr w14:val="tx1"/>
                        </w14:solidFill>
                      </w14:textFill>
                    </w:rPr>
                    <w:t>密闭集气罩+1</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套“吸附、脱附+催化燃烧”+1根不低于15m高排气筒（DA00</w:t>
                  </w:r>
                  <w:r>
                    <w:rPr>
                      <w:rFonts w:hint="eastAsia"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1</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w:t>
                  </w:r>
                </w:p>
              </w:tc>
              <w:tc>
                <w:tcPr>
                  <w:tcW w:w="694" w:type="pct"/>
                  <w:tcBorders>
                    <w:top w:val="single" w:color="auto" w:sz="4" w:space="0"/>
                    <w:left w:val="single" w:color="auto" w:sz="4" w:space="0"/>
                    <w:bottom w:val="single" w:color="auto" w:sz="4" w:space="0"/>
                    <w:right w:val="single" w:color="auto" w:sz="4" w:space="0"/>
                  </w:tcBorders>
                  <w:noWrap w:val="0"/>
                  <w:vAlign w:val="center"/>
                </w:tcPr>
                <w:p w14:paraId="338EFF52">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80</w:t>
                  </w:r>
                </w:p>
              </w:tc>
              <w:tc>
                <w:tcPr>
                  <w:tcW w:w="570" w:type="pct"/>
                  <w:tcBorders>
                    <w:top w:val="single" w:color="auto" w:sz="4" w:space="0"/>
                    <w:left w:val="single" w:color="auto" w:sz="4" w:space="0"/>
                    <w:bottom w:val="single" w:color="auto" w:sz="4" w:space="0"/>
                    <w:right w:val="single" w:color="auto" w:sz="4" w:space="0"/>
                  </w:tcBorders>
                  <w:noWrap w:val="0"/>
                  <w:vAlign w:val="center"/>
                </w:tcPr>
                <w:p w14:paraId="37C7FECB">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lang w:val="en-US"/>
                      <w14:textFill>
                        <w14:solidFill>
                          <w14:schemeClr w14:val="tx1"/>
                        </w14:solidFill>
                      </w14:textFill>
                    </w:rPr>
                  </w:pPr>
                  <w:r>
                    <w:rPr>
                      <w:rFonts w:hint="eastAsia" w:cs="Times New Roman"/>
                      <w:b w:val="0"/>
                      <w:bCs w:val="0"/>
                      <w:color w:val="000000" w:themeColor="text1"/>
                      <w:kern w:val="0"/>
                      <w:sz w:val="21"/>
                      <w:szCs w:val="21"/>
                      <w:lang w:val="en-US" w:eastAsia="zh-CN" w:bidi="ar"/>
                      <w14:textFill>
                        <w14:solidFill>
                          <w14:schemeClr w14:val="tx1"/>
                        </w14:solidFill>
                      </w14:textFill>
                    </w:rPr>
                    <w:t>94</w:t>
                  </w:r>
                </w:p>
              </w:tc>
              <w:tc>
                <w:tcPr>
                  <w:tcW w:w="573" w:type="pct"/>
                  <w:tcBorders>
                    <w:top w:val="single" w:color="auto" w:sz="4" w:space="0"/>
                    <w:left w:val="single" w:color="auto" w:sz="4" w:space="0"/>
                    <w:bottom w:val="single" w:color="auto" w:sz="4" w:space="0"/>
                    <w:right w:val="single" w:color="auto" w:sz="4" w:space="0"/>
                  </w:tcBorders>
                  <w:noWrap w:val="0"/>
                  <w:vAlign w:val="center"/>
                </w:tcPr>
                <w:p w14:paraId="4D37D7A6">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是</w:t>
                  </w:r>
                </w:p>
              </w:tc>
              <w:tc>
                <w:tcPr>
                  <w:tcW w:w="509" w:type="pct"/>
                  <w:tcBorders>
                    <w:top w:val="single" w:color="auto" w:sz="4" w:space="0"/>
                    <w:left w:val="single" w:color="auto" w:sz="4" w:space="0"/>
                    <w:bottom w:val="single" w:color="auto" w:sz="4" w:space="0"/>
                    <w:right w:val="nil"/>
                  </w:tcBorders>
                  <w:noWrap w:val="0"/>
                  <w:vAlign w:val="center"/>
                </w:tcPr>
                <w:p w14:paraId="0C08E47E">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14:textFill>
                        <w14:solidFill>
                          <w14:schemeClr w14:val="tx1"/>
                        </w14:solidFill>
                      </w14:textFill>
                    </w:rPr>
                  </w:pPr>
                  <w:r>
                    <w:rPr>
                      <w:rFonts w:hint="eastAsia" w:cs="Times New Roman"/>
                      <w:b w:val="0"/>
                      <w:bCs w:val="0"/>
                      <w:color w:val="000000" w:themeColor="text1"/>
                      <w:kern w:val="0"/>
                      <w:sz w:val="21"/>
                      <w:szCs w:val="21"/>
                      <w:lang w:val="en-US" w:eastAsia="zh-CN" w:bidi="ar"/>
                      <w14:textFill>
                        <w14:solidFill>
                          <w14:schemeClr w14:val="tx1"/>
                        </w14:solidFill>
                      </w14:textFill>
                    </w:rPr>
                    <w:t>4800</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h</w:t>
                  </w:r>
                </w:p>
              </w:tc>
            </w:tr>
            <w:tr w14:paraId="7949218E">
              <w:tblPrEx>
                <w:tblBorders>
                  <w:top w:val="single" w:color="auto" w:sz="2" w:space="0"/>
                  <w:left w:val="none" w:color="auto" w:sz="4" w:space="0"/>
                  <w:bottom w:val="single" w:color="auto" w:sz="2" w:space="0"/>
                  <w:right w:val="non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698" w:type="pct"/>
                  <w:tcBorders>
                    <w:top w:val="single" w:color="auto" w:sz="4" w:space="0"/>
                    <w:left w:val="nil"/>
                    <w:right w:val="single" w:color="auto" w:sz="4" w:space="0"/>
                  </w:tcBorders>
                  <w:noWrap w:val="0"/>
                  <w:vAlign w:val="center"/>
                </w:tcPr>
                <w:p w14:paraId="1D85EC1D">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eastAsia" w:cs="Times New Roman"/>
                      <w:b w:val="0"/>
                      <w:bCs w:val="0"/>
                      <w:color w:val="000000" w:themeColor="text1"/>
                      <w:kern w:val="0"/>
                      <w:sz w:val="21"/>
                      <w:szCs w:val="21"/>
                      <w:lang w:eastAsia="zh-CN"/>
                      <w14:textFill>
                        <w14:solidFill>
                          <w14:schemeClr w14:val="tx1"/>
                        </w14:solidFill>
                      </w14:textFill>
                    </w:rPr>
                  </w:pPr>
                  <w:r>
                    <w:rPr>
                      <w:rFonts w:hint="eastAsia" w:cs="Times New Roman"/>
                      <w:b w:val="0"/>
                      <w:bCs w:val="0"/>
                      <w:color w:val="000000" w:themeColor="text1"/>
                      <w:kern w:val="0"/>
                      <w:sz w:val="21"/>
                      <w:szCs w:val="21"/>
                      <w:lang w:eastAsia="zh-CN"/>
                      <w14:textFill>
                        <w14:solidFill>
                          <w14:schemeClr w14:val="tx1"/>
                        </w14:solidFill>
                      </w14:textFill>
                    </w:rPr>
                    <w:t>食堂</w:t>
                  </w:r>
                </w:p>
              </w:tc>
              <w:tc>
                <w:tcPr>
                  <w:tcW w:w="386" w:type="pct"/>
                  <w:tcBorders>
                    <w:top w:val="single" w:color="auto" w:sz="4" w:space="0"/>
                    <w:left w:val="single" w:color="auto" w:sz="4" w:space="0"/>
                    <w:bottom w:val="single" w:color="auto" w:sz="4" w:space="0"/>
                    <w:right w:val="single" w:color="auto" w:sz="4" w:space="0"/>
                  </w:tcBorders>
                  <w:noWrap w:val="0"/>
                  <w:vAlign w:val="center"/>
                </w:tcPr>
                <w:p w14:paraId="61AE0CEF">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eastAsia"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油烟</w:t>
                  </w:r>
                </w:p>
              </w:tc>
              <w:tc>
                <w:tcPr>
                  <w:tcW w:w="1568" w:type="pct"/>
                  <w:tcBorders>
                    <w:top w:val="single" w:color="auto" w:sz="4" w:space="0"/>
                    <w:left w:val="single" w:color="auto" w:sz="4" w:space="0"/>
                    <w:right w:val="single" w:color="auto" w:sz="4" w:space="0"/>
                  </w:tcBorders>
                  <w:noWrap w:val="0"/>
                  <w:vAlign w:val="center"/>
                </w:tcPr>
                <w:p w14:paraId="1B05738E">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集气罩+1套静电油烟净化器+房顶排气筒排放</w:t>
                  </w:r>
                </w:p>
              </w:tc>
              <w:tc>
                <w:tcPr>
                  <w:tcW w:w="694" w:type="pct"/>
                  <w:tcBorders>
                    <w:top w:val="single" w:color="auto" w:sz="4" w:space="0"/>
                    <w:left w:val="single" w:color="auto" w:sz="4" w:space="0"/>
                    <w:bottom w:val="single" w:color="auto" w:sz="4" w:space="0"/>
                    <w:right w:val="single" w:color="auto" w:sz="4" w:space="0"/>
                  </w:tcBorders>
                  <w:noWrap w:val="0"/>
                  <w:vAlign w:val="center"/>
                </w:tcPr>
                <w:p w14:paraId="3BDB22AE">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cs="Times New Roman"/>
                      <w:b w:val="0"/>
                      <w:bCs w:val="0"/>
                      <w:color w:val="000000" w:themeColor="text1"/>
                      <w:kern w:val="0"/>
                      <w:sz w:val="21"/>
                      <w:szCs w:val="21"/>
                      <w:lang w:val="en-US" w:eastAsia="zh-CN"/>
                      <w14:textFill>
                        <w14:solidFill>
                          <w14:schemeClr w14:val="tx1"/>
                        </w14:solidFill>
                      </w14:textFill>
                    </w:rPr>
                  </w:pPr>
                  <w:r>
                    <w:rPr>
                      <w:rFonts w:hint="eastAsia" w:cs="Times New Roman"/>
                      <w:b w:val="0"/>
                      <w:bCs w:val="0"/>
                      <w:color w:val="000000" w:themeColor="text1"/>
                      <w:kern w:val="0"/>
                      <w:sz w:val="21"/>
                      <w:szCs w:val="21"/>
                      <w:lang w:val="en-US" w:eastAsia="zh-CN"/>
                      <w14:textFill>
                        <w14:solidFill>
                          <w14:schemeClr w14:val="tx1"/>
                        </w14:solidFill>
                      </w14:textFill>
                    </w:rPr>
                    <w:t>80</w:t>
                  </w:r>
                </w:p>
              </w:tc>
              <w:tc>
                <w:tcPr>
                  <w:tcW w:w="570" w:type="pct"/>
                  <w:tcBorders>
                    <w:top w:val="single" w:color="auto" w:sz="4" w:space="0"/>
                    <w:left w:val="single" w:color="auto" w:sz="4" w:space="0"/>
                    <w:bottom w:val="single" w:color="auto" w:sz="4" w:space="0"/>
                    <w:right w:val="single" w:color="auto" w:sz="4" w:space="0"/>
                  </w:tcBorders>
                  <w:noWrap w:val="0"/>
                  <w:vAlign w:val="center"/>
                </w:tcPr>
                <w:p w14:paraId="171744BE">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cs="Times New Roman"/>
                      <w:b w:val="0"/>
                      <w:bCs w:val="0"/>
                      <w:color w:val="000000" w:themeColor="text1"/>
                      <w:kern w:val="0"/>
                      <w:sz w:val="21"/>
                      <w:szCs w:val="21"/>
                      <w:lang w:val="en-US" w:eastAsia="zh-CN" w:bidi="ar"/>
                      <w14:textFill>
                        <w14:solidFill>
                          <w14:schemeClr w14:val="tx1"/>
                        </w14:solidFill>
                      </w14:textFill>
                    </w:rPr>
                  </w:pPr>
                  <w:r>
                    <w:rPr>
                      <w:rFonts w:hint="eastAsia" w:cs="Times New Roman"/>
                      <w:b w:val="0"/>
                      <w:bCs w:val="0"/>
                      <w:color w:val="000000" w:themeColor="text1"/>
                      <w:kern w:val="0"/>
                      <w:sz w:val="21"/>
                      <w:szCs w:val="21"/>
                      <w:lang w:val="en-US" w:eastAsia="zh-CN" w:bidi="ar"/>
                      <w14:textFill>
                        <w14:solidFill>
                          <w14:schemeClr w14:val="tx1"/>
                        </w14:solidFill>
                      </w14:textFill>
                    </w:rPr>
                    <w:t>90%</w:t>
                  </w:r>
                </w:p>
              </w:tc>
              <w:tc>
                <w:tcPr>
                  <w:tcW w:w="573" w:type="pct"/>
                  <w:tcBorders>
                    <w:top w:val="single" w:color="auto" w:sz="4" w:space="0"/>
                    <w:left w:val="single" w:color="auto" w:sz="4" w:space="0"/>
                    <w:bottom w:val="single" w:color="auto" w:sz="4" w:space="0"/>
                    <w:right w:val="single" w:color="auto" w:sz="4" w:space="0"/>
                  </w:tcBorders>
                  <w:noWrap w:val="0"/>
                  <w:vAlign w:val="center"/>
                </w:tcPr>
                <w:p w14:paraId="69E9A684">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pPr>
                  <w:r>
                    <w:rPr>
                      <w:rFonts w:hint="eastAsia" w:cs="Times New Roman"/>
                      <w:b w:val="0"/>
                      <w:bCs w:val="0"/>
                      <w:color w:val="000000" w:themeColor="text1"/>
                      <w:kern w:val="0"/>
                      <w:sz w:val="21"/>
                      <w:szCs w:val="21"/>
                      <w:lang w:val="en-US" w:eastAsia="zh-CN" w:bidi="ar"/>
                      <w14:textFill>
                        <w14:solidFill>
                          <w14:schemeClr w14:val="tx1"/>
                        </w14:solidFill>
                      </w14:textFill>
                    </w:rPr>
                    <w:t>是</w:t>
                  </w:r>
                </w:p>
              </w:tc>
              <w:tc>
                <w:tcPr>
                  <w:tcW w:w="509" w:type="pct"/>
                  <w:tcBorders>
                    <w:top w:val="single" w:color="auto" w:sz="4" w:space="0"/>
                    <w:left w:val="single" w:color="auto" w:sz="4" w:space="0"/>
                    <w:bottom w:val="single" w:color="auto" w:sz="4" w:space="0"/>
                    <w:right w:val="nil"/>
                  </w:tcBorders>
                  <w:noWrap w:val="0"/>
                  <w:vAlign w:val="center"/>
                </w:tcPr>
                <w:p w14:paraId="00A5D1BB">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cs="Times New Roman"/>
                      <w:b w:val="0"/>
                      <w:bCs w:val="0"/>
                      <w:color w:val="000000" w:themeColor="text1"/>
                      <w:kern w:val="0"/>
                      <w:sz w:val="21"/>
                      <w:szCs w:val="21"/>
                      <w:lang w:val="en-US" w:eastAsia="zh-CN" w:bidi="ar"/>
                      <w14:textFill>
                        <w14:solidFill>
                          <w14:schemeClr w14:val="tx1"/>
                        </w14:solidFill>
                      </w14:textFill>
                    </w:rPr>
                  </w:pPr>
                  <w:r>
                    <w:rPr>
                      <w:rFonts w:hint="eastAsia" w:cs="Times New Roman"/>
                      <w:b w:val="0"/>
                      <w:bCs w:val="0"/>
                      <w:color w:val="000000" w:themeColor="text1"/>
                      <w:kern w:val="0"/>
                      <w:sz w:val="21"/>
                      <w:szCs w:val="21"/>
                      <w:lang w:val="en-US" w:eastAsia="zh-CN" w:bidi="ar"/>
                      <w14:textFill>
                        <w14:solidFill>
                          <w14:schemeClr w14:val="tx1"/>
                        </w14:solidFill>
                      </w14:textFill>
                    </w:rPr>
                    <w:t>900h</w:t>
                  </w:r>
                </w:p>
              </w:tc>
            </w:tr>
          </w:tbl>
          <w:p w14:paraId="38E1142F">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jc w:val="both"/>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Times New Roman" w:cs="Times New Roman"/>
                <w:b w:val="0"/>
                <w:bCs/>
                <w:color w:val="000000" w:themeColor="text1"/>
                <w:sz w:val="24"/>
                <w:highlight w:val="none"/>
                <w:lang w:val="en-US" w:eastAsia="zh-CN"/>
                <w14:textFill>
                  <w14:solidFill>
                    <w14:schemeClr w14:val="tx1"/>
                  </w14:solidFill>
                </w14:textFill>
              </w:rPr>
              <w:t>根据《排污许可证申请与核发技术规范</w:t>
            </w:r>
            <w:r>
              <w:rPr>
                <w:rFonts w:hint="eastAsia" w:eastAsia="Times New Roman" w:cs="Times New Roman"/>
                <w:b w:val="0"/>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Times New Roman" w:cs="Times New Roman"/>
                <w:b w:val="0"/>
                <w:bCs/>
                <w:color w:val="000000" w:themeColor="text1"/>
                <w:sz w:val="24"/>
                <w:highlight w:val="none"/>
                <w:lang w:val="en-US" w:eastAsia="zh-CN"/>
                <w14:textFill>
                  <w14:solidFill>
                    <w14:schemeClr w14:val="tx1"/>
                  </w14:solidFill>
                </w14:textFill>
              </w:rPr>
              <w:t>橡胶和塑料制品工业》（HJ1122-2020）中表A</w:t>
            </w:r>
            <w:r>
              <w:rPr>
                <w:rFonts w:hint="eastAsia" w:eastAsia="Times New Roman" w:cs="Times New Roman"/>
                <w:b w:val="0"/>
                <w:bCs/>
                <w:color w:val="000000" w:themeColor="text1"/>
                <w:sz w:val="24"/>
                <w:highlight w:val="none"/>
                <w:lang w:val="en-US" w:eastAsia="zh-CN"/>
                <w14:textFill>
                  <w14:solidFill>
                    <w14:schemeClr w14:val="tx1"/>
                  </w14:solidFill>
                </w14:textFill>
              </w:rPr>
              <w:t>.</w:t>
            </w:r>
            <w:r>
              <w:rPr>
                <w:rFonts w:hint="default" w:ascii="Times New Roman" w:hAnsi="Times New Roman" w:eastAsia="Times New Roman" w:cs="Times New Roman"/>
                <w:b w:val="0"/>
                <w:bCs/>
                <w:color w:val="000000" w:themeColor="text1"/>
                <w:sz w:val="24"/>
                <w:highlight w:val="none"/>
                <w:lang w:val="en-US" w:eastAsia="zh-CN"/>
                <w14:textFill>
                  <w14:solidFill>
                    <w14:schemeClr w14:val="tx1"/>
                  </w14:solidFill>
                </w14:textFill>
              </w:rPr>
              <w:t>2塑料制品工业排污单位废气污染防治可行技术参考表，非甲烷总烃治理可行技术为</w:t>
            </w:r>
            <w:r>
              <w:rPr>
                <w:rFonts w:hint="eastAsia" w:eastAsia="Times New Roman" w:cs="Times New Roman"/>
                <w:b w:val="0"/>
                <w:bCs/>
                <w:color w:val="000000" w:themeColor="text1"/>
                <w:sz w:val="24"/>
                <w:highlight w:val="none"/>
                <w:lang w:val="en-US" w:eastAsia="zh-CN"/>
                <w14:textFill>
                  <w14:solidFill>
                    <w14:schemeClr w14:val="tx1"/>
                  </w14:solidFill>
                </w14:textFill>
              </w:rPr>
              <w:t>“</w:t>
            </w:r>
            <w:r>
              <w:rPr>
                <w:rFonts w:hint="default" w:ascii="Times New Roman" w:hAnsi="Times New Roman" w:eastAsia="Times New Roman" w:cs="Times New Roman"/>
                <w:b w:val="0"/>
                <w:bCs/>
                <w:color w:val="000000" w:themeColor="text1"/>
                <w:sz w:val="24"/>
                <w:highlight w:val="none"/>
                <w:lang w:val="en-US" w:eastAsia="zh-CN"/>
                <w14:textFill>
                  <w14:solidFill>
                    <w14:schemeClr w14:val="tx1"/>
                  </w14:solidFill>
                </w14:textFill>
              </w:rPr>
              <w:t>喷淋；吸附；吸附浓缩+热力燃烧/催化燃烧”</w:t>
            </w:r>
            <w:r>
              <w:rPr>
                <w:rFonts w:hint="eastAsia" w:eastAsia="Times New Roman" w:cs="Times New Roman"/>
                <w:b w:val="0"/>
                <w:bCs/>
                <w:color w:val="000000" w:themeColor="text1"/>
                <w:sz w:val="24"/>
                <w:highlight w:val="none"/>
                <w:lang w:val="en-US" w:eastAsia="zh-CN"/>
                <w14:textFill>
                  <w14:solidFill>
                    <w14:schemeClr w14:val="tx1"/>
                  </w14:solidFill>
                </w14:textFill>
              </w:rPr>
              <w:t>，本项目处理设施</w:t>
            </w:r>
            <w:r>
              <w:rPr>
                <w:rFonts w:hint="default" w:ascii="Times New Roman" w:hAnsi="Times New Roman" w:eastAsia="Times New Roman" w:cs="Times New Roman"/>
                <w:b w:val="0"/>
                <w:bCs/>
                <w:color w:val="000000" w:themeColor="text1"/>
                <w:sz w:val="24"/>
                <w:highlight w:val="none"/>
                <w:lang w:val="en-US" w:eastAsia="zh-CN"/>
                <w14:textFill>
                  <w14:solidFill>
                    <w14:schemeClr w14:val="tx1"/>
                  </w14:solidFill>
                </w14:textFill>
              </w:rPr>
              <w:t>属于可行技术。</w:t>
            </w:r>
            <w:r>
              <w:rPr>
                <w:rFonts w:hint="eastAsia" w:eastAsia="Times New Roman" w:cs="Times New Roman"/>
                <w:b w:val="0"/>
                <w:bCs/>
                <w:color w:val="000000" w:themeColor="text1"/>
                <w:sz w:val="24"/>
                <w:highlight w:val="none"/>
                <w:lang w:val="en-US" w:eastAsia="zh-CN"/>
                <w14:textFill>
                  <w14:solidFill>
                    <w14:schemeClr w14:val="tx1"/>
                  </w14:solidFill>
                </w14:textFill>
              </w:rPr>
              <w:t>根据</w:t>
            </w:r>
            <w:r>
              <w:rPr>
                <w:rFonts w:hint="eastAsia"/>
                <w:color w:val="auto"/>
                <w:sz w:val="24"/>
              </w:rPr>
              <w:t>《排污许可证申请与核发技术规范</w:t>
            </w:r>
            <w:r>
              <w:rPr>
                <w:rFonts w:hint="eastAsia"/>
                <w:color w:val="auto"/>
                <w:sz w:val="24"/>
                <w:lang w:val="en-US" w:eastAsia="zh-CN"/>
              </w:rPr>
              <w:t xml:space="preserve"> </w:t>
            </w:r>
            <w:r>
              <w:rPr>
                <w:rFonts w:hint="eastAsia"/>
                <w:color w:val="auto"/>
                <w:sz w:val="24"/>
              </w:rPr>
              <w:t>食品制造工业》（HJ1030.3-2019）</w:t>
            </w:r>
            <w:r>
              <w:rPr>
                <w:rFonts w:hint="eastAsia"/>
                <w:color w:val="auto"/>
                <w:sz w:val="24"/>
                <w:lang w:eastAsia="zh-CN"/>
              </w:rPr>
              <w:t>，静电油烟净化器是去除</w:t>
            </w:r>
            <w:r>
              <w:rPr>
                <w:rFonts w:hint="eastAsia"/>
                <w:color w:val="auto"/>
                <w:sz w:val="24"/>
              </w:rPr>
              <w:t>油烟的可行技术</w:t>
            </w:r>
            <w:r>
              <w:rPr>
                <w:rFonts w:hint="eastAsia"/>
                <w:color w:val="auto"/>
                <w:sz w:val="24"/>
                <w:lang w:eastAsia="zh-CN"/>
              </w:rPr>
              <w:t>。</w:t>
            </w:r>
          </w:p>
          <w:p w14:paraId="295781C9">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pPr>
            <w:r>
              <w:rPr>
                <w:rFonts w:hint="default" w:ascii="Times New Roman" w:hAnsi="Times New Roman" w:eastAsia="Times New Roman" w:cs="Times New Roman"/>
                <w:b/>
                <w:bCs w:val="0"/>
                <w:color w:val="000000" w:themeColor="text1"/>
                <w:sz w:val="24"/>
                <w:highlight w:val="none"/>
                <w:lang w:val="en-US" w:eastAsia="zh-CN"/>
                <w14:textFill>
                  <w14:solidFill>
                    <w14:schemeClr w14:val="tx1"/>
                  </w14:solidFill>
                </w14:textFill>
              </w:rPr>
              <w:t>1.</w:t>
            </w:r>
            <w:r>
              <w:rPr>
                <w:rFonts w:hint="eastAsia" w:ascii="Times New Roman" w:hAnsi="Times New Roman" w:eastAsia="Times New Roman" w:cs="Times New Roman"/>
                <w:b/>
                <w:bCs w:val="0"/>
                <w:color w:val="000000" w:themeColor="text1"/>
                <w:sz w:val="24"/>
                <w:highlight w:val="none"/>
                <w:lang w:val="en-US" w:eastAsia="zh-CN"/>
                <w14:textFill>
                  <w14:solidFill>
                    <w14:schemeClr w14:val="tx1"/>
                  </w14:solidFill>
                </w14:textFill>
              </w:rPr>
              <w:t>3废气排放情况</w:t>
            </w:r>
          </w:p>
          <w:p w14:paraId="4A0866BC">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pPr>
            <w: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t>废气产生及排放情况一览表</w:t>
            </w:r>
          </w:p>
          <w:tbl>
            <w:tblPr>
              <w:tblStyle w:val="29"/>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573"/>
              <w:gridCol w:w="394"/>
              <w:gridCol w:w="745"/>
              <w:gridCol w:w="665"/>
              <w:gridCol w:w="574"/>
              <w:gridCol w:w="574"/>
              <w:gridCol w:w="709"/>
              <w:gridCol w:w="709"/>
              <w:gridCol w:w="717"/>
              <w:gridCol w:w="574"/>
              <w:gridCol w:w="709"/>
              <w:gridCol w:w="709"/>
              <w:gridCol w:w="718"/>
            </w:tblGrid>
            <w:tr w14:paraId="491FCF0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90" w:hRule="atLeast"/>
                <w:jc w:val="center"/>
              </w:trPr>
              <w:tc>
                <w:tcPr>
                  <w:tcW w:w="342" w:type="pct"/>
                  <w:vMerge w:val="restart"/>
                  <w:tcBorders>
                    <w:tl2br w:val="nil"/>
                    <w:tr2bl w:val="nil"/>
                  </w:tcBorders>
                  <w:noWrap w:val="0"/>
                  <w:vAlign w:val="center"/>
                </w:tcPr>
                <w:p w14:paraId="290F4C63">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eastAsia" w:cs="Times New Roman"/>
                      <w:b/>
                      <w:bCs/>
                      <w:color w:val="000000" w:themeColor="text1"/>
                      <w:kern w:val="0"/>
                      <w:sz w:val="21"/>
                      <w:szCs w:val="21"/>
                      <w:lang w:val="en-US" w:eastAsia="zh-CN" w:bidi="ar"/>
                      <w14:textFill>
                        <w14:solidFill>
                          <w14:schemeClr w14:val="tx1"/>
                        </w14:solidFill>
                      </w14:textFill>
                    </w:rPr>
                  </w:pPr>
                  <w:r>
                    <w:rPr>
                      <w:rFonts w:hint="eastAsia" w:cs="Times New Roman"/>
                      <w:b/>
                      <w:bCs/>
                      <w:color w:val="000000" w:themeColor="text1"/>
                      <w:kern w:val="0"/>
                      <w:sz w:val="21"/>
                      <w:szCs w:val="21"/>
                      <w:lang w:val="en-US" w:eastAsia="zh-CN" w:bidi="ar"/>
                      <w14:textFill>
                        <w14:solidFill>
                          <w14:schemeClr w14:val="tx1"/>
                        </w14:solidFill>
                      </w14:textFill>
                    </w:rPr>
                    <w:t>产污环节</w:t>
                  </w:r>
                </w:p>
              </w:tc>
              <w:tc>
                <w:tcPr>
                  <w:tcW w:w="235" w:type="pct"/>
                  <w:vMerge w:val="restart"/>
                  <w:tcBorders>
                    <w:tl2br w:val="nil"/>
                    <w:tr2bl w:val="nil"/>
                  </w:tcBorders>
                  <w:noWrap w:val="0"/>
                  <w:vAlign w:val="center"/>
                </w:tcPr>
                <w:p w14:paraId="237241BD">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pPr>
                  <w:r>
                    <w:rPr>
                      <w:rFonts w:hint="eastAsia" w:cs="Times New Roman"/>
                      <w:b/>
                      <w:bCs/>
                      <w:color w:val="000000" w:themeColor="text1"/>
                      <w:kern w:val="0"/>
                      <w:sz w:val="21"/>
                      <w:szCs w:val="21"/>
                      <w:lang w:val="en-US" w:eastAsia="zh-CN" w:bidi="ar"/>
                      <w14:textFill>
                        <w14:solidFill>
                          <w14:schemeClr w14:val="tx1"/>
                        </w14:solidFill>
                      </w14:textFill>
                    </w:rPr>
                    <w:t>类型</w:t>
                  </w:r>
                </w:p>
              </w:tc>
              <w:tc>
                <w:tcPr>
                  <w:tcW w:w="445" w:type="pct"/>
                  <w:vMerge w:val="restart"/>
                  <w:tcBorders>
                    <w:tl2br w:val="nil"/>
                    <w:tr2bl w:val="nil"/>
                  </w:tcBorders>
                  <w:noWrap w:val="0"/>
                  <w:vAlign w:val="center"/>
                </w:tcPr>
                <w:p w14:paraId="41BE72B0">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排气筒编号</w:t>
                  </w:r>
                </w:p>
              </w:tc>
              <w:tc>
                <w:tcPr>
                  <w:tcW w:w="397" w:type="pct"/>
                  <w:vMerge w:val="restart"/>
                  <w:tcBorders>
                    <w:tl2br w:val="nil"/>
                    <w:tr2bl w:val="nil"/>
                  </w:tcBorders>
                  <w:noWrap w:val="0"/>
                  <w:vAlign w:val="center"/>
                </w:tcPr>
                <w:p w14:paraId="0ACF9E3B">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污染物</w:t>
                  </w:r>
                </w:p>
              </w:tc>
              <w:tc>
                <w:tcPr>
                  <w:tcW w:w="343" w:type="pct"/>
                  <w:vMerge w:val="restart"/>
                  <w:tcBorders>
                    <w:tl2br w:val="nil"/>
                    <w:tr2bl w:val="nil"/>
                  </w:tcBorders>
                  <w:noWrap w:val="0"/>
                  <w:vAlign w:val="center"/>
                </w:tcPr>
                <w:p w14:paraId="2CA134CE">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风量m</w:t>
                  </w:r>
                  <w:r>
                    <w:rPr>
                      <w:rFonts w:hint="default" w:ascii="Times New Roman" w:hAnsi="Times New Roman" w:eastAsia="宋体" w:cs="Times New Roman"/>
                      <w:b/>
                      <w:bCs/>
                      <w:color w:val="000000" w:themeColor="text1"/>
                      <w:kern w:val="0"/>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/h</w:t>
                  </w:r>
                </w:p>
              </w:tc>
              <w:tc>
                <w:tcPr>
                  <w:tcW w:w="343" w:type="pct"/>
                  <w:vMerge w:val="restart"/>
                  <w:tcBorders>
                    <w:tl2br w:val="nil"/>
                    <w:tr2bl w:val="nil"/>
                  </w:tcBorders>
                  <w:noWrap w:val="0"/>
                  <w:vAlign w:val="center"/>
                </w:tcPr>
                <w:p w14:paraId="385A2CC7">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pPr>
                  <w:r>
                    <w:rPr>
                      <w:rFonts w:hint="eastAsia" w:cs="Times New Roman"/>
                      <w:b/>
                      <w:bCs/>
                      <w:color w:val="000000" w:themeColor="text1"/>
                      <w:kern w:val="0"/>
                      <w:sz w:val="21"/>
                      <w:szCs w:val="21"/>
                      <w:lang w:val="en-US" w:eastAsia="zh-CN" w:bidi="ar"/>
                      <w14:textFill>
                        <w14:solidFill>
                          <w14:schemeClr w14:val="tx1"/>
                        </w14:solidFill>
                      </w14:textFill>
                    </w:rPr>
                    <w:t>收集效率%</w:t>
                  </w:r>
                </w:p>
              </w:tc>
              <w:tc>
                <w:tcPr>
                  <w:tcW w:w="1274" w:type="pct"/>
                  <w:gridSpan w:val="3"/>
                  <w:tcBorders>
                    <w:tl2br w:val="nil"/>
                    <w:tr2bl w:val="nil"/>
                  </w:tcBorders>
                  <w:noWrap w:val="0"/>
                  <w:vAlign w:val="center"/>
                </w:tcPr>
                <w:p w14:paraId="66BC5B59">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收集</w:t>
                  </w:r>
                  <w:r>
                    <w:rPr>
                      <w:rFonts w:hint="eastAsia" w:cs="Times New Roman"/>
                      <w:b/>
                      <w:bCs/>
                      <w:color w:val="000000" w:themeColor="text1"/>
                      <w:kern w:val="0"/>
                      <w:sz w:val="21"/>
                      <w:szCs w:val="21"/>
                      <w:lang w:val="en-US" w:eastAsia="zh-CN" w:bidi="ar"/>
                      <w14:textFill>
                        <w14:solidFill>
                          <w14:schemeClr w14:val="tx1"/>
                        </w14:solidFill>
                      </w14:textFill>
                    </w:rPr>
                    <w:t>情况</w:t>
                  </w:r>
                </w:p>
              </w:tc>
              <w:tc>
                <w:tcPr>
                  <w:tcW w:w="343" w:type="pct"/>
                  <w:vMerge w:val="restart"/>
                  <w:tcBorders>
                    <w:tl2br w:val="nil"/>
                    <w:tr2bl w:val="nil"/>
                  </w:tcBorders>
                  <w:noWrap w:val="0"/>
                  <w:vAlign w:val="center"/>
                </w:tcPr>
                <w:p w14:paraId="6A30E787">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净化效率%</w:t>
                  </w:r>
                </w:p>
              </w:tc>
              <w:tc>
                <w:tcPr>
                  <w:tcW w:w="1274" w:type="pct"/>
                  <w:gridSpan w:val="3"/>
                  <w:tcBorders>
                    <w:tl2br w:val="nil"/>
                    <w:tr2bl w:val="nil"/>
                  </w:tcBorders>
                  <w:noWrap w:val="0"/>
                  <w:vAlign w:val="center"/>
                </w:tcPr>
                <w:p w14:paraId="48B453AC">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排放情况</w:t>
                  </w:r>
                </w:p>
              </w:tc>
            </w:tr>
            <w:tr w14:paraId="76A701B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667" w:hRule="atLeast"/>
                <w:jc w:val="center"/>
              </w:trPr>
              <w:tc>
                <w:tcPr>
                  <w:tcW w:w="342" w:type="pct"/>
                  <w:vMerge w:val="continue"/>
                  <w:tcBorders>
                    <w:tl2br w:val="nil"/>
                    <w:tr2bl w:val="nil"/>
                  </w:tcBorders>
                  <w:noWrap w:val="0"/>
                  <w:vAlign w:val="center"/>
                </w:tcPr>
                <w:p w14:paraId="6DCEB288">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235" w:type="pct"/>
                  <w:vMerge w:val="continue"/>
                  <w:tcBorders>
                    <w:tl2br w:val="nil"/>
                    <w:tr2bl w:val="nil"/>
                  </w:tcBorders>
                  <w:noWrap w:val="0"/>
                  <w:vAlign w:val="center"/>
                </w:tcPr>
                <w:p w14:paraId="2A9F9D56">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445" w:type="pct"/>
                  <w:vMerge w:val="continue"/>
                  <w:tcBorders>
                    <w:tl2br w:val="nil"/>
                    <w:tr2bl w:val="nil"/>
                  </w:tcBorders>
                  <w:noWrap w:val="0"/>
                  <w:vAlign w:val="center"/>
                </w:tcPr>
                <w:p w14:paraId="3BD3592C">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397" w:type="pct"/>
                  <w:vMerge w:val="continue"/>
                  <w:tcBorders>
                    <w:tl2br w:val="nil"/>
                    <w:tr2bl w:val="nil"/>
                  </w:tcBorders>
                  <w:noWrap w:val="0"/>
                  <w:vAlign w:val="center"/>
                </w:tcPr>
                <w:p w14:paraId="0E7842FB">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343" w:type="pct"/>
                  <w:vMerge w:val="continue"/>
                  <w:tcBorders>
                    <w:tl2br w:val="nil"/>
                    <w:tr2bl w:val="nil"/>
                  </w:tcBorders>
                  <w:noWrap w:val="0"/>
                  <w:vAlign w:val="center"/>
                </w:tcPr>
                <w:p w14:paraId="07A38F39">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343" w:type="pct"/>
                  <w:vMerge w:val="continue"/>
                  <w:tcBorders>
                    <w:tl2br w:val="nil"/>
                    <w:tr2bl w:val="nil"/>
                  </w:tcBorders>
                  <w:noWrap w:val="0"/>
                  <w:vAlign w:val="center"/>
                </w:tcPr>
                <w:p w14:paraId="774BDA16">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423" w:type="pct"/>
                  <w:tcBorders>
                    <w:tl2br w:val="nil"/>
                    <w:tr2bl w:val="nil"/>
                  </w:tcBorders>
                  <w:noWrap w:val="0"/>
                  <w:vAlign w:val="center"/>
                </w:tcPr>
                <w:p w14:paraId="0D9F401C">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eastAsia" w:cs="Times New Roman"/>
                      <w:b/>
                      <w:bCs/>
                      <w:color w:val="000000" w:themeColor="text1"/>
                      <w:kern w:val="0"/>
                      <w:sz w:val="21"/>
                      <w:szCs w:val="21"/>
                      <w:lang w:val="en-US" w:eastAsia="zh-CN" w:bidi="ar"/>
                      <w14:textFill>
                        <w14:solidFill>
                          <w14:schemeClr w14:val="tx1"/>
                        </w14:solidFill>
                      </w14:textFill>
                    </w:rPr>
                    <w:t>收集</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量t/a</w:t>
                  </w:r>
                </w:p>
              </w:tc>
              <w:tc>
                <w:tcPr>
                  <w:tcW w:w="423" w:type="pct"/>
                  <w:tcBorders>
                    <w:tl2br w:val="nil"/>
                    <w:tr2bl w:val="nil"/>
                  </w:tcBorders>
                  <w:noWrap w:val="0"/>
                  <w:vAlign w:val="center"/>
                </w:tcPr>
                <w:p w14:paraId="3EAEF32F">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pPr>
                  <w:r>
                    <w:rPr>
                      <w:rFonts w:hint="eastAsia" w:cs="Times New Roman"/>
                      <w:b/>
                      <w:bCs/>
                      <w:color w:val="000000" w:themeColor="text1"/>
                      <w:kern w:val="0"/>
                      <w:sz w:val="21"/>
                      <w:szCs w:val="21"/>
                      <w:lang w:val="en-US" w:eastAsia="zh-CN" w:bidi="ar"/>
                      <w14:textFill>
                        <w14:solidFill>
                          <w14:schemeClr w14:val="tx1"/>
                        </w14:solidFill>
                      </w14:textFill>
                    </w:rPr>
                    <w:t>速率</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kg/h</w:t>
                  </w:r>
                </w:p>
              </w:tc>
              <w:tc>
                <w:tcPr>
                  <w:tcW w:w="426" w:type="pct"/>
                  <w:tcBorders>
                    <w:tl2br w:val="nil"/>
                    <w:tr2bl w:val="nil"/>
                  </w:tcBorders>
                  <w:noWrap w:val="0"/>
                  <w:vAlign w:val="center"/>
                </w:tcPr>
                <w:p w14:paraId="052E765B">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浓度mg/m</w:t>
                  </w:r>
                  <w:r>
                    <w:rPr>
                      <w:rFonts w:hint="default" w:ascii="Times New Roman" w:hAnsi="Times New Roman" w:eastAsia="宋体" w:cs="Times New Roman"/>
                      <w:b/>
                      <w:bCs/>
                      <w:color w:val="000000" w:themeColor="text1"/>
                      <w:kern w:val="0"/>
                      <w:sz w:val="21"/>
                      <w:szCs w:val="21"/>
                      <w:vertAlign w:val="superscript"/>
                      <w:lang w:val="en-US" w:eastAsia="zh-CN" w:bidi="ar"/>
                      <w14:textFill>
                        <w14:solidFill>
                          <w14:schemeClr w14:val="tx1"/>
                        </w14:solidFill>
                      </w14:textFill>
                    </w:rPr>
                    <w:t>3</w:t>
                  </w:r>
                </w:p>
              </w:tc>
              <w:tc>
                <w:tcPr>
                  <w:tcW w:w="343" w:type="pct"/>
                  <w:vMerge w:val="continue"/>
                  <w:tcBorders>
                    <w:tl2br w:val="nil"/>
                    <w:tr2bl w:val="nil"/>
                  </w:tcBorders>
                  <w:noWrap w:val="0"/>
                  <w:vAlign w:val="center"/>
                </w:tcPr>
                <w:p w14:paraId="40D0889A">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宋体" w:cs="Times New Roman"/>
                      <w:b/>
                      <w:bCs/>
                      <w:color w:val="000000" w:themeColor="text1"/>
                      <w:kern w:val="2"/>
                      <w:sz w:val="21"/>
                      <w:szCs w:val="21"/>
                      <w14:textFill>
                        <w14:solidFill>
                          <w14:schemeClr w14:val="tx1"/>
                        </w14:solidFill>
                      </w14:textFill>
                    </w:rPr>
                  </w:pPr>
                </w:p>
              </w:tc>
              <w:tc>
                <w:tcPr>
                  <w:tcW w:w="423" w:type="pct"/>
                  <w:tcBorders>
                    <w:tl2br w:val="nil"/>
                    <w:tr2bl w:val="nil"/>
                  </w:tcBorders>
                  <w:noWrap w:val="0"/>
                  <w:vAlign w:val="center"/>
                </w:tcPr>
                <w:p w14:paraId="49055B83">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highlight w:val="yellow"/>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排放量t/a</w:t>
                  </w:r>
                </w:p>
              </w:tc>
              <w:tc>
                <w:tcPr>
                  <w:tcW w:w="423" w:type="pct"/>
                  <w:tcBorders>
                    <w:tl2br w:val="nil"/>
                    <w:tr2bl w:val="nil"/>
                  </w:tcBorders>
                  <w:noWrap w:val="0"/>
                  <w:vAlign w:val="center"/>
                </w:tcPr>
                <w:p w14:paraId="759FD4F7">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速率kg/h</w:t>
                  </w:r>
                </w:p>
              </w:tc>
              <w:tc>
                <w:tcPr>
                  <w:tcW w:w="426" w:type="pct"/>
                  <w:tcBorders>
                    <w:tl2br w:val="nil"/>
                    <w:tr2bl w:val="nil"/>
                  </w:tcBorders>
                  <w:noWrap w:val="0"/>
                  <w:vAlign w:val="center"/>
                </w:tcPr>
                <w:p w14:paraId="57155C45">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浓度mg/m</w:t>
                  </w:r>
                  <w:r>
                    <w:rPr>
                      <w:rFonts w:hint="default" w:ascii="Times New Roman" w:hAnsi="Times New Roman" w:eastAsia="宋体" w:cs="Times New Roman"/>
                      <w:b/>
                      <w:bCs/>
                      <w:color w:val="000000" w:themeColor="text1"/>
                      <w:kern w:val="0"/>
                      <w:sz w:val="21"/>
                      <w:szCs w:val="21"/>
                      <w:vertAlign w:val="superscript"/>
                      <w:lang w:val="en-US" w:eastAsia="zh-CN" w:bidi="ar"/>
                      <w14:textFill>
                        <w14:solidFill>
                          <w14:schemeClr w14:val="tx1"/>
                        </w14:solidFill>
                      </w14:textFill>
                    </w:rPr>
                    <w:t>3</w:t>
                  </w:r>
                </w:p>
              </w:tc>
            </w:tr>
            <w:tr w14:paraId="55A1620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342" w:type="pct"/>
                  <w:vMerge w:val="restart"/>
                  <w:tcBorders>
                    <w:tl2br w:val="nil"/>
                    <w:tr2bl w:val="nil"/>
                  </w:tcBorders>
                  <w:noWrap w:val="0"/>
                  <w:vAlign w:val="center"/>
                </w:tcPr>
                <w:p w14:paraId="64ECF74D">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eastAsia"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bidi="ar"/>
                    </w:rPr>
                    <w:t>挤出（吹膜）工序</w:t>
                  </w:r>
                </w:p>
              </w:tc>
              <w:tc>
                <w:tcPr>
                  <w:tcW w:w="235" w:type="pct"/>
                  <w:tcBorders>
                    <w:tl2br w:val="nil"/>
                    <w:tr2bl w:val="nil"/>
                  </w:tcBorders>
                  <w:noWrap w:val="0"/>
                  <w:vAlign w:val="center"/>
                </w:tcPr>
                <w:p w14:paraId="127B088D">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bidi="ar"/>
                    </w:rPr>
                    <w:t>有组织废气</w:t>
                  </w:r>
                </w:p>
              </w:tc>
              <w:tc>
                <w:tcPr>
                  <w:tcW w:w="445" w:type="pct"/>
                  <w:tcBorders>
                    <w:tl2br w:val="nil"/>
                    <w:tr2bl w:val="nil"/>
                  </w:tcBorders>
                  <w:noWrap w:val="0"/>
                  <w:vAlign w:val="center"/>
                </w:tcPr>
                <w:p w14:paraId="73C19BFA">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u w:val="none" w:color="auto"/>
                    </w:rPr>
                  </w:pPr>
                  <w:r>
                    <w:rPr>
                      <w:rFonts w:hint="default" w:ascii="Times New Roman" w:hAnsi="Times New Roman" w:eastAsia="宋体" w:cs="Times New Roman"/>
                      <w:b w:val="0"/>
                      <w:bCs w:val="0"/>
                      <w:color w:val="auto"/>
                      <w:kern w:val="0"/>
                      <w:sz w:val="21"/>
                      <w:szCs w:val="21"/>
                      <w:highlight w:val="none"/>
                      <w:u w:val="none" w:color="auto"/>
                      <w:lang w:val="en-US" w:eastAsia="zh-CN" w:bidi="ar"/>
                    </w:rPr>
                    <w:t>DA00</w:t>
                  </w:r>
                  <w:r>
                    <w:rPr>
                      <w:rFonts w:hint="eastAsia" w:ascii="Times New Roman" w:hAnsi="Times New Roman" w:eastAsia="宋体" w:cs="Times New Roman"/>
                      <w:b w:val="0"/>
                      <w:bCs w:val="0"/>
                      <w:color w:val="auto"/>
                      <w:kern w:val="0"/>
                      <w:sz w:val="21"/>
                      <w:szCs w:val="21"/>
                      <w:highlight w:val="none"/>
                      <w:u w:val="none" w:color="auto"/>
                      <w:lang w:val="en-US" w:eastAsia="zh-CN" w:bidi="ar"/>
                    </w:rPr>
                    <w:t>1</w:t>
                  </w:r>
                </w:p>
              </w:tc>
              <w:tc>
                <w:tcPr>
                  <w:tcW w:w="397" w:type="pct"/>
                  <w:tcBorders>
                    <w:tl2br w:val="nil"/>
                    <w:tr2bl w:val="nil"/>
                  </w:tcBorders>
                  <w:noWrap w:val="0"/>
                  <w:vAlign w:val="center"/>
                </w:tcPr>
                <w:p w14:paraId="6DEF5CC7">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VOCs</w:t>
                  </w:r>
                </w:p>
              </w:tc>
              <w:tc>
                <w:tcPr>
                  <w:tcW w:w="343" w:type="pct"/>
                  <w:tcBorders>
                    <w:tl2br w:val="nil"/>
                    <w:tr2bl w:val="nil"/>
                  </w:tcBorders>
                  <w:noWrap w:val="0"/>
                  <w:vAlign w:val="center"/>
                </w:tcPr>
                <w:p w14:paraId="4F764792">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bidi="ar"/>
                    </w:rPr>
                    <w:t>6000</w:t>
                  </w:r>
                </w:p>
              </w:tc>
              <w:tc>
                <w:tcPr>
                  <w:tcW w:w="343" w:type="pct"/>
                  <w:tcBorders>
                    <w:tl2br w:val="nil"/>
                    <w:tr2bl w:val="nil"/>
                  </w:tcBorders>
                  <w:noWrap w:val="0"/>
                  <w:vAlign w:val="center"/>
                </w:tcPr>
                <w:p w14:paraId="7D18DE46">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bidi="ar"/>
                    </w:rPr>
                    <w:t>80</w:t>
                  </w:r>
                </w:p>
              </w:tc>
              <w:tc>
                <w:tcPr>
                  <w:tcW w:w="423" w:type="pct"/>
                  <w:tcBorders>
                    <w:tl2br w:val="nil"/>
                    <w:tr2bl w:val="nil"/>
                  </w:tcBorders>
                  <w:noWrap w:val="0"/>
                  <w:vAlign w:val="center"/>
                </w:tcPr>
                <w:p w14:paraId="2B774823">
                  <w:pPr>
                    <w:keepNext w:val="0"/>
                    <w:keepLines w:val="0"/>
                    <w:pageBreakBefore w:val="0"/>
                    <w:widowControl/>
                    <w:suppressLineNumbers w:val="0"/>
                    <w:kinsoku/>
                    <w:wordWrap/>
                    <w:topLinePunct w:val="0"/>
                    <w:bidi w:val="0"/>
                    <w:adjustRightInd w:val="0"/>
                    <w:snapToGrid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0.58</w:t>
                  </w:r>
                </w:p>
              </w:tc>
              <w:tc>
                <w:tcPr>
                  <w:tcW w:w="423" w:type="pct"/>
                  <w:tcBorders>
                    <w:tl2br w:val="nil"/>
                    <w:tr2bl w:val="nil"/>
                  </w:tcBorders>
                  <w:noWrap w:val="0"/>
                  <w:vAlign w:val="center"/>
                </w:tcPr>
                <w:p w14:paraId="1001EFB0">
                  <w:pPr>
                    <w:keepNext w:val="0"/>
                    <w:keepLines w:val="0"/>
                    <w:pageBreakBefore w:val="0"/>
                    <w:widowControl/>
                    <w:suppressLineNumbers w:val="0"/>
                    <w:kinsoku/>
                    <w:wordWrap/>
                    <w:topLinePunct w:val="0"/>
                    <w:bidi w:val="0"/>
                    <w:adjustRightInd w:val="0"/>
                    <w:snapToGrid w:val="0"/>
                    <w:spacing w:before="0" w:beforeAutospacing="0" w:after="0" w:afterAutospacing="0"/>
                    <w:ind w:left="0" w:leftChars="0" w:right="0" w:rightChars="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0.1208</w:t>
                  </w:r>
                </w:p>
              </w:tc>
              <w:tc>
                <w:tcPr>
                  <w:tcW w:w="426" w:type="pct"/>
                  <w:tcBorders>
                    <w:tl2br w:val="nil"/>
                    <w:tr2bl w:val="nil"/>
                  </w:tcBorders>
                  <w:noWrap w:val="0"/>
                  <w:vAlign w:val="center"/>
                </w:tcPr>
                <w:p w14:paraId="6F3D8D23">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20.1</w:t>
                  </w:r>
                </w:p>
              </w:tc>
              <w:tc>
                <w:tcPr>
                  <w:tcW w:w="343" w:type="pct"/>
                  <w:tcBorders>
                    <w:tl2br w:val="nil"/>
                    <w:tr2bl w:val="nil"/>
                  </w:tcBorders>
                  <w:noWrap w:val="0"/>
                  <w:vAlign w:val="center"/>
                </w:tcPr>
                <w:p w14:paraId="4C06597A">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94</w:t>
                  </w:r>
                </w:p>
              </w:tc>
              <w:tc>
                <w:tcPr>
                  <w:tcW w:w="423" w:type="pct"/>
                  <w:tcBorders>
                    <w:tl2br w:val="nil"/>
                    <w:tr2bl w:val="nil"/>
                  </w:tcBorders>
                  <w:noWrap w:val="0"/>
                  <w:vAlign w:val="center"/>
                </w:tcPr>
                <w:p w14:paraId="19B9F773">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0.0348</w:t>
                  </w:r>
                </w:p>
              </w:tc>
              <w:tc>
                <w:tcPr>
                  <w:tcW w:w="423" w:type="pct"/>
                  <w:tcBorders>
                    <w:tl2br w:val="nil"/>
                    <w:tr2bl w:val="nil"/>
                  </w:tcBorders>
                  <w:noWrap w:val="0"/>
                  <w:vAlign w:val="center"/>
                </w:tcPr>
                <w:p w14:paraId="0D7910F5">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0.0073</w:t>
                  </w:r>
                </w:p>
              </w:tc>
              <w:tc>
                <w:tcPr>
                  <w:tcW w:w="426" w:type="pct"/>
                  <w:tcBorders>
                    <w:tl2br w:val="nil"/>
                    <w:tr2bl w:val="nil"/>
                  </w:tcBorders>
                  <w:noWrap w:val="0"/>
                  <w:vAlign w:val="center"/>
                </w:tcPr>
                <w:p w14:paraId="6715A057">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1.2</w:t>
                  </w:r>
                </w:p>
              </w:tc>
            </w:tr>
            <w:tr w14:paraId="041F327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342" w:type="pct"/>
                  <w:vMerge w:val="continue"/>
                  <w:tcBorders>
                    <w:tl2br w:val="nil"/>
                    <w:tr2bl w:val="nil"/>
                  </w:tcBorders>
                  <w:noWrap w:val="0"/>
                  <w:vAlign w:val="center"/>
                </w:tcPr>
                <w:p w14:paraId="31607BF2">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eastAsia" w:cs="Times New Roman"/>
                      <w:b w:val="0"/>
                      <w:bCs w:val="0"/>
                      <w:color w:val="auto"/>
                      <w:kern w:val="0"/>
                      <w:sz w:val="21"/>
                      <w:szCs w:val="21"/>
                      <w:highlight w:val="none"/>
                      <w:u w:val="none" w:color="auto"/>
                      <w:lang w:val="en-US" w:eastAsia="zh-CN" w:bidi="ar"/>
                    </w:rPr>
                  </w:pPr>
                </w:p>
              </w:tc>
              <w:tc>
                <w:tcPr>
                  <w:tcW w:w="235" w:type="pct"/>
                  <w:tcBorders>
                    <w:tl2br w:val="nil"/>
                    <w:tr2bl w:val="nil"/>
                  </w:tcBorders>
                  <w:noWrap w:val="0"/>
                  <w:vAlign w:val="center"/>
                </w:tcPr>
                <w:p w14:paraId="25AF6A2E">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eastAsia"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bidi="ar"/>
                    </w:rPr>
                    <w:t>无组织废气</w:t>
                  </w:r>
                </w:p>
              </w:tc>
              <w:tc>
                <w:tcPr>
                  <w:tcW w:w="445" w:type="pct"/>
                  <w:tcBorders>
                    <w:tl2br w:val="nil"/>
                    <w:tr2bl w:val="nil"/>
                  </w:tcBorders>
                  <w:noWrap w:val="0"/>
                  <w:vAlign w:val="center"/>
                </w:tcPr>
                <w:p w14:paraId="229FCA75">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bidi="ar"/>
                    </w:rPr>
                    <w:t>/</w:t>
                  </w:r>
                </w:p>
              </w:tc>
              <w:tc>
                <w:tcPr>
                  <w:tcW w:w="397" w:type="pct"/>
                  <w:tcBorders>
                    <w:tl2br w:val="nil"/>
                    <w:tr2bl w:val="nil"/>
                  </w:tcBorders>
                  <w:noWrap w:val="0"/>
                  <w:vAlign w:val="center"/>
                </w:tcPr>
                <w:p w14:paraId="6F1A3403">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rPr>
                    <w:t>VOCs</w:t>
                  </w:r>
                </w:p>
              </w:tc>
              <w:tc>
                <w:tcPr>
                  <w:tcW w:w="343" w:type="pct"/>
                  <w:tcBorders>
                    <w:tl2br w:val="nil"/>
                    <w:tr2bl w:val="nil"/>
                  </w:tcBorders>
                  <w:noWrap w:val="0"/>
                  <w:vAlign w:val="center"/>
                </w:tcPr>
                <w:p w14:paraId="1A8A9E75">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bidi="ar"/>
                    </w:rPr>
                    <w:t>/</w:t>
                  </w:r>
                </w:p>
              </w:tc>
              <w:tc>
                <w:tcPr>
                  <w:tcW w:w="343" w:type="pct"/>
                  <w:tcBorders>
                    <w:tl2br w:val="nil"/>
                    <w:tr2bl w:val="nil"/>
                  </w:tcBorders>
                  <w:noWrap w:val="0"/>
                  <w:vAlign w:val="center"/>
                </w:tcPr>
                <w:p w14:paraId="41C569A5">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bidi="ar"/>
                    </w:rPr>
                    <w:t>/</w:t>
                  </w:r>
                </w:p>
              </w:tc>
              <w:tc>
                <w:tcPr>
                  <w:tcW w:w="423" w:type="pct"/>
                  <w:tcBorders>
                    <w:tl2br w:val="nil"/>
                    <w:tr2bl w:val="nil"/>
                  </w:tcBorders>
                  <w:noWrap w:val="0"/>
                  <w:vAlign w:val="center"/>
                </w:tcPr>
                <w:p w14:paraId="369A3588">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w:t>
                  </w:r>
                </w:p>
              </w:tc>
              <w:tc>
                <w:tcPr>
                  <w:tcW w:w="423" w:type="pct"/>
                  <w:tcBorders>
                    <w:tl2br w:val="nil"/>
                    <w:tr2bl w:val="nil"/>
                  </w:tcBorders>
                  <w:noWrap w:val="0"/>
                  <w:vAlign w:val="center"/>
                </w:tcPr>
                <w:p w14:paraId="62D0CB3B">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eastAsia" w:cs="Times New Roman"/>
                      <w:b w:val="0"/>
                      <w:bCs w:val="0"/>
                      <w:color w:val="auto"/>
                      <w:kern w:val="0"/>
                      <w:sz w:val="21"/>
                      <w:szCs w:val="21"/>
                      <w:highlight w:val="none"/>
                      <w:u w:val="none" w:color="auto"/>
                      <w:lang w:val="en-US" w:eastAsia="zh-CN"/>
                    </w:rPr>
                  </w:pPr>
                </w:p>
              </w:tc>
              <w:tc>
                <w:tcPr>
                  <w:tcW w:w="426" w:type="pct"/>
                  <w:tcBorders>
                    <w:tl2br w:val="nil"/>
                    <w:tr2bl w:val="nil"/>
                  </w:tcBorders>
                  <w:noWrap w:val="0"/>
                  <w:vAlign w:val="center"/>
                </w:tcPr>
                <w:p w14:paraId="33091403">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w:t>
                  </w:r>
                </w:p>
              </w:tc>
              <w:tc>
                <w:tcPr>
                  <w:tcW w:w="343" w:type="pct"/>
                  <w:tcBorders>
                    <w:tl2br w:val="nil"/>
                    <w:tr2bl w:val="nil"/>
                  </w:tcBorders>
                  <w:noWrap w:val="0"/>
                  <w:vAlign w:val="center"/>
                </w:tcPr>
                <w:p w14:paraId="7A8A6E8F">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w:t>
                  </w:r>
                </w:p>
              </w:tc>
              <w:tc>
                <w:tcPr>
                  <w:tcW w:w="423" w:type="pct"/>
                  <w:tcBorders>
                    <w:tl2br w:val="nil"/>
                    <w:tr2bl w:val="nil"/>
                  </w:tcBorders>
                  <w:noWrap w:val="0"/>
                  <w:vAlign w:val="center"/>
                </w:tcPr>
                <w:p w14:paraId="2484FBAD">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0.145</w:t>
                  </w:r>
                </w:p>
              </w:tc>
              <w:tc>
                <w:tcPr>
                  <w:tcW w:w="423" w:type="pct"/>
                  <w:tcBorders>
                    <w:tl2br w:val="nil"/>
                    <w:tr2bl w:val="nil"/>
                  </w:tcBorders>
                  <w:noWrap w:val="0"/>
                  <w:vAlign w:val="center"/>
                </w:tcPr>
                <w:p w14:paraId="08C0491F">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0.0302</w:t>
                  </w:r>
                </w:p>
              </w:tc>
              <w:tc>
                <w:tcPr>
                  <w:tcW w:w="426" w:type="pct"/>
                  <w:tcBorders>
                    <w:tl2br w:val="nil"/>
                    <w:tr2bl w:val="nil"/>
                  </w:tcBorders>
                  <w:noWrap w:val="0"/>
                  <w:vAlign w:val="center"/>
                </w:tcPr>
                <w:p w14:paraId="78DFD3CF">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w:t>
                  </w:r>
                </w:p>
              </w:tc>
            </w:tr>
            <w:tr w14:paraId="471B42C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342" w:type="pct"/>
                  <w:vMerge w:val="restart"/>
                  <w:tcBorders>
                    <w:tl2br w:val="nil"/>
                    <w:tr2bl w:val="nil"/>
                  </w:tcBorders>
                  <w:noWrap w:val="0"/>
                  <w:vAlign w:val="center"/>
                </w:tcPr>
                <w:p w14:paraId="119A7D1C">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eastAsia"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bidi="ar"/>
                    </w:rPr>
                    <w:t>食堂油烟</w:t>
                  </w:r>
                </w:p>
              </w:tc>
              <w:tc>
                <w:tcPr>
                  <w:tcW w:w="235" w:type="pct"/>
                  <w:tcBorders>
                    <w:tl2br w:val="nil"/>
                    <w:tr2bl w:val="nil"/>
                  </w:tcBorders>
                  <w:noWrap w:val="0"/>
                  <w:vAlign w:val="center"/>
                </w:tcPr>
                <w:p w14:paraId="103696C5">
                  <w:pPr>
                    <w:keepNext w:val="0"/>
                    <w:keepLines w:val="0"/>
                    <w:pageBreakBefore w:val="0"/>
                    <w:widowControl/>
                    <w:suppressLineNumbers w:val="0"/>
                    <w:kinsoku/>
                    <w:wordWrap/>
                    <w:topLinePunct w:val="0"/>
                    <w:bidi w:val="0"/>
                    <w:adjustRightInd w:val="0"/>
                    <w:snapToGrid w:val="0"/>
                    <w:spacing w:before="0" w:beforeAutospacing="0" w:after="0" w:afterAutospacing="0"/>
                    <w:ind w:left="0" w:leftChars="0" w:right="0" w:rightChars="0"/>
                    <w:jc w:val="center"/>
                    <w:textAlignment w:val="center"/>
                    <w:rPr>
                      <w:rFonts w:hint="eastAsia"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bidi="ar"/>
                    </w:rPr>
                    <w:t>有组织废气</w:t>
                  </w:r>
                </w:p>
              </w:tc>
              <w:tc>
                <w:tcPr>
                  <w:tcW w:w="445" w:type="pct"/>
                  <w:vMerge w:val="restart"/>
                  <w:tcBorders>
                    <w:tl2br w:val="nil"/>
                    <w:tr2bl w:val="nil"/>
                  </w:tcBorders>
                  <w:noWrap w:val="0"/>
                  <w:vAlign w:val="center"/>
                </w:tcPr>
                <w:p w14:paraId="2AB8FC35">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bidi="ar"/>
                    </w:rPr>
                    <w:t>DA002</w:t>
                  </w:r>
                </w:p>
              </w:tc>
              <w:tc>
                <w:tcPr>
                  <w:tcW w:w="397" w:type="pct"/>
                  <w:tcBorders>
                    <w:tl2br w:val="nil"/>
                    <w:tr2bl w:val="nil"/>
                  </w:tcBorders>
                  <w:noWrap w:val="0"/>
                  <w:vAlign w:val="center"/>
                </w:tcPr>
                <w:p w14:paraId="7A5D5D88">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油烟</w:t>
                  </w:r>
                </w:p>
              </w:tc>
              <w:tc>
                <w:tcPr>
                  <w:tcW w:w="343" w:type="pct"/>
                  <w:tcBorders>
                    <w:tl2br w:val="nil"/>
                    <w:tr2bl w:val="nil"/>
                  </w:tcBorders>
                  <w:noWrap w:val="0"/>
                  <w:vAlign w:val="center"/>
                </w:tcPr>
                <w:p w14:paraId="683C4A4A">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bidi="ar"/>
                    </w:rPr>
                    <w:t>2000</w:t>
                  </w:r>
                </w:p>
              </w:tc>
              <w:tc>
                <w:tcPr>
                  <w:tcW w:w="343" w:type="pct"/>
                  <w:tcBorders>
                    <w:tl2br w:val="nil"/>
                    <w:tr2bl w:val="nil"/>
                  </w:tcBorders>
                  <w:noWrap w:val="0"/>
                  <w:vAlign w:val="center"/>
                </w:tcPr>
                <w:p w14:paraId="1A118AFC">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bidi="ar"/>
                    </w:rPr>
                    <w:t>80</w:t>
                  </w:r>
                </w:p>
              </w:tc>
              <w:tc>
                <w:tcPr>
                  <w:tcW w:w="423" w:type="pct"/>
                  <w:tcBorders>
                    <w:tl2br w:val="nil"/>
                    <w:tr2bl w:val="nil"/>
                  </w:tcBorders>
                  <w:noWrap w:val="0"/>
                  <w:vAlign w:val="center"/>
                </w:tcPr>
                <w:p w14:paraId="09CFA8E1">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0.0017</w:t>
                  </w:r>
                </w:p>
              </w:tc>
              <w:tc>
                <w:tcPr>
                  <w:tcW w:w="423" w:type="pct"/>
                  <w:tcBorders>
                    <w:tl2br w:val="nil"/>
                    <w:tr2bl w:val="nil"/>
                  </w:tcBorders>
                  <w:noWrap w:val="0"/>
                  <w:vAlign w:val="center"/>
                </w:tcPr>
                <w:p w14:paraId="5C01B1E2">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0.0019</w:t>
                  </w:r>
                </w:p>
              </w:tc>
              <w:tc>
                <w:tcPr>
                  <w:tcW w:w="426" w:type="pct"/>
                  <w:tcBorders>
                    <w:tl2br w:val="nil"/>
                    <w:tr2bl w:val="nil"/>
                  </w:tcBorders>
                  <w:noWrap w:val="0"/>
                  <w:vAlign w:val="center"/>
                </w:tcPr>
                <w:p w14:paraId="7DB16648">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1.0</w:t>
                  </w:r>
                </w:p>
              </w:tc>
              <w:tc>
                <w:tcPr>
                  <w:tcW w:w="343" w:type="pct"/>
                  <w:tcBorders>
                    <w:tl2br w:val="nil"/>
                    <w:tr2bl w:val="nil"/>
                  </w:tcBorders>
                  <w:noWrap w:val="0"/>
                  <w:vAlign w:val="center"/>
                </w:tcPr>
                <w:p w14:paraId="4E0CF750">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90</w:t>
                  </w:r>
                </w:p>
              </w:tc>
              <w:tc>
                <w:tcPr>
                  <w:tcW w:w="423" w:type="pct"/>
                  <w:tcBorders>
                    <w:tl2br w:val="nil"/>
                    <w:tr2bl w:val="nil"/>
                  </w:tcBorders>
                  <w:noWrap w:val="0"/>
                  <w:vAlign w:val="center"/>
                </w:tcPr>
                <w:p w14:paraId="0D1C2A84">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0.0002</w:t>
                  </w:r>
                </w:p>
              </w:tc>
              <w:tc>
                <w:tcPr>
                  <w:tcW w:w="423" w:type="pct"/>
                  <w:tcBorders>
                    <w:tl2br w:val="nil"/>
                    <w:tr2bl w:val="nil"/>
                  </w:tcBorders>
                  <w:noWrap w:val="0"/>
                  <w:vAlign w:val="center"/>
                </w:tcPr>
                <w:p w14:paraId="02449A37">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0.0002</w:t>
                  </w:r>
                </w:p>
              </w:tc>
              <w:tc>
                <w:tcPr>
                  <w:tcW w:w="426" w:type="pct"/>
                  <w:tcBorders>
                    <w:tl2br w:val="nil"/>
                    <w:tr2bl w:val="nil"/>
                  </w:tcBorders>
                  <w:noWrap w:val="0"/>
                  <w:vAlign w:val="center"/>
                </w:tcPr>
                <w:p w14:paraId="5BB8344A">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0.1</w:t>
                  </w:r>
                </w:p>
              </w:tc>
            </w:tr>
            <w:tr w14:paraId="0B6F14A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342" w:type="pct"/>
                  <w:vMerge w:val="continue"/>
                  <w:tcBorders>
                    <w:tl2br w:val="nil"/>
                    <w:tr2bl w:val="nil"/>
                  </w:tcBorders>
                  <w:noWrap w:val="0"/>
                  <w:vAlign w:val="center"/>
                </w:tcPr>
                <w:p w14:paraId="2B23BCA3">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eastAsia" w:cs="Times New Roman"/>
                      <w:b w:val="0"/>
                      <w:bCs w:val="0"/>
                      <w:color w:val="auto"/>
                      <w:kern w:val="0"/>
                      <w:sz w:val="21"/>
                      <w:szCs w:val="21"/>
                      <w:highlight w:val="none"/>
                      <w:u w:val="none" w:color="auto"/>
                      <w:lang w:val="en-US" w:eastAsia="zh-CN" w:bidi="ar"/>
                    </w:rPr>
                  </w:pPr>
                </w:p>
              </w:tc>
              <w:tc>
                <w:tcPr>
                  <w:tcW w:w="235" w:type="pct"/>
                  <w:tcBorders>
                    <w:tl2br w:val="nil"/>
                    <w:tr2bl w:val="nil"/>
                  </w:tcBorders>
                  <w:noWrap w:val="0"/>
                  <w:vAlign w:val="center"/>
                </w:tcPr>
                <w:p w14:paraId="58197FA2">
                  <w:pPr>
                    <w:keepNext w:val="0"/>
                    <w:keepLines w:val="0"/>
                    <w:pageBreakBefore w:val="0"/>
                    <w:widowControl/>
                    <w:suppressLineNumbers w:val="0"/>
                    <w:kinsoku/>
                    <w:wordWrap/>
                    <w:topLinePunct w:val="0"/>
                    <w:bidi w:val="0"/>
                    <w:adjustRightInd w:val="0"/>
                    <w:snapToGrid w:val="0"/>
                    <w:spacing w:before="0" w:beforeAutospacing="0" w:after="0" w:afterAutospacing="0"/>
                    <w:ind w:left="0" w:leftChars="0" w:right="0" w:rightChars="0"/>
                    <w:jc w:val="center"/>
                    <w:textAlignment w:val="center"/>
                    <w:rPr>
                      <w:rFonts w:hint="eastAsia"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bidi="ar"/>
                    </w:rPr>
                    <w:t>无组织废气</w:t>
                  </w:r>
                </w:p>
              </w:tc>
              <w:tc>
                <w:tcPr>
                  <w:tcW w:w="445" w:type="pct"/>
                  <w:vMerge w:val="continue"/>
                  <w:tcBorders>
                    <w:tl2br w:val="nil"/>
                    <w:tr2bl w:val="nil"/>
                  </w:tcBorders>
                  <w:noWrap w:val="0"/>
                  <w:vAlign w:val="center"/>
                </w:tcPr>
                <w:p w14:paraId="43925F7E">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eastAsia" w:cs="Times New Roman"/>
                      <w:b w:val="0"/>
                      <w:bCs w:val="0"/>
                      <w:color w:val="auto"/>
                      <w:kern w:val="0"/>
                      <w:sz w:val="21"/>
                      <w:szCs w:val="21"/>
                      <w:highlight w:val="none"/>
                      <w:u w:val="none" w:color="auto"/>
                      <w:lang w:val="en-US" w:eastAsia="zh-CN" w:bidi="ar"/>
                    </w:rPr>
                  </w:pPr>
                </w:p>
              </w:tc>
              <w:tc>
                <w:tcPr>
                  <w:tcW w:w="397" w:type="pct"/>
                  <w:tcBorders>
                    <w:tl2br w:val="nil"/>
                    <w:tr2bl w:val="nil"/>
                  </w:tcBorders>
                  <w:noWrap w:val="0"/>
                  <w:vAlign w:val="center"/>
                </w:tcPr>
                <w:p w14:paraId="5D9EC270">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油烟</w:t>
                  </w:r>
                </w:p>
              </w:tc>
              <w:tc>
                <w:tcPr>
                  <w:tcW w:w="343" w:type="pct"/>
                  <w:tcBorders>
                    <w:tl2br w:val="nil"/>
                    <w:tr2bl w:val="nil"/>
                  </w:tcBorders>
                  <w:noWrap w:val="0"/>
                  <w:vAlign w:val="center"/>
                </w:tcPr>
                <w:p w14:paraId="63A07EB6">
                  <w:pPr>
                    <w:keepNext w:val="0"/>
                    <w:keepLines w:val="0"/>
                    <w:pageBreakBefore w:val="0"/>
                    <w:widowControl/>
                    <w:suppressLineNumbers w:val="0"/>
                    <w:kinsoku/>
                    <w:wordWrap/>
                    <w:topLinePunct w:val="0"/>
                    <w:bidi w:val="0"/>
                    <w:adjustRightInd w:val="0"/>
                    <w:snapToGrid w:val="0"/>
                    <w:spacing w:before="0" w:beforeAutospacing="0" w:after="0" w:afterAutospacing="0"/>
                    <w:ind w:left="0" w:leftChars="0" w:right="0" w:rightChars="0"/>
                    <w:jc w:val="center"/>
                    <w:textAlignment w:val="center"/>
                    <w:rPr>
                      <w:rFonts w:hint="eastAsia"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bidi="ar"/>
                    </w:rPr>
                    <w:t>/</w:t>
                  </w:r>
                </w:p>
              </w:tc>
              <w:tc>
                <w:tcPr>
                  <w:tcW w:w="343" w:type="pct"/>
                  <w:tcBorders>
                    <w:tl2br w:val="nil"/>
                    <w:tr2bl w:val="nil"/>
                  </w:tcBorders>
                  <w:noWrap w:val="0"/>
                  <w:vAlign w:val="center"/>
                </w:tcPr>
                <w:p w14:paraId="2FF96487">
                  <w:pPr>
                    <w:keepNext w:val="0"/>
                    <w:keepLines w:val="0"/>
                    <w:pageBreakBefore w:val="0"/>
                    <w:widowControl/>
                    <w:suppressLineNumbers w:val="0"/>
                    <w:kinsoku/>
                    <w:wordWrap/>
                    <w:topLinePunct w:val="0"/>
                    <w:bidi w:val="0"/>
                    <w:adjustRightInd w:val="0"/>
                    <w:snapToGrid w:val="0"/>
                    <w:spacing w:before="0" w:beforeAutospacing="0" w:after="0" w:afterAutospacing="0"/>
                    <w:ind w:left="0" w:leftChars="0" w:right="0" w:rightChars="0"/>
                    <w:jc w:val="center"/>
                    <w:textAlignment w:val="center"/>
                    <w:rPr>
                      <w:rFonts w:hint="eastAsia" w:cs="Times New Roman"/>
                      <w:b w:val="0"/>
                      <w:bCs w:val="0"/>
                      <w:color w:val="auto"/>
                      <w:kern w:val="0"/>
                      <w:sz w:val="21"/>
                      <w:szCs w:val="21"/>
                      <w:highlight w:val="none"/>
                      <w:u w:val="none" w:color="auto"/>
                      <w:lang w:val="en-US" w:eastAsia="zh-CN" w:bidi="ar"/>
                    </w:rPr>
                  </w:pPr>
                  <w:r>
                    <w:rPr>
                      <w:rFonts w:hint="eastAsia" w:cs="Times New Roman"/>
                      <w:b w:val="0"/>
                      <w:bCs w:val="0"/>
                      <w:color w:val="auto"/>
                      <w:kern w:val="0"/>
                      <w:sz w:val="21"/>
                      <w:szCs w:val="21"/>
                      <w:highlight w:val="none"/>
                      <w:u w:val="none" w:color="auto"/>
                      <w:lang w:val="en-US" w:eastAsia="zh-CN" w:bidi="ar"/>
                    </w:rPr>
                    <w:t>/</w:t>
                  </w:r>
                </w:p>
              </w:tc>
              <w:tc>
                <w:tcPr>
                  <w:tcW w:w="423" w:type="pct"/>
                  <w:tcBorders>
                    <w:tl2br w:val="nil"/>
                    <w:tr2bl w:val="nil"/>
                  </w:tcBorders>
                  <w:noWrap w:val="0"/>
                  <w:vAlign w:val="center"/>
                </w:tcPr>
                <w:p w14:paraId="7D1AB5DA">
                  <w:pPr>
                    <w:keepNext w:val="0"/>
                    <w:keepLines w:val="0"/>
                    <w:pageBreakBefore w:val="0"/>
                    <w:widowControl/>
                    <w:suppressLineNumbers w:val="0"/>
                    <w:kinsoku/>
                    <w:wordWrap/>
                    <w:topLinePunct w:val="0"/>
                    <w:bidi w:val="0"/>
                    <w:adjustRightInd w:val="0"/>
                    <w:snapToGrid w:val="0"/>
                    <w:spacing w:before="0" w:beforeAutospacing="0" w:after="0" w:afterAutospacing="0"/>
                    <w:ind w:left="0" w:leftChars="0" w:right="0" w:rightChars="0"/>
                    <w:jc w:val="center"/>
                    <w:textAlignment w:val="center"/>
                    <w:rPr>
                      <w:rFonts w:hint="eastAsia"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w:t>
                  </w:r>
                </w:p>
              </w:tc>
              <w:tc>
                <w:tcPr>
                  <w:tcW w:w="423" w:type="pct"/>
                  <w:tcBorders>
                    <w:tl2br w:val="nil"/>
                    <w:tr2bl w:val="nil"/>
                  </w:tcBorders>
                  <w:noWrap w:val="0"/>
                  <w:vAlign w:val="center"/>
                </w:tcPr>
                <w:p w14:paraId="4E256BE4">
                  <w:pPr>
                    <w:keepNext w:val="0"/>
                    <w:keepLines w:val="0"/>
                    <w:pageBreakBefore w:val="0"/>
                    <w:widowControl/>
                    <w:suppressLineNumbers w:val="0"/>
                    <w:kinsoku/>
                    <w:wordWrap/>
                    <w:topLinePunct w:val="0"/>
                    <w:bidi w:val="0"/>
                    <w:adjustRightInd w:val="0"/>
                    <w:snapToGrid w:val="0"/>
                    <w:spacing w:before="0" w:beforeAutospacing="0" w:after="0" w:afterAutospacing="0"/>
                    <w:ind w:left="0" w:leftChars="0" w:right="0" w:rightChars="0"/>
                    <w:jc w:val="center"/>
                    <w:textAlignment w:val="center"/>
                    <w:rPr>
                      <w:rFonts w:hint="eastAsia" w:cs="Times New Roman"/>
                      <w:b w:val="0"/>
                      <w:bCs w:val="0"/>
                      <w:color w:val="auto"/>
                      <w:kern w:val="0"/>
                      <w:sz w:val="21"/>
                      <w:szCs w:val="21"/>
                      <w:highlight w:val="none"/>
                      <w:u w:val="none" w:color="auto"/>
                      <w:lang w:val="en-US" w:eastAsia="zh-CN"/>
                    </w:rPr>
                  </w:pPr>
                </w:p>
              </w:tc>
              <w:tc>
                <w:tcPr>
                  <w:tcW w:w="426" w:type="pct"/>
                  <w:tcBorders>
                    <w:tl2br w:val="nil"/>
                    <w:tr2bl w:val="nil"/>
                  </w:tcBorders>
                  <w:noWrap w:val="0"/>
                  <w:vAlign w:val="center"/>
                </w:tcPr>
                <w:p w14:paraId="6E64D1C8">
                  <w:pPr>
                    <w:keepNext w:val="0"/>
                    <w:keepLines w:val="0"/>
                    <w:pageBreakBefore w:val="0"/>
                    <w:widowControl/>
                    <w:suppressLineNumbers w:val="0"/>
                    <w:kinsoku/>
                    <w:wordWrap/>
                    <w:topLinePunct w:val="0"/>
                    <w:bidi w:val="0"/>
                    <w:adjustRightInd w:val="0"/>
                    <w:snapToGrid w:val="0"/>
                    <w:spacing w:before="0" w:beforeAutospacing="0" w:after="0" w:afterAutospacing="0"/>
                    <w:ind w:left="0" w:leftChars="0" w:right="0" w:rightChars="0"/>
                    <w:jc w:val="center"/>
                    <w:textAlignment w:val="center"/>
                    <w:rPr>
                      <w:rFonts w:hint="eastAsia"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w:t>
                  </w:r>
                </w:p>
              </w:tc>
              <w:tc>
                <w:tcPr>
                  <w:tcW w:w="343" w:type="pct"/>
                  <w:tcBorders>
                    <w:tl2br w:val="nil"/>
                    <w:tr2bl w:val="nil"/>
                  </w:tcBorders>
                  <w:noWrap w:val="0"/>
                  <w:vAlign w:val="center"/>
                </w:tcPr>
                <w:p w14:paraId="5F6D9D6E">
                  <w:pPr>
                    <w:keepNext w:val="0"/>
                    <w:keepLines w:val="0"/>
                    <w:pageBreakBefore w:val="0"/>
                    <w:widowControl/>
                    <w:suppressLineNumbers w:val="0"/>
                    <w:kinsoku/>
                    <w:wordWrap/>
                    <w:topLinePunct w:val="0"/>
                    <w:bidi w:val="0"/>
                    <w:adjustRightInd w:val="0"/>
                    <w:snapToGrid w:val="0"/>
                    <w:spacing w:before="0" w:beforeAutospacing="0" w:after="0" w:afterAutospacing="0"/>
                    <w:ind w:left="0" w:leftChars="0" w:right="0" w:rightChars="0"/>
                    <w:jc w:val="center"/>
                    <w:textAlignment w:val="center"/>
                    <w:rPr>
                      <w:rFonts w:hint="eastAsia"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w:t>
                  </w:r>
                </w:p>
              </w:tc>
              <w:tc>
                <w:tcPr>
                  <w:tcW w:w="423" w:type="pct"/>
                  <w:tcBorders>
                    <w:tl2br w:val="nil"/>
                    <w:tr2bl w:val="nil"/>
                  </w:tcBorders>
                  <w:noWrap w:val="0"/>
                  <w:vAlign w:val="center"/>
                </w:tcPr>
                <w:p w14:paraId="78ED9E77">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0.0004</w:t>
                  </w:r>
                </w:p>
              </w:tc>
              <w:tc>
                <w:tcPr>
                  <w:tcW w:w="423" w:type="pct"/>
                  <w:tcBorders>
                    <w:tl2br w:val="nil"/>
                    <w:tr2bl w:val="nil"/>
                  </w:tcBorders>
                  <w:noWrap w:val="0"/>
                  <w:vAlign w:val="center"/>
                </w:tcPr>
                <w:p w14:paraId="12C1D8AF">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0.0005</w:t>
                  </w:r>
                </w:p>
              </w:tc>
              <w:tc>
                <w:tcPr>
                  <w:tcW w:w="426" w:type="pct"/>
                  <w:tcBorders>
                    <w:tl2br w:val="nil"/>
                    <w:tr2bl w:val="nil"/>
                  </w:tcBorders>
                  <w:noWrap w:val="0"/>
                  <w:vAlign w:val="center"/>
                </w:tcPr>
                <w:p w14:paraId="12CF8DD7">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textAlignment w:val="center"/>
                    <w:rPr>
                      <w:rFonts w:hint="default" w:cs="Times New Roman"/>
                      <w:b w:val="0"/>
                      <w:bCs w:val="0"/>
                      <w:color w:val="auto"/>
                      <w:kern w:val="0"/>
                      <w:sz w:val="21"/>
                      <w:szCs w:val="21"/>
                      <w:highlight w:val="none"/>
                      <w:u w:val="none" w:color="auto"/>
                      <w:lang w:val="en-US" w:eastAsia="zh-CN"/>
                    </w:rPr>
                  </w:pPr>
                  <w:r>
                    <w:rPr>
                      <w:rFonts w:hint="eastAsia" w:cs="Times New Roman"/>
                      <w:b w:val="0"/>
                      <w:bCs w:val="0"/>
                      <w:color w:val="auto"/>
                      <w:kern w:val="0"/>
                      <w:sz w:val="21"/>
                      <w:szCs w:val="21"/>
                      <w:highlight w:val="none"/>
                      <w:u w:val="none" w:color="auto"/>
                      <w:lang w:val="en-US" w:eastAsia="zh-CN"/>
                    </w:rPr>
                    <w:t>/</w:t>
                  </w:r>
                </w:p>
              </w:tc>
            </w:tr>
          </w:tbl>
          <w:p w14:paraId="1FD9F45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60" w:firstLineChars="192"/>
              <w:jc w:val="both"/>
              <w:textAlignment w:val="auto"/>
              <w:rPr>
                <w:rFonts w:hint="default" w:ascii="Times New Roman" w:hAnsi="Times New Roman" w:eastAsia="宋体" w:cs="Times New Roman"/>
                <w:b w:val="0"/>
                <w:bCs w:val="0"/>
                <w:color w:val="auto"/>
                <w:kern w:val="2"/>
                <w:sz w:val="24"/>
                <w:szCs w:val="24"/>
                <w:highlight w:val="none"/>
                <w:u w:val="none" w:color="auto"/>
                <w:lang w:val="en-US" w:eastAsia="zh-CN" w:bidi="ar-SA"/>
              </w:rPr>
            </w:pPr>
            <w:r>
              <w:rPr>
                <w:rFonts w:hint="default" w:ascii="Times New Roman" w:hAnsi="Times New Roman" w:eastAsia="宋体" w:cs="Times New Roman"/>
                <w:b w:val="0"/>
                <w:bCs w:val="0"/>
                <w:color w:val="auto"/>
                <w:kern w:val="2"/>
                <w:sz w:val="24"/>
                <w:szCs w:val="24"/>
                <w:highlight w:val="none"/>
                <w:u w:val="none" w:color="auto"/>
                <w:lang w:val="en-US" w:eastAsia="zh-CN" w:bidi="ar-SA"/>
              </w:rPr>
              <w:t>由上表可知，非甲烷总烃有组织排放量</w:t>
            </w:r>
            <w:r>
              <w:rPr>
                <w:rFonts w:hint="eastAsia" w:cs="Times New Roman"/>
                <w:b w:val="0"/>
                <w:bCs w:val="0"/>
                <w:color w:val="auto"/>
                <w:kern w:val="2"/>
                <w:sz w:val="24"/>
                <w:szCs w:val="24"/>
                <w:highlight w:val="none"/>
                <w:u w:val="none" w:color="auto"/>
                <w:lang w:val="en-US" w:eastAsia="zh-CN" w:bidi="ar-SA"/>
              </w:rPr>
              <w:t>为0.0348t</w:t>
            </w:r>
            <w:r>
              <w:rPr>
                <w:rFonts w:hint="default" w:ascii="Times New Roman" w:hAnsi="Times New Roman" w:eastAsia="宋体" w:cs="Times New Roman"/>
                <w:b w:val="0"/>
                <w:bCs w:val="0"/>
                <w:color w:val="auto"/>
                <w:kern w:val="2"/>
                <w:sz w:val="24"/>
                <w:szCs w:val="24"/>
                <w:highlight w:val="none"/>
                <w:u w:val="none" w:color="auto"/>
                <w:lang w:val="en-US" w:eastAsia="zh-CN" w:bidi="ar-SA"/>
              </w:rPr>
              <w:t>/a，无组织排放量</w:t>
            </w:r>
            <w:r>
              <w:rPr>
                <w:rFonts w:hint="eastAsia" w:cs="Times New Roman"/>
                <w:b w:val="0"/>
                <w:bCs w:val="0"/>
                <w:color w:val="auto"/>
                <w:kern w:val="2"/>
                <w:sz w:val="24"/>
                <w:szCs w:val="24"/>
                <w:highlight w:val="none"/>
                <w:u w:val="none" w:color="auto"/>
                <w:lang w:val="en-US" w:eastAsia="zh-CN" w:bidi="ar-SA"/>
              </w:rPr>
              <w:t>0.145</w:t>
            </w:r>
            <w:r>
              <w:rPr>
                <w:rFonts w:hint="default" w:ascii="Times New Roman" w:hAnsi="Times New Roman" w:eastAsia="宋体" w:cs="Times New Roman"/>
                <w:b w:val="0"/>
                <w:bCs w:val="0"/>
                <w:color w:val="auto"/>
                <w:kern w:val="2"/>
                <w:sz w:val="24"/>
                <w:szCs w:val="24"/>
                <w:highlight w:val="none"/>
                <w:u w:val="none" w:color="auto"/>
                <w:lang w:val="en-US" w:eastAsia="zh-CN" w:bidi="ar-SA"/>
              </w:rPr>
              <w:t>t/a，则非甲烷总烃排放总量为</w:t>
            </w:r>
            <w:r>
              <w:rPr>
                <w:rFonts w:hint="eastAsia" w:cs="Times New Roman"/>
                <w:b w:val="0"/>
                <w:bCs w:val="0"/>
                <w:color w:val="auto"/>
                <w:kern w:val="2"/>
                <w:sz w:val="24"/>
                <w:szCs w:val="24"/>
                <w:highlight w:val="none"/>
                <w:u w:val="none" w:color="auto"/>
                <w:lang w:val="en-US" w:eastAsia="zh-CN" w:bidi="ar-SA"/>
              </w:rPr>
              <w:t>0.1798</w:t>
            </w:r>
            <w:r>
              <w:rPr>
                <w:rFonts w:hint="default" w:ascii="Times New Roman" w:hAnsi="Times New Roman" w:eastAsia="宋体" w:cs="Times New Roman"/>
                <w:b w:val="0"/>
                <w:bCs w:val="0"/>
                <w:color w:val="auto"/>
                <w:kern w:val="2"/>
                <w:sz w:val="24"/>
                <w:szCs w:val="24"/>
                <w:highlight w:val="none"/>
                <w:u w:val="none" w:color="auto"/>
                <w:lang w:val="en-US" w:eastAsia="zh-CN" w:bidi="ar-SA"/>
              </w:rPr>
              <w:t>t/a</w:t>
            </w:r>
            <w:r>
              <w:rPr>
                <w:rFonts w:hint="eastAsia" w:cs="Times New Roman"/>
                <w:b w:val="0"/>
                <w:bCs w:val="0"/>
                <w:color w:val="auto"/>
                <w:kern w:val="2"/>
                <w:sz w:val="24"/>
                <w:szCs w:val="24"/>
                <w:highlight w:val="none"/>
                <w:u w:val="none" w:color="auto"/>
                <w:lang w:val="en-US" w:eastAsia="zh-CN" w:bidi="ar-SA"/>
              </w:rPr>
              <w:t>；油烟有组织排放量为0.0002t/a，无组织排放量为0.0004t/a，则油烟排放总量为0.0006t/a。</w:t>
            </w:r>
          </w:p>
          <w:p w14:paraId="0D0C7A7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000000" w:themeColor="text1"/>
                <w:kern w:val="2"/>
                <w:sz w:val="24"/>
                <w:szCs w:val="24"/>
                <w:highlight w:val="none"/>
                <w:u w:val="none" w:color="auto"/>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u w:val="none" w:color="auto"/>
                <w:lang w:val="en-US" w:eastAsia="zh-CN" w:bidi="ar-SA"/>
                <w14:textFill>
                  <w14:solidFill>
                    <w14:schemeClr w14:val="tx1"/>
                  </w14:solidFill>
                </w14:textFill>
              </w:rPr>
              <w:t>有组织废气达标分析</w:t>
            </w:r>
          </w:p>
          <w:p w14:paraId="3660A87D">
            <w:pPr>
              <w:pStyle w:val="13"/>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kern w:val="2"/>
                <w:sz w:val="24"/>
                <w:szCs w:val="24"/>
                <w:highlight w:val="none"/>
                <w:u w:val="none" w:color="auto"/>
                <w:lang w:val="en-US" w:eastAsia="zh-CN" w:bidi="ar-SA"/>
                <w14:textFill>
                  <w14:solidFill>
                    <w14:schemeClr w14:val="tx1"/>
                  </w14:solidFill>
                </w14:textFill>
              </w:rPr>
              <w:t>根据上表可知，</w:t>
            </w:r>
            <w:r>
              <w:rPr>
                <w:rFonts w:hint="default" w:ascii="Times New Roman" w:hAnsi="Times New Roman" w:eastAsia="宋体" w:cs="Times New Roman"/>
                <w:b w:val="0"/>
                <w:bCs w:val="0"/>
                <w:color w:val="000000" w:themeColor="text1"/>
                <w:kern w:val="2"/>
                <w:sz w:val="24"/>
                <w:szCs w:val="24"/>
                <w:highlight w:val="none"/>
                <w:u w:val="none" w:color="auto"/>
                <w:lang w:val="en-US" w:eastAsia="zh-CN" w:bidi="ar-SA"/>
                <w14:textFill>
                  <w14:solidFill>
                    <w14:schemeClr w14:val="tx1"/>
                  </w14:solidFill>
                </w14:textFill>
              </w:rPr>
              <w:t>非甲烷总烃排放浓度</w:t>
            </w:r>
            <w:r>
              <w:rPr>
                <w:rFonts w:hint="default" w:ascii="Times New Roman" w:hAnsi="Times New Roman" w:cs="Times New Roman"/>
                <w:b w:val="0"/>
                <w:bCs w:val="0"/>
                <w:color w:val="000000" w:themeColor="text1"/>
                <w:kern w:val="2"/>
                <w:sz w:val="24"/>
                <w:szCs w:val="24"/>
                <w:highlight w:val="none"/>
                <w:u w:val="none" w:color="auto"/>
                <w:lang w:val="en-US" w:eastAsia="zh-CN" w:bidi="ar-SA"/>
                <w14:textFill>
                  <w14:solidFill>
                    <w14:schemeClr w14:val="tx1"/>
                  </w14:solidFill>
                </w14:textFill>
              </w:rPr>
              <w:t>为1.2</w:t>
            </w:r>
            <w:r>
              <w:rPr>
                <w:rFonts w:hint="default" w:ascii="Times New Roman" w:hAnsi="Times New Roman" w:cs="Times New Roman"/>
                <w:b w:val="0"/>
                <w:bCs w:val="0"/>
                <w:color w:val="000000" w:themeColor="text1"/>
                <w:kern w:val="0"/>
                <w:sz w:val="24"/>
                <w:szCs w:val="24"/>
                <w:highlight w:val="none"/>
                <w:u w:val="none" w:color="auto"/>
                <w:lang w:val="en-US" w:eastAsia="zh-CN"/>
                <w14:textFill>
                  <w14:solidFill>
                    <w14:schemeClr w14:val="tx1"/>
                  </w14:solidFill>
                </w14:textFill>
              </w:rPr>
              <w:t>mg/m</w:t>
            </w:r>
            <w:r>
              <w:rPr>
                <w:rFonts w:hint="default" w:ascii="Times New Roman" w:hAnsi="Times New Roman" w:cs="Times New Roman"/>
                <w:b w:val="0"/>
                <w:bCs w:val="0"/>
                <w:color w:val="000000" w:themeColor="text1"/>
                <w:kern w:val="0"/>
                <w:sz w:val="24"/>
                <w:szCs w:val="24"/>
                <w:highlight w:val="none"/>
                <w:u w:val="none" w:color="auto"/>
                <w:vertAlign w:val="superscript"/>
                <w:lang w:val="en-US" w:eastAsia="zh-CN"/>
                <w14:textFill>
                  <w14:solidFill>
                    <w14:schemeClr w14:val="tx1"/>
                  </w14:solidFill>
                </w14:textFill>
              </w:rPr>
              <w:t>3</w:t>
            </w:r>
            <w:r>
              <w:rPr>
                <w:rFonts w:hint="default" w:ascii="Times New Roman" w:hAnsi="Times New Roman" w:cs="Times New Roman"/>
                <w:b w:val="0"/>
                <w:bCs w:val="0"/>
                <w:color w:val="000000" w:themeColor="text1"/>
                <w:kern w:val="0"/>
                <w:sz w:val="24"/>
                <w:szCs w:val="24"/>
                <w:highlight w:val="none"/>
                <w:u w:val="none" w:color="auto"/>
                <w:lang w:val="en-US" w:eastAsia="zh-CN"/>
                <w14:textFill>
                  <w14:solidFill>
                    <w14:schemeClr w14:val="tx1"/>
                  </w14:solidFill>
                </w14:textFill>
              </w:rPr>
              <w:t>，能够</w:t>
            </w:r>
            <w:r>
              <w:rPr>
                <w:rFonts w:hint="default" w:ascii="Times New Roman" w:hAnsi="Times New Roman" w:eastAsia="宋体" w:cs="Times New Roman"/>
                <w:b w:val="0"/>
                <w:bCs w:val="0"/>
                <w:color w:val="000000" w:themeColor="text1"/>
                <w:kern w:val="2"/>
                <w:sz w:val="24"/>
                <w:szCs w:val="24"/>
                <w:highlight w:val="none"/>
                <w:u w:val="none" w:color="auto"/>
                <w:lang w:val="en-US" w:eastAsia="zh-CN" w:bidi="ar-SA"/>
                <w14:textFill>
                  <w14:solidFill>
                    <w14:schemeClr w14:val="tx1"/>
                  </w14:solidFill>
                </w14:textFill>
              </w:rPr>
              <w:t>满足《合成树脂工业污染物排放标准（GB31572-2015）（含2024年修改单版本）》中相关标准限值</w:t>
            </w:r>
            <w:r>
              <w:rPr>
                <w:rFonts w:hint="default" w:ascii="Times New Roman" w:hAnsi="Times New Roman" w:cs="Times New Roman"/>
                <w:b w:val="0"/>
                <w:bCs w:val="0"/>
                <w:color w:val="000000" w:themeColor="text1"/>
                <w:kern w:val="2"/>
                <w:sz w:val="24"/>
                <w:szCs w:val="24"/>
                <w:highlight w:val="none"/>
                <w:u w:val="none" w:color="auto"/>
                <w:lang w:val="en-US" w:eastAsia="zh-CN" w:bidi="ar-SA"/>
                <w14:textFill>
                  <w14:solidFill>
                    <w14:schemeClr w14:val="tx1"/>
                  </w14:solidFill>
                </w14:textFill>
              </w:rPr>
              <w:t>，同时满足</w:t>
            </w:r>
            <w:r>
              <w:rPr>
                <w:rFonts w:hint="default" w:ascii="Times New Roman" w:hAnsi="Times New Roman" w:eastAsia="宋体" w:cs="Times New Roman"/>
                <w:b w:val="0"/>
                <w:bCs w:val="0"/>
                <w:color w:val="000000" w:themeColor="text1"/>
                <w:kern w:val="2"/>
                <w:sz w:val="24"/>
                <w:szCs w:val="24"/>
                <w:highlight w:val="none"/>
                <w:u w:val="none" w:color="auto"/>
                <w:lang w:val="en-US" w:eastAsia="zh-CN" w:bidi="ar-SA"/>
                <w14:textFill>
                  <w14:solidFill>
                    <w14:schemeClr w14:val="tx1"/>
                  </w14:solidFill>
                </w14:textFill>
              </w:rPr>
              <w:t>《河南省重污染天气重点行业应急减排措施制定技术指南（2024年版）》中塑料制品企业相关排放限值</w:t>
            </w:r>
            <w:r>
              <w:rPr>
                <w:rFonts w:hint="default" w:ascii="Times New Roman" w:hAnsi="Times New Roman" w:eastAsia="宋体" w:cs="Times New Roman"/>
                <w:b w:val="0"/>
                <w:bCs w:val="0"/>
                <w:color w:val="000000" w:themeColor="text1"/>
                <w:kern w:val="2"/>
                <w:sz w:val="24"/>
                <w:szCs w:val="24"/>
                <w:highlight w:val="none"/>
                <w:u w:val="none" w:color="auto"/>
                <w:vertAlign w:val="baseline"/>
                <w:lang w:val="en-US" w:eastAsia="zh-CN" w:bidi="ar-SA"/>
                <w14:textFill>
                  <w14:solidFill>
                    <w14:schemeClr w14:val="tx1"/>
                  </w14:solidFill>
                </w14:textFill>
              </w:rPr>
              <w:t>，</w:t>
            </w:r>
            <w:r>
              <w:rPr>
                <w:rFonts w:hint="default" w:ascii="Times New Roman" w:hAnsi="Times New Roman" w:cs="Times New Roman"/>
                <w:b w:val="0"/>
                <w:bCs w:val="0"/>
                <w:color w:val="000000" w:themeColor="text1"/>
                <w:kern w:val="2"/>
                <w:sz w:val="24"/>
                <w:szCs w:val="24"/>
                <w:highlight w:val="none"/>
                <w:u w:val="none" w:color="auto"/>
                <w:vertAlign w:val="baseline"/>
                <w:lang w:val="en-US" w:eastAsia="zh-CN" w:bidi="ar-SA"/>
                <w14:textFill>
                  <w14:solidFill>
                    <w14:schemeClr w14:val="tx1"/>
                  </w14:solidFill>
                </w14:textFill>
              </w:rPr>
              <w:t>能够</w:t>
            </w:r>
            <w:r>
              <w:rPr>
                <w:rFonts w:hint="default" w:ascii="Times New Roman" w:hAnsi="Times New Roman" w:eastAsia="宋体" w:cs="Times New Roman"/>
                <w:b w:val="0"/>
                <w:bCs w:val="0"/>
                <w:color w:val="000000" w:themeColor="text1"/>
                <w:kern w:val="2"/>
                <w:sz w:val="24"/>
                <w:szCs w:val="24"/>
                <w:highlight w:val="none"/>
                <w:u w:val="none" w:color="auto"/>
                <w:vertAlign w:val="baseline"/>
                <w:lang w:val="en-US" w:eastAsia="zh-CN" w:bidi="ar-SA"/>
                <w14:textFill>
                  <w14:solidFill>
                    <w14:schemeClr w14:val="tx1"/>
                  </w14:solidFill>
                </w14:textFill>
              </w:rPr>
              <w:t>达标排放</w:t>
            </w:r>
            <w:r>
              <w:rPr>
                <w:rFonts w:hint="default" w:ascii="Times New Roman" w:hAnsi="Times New Roman" w:cs="Times New Roman"/>
                <w:b w:val="0"/>
                <w:bCs w:val="0"/>
                <w:color w:val="000000" w:themeColor="text1"/>
                <w:kern w:val="2"/>
                <w:sz w:val="24"/>
                <w:szCs w:val="24"/>
                <w:highlight w:val="none"/>
                <w:u w:val="none" w:color="auto"/>
                <w:vertAlign w:val="baseline"/>
                <w:lang w:val="en-US" w:eastAsia="zh-CN" w:bidi="ar-SA"/>
                <w14:textFill>
                  <w14:solidFill>
                    <w14:schemeClr w14:val="tx1"/>
                  </w14:solidFill>
                </w14:textFill>
              </w:rPr>
              <w:t>；食堂油烟排放浓度为</w:t>
            </w:r>
            <w:r>
              <w:rPr>
                <w:rFonts w:hint="default" w:ascii="Times New Roman" w:hAnsi="Times New Roman" w:cs="Times New Roman"/>
                <w:b w:val="0"/>
                <w:bCs w:val="0"/>
                <w:color w:val="auto"/>
                <w:kern w:val="2"/>
                <w:sz w:val="24"/>
                <w:szCs w:val="24"/>
                <w:highlight w:val="none"/>
                <w:u w:val="none" w:color="auto"/>
                <w:vertAlign w:val="baseline"/>
                <w:lang w:val="en-US" w:eastAsia="zh-CN" w:bidi="ar-SA"/>
              </w:rPr>
              <w:t>0.</w:t>
            </w:r>
            <w:r>
              <w:rPr>
                <w:rFonts w:hint="eastAsia" w:ascii="Times New Roman" w:hAnsi="Times New Roman" w:cs="Times New Roman"/>
                <w:b w:val="0"/>
                <w:bCs w:val="0"/>
                <w:color w:val="auto"/>
                <w:kern w:val="2"/>
                <w:sz w:val="24"/>
                <w:szCs w:val="24"/>
                <w:highlight w:val="none"/>
                <w:u w:val="none" w:color="auto"/>
                <w:vertAlign w:val="baseline"/>
                <w:lang w:val="en-US" w:eastAsia="zh-CN" w:bidi="ar-SA"/>
              </w:rPr>
              <w:t>1</w:t>
            </w:r>
            <w:r>
              <w:rPr>
                <w:rFonts w:hint="default" w:ascii="Times New Roman" w:hAnsi="Times New Roman" w:cs="Times New Roman"/>
                <w:b w:val="0"/>
                <w:bCs w:val="0"/>
                <w:color w:val="auto"/>
                <w:kern w:val="0"/>
                <w:sz w:val="24"/>
                <w:szCs w:val="24"/>
                <w:highlight w:val="none"/>
                <w:u w:val="none" w:color="auto"/>
                <w:lang w:val="en-US" w:eastAsia="zh-CN"/>
              </w:rPr>
              <w:t>mg/m</w:t>
            </w:r>
            <w:r>
              <w:rPr>
                <w:rFonts w:hint="default" w:ascii="Times New Roman" w:hAnsi="Times New Roman" w:cs="Times New Roman"/>
                <w:b w:val="0"/>
                <w:bCs w:val="0"/>
                <w:color w:val="auto"/>
                <w:kern w:val="0"/>
                <w:sz w:val="24"/>
                <w:szCs w:val="24"/>
                <w:highlight w:val="none"/>
                <w:u w:val="none" w:color="auto"/>
                <w:vertAlign w:val="superscript"/>
                <w:lang w:val="en-US" w:eastAsia="zh-CN"/>
              </w:rPr>
              <w:t>3</w:t>
            </w:r>
            <w:r>
              <w:rPr>
                <w:rFonts w:hint="default" w:ascii="Times New Roman" w:hAnsi="Times New Roman" w:cs="Times New Roman"/>
                <w:color w:val="auto"/>
                <w:sz w:val="24"/>
                <w:szCs w:val="22"/>
                <w:lang w:eastAsia="zh-CN"/>
              </w:rPr>
              <w:t>，</w:t>
            </w:r>
            <w:r>
              <w:rPr>
                <w:rFonts w:hint="default" w:ascii="Times New Roman" w:hAnsi="Times New Roman" w:cs="Times New Roman"/>
                <w:color w:val="auto"/>
                <w:sz w:val="24"/>
                <w:szCs w:val="22"/>
                <w:lang w:val="en-US" w:eastAsia="zh-CN"/>
              </w:rPr>
              <w:t>油烟处理效率为90%，</w:t>
            </w:r>
            <w:r>
              <w:rPr>
                <w:rFonts w:hint="default" w:ascii="Times New Roman" w:hAnsi="Times New Roman" w:cs="Times New Roman"/>
                <w:color w:val="auto"/>
                <w:sz w:val="24"/>
                <w:szCs w:val="22"/>
              </w:rPr>
              <w:t>满足《餐饮业油烟污染物排放标准》（DB41/1604-2018）</w:t>
            </w:r>
            <w:r>
              <w:rPr>
                <w:rFonts w:hint="default" w:ascii="Times New Roman" w:hAnsi="Times New Roman" w:cs="Times New Roman"/>
                <w:color w:val="auto"/>
                <w:sz w:val="24"/>
                <w:szCs w:val="22"/>
                <w:lang w:eastAsia="zh-CN"/>
              </w:rPr>
              <w:t>小</w:t>
            </w:r>
            <w:r>
              <w:rPr>
                <w:rFonts w:hint="default" w:ascii="Times New Roman" w:hAnsi="Times New Roman" w:cs="Times New Roman"/>
                <w:color w:val="auto"/>
                <w:sz w:val="24"/>
                <w:szCs w:val="22"/>
              </w:rPr>
              <w:t>型规模中最高允许排放浓度</w:t>
            </w:r>
            <w:r>
              <w:rPr>
                <w:rFonts w:hint="default" w:ascii="Times New Roman" w:hAnsi="Times New Roman" w:cs="Times New Roman"/>
                <w:color w:val="auto"/>
                <w:sz w:val="24"/>
                <w:szCs w:val="22"/>
                <w:lang w:eastAsia="zh-CN"/>
              </w:rPr>
              <w:t>和处理效率</w:t>
            </w:r>
            <w:r>
              <w:rPr>
                <w:rFonts w:hint="default" w:ascii="Times New Roman" w:hAnsi="Times New Roman" w:cs="Times New Roman"/>
                <w:color w:val="auto"/>
                <w:sz w:val="24"/>
                <w:szCs w:val="22"/>
              </w:rPr>
              <w:t>的标准要求。</w:t>
            </w:r>
          </w:p>
          <w:p w14:paraId="383FC1B0">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color w:val="000000" w:themeColor="text1"/>
                <w:kern w:val="2"/>
                <w:sz w:val="24"/>
                <w:szCs w:val="24"/>
                <w:lang w:val="en-US" w:eastAsia="zh-CN" w:bidi="ar"/>
                <w14:textFill>
                  <w14:solidFill>
                    <w14:schemeClr w14:val="tx1"/>
                  </w14:solidFill>
                </w14:textFill>
              </w:rPr>
            </w:pPr>
            <w:r>
              <w:rPr>
                <w:rFonts w:hint="eastAsia" w:cs="Times New Roman"/>
                <w:b/>
                <w:bCs/>
                <w:color w:val="000000" w:themeColor="text1"/>
                <w:kern w:val="2"/>
                <w:sz w:val="24"/>
                <w:szCs w:val="24"/>
                <w:lang w:val="en-US" w:eastAsia="zh-CN" w:bidi="ar"/>
                <w14:textFill>
                  <w14:solidFill>
                    <w14:schemeClr w14:val="tx1"/>
                  </w14:solidFill>
                </w14:textFill>
              </w:rPr>
              <w:t>无组织</w:t>
            </w:r>
            <w:r>
              <w:rPr>
                <w:rFonts w:hint="default" w:ascii="Times New Roman" w:hAnsi="Times New Roman" w:eastAsia="宋体" w:cs="Times New Roman"/>
                <w:b/>
                <w:bCs/>
                <w:color w:val="000000" w:themeColor="text1"/>
                <w:kern w:val="2"/>
                <w:sz w:val="24"/>
                <w:szCs w:val="24"/>
                <w:lang w:val="en-US" w:eastAsia="zh-CN" w:bidi="ar"/>
                <w14:textFill>
                  <w14:solidFill>
                    <w14:schemeClr w14:val="tx1"/>
                  </w14:solidFill>
                </w14:textFill>
              </w:rPr>
              <w:t>废气达标分析</w:t>
            </w:r>
          </w:p>
          <w:p w14:paraId="0B50924A">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由</w:t>
            </w:r>
            <w:r>
              <w:rPr>
                <w:rFonts w:hint="eastAsia" w:eastAsia="Times New Roman" w:cs="Times New Roman"/>
                <w:color w:val="000000" w:themeColor="text1"/>
                <w:sz w:val="24"/>
                <w:szCs w:val="24"/>
                <w:highlight w:val="none"/>
                <w:lang w:eastAsia="zh-CN"/>
                <w14:textFill>
                  <w14:solidFill>
                    <w14:schemeClr w14:val="tx1"/>
                  </w14:solidFill>
                </w14:textFill>
              </w:rPr>
              <w:t>大气</w:t>
            </w:r>
            <w:r>
              <w:rPr>
                <w:rFonts w:hint="eastAsia" w:eastAsia="Times New Roman" w:cs="Times New Roman"/>
                <w:color w:val="000000" w:themeColor="text1"/>
                <w:sz w:val="24"/>
                <w:szCs w:val="24"/>
                <w:highlight w:val="none"/>
                <w:lang w:val="en-US" w:eastAsia="zh-CN"/>
                <w14:textFill>
                  <w14:solidFill>
                    <w14:schemeClr w14:val="tx1"/>
                  </w14:solidFill>
                </w14:textFill>
              </w:rPr>
              <w:t>EIAProA2018</w:t>
            </w:r>
            <w:r>
              <w:rPr>
                <w:rFonts w:hint="eastAsia" w:eastAsia="Times New Roman" w:cs="Times New Roman"/>
                <w:color w:val="000000" w:themeColor="text1"/>
                <w:sz w:val="24"/>
                <w:szCs w:val="24"/>
                <w:highlight w:val="none"/>
                <w:lang w:eastAsia="zh-CN"/>
                <w14:textFill>
                  <w14:solidFill>
                    <w14:schemeClr w14:val="tx1"/>
                  </w14:solidFill>
                </w14:textFill>
              </w:rPr>
              <w:t>软件估算</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结果可知，无组织非甲烷总烃最大落地浓度</w:t>
            </w:r>
            <w:r>
              <w:rPr>
                <w:rFonts w:hint="eastAsia" w:eastAsia="Times New Roman" w:cs="Times New Roman"/>
                <w:color w:val="000000" w:themeColor="text1"/>
                <w:sz w:val="24"/>
                <w:szCs w:val="24"/>
                <w:highlight w:val="none"/>
                <w:lang w:val="en-US" w:eastAsia="zh-CN"/>
                <w14:textFill>
                  <w14:solidFill>
                    <w14:schemeClr w14:val="tx1"/>
                  </w14:solidFill>
                </w14:textFill>
              </w:rPr>
              <w:t>1</w:t>
            </w:r>
            <w:r>
              <w:rPr>
                <w:rFonts w:hint="eastAsia" w:eastAsia="Times New Roman" w:cs="Times New Roman"/>
                <w:color w:val="auto"/>
                <w:sz w:val="24"/>
                <w:szCs w:val="24"/>
                <w:highlight w:val="none"/>
                <w:lang w:val="en-US" w:eastAsia="zh-CN"/>
              </w:rPr>
              <w:t>.21</w:t>
            </w:r>
            <w:r>
              <w:rPr>
                <w:rFonts w:hint="default" w:ascii="Times New Roman" w:hAnsi="Times New Roman" w:eastAsia="Times New Roman" w:cs="Times New Roman"/>
                <w:color w:val="auto"/>
                <w:sz w:val="24"/>
                <w:szCs w:val="24"/>
                <w:highlight w:val="none"/>
                <w:lang w:eastAsia="zh-CN"/>
              </w:rPr>
              <w:t>×10</w:t>
            </w:r>
            <w:r>
              <w:rPr>
                <w:rFonts w:hint="default" w:ascii="Times New Roman" w:hAnsi="Times New Roman" w:eastAsia="Times New Roman" w:cs="Times New Roman"/>
                <w:color w:val="auto"/>
                <w:sz w:val="24"/>
                <w:szCs w:val="24"/>
                <w:highlight w:val="none"/>
                <w:vertAlign w:val="superscript"/>
                <w:lang w:eastAsia="zh-CN"/>
              </w:rPr>
              <w:t>-</w:t>
            </w:r>
            <w:r>
              <w:rPr>
                <w:rFonts w:hint="eastAsia" w:eastAsia="Times New Roman" w:cs="Times New Roman"/>
                <w:color w:val="auto"/>
                <w:sz w:val="24"/>
                <w:szCs w:val="24"/>
                <w:highlight w:val="none"/>
                <w:vertAlign w:val="superscript"/>
                <w:lang w:val="en-US" w:eastAsia="zh-CN"/>
              </w:rPr>
              <w:t>3</w:t>
            </w:r>
            <w:r>
              <w:rPr>
                <w:rFonts w:hint="default" w:ascii="Times New Roman" w:hAnsi="Times New Roman" w:eastAsia="Times New Roman" w:cs="Times New Roman"/>
                <w:color w:val="auto"/>
                <w:sz w:val="24"/>
                <w:szCs w:val="24"/>
                <w:highlight w:val="none"/>
                <w:lang w:eastAsia="zh-CN"/>
              </w:rPr>
              <w:t>mg/m</w:t>
            </w:r>
            <w:r>
              <w:rPr>
                <w:rFonts w:hint="default" w:ascii="Times New Roman" w:hAnsi="Times New Roman" w:eastAsia="Times New Roman" w:cs="Times New Roman"/>
                <w:color w:val="auto"/>
                <w:sz w:val="24"/>
                <w:szCs w:val="24"/>
                <w:highlight w:val="none"/>
                <w:vertAlign w:val="superscript"/>
                <w:lang w:eastAsia="zh-CN"/>
              </w:rPr>
              <w:t>3</w:t>
            </w:r>
            <w:r>
              <w:rPr>
                <w:rFonts w:hint="default" w:ascii="Times New Roman" w:hAnsi="Times New Roman" w:eastAsia="Times New Roman" w:cs="Times New Roman"/>
                <w:color w:val="auto"/>
                <w:sz w:val="24"/>
                <w:szCs w:val="24"/>
                <w:highlight w:val="none"/>
                <w:vertAlign w:val="baseline"/>
                <w:lang w:eastAsia="zh-CN"/>
              </w:rPr>
              <w:t>，</w:t>
            </w:r>
            <w:r>
              <w:rPr>
                <w:rFonts w:hint="eastAsia" w:eastAsia="Times New Roman" w:cs="Times New Roman"/>
                <w:color w:val="000000" w:themeColor="text1"/>
                <w:sz w:val="24"/>
                <w:szCs w:val="24"/>
                <w:highlight w:val="none"/>
                <w:vertAlign w:val="baseline"/>
                <w:lang w:eastAsia="zh-CN"/>
                <w14:textFill>
                  <w14:solidFill>
                    <w14:schemeClr w14:val="tx1"/>
                  </w14:solidFill>
                </w14:textFill>
              </w:rPr>
              <w:t>能够</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满足</w:t>
            </w:r>
            <w:r>
              <w:rPr>
                <w:rFonts w:hint="default" w:ascii="Times New Roman" w:hAnsi="Times New Roman" w:eastAsia="宋体" w:cs="Times New Roman"/>
                <w:b w:val="0"/>
                <w:bCs w:val="0"/>
                <w:color w:val="000000" w:themeColor="text1"/>
                <w:kern w:val="2"/>
                <w:sz w:val="24"/>
                <w:szCs w:val="24"/>
                <w:highlight w:val="none"/>
                <w:u w:val="none" w:color="auto"/>
                <w:lang w:val="en-US" w:eastAsia="zh-CN" w:bidi="ar-SA"/>
                <w14:textFill>
                  <w14:solidFill>
                    <w14:schemeClr w14:val="tx1"/>
                  </w14:solidFill>
                </w14:textFill>
              </w:rPr>
              <w:t>《挥发性有机物无组织排放控制标准》（GB37822-2019）</w:t>
            </w:r>
            <w:r>
              <w:rPr>
                <w:rFonts w:hint="eastAsia" w:cs="Times New Roman"/>
                <w:b w:val="0"/>
                <w:bCs w:val="0"/>
                <w:color w:val="000000" w:themeColor="text1"/>
                <w:kern w:val="2"/>
                <w:sz w:val="24"/>
                <w:szCs w:val="24"/>
                <w:highlight w:val="none"/>
                <w:u w:val="none" w:color="auto"/>
                <w:lang w:val="en-US" w:eastAsia="zh-CN" w:bidi="ar-SA"/>
                <w14:textFill>
                  <w14:solidFill>
                    <w14:schemeClr w14:val="tx1"/>
                  </w14:solidFill>
                </w14:textFill>
              </w:rPr>
              <w:t>，同时满足</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《合成树脂工业污染物排放标准（GB31572-2015）（含2024年修改单版本）》中相关标准限值</w:t>
            </w:r>
            <w:r>
              <w:rPr>
                <w:rFonts w:hint="eastAsia" w:eastAsia="Times New Roman" w:cs="Times New Roman"/>
                <w:color w:val="000000" w:themeColor="text1"/>
                <w:sz w:val="24"/>
                <w:szCs w:val="24"/>
                <w:highlight w:val="none"/>
                <w:lang w:val="en-US" w:eastAsia="zh-CN"/>
                <w14:textFill>
                  <w14:solidFill>
                    <w14:schemeClr w14:val="tx1"/>
                  </w14:solidFill>
                </w14:textFill>
              </w:rPr>
              <w:t>和</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《河南省重污染天气重点行业应急减排措施制定技术指南（202</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Times New Roman" w:cs="Times New Roman"/>
                <w:color w:val="000000" w:themeColor="text1"/>
                <w:sz w:val="24"/>
                <w:szCs w:val="24"/>
                <w:highlight w:val="none"/>
                <w:lang w:eastAsia="zh-CN"/>
                <w14:textFill>
                  <w14:solidFill>
                    <w14:schemeClr w14:val="tx1"/>
                  </w14:solidFill>
                </w14:textFill>
              </w:rPr>
              <w:t>年版）》中塑料制品行业A级绩效要求。</w:t>
            </w:r>
          </w:p>
          <w:p w14:paraId="535D7DED">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jc w:val="both"/>
              <w:rPr>
                <w:rFonts w:hint="eastAsia" w:eastAsia="Times New Roman" w:cs="Times New Roman"/>
                <w:b/>
                <w:bCs/>
                <w:color w:val="000000" w:themeColor="text1"/>
                <w:sz w:val="24"/>
                <w:szCs w:val="24"/>
                <w:highlight w:val="none"/>
                <w:lang w:eastAsia="zh-CN"/>
                <w14:textFill>
                  <w14:solidFill>
                    <w14:schemeClr w14:val="tx1"/>
                  </w14:solidFill>
                </w14:textFill>
              </w:rPr>
            </w:pPr>
            <w:r>
              <w:rPr>
                <w:rFonts w:hint="eastAsia" w:eastAsia="Times New Roman" w:cs="Times New Roman"/>
                <w:b/>
                <w:bCs/>
                <w:color w:val="000000" w:themeColor="text1"/>
                <w:sz w:val="24"/>
                <w:szCs w:val="24"/>
                <w:highlight w:val="none"/>
                <w:lang w:eastAsia="zh-CN"/>
                <w14:textFill>
                  <w14:solidFill>
                    <w14:schemeClr w14:val="tx1"/>
                  </w14:solidFill>
                </w14:textFill>
              </w:rPr>
              <w:t>单位产品非甲烷总烃排放量</w:t>
            </w:r>
          </w:p>
          <w:p w14:paraId="56A00DED">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Times New Roman" w:cs="Times New Roman"/>
                <w:color w:val="000000" w:themeColor="text1"/>
                <w:sz w:val="24"/>
                <w:szCs w:val="24"/>
                <w:highlight w:val="none"/>
                <w:lang w:val="en-US" w:eastAsia="zh-CN"/>
                <w14:textFill>
                  <w14:solidFill>
                    <w14:schemeClr w14:val="tx1"/>
                  </w14:solidFill>
                </w14:textFill>
              </w:rPr>
              <w:t>本项目</w:t>
            </w:r>
            <w:r>
              <w:rPr>
                <w:rFonts w:hint="default" w:ascii="Times New Roman" w:hAnsi="Times New Roman" w:eastAsia="宋体" w:cs="Times New Roman"/>
                <w:b w:val="0"/>
                <w:bCs w:val="0"/>
                <w:color w:val="000000" w:themeColor="text1"/>
                <w:kern w:val="2"/>
                <w:sz w:val="24"/>
                <w:szCs w:val="24"/>
                <w:highlight w:val="none"/>
                <w:u w:val="none" w:color="auto"/>
                <w:lang w:val="en-US" w:eastAsia="zh-CN" w:bidi="ar-SA"/>
                <w14:textFill>
                  <w14:solidFill>
                    <w14:schemeClr w14:val="tx1"/>
                  </w14:solidFill>
                </w14:textFill>
              </w:rPr>
              <w:t>非甲烷总烃排放总量为</w:t>
            </w:r>
            <w:r>
              <w:rPr>
                <w:rFonts w:hint="eastAsia" w:cs="Times New Roman"/>
                <w:b w:val="0"/>
                <w:bCs w:val="0"/>
                <w:color w:val="000000" w:themeColor="text1"/>
                <w:kern w:val="2"/>
                <w:sz w:val="24"/>
                <w:szCs w:val="24"/>
                <w:highlight w:val="none"/>
                <w:u w:val="none" w:color="auto"/>
                <w:lang w:val="en-US" w:eastAsia="zh-CN" w:bidi="ar-SA"/>
                <w14:textFill>
                  <w14:solidFill>
                    <w14:schemeClr w14:val="tx1"/>
                  </w14:solidFill>
                </w14:textFill>
              </w:rPr>
              <w:t>0.1789</w:t>
            </w:r>
            <w:r>
              <w:rPr>
                <w:rFonts w:hint="default" w:ascii="Times New Roman" w:hAnsi="Times New Roman" w:eastAsia="宋体" w:cs="Times New Roman"/>
                <w:b w:val="0"/>
                <w:bCs w:val="0"/>
                <w:color w:val="000000" w:themeColor="text1"/>
                <w:kern w:val="2"/>
                <w:sz w:val="24"/>
                <w:szCs w:val="24"/>
                <w:highlight w:val="none"/>
                <w:u w:val="none" w:color="auto"/>
                <w:lang w:val="en-US" w:eastAsia="zh-CN" w:bidi="ar-SA"/>
                <w14:textFill>
                  <w14:solidFill>
                    <w14:schemeClr w14:val="tx1"/>
                  </w14:solidFill>
                </w14:textFill>
              </w:rPr>
              <w:t>t/a</w:t>
            </w:r>
            <w:r>
              <w:rPr>
                <w:rFonts w:hint="eastAsia" w:cs="Times New Roman"/>
                <w:b w:val="0"/>
                <w:bCs w:val="0"/>
                <w:color w:val="000000" w:themeColor="text1"/>
                <w:kern w:val="2"/>
                <w:sz w:val="24"/>
                <w:szCs w:val="24"/>
                <w:highlight w:val="none"/>
                <w:u w:val="none" w:color="auto"/>
                <w:lang w:val="en-US" w:eastAsia="zh-CN" w:bidi="ar-SA"/>
                <w14:textFill>
                  <w14:solidFill>
                    <w14:schemeClr w14:val="tx1"/>
                  </w14:solidFill>
                </w14:textFill>
              </w:rPr>
              <w:t>，</w:t>
            </w:r>
            <w:r>
              <w:rPr>
                <w:rFonts w:hint="eastAsia" w:cs="Times New Roman"/>
                <w:b w:val="0"/>
                <w:bCs w:val="0"/>
                <w:color w:val="auto"/>
                <w:kern w:val="2"/>
                <w:sz w:val="24"/>
                <w:szCs w:val="24"/>
                <w:highlight w:val="none"/>
                <w:u w:val="none" w:color="auto"/>
                <w:lang w:val="en-US" w:eastAsia="zh-CN" w:bidi="ar-SA"/>
              </w:rPr>
              <w:t>产品产量为690.01t/a，</w:t>
            </w:r>
            <w:r>
              <w:rPr>
                <w:rFonts w:hint="eastAsia" w:cs="Times New Roman"/>
                <w:b w:val="0"/>
                <w:bCs w:val="0"/>
                <w:color w:val="000000" w:themeColor="text1"/>
                <w:kern w:val="2"/>
                <w:sz w:val="24"/>
                <w:szCs w:val="24"/>
                <w:highlight w:val="none"/>
                <w:u w:val="none" w:color="auto"/>
                <w:lang w:val="en-US" w:eastAsia="zh-CN" w:bidi="ar-SA"/>
                <w14:textFill>
                  <w14:solidFill>
                    <w14:schemeClr w14:val="tx1"/>
                  </w14:solidFill>
                </w14:textFill>
              </w:rPr>
              <w:t>经计算，项目单位产品非甲烷总烃排放量为0.2594kg/t，能够满足《合成树脂工业污染物排放标准（GB31572-2015）（含2024年修改单版本）》中单位产品非甲烷总烃排放量要求。</w:t>
            </w:r>
          </w:p>
          <w:p w14:paraId="7C13CD69">
            <w:pPr>
              <w:keepNext w:val="0"/>
              <w:keepLines w:val="0"/>
              <w:pageBreakBefore w:val="0"/>
              <w:widowControl w:val="0"/>
              <w:suppressLineNumbers w:val="0"/>
              <w:kinsoku/>
              <w:wordWrap/>
              <w:topLinePunct w:val="0"/>
              <w:autoSpaceDE w:val="0"/>
              <w:autoSpaceDN w:val="0"/>
              <w:bidi w:val="0"/>
              <w:adjustRightInd w:val="0"/>
              <w:snapToGrid w:val="0"/>
              <w:spacing w:before="0" w:beforeAutospacing="0" w:after="0" w:afterAutospacing="0" w:line="360" w:lineRule="auto"/>
              <w:ind w:left="0" w:right="0" w:firstLine="463" w:firstLineChars="192"/>
              <w:jc w:val="both"/>
              <w:rPr>
                <w:rFonts w:hint="default" w:ascii="Times New Roman" w:hAnsi="Times New Roman" w:eastAsia="宋体" w:cs="Times New Roman"/>
                <w:b/>
                <w:bCs w:val="0"/>
                <w:color w:val="000000" w:themeColor="text1"/>
                <w:kern w:val="2"/>
                <w:sz w:val="24"/>
                <w:szCs w:val="24"/>
                <w:highlight w:val="none"/>
                <w:u w:val="none" w:color="auto"/>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2"/>
                <w:sz w:val="24"/>
                <w:szCs w:val="24"/>
                <w:highlight w:val="none"/>
                <w:u w:val="none" w:color="auto"/>
                <w:lang w:val="en-US" w:eastAsia="zh-CN" w:bidi="ar-SA"/>
                <w14:textFill>
                  <w14:solidFill>
                    <w14:schemeClr w14:val="tx1"/>
                  </w14:solidFill>
                </w14:textFill>
              </w:rPr>
              <w:t>1.</w:t>
            </w:r>
            <w:r>
              <w:rPr>
                <w:rFonts w:hint="eastAsia" w:cs="Times New Roman"/>
                <w:b/>
                <w:bCs w:val="0"/>
                <w:color w:val="000000" w:themeColor="text1"/>
                <w:kern w:val="2"/>
                <w:sz w:val="24"/>
                <w:szCs w:val="24"/>
                <w:highlight w:val="none"/>
                <w:u w:val="none" w:color="auto"/>
                <w:lang w:val="en-US" w:eastAsia="zh-CN" w:bidi="ar-SA"/>
                <w14:textFill>
                  <w14:solidFill>
                    <w14:schemeClr w14:val="tx1"/>
                  </w14:solidFill>
                </w14:textFill>
              </w:rPr>
              <w:t>4</w:t>
            </w:r>
            <w:r>
              <w:rPr>
                <w:rFonts w:hint="default" w:ascii="Times New Roman" w:hAnsi="Times New Roman" w:eastAsia="宋体" w:cs="Times New Roman"/>
                <w:b/>
                <w:bCs w:val="0"/>
                <w:color w:val="000000" w:themeColor="text1"/>
                <w:kern w:val="2"/>
                <w:sz w:val="24"/>
                <w:szCs w:val="24"/>
                <w:highlight w:val="none"/>
                <w:u w:val="none" w:color="auto"/>
                <w:lang w:val="en-US" w:eastAsia="zh-CN" w:bidi="ar-SA"/>
                <w14:textFill>
                  <w14:solidFill>
                    <w14:schemeClr w14:val="tx1"/>
                  </w14:solidFill>
                </w14:textFill>
              </w:rPr>
              <w:t>污染源非正常排放情况</w:t>
            </w:r>
          </w:p>
          <w:p w14:paraId="135A2255">
            <w:pPr>
              <w:keepNext w:val="0"/>
              <w:keepLines w:val="0"/>
              <w:suppressLineNumbers w:val="0"/>
              <w:shd w:val="clear"/>
              <w:tabs>
                <w:tab w:val="left" w:pos="2994"/>
              </w:tabs>
              <w:autoSpaceDE w:val="0"/>
              <w:autoSpaceDN w:val="0"/>
              <w:spacing w:before="0" w:beforeAutospacing="0" w:after="0" w:afterAutospacing="0" w:line="360" w:lineRule="auto"/>
              <w:ind w:left="0" w:right="0" w:firstLine="480" w:firstLineChars="200"/>
              <w:rPr>
                <w:rFonts w:hint="default"/>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本项目废气非正常排放主要包括污染防治措施故障以及其他不可预知的情况。设备检修一般在停产时进行，不存在污染物排</w:t>
            </w:r>
            <w:r>
              <w:rPr>
                <w:rFonts w:hint="default"/>
                <w:color w:val="000000" w:themeColor="text1"/>
                <w:sz w:val="24"/>
                <w:szCs w:val="24"/>
                <w14:textFill>
                  <w14:solidFill>
                    <w14:schemeClr w14:val="tx1"/>
                  </w14:solidFill>
                </w14:textFill>
              </w:rPr>
              <w:t>放。类比同类行业，一般情况下每年故障次数不超过1次，故障后现场工人及时发现上报，在1h内可实现紧急停车、排除故障。</w:t>
            </w:r>
          </w:p>
          <w:p w14:paraId="3F4BA4B0">
            <w:pPr>
              <w:keepNext w:val="0"/>
              <w:keepLines w:val="0"/>
              <w:suppressLineNumbers w:val="0"/>
              <w:shd w:val="clear"/>
              <w:tabs>
                <w:tab w:val="left" w:pos="2994"/>
              </w:tabs>
              <w:autoSpaceDE w:val="0"/>
              <w:autoSpaceDN w:val="0"/>
              <w:spacing w:before="0" w:beforeAutospacing="0" w:after="0" w:afterAutospacing="0" w:line="360" w:lineRule="auto"/>
              <w:ind w:left="0" w:right="0" w:firstLine="480" w:firstLineChars="200"/>
              <w:rPr>
                <w:rFonts w:hint="default"/>
                <w:color w:val="000000" w:themeColor="text1"/>
                <w:sz w:val="24"/>
                <w:szCs w:val="24"/>
                <w14:textFill>
                  <w14:solidFill>
                    <w14:schemeClr w14:val="tx1"/>
                  </w14:solidFill>
                </w14:textFill>
              </w:rPr>
            </w:pPr>
            <w:r>
              <w:rPr>
                <w:rFonts w:hint="default"/>
                <w:color w:val="000000" w:themeColor="text1"/>
                <w:sz w:val="24"/>
                <w:szCs w:val="24"/>
                <w14:textFill>
                  <w14:solidFill>
                    <w14:schemeClr w14:val="tx1"/>
                  </w14:solidFill>
                </w14:textFill>
              </w:rPr>
              <w:t>本次环评考虑最不利情况下：</w:t>
            </w:r>
            <w:r>
              <w:rPr>
                <w:rFonts w:hint="eastAsia"/>
                <w:color w:val="000000" w:themeColor="text1"/>
                <w:sz w:val="24"/>
                <w:szCs w:val="24"/>
                <w:lang w:val="en-US" w:eastAsia="zh-CN"/>
                <w14:textFill>
                  <w14:solidFill>
                    <w14:schemeClr w14:val="tx1"/>
                  </w14:solidFill>
                </w14:textFill>
              </w:rPr>
              <w:t>“</w:t>
            </w:r>
            <w:r>
              <w:rPr>
                <w:rFonts w:hint="eastAsia"/>
                <w:color w:val="000000" w:themeColor="text1"/>
                <w:sz w:val="24"/>
                <w:szCs w:val="24"/>
                <w:lang w:eastAsia="zh-CN"/>
                <w14:textFill>
                  <w14:solidFill>
                    <w14:schemeClr w14:val="tx1"/>
                  </w14:solidFill>
                </w14:textFill>
              </w:rPr>
              <w:t>活性炭吸附、脱附</w:t>
            </w:r>
            <w:r>
              <w:rPr>
                <w:rFonts w:hint="eastAsia"/>
                <w:color w:val="000000" w:themeColor="text1"/>
                <w:sz w:val="24"/>
                <w:szCs w:val="24"/>
                <w:lang w:val="en-US" w:eastAsia="zh-CN"/>
                <w14:textFill>
                  <w14:solidFill>
                    <w14:schemeClr w14:val="tx1"/>
                  </w14:solidFill>
                </w14:textFill>
              </w:rPr>
              <w:t>+催化燃烧”</w:t>
            </w:r>
            <w:r>
              <w:rPr>
                <w:rFonts w:hint="eastAsia"/>
                <w:color w:val="000000" w:themeColor="text1"/>
                <w:sz w:val="24"/>
                <w:szCs w:val="24"/>
                <w:lang w:eastAsia="zh-CN"/>
                <w14:textFill>
                  <w14:solidFill>
                    <w14:schemeClr w14:val="tx1"/>
                  </w14:solidFill>
                </w14:textFill>
              </w:rPr>
              <w:t>装置失效、静电油烟净化器失效，</w:t>
            </w:r>
            <w:r>
              <w:rPr>
                <w:rFonts w:hint="default"/>
                <w:color w:val="000000" w:themeColor="text1"/>
                <w:sz w:val="24"/>
                <w:szCs w:val="24"/>
                <w14:textFill>
                  <w14:solidFill>
                    <w14:schemeClr w14:val="tx1"/>
                  </w14:solidFill>
                </w14:textFill>
              </w:rPr>
              <w:t>废气处理效率按</w:t>
            </w:r>
            <w:r>
              <w:rPr>
                <w:rFonts w:hint="eastAsia"/>
                <w:color w:val="000000" w:themeColor="text1"/>
                <w:sz w:val="24"/>
                <w:szCs w:val="24"/>
                <w:lang w:val="en-US" w:eastAsia="zh-CN"/>
                <w14:textFill>
                  <w14:solidFill>
                    <w14:schemeClr w14:val="tx1"/>
                  </w14:solidFill>
                </w14:textFill>
              </w:rPr>
              <w:t>0</w:t>
            </w:r>
            <w:r>
              <w:rPr>
                <w:rFonts w:hint="default"/>
                <w:color w:val="000000" w:themeColor="text1"/>
                <w:sz w:val="24"/>
                <w:szCs w:val="24"/>
                <w14:textFill>
                  <w14:solidFill>
                    <w14:schemeClr w14:val="tx1"/>
                  </w14:solidFill>
                </w14:textFill>
              </w:rPr>
              <w:t>%计。此情况下</w:t>
            </w:r>
            <w:r>
              <w:rPr>
                <w:rFonts w:hint="eastAsia"/>
                <w:color w:val="000000" w:themeColor="text1"/>
                <w:sz w:val="24"/>
                <w:szCs w:val="24"/>
                <w14:textFill>
                  <w14:solidFill>
                    <w14:schemeClr w14:val="tx1"/>
                  </w14:solidFill>
                </w14:textFill>
              </w:rPr>
              <w:t>污染物排放情况见下表。</w:t>
            </w:r>
          </w:p>
          <w:p w14:paraId="2DD0168F">
            <w:pPr>
              <w:keepNext w:val="0"/>
              <w:keepLines w:val="0"/>
              <w:pageBreakBefore w:val="0"/>
              <w:widowControl w:val="0"/>
              <w:suppressLineNumbers w:val="0"/>
              <w:kinsoku/>
              <w:wordWrap/>
              <w:topLinePunct w:val="0"/>
              <w:autoSpaceDE w:val="0"/>
              <w:autoSpaceDN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val="0"/>
                <w:color w:val="000000" w:themeColor="text1"/>
                <w:kern w:val="2"/>
                <w:sz w:val="24"/>
                <w:szCs w:val="24"/>
                <w:highlight w:val="none"/>
                <w:u w:val="none" w:color="auto"/>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2"/>
                <w:sz w:val="24"/>
                <w:szCs w:val="24"/>
                <w:highlight w:val="none"/>
                <w:u w:val="none" w:color="auto"/>
                <w:lang w:val="en-US" w:eastAsia="zh-CN" w:bidi="ar-SA"/>
                <w14:textFill>
                  <w14:solidFill>
                    <w14:schemeClr w14:val="tx1"/>
                  </w14:solidFill>
                </w14:textFill>
              </w:rPr>
              <w:t>污染源非正常排放情况表</w:t>
            </w:r>
          </w:p>
          <w:tbl>
            <w:tblPr>
              <w:tblStyle w:val="29"/>
              <w:tblW w:w="4992" w:type="pct"/>
              <w:jc w:val="center"/>
              <w:tblBorders>
                <w:top w:val="single" w:color="auto" w:sz="2" w:space="0"/>
                <w:left w:val="none" w:color="auto" w:sz="6" w:space="0"/>
                <w:bottom w:val="single" w:color="auto" w:sz="2" w:space="0"/>
                <w:right w:val="non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04"/>
              <w:gridCol w:w="950"/>
              <w:gridCol w:w="850"/>
              <w:gridCol w:w="1337"/>
              <w:gridCol w:w="1281"/>
              <w:gridCol w:w="959"/>
              <w:gridCol w:w="820"/>
              <w:gridCol w:w="1158"/>
            </w:tblGrid>
            <w:tr w14:paraId="2AA3A1BF">
              <w:tblPrEx>
                <w:tblBorders>
                  <w:top w:val="single" w:color="auto" w:sz="2" w:space="0"/>
                  <w:left w:val="none" w:color="auto" w:sz="6" w:space="0"/>
                  <w:bottom w:val="single" w:color="auto" w:sz="2" w:space="0"/>
                  <w:right w:val="none" w:color="auto" w:sz="6" w:space="0"/>
                  <w:insideH w:val="single" w:color="auto" w:sz="6" w:space="0"/>
                  <w:insideV w:val="single" w:color="auto" w:sz="6" w:space="0"/>
                </w:tblBorders>
                <w:tblCellMar>
                  <w:top w:w="0" w:type="dxa"/>
                  <w:left w:w="108" w:type="dxa"/>
                  <w:bottom w:w="0" w:type="dxa"/>
                  <w:right w:w="108" w:type="dxa"/>
                </w:tblCellMar>
              </w:tblPrEx>
              <w:trPr>
                <w:trHeight w:val="771" w:hRule="atLeast"/>
                <w:jc w:val="center"/>
              </w:trPr>
              <w:tc>
                <w:tcPr>
                  <w:tcW w:w="600" w:type="pct"/>
                  <w:tcBorders>
                    <w:top w:val="single" w:color="auto" w:sz="2" w:space="0"/>
                    <w:left w:val="nil"/>
                    <w:bottom w:val="single" w:color="auto" w:sz="6" w:space="0"/>
                    <w:right w:val="single" w:color="auto" w:sz="6" w:space="0"/>
                  </w:tcBorders>
                  <w:noWrap w:val="0"/>
                  <w:vAlign w:val="center"/>
                </w:tcPr>
                <w:p w14:paraId="7F58C8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非正常排放源</w:t>
                  </w:r>
                </w:p>
              </w:tc>
              <w:tc>
                <w:tcPr>
                  <w:tcW w:w="568" w:type="pct"/>
                  <w:tcBorders>
                    <w:top w:val="single" w:color="auto" w:sz="2" w:space="0"/>
                    <w:left w:val="single" w:color="auto" w:sz="6" w:space="0"/>
                    <w:bottom w:val="single" w:color="auto" w:sz="6" w:space="0"/>
                    <w:right w:val="single" w:color="auto" w:sz="6" w:space="0"/>
                  </w:tcBorders>
                  <w:noWrap w:val="0"/>
                  <w:vAlign w:val="center"/>
                </w:tcPr>
                <w:p w14:paraId="381A4A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非正常排放原因</w:t>
                  </w:r>
                </w:p>
              </w:tc>
              <w:tc>
                <w:tcPr>
                  <w:tcW w:w="508" w:type="pct"/>
                  <w:tcBorders>
                    <w:top w:val="single" w:color="auto" w:sz="2" w:space="0"/>
                    <w:left w:val="single" w:color="auto" w:sz="6" w:space="0"/>
                    <w:bottom w:val="single" w:color="auto" w:sz="6" w:space="0"/>
                    <w:right w:val="single" w:color="auto" w:sz="6" w:space="0"/>
                  </w:tcBorders>
                  <w:noWrap w:val="0"/>
                  <w:vAlign w:val="center"/>
                </w:tcPr>
                <w:p w14:paraId="49CC2E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污染物</w:t>
                  </w:r>
                </w:p>
              </w:tc>
              <w:tc>
                <w:tcPr>
                  <w:tcW w:w="799" w:type="pct"/>
                  <w:tcBorders>
                    <w:top w:val="single" w:color="auto" w:sz="2" w:space="0"/>
                    <w:left w:val="single" w:color="auto" w:sz="6" w:space="0"/>
                    <w:bottom w:val="single" w:color="auto" w:sz="6" w:space="0"/>
                    <w:right w:val="single" w:color="auto" w:sz="6" w:space="0"/>
                  </w:tcBorders>
                  <w:noWrap w:val="0"/>
                  <w:vAlign w:val="center"/>
                </w:tcPr>
                <w:p w14:paraId="6F5539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非正常排放浓度/（mg/m</w:t>
                  </w:r>
                  <w:r>
                    <w:rPr>
                      <w:rFonts w:hint="default" w:ascii="Times New Roman" w:hAnsi="Times New Roman" w:eastAsia="宋体" w:cs="Times New Roman"/>
                      <w:b/>
                      <w:bCs/>
                      <w:color w:val="000000" w:themeColor="text1"/>
                      <w:kern w:val="2"/>
                      <w:sz w:val="21"/>
                      <w:szCs w:val="21"/>
                      <w:vertAlign w:val="superscript"/>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w:t>
                  </w:r>
                </w:p>
              </w:tc>
              <w:tc>
                <w:tcPr>
                  <w:tcW w:w="766" w:type="pct"/>
                  <w:tcBorders>
                    <w:top w:val="single" w:color="auto" w:sz="2" w:space="0"/>
                    <w:left w:val="single" w:color="auto" w:sz="6" w:space="0"/>
                    <w:bottom w:val="single" w:color="auto" w:sz="6" w:space="0"/>
                    <w:right w:val="single" w:color="auto" w:sz="6" w:space="0"/>
                  </w:tcBorders>
                  <w:noWrap w:val="0"/>
                  <w:vAlign w:val="center"/>
                </w:tcPr>
                <w:p w14:paraId="719C6A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非正常排放速率/（kg/h）</w:t>
                  </w:r>
                </w:p>
              </w:tc>
              <w:tc>
                <w:tcPr>
                  <w:tcW w:w="573" w:type="pct"/>
                  <w:tcBorders>
                    <w:top w:val="single" w:color="auto" w:sz="2" w:space="0"/>
                    <w:left w:val="single" w:color="auto" w:sz="6" w:space="0"/>
                    <w:bottom w:val="single" w:color="auto" w:sz="6" w:space="0"/>
                    <w:right w:val="single" w:color="auto" w:sz="6" w:space="0"/>
                  </w:tcBorders>
                  <w:noWrap w:val="0"/>
                  <w:vAlign w:val="center"/>
                </w:tcPr>
                <w:p w14:paraId="195D9D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单次持续时间/h</w:t>
                  </w:r>
                </w:p>
              </w:tc>
              <w:tc>
                <w:tcPr>
                  <w:tcW w:w="490" w:type="pct"/>
                  <w:tcBorders>
                    <w:top w:val="single" w:color="auto" w:sz="2" w:space="0"/>
                    <w:left w:val="single" w:color="auto" w:sz="6" w:space="0"/>
                    <w:bottom w:val="single" w:color="auto" w:sz="6" w:space="0"/>
                    <w:right w:val="single" w:color="auto" w:sz="6" w:space="0"/>
                  </w:tcBorders>
                  <w:noWrap w:val="0"/>
                  <w:vAlign w:val="center"/>
                </w:tcPr>
                <w:p w14:paraId="614A9C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年发生频次/次</w:t>
                  </w:r>
                </w:p>
              </w:tc>
              <w:tc>
                <w:tcPr>
                  <w:tcW w:w="692" w:type="pct"/>
                  <w:tcBorders>
                    <w:top w:val="single" w:color="auto" w:sz="2" w:space="0"/>
                    <w:left w:val="single" w:color="auto" w:sz="6" w:space="0"/>
                    <w:bottom w:val="single" w:color="auto" w:sz="6" w:space="0"/>
                    <w:right w:val="nil"/>
                  </w:tcBorders>
                  <w:noWrap w:val="0"/>
                  <w:vAlign w:val="center"/>
                </w:tcPr>
                <w:p w14:paraId="3E2ABC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应对措施</w:t>
                  </w:r>
                </w:p>
              </w:tc>
            </w:tr>
            <w:tr w14:paraId="7D00482A">
              <w:tblPrEx>
                <w:tblBorders>
                  <w:top w:val="single" w:color="auto" w:sz="2" w:space="0"/>
                  <w:left w:val="none" w:color="auto" w:sz="6" w:space="0"/>
                  <w:bottom w:val="single" w:color="auto" w:sz="2" w:space="0"/>
                  <w:right w:val="none" w:color="auto" w:sz="6" w:space="0"/>
                  <w:insideH w:val="single" w:color="auto" w:sz="6" w:space="0"/>
                  <w:insideV w:val="single" w:color="auto" w:sz="6" w:space="0"/>
                </w:tblBorders>
                <w:tblCellMar>
                  <w:top w:w="0" w:type="dxa"/>
                  <w:left w:w="108" w:type="dxa"/>
                  <w:bottom w:w="0" w:type="dxa"/>
                  <w:right w:w="108" w:type="dxa"/>
                </w:tblCellMar>
              </w:tblPrEx>
              <w:trPr>
                <w:trHeight w:val="682" w:hRule="atLeast"/>
                <w:jc w:val="center"/>
              </w:trPr>
              <w:tc>
                <w:tcPr>
                  <w:tcW w:w="600" w:type="pct"/>
                  <w:tcBorders>
                    <w:top w:val="single" w:color="auto" w:sz="6" w:space="0"/>
                    <w:left w:val="nil"/>
                    <w:bottom w:val="single" w:color="auto" w:sz="6" w:space="0"/>
                    <w:right w:val="single" w:color="auto" w:sz="6" w:space="0"/>
                  </w:tcBorders>
                  <w:noWrap w:val="0"/>
                  <w:vAlign w:val="center"/>
                </w:tcPr>
                <w:p w14:paraId="21DCDB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1"/>
                      <w:szCs w:val="21"/>
                      <w:highlight w:val="none"/>
                      <w:lang w:val="en-US"/>
                    </w:rPr>
                  </w:pPr>
                  <w:r>
                    <w:rPr>
                      <w:rFonts w:hint="default" w:ascii="Times New Roman" w:hAnsi="Times New Roman" w:eastAsia="宋体" w:cs="Times New Roman"/>
                      <w:b w:val="0"/>
                      <w:bCs w:val="0"/>
                      <w:color w:val="auto"/>
                      <w:kern w:val="2"/>
                      <w:sz w:val="21"/>
                      <w:szCs w:val="21"/>
                      <w:highlight w:val="none"/>
                      <w:lang w:val="en-US" w:eastAsia="zh-CN" w:bidi="ar"/>
                    </w:rPr>
                    <w:t>DA00</w:t>
                  </w:r>
                  <w:r>
                    <w:rPr>
                      <w:rFonts w:hint="eastAsia" w:ascii="Times New Roman" w:hAnsi="Times New Roman" w:eastAsia="宋体" w:cs="Times New Roman"/>
                      <w:b w:val="0"/>
                      <w:bCs w:val="0"/>
                      <w:color w:val="auto"/>
                      <w:kern w:val="2"/>
                      <w:sz w:val="21"/>
                      <w:szCs w:val="21"/>
                      <w:highlight w:val="none"/>
                      <w:lang w:val="en-US" w:eastAsia="zh-CN" w:bidi="ar"/>
                    </w:rPr>
                    <w:t>1</w:t>
                  </w:r>
                </w:p>
              </w:tc>
              <w:tc>
                <w:tcPr>
                  <w:tcW w:w="568" w:type="pct"/>
                  <w:vMerge w:val="restart"/>
                  <w:tcBorders>
                    <w:top w:val="single" w:color="auto" w:sz="6" w:space="0"/>
                    <w:left w:val="single" w:color="auto" w:sz="6" w:space="0"/>
                    <w:right w:val="single" w:color="auto" w:sz="6" w:space="0"/>
                  </w:tcBorders>
                  <w:noWrap w:val="0"/>
                  <w:vAlign w:val="center"/>
                </w:tcPr>
                <w:p w14:paraId="2D5236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lang w:val="en-US" w:eastAsia="zh-CN" w:bidi="ar"/>
                    </w:rPr>
                    <w:t>废气治理设施故障</w:t>
                  </w:r>
                </w:p>
              </w:tc>
              <w:tc>
                <w:tcPr>
                  <w:tcW w:w="508" w:type="pct"/>
                  <w:tcBorders>
                    <w:top w:val="single" w:color="auto" w:sz="6" w:space="0"/>
                    <w:left w:val="single" w:color="auto" w:sz="6" w:space="0"/>
                    <w:bottom w:val="single" w:color="auto" w:sz="6" w:space="0"/>
                    <w:right w:val="single" w:color="auto" w:sz="6" w:space="0"/>
                  </w:tcBorders>
                  <w:noWrap w:val="0"/>
                  <w:vAlign w:val="center"/>
                </w:tcPr>
                <w:p w14:paraId="7D006A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lang w:val="en-US" w:eastAsia="zh-CN" w:bidi="ar"/>
                    </w:rPr>
                    <w:t>非甲烷总烃</w:t>
                  </w:r>
                </w:p>
              </w:tc>
              <w:tc>
                <w:tcPr>
                  <w:tcW w:w="799" w:type="pct"/>
                  <w:tcBorders>
                    <w:top w:val="single" w:color="auto" w:sz="6" w:space="0"/>
                    <w:left w:val="single" w:color="auto" w:sz="6" w:space="0"/>
                    <w:bottom w:val="single" w:color="auto" w:sz="6" w:space="0"/>
                    <w:right w:val="single" w:color="auto" w:sz="6" w:space="0"/>
                  </w:tcBorders>
                  <w:noWrap w:val="0"/>
                  <w:vAlign w:val="center"/>
                </w:tcPr>
                <w:p w14:paraId="0372C5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1"/>
                      <w:szCs w:val="21"/>
                      <w:lang w:val="en-US" w:eastAsia="zh-CN"/>
                    </w:rPr>
                  </w:pPr>
                  <w:r>
                    <w:rPr>
                      <w:rFonts w:hint="eastAsia" w:cs="Times New Roman"/>
                      <w:b w:val="0"/>
                      <w:bCs w:val="0"/>
                      <w:color w:val="auto"/>
                      <w:kern w:val="2"/>
                      <w:sz w:val="21"/>
                      <w:szCs w:val="21"/>
                      <w:lang w:val="en-US" w:eastAsia="zh-CN"/>
                    </w:rPr>
                    <w:t>20.1</w:t>
                  </w:r>
                </w:p>
              </w:tc>
              <w:tc>
                <w:tcPr>
                  <w:tcW w:w="766" w:type="pct"/>
                  <w:tcBorders>
                    <w:top w:val="single" w:color="auto" w:sz="6" w:space="0"/>
                    <w:left w:val="single" w:color="auto" w:sz="6" w:space="0"/>
                    <w:bottom w:val="single" w:color="auto" w:sz="6" w:space="0"/>
                    <w:right w:val="single" w:color="auto" w:sz="6" w:space="0"/>
                  </w:tcBorders>
                  <w:noWrap w:val="0"/>
                  <w:vAlign w:val="center"/>
                </w:tcPr>
                <w:p w14:paraId="2A467D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kern w:val="2"/>
                      <w:sz w:val="21"/>
                      <w:szCs w:val="21"/>
                      <w:u w:val="none"/>
                      <w:lang w:val="en-US" w:eastAsia="zh-CN" w:bidi="ar-SA"/>
                    </w:rPr>
                    <w:t>0.1208</w:t>
                  </w:r>
                </w:p>
              </w:tc>
              <w:tc>
                <w:tcPr>
                  <w:tcW w:w="573" w:type="pct"/>
                  <w:tcBorders>
                    <w:top w:val="single" w:color="auto" w:sz="6" w:space="0"/>
                    <w:left w:val="single" w:color="auto" w:sz="6" w:space="0"/>
                    <w:bottom w:val="single" w:color="auto" w:sz="6" w:space="0"/>
                    <w:right w:val="single" w:color="auto" w:sz="6" w:space="0"/>
                  </w:tcBorders>
                  <w:noWrap w:val="0"/>
                  <w:vAlign w:val="center"/>
                </w:tcPr>
                <w:p w14:paraId="0F9564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lang w:val="en-US" w:eastAsia="zh-CN" w:bidi="ar"/>
                    </w:rPr>
                    <w:t>1</w:t>
                  </w:r>
                </w:p>
              </w:tc>
              <w:tc>
                <w:tcPr>
                  <w:tcW w:w="490" w:type="pct"/>
                  <w:tcBorders>
                    <w:top w:val="single" w:color="auto" w:sz="6" w:space="0"/>
                    <w:left w:val="single" w:color="auto" w:sz="6" w:space="0"/>
                    <w:bottom w:val="single" w:color="auto" w:sz="6" w:space="0"/>
                    <w:right w:val="single" w:color="auto" w:sz="6" w:space="0"/>
                  </w:tcBorders>
                  <w:noWrap w:val="0"/>
                  <w:vAlign w:val="center"/>
                </w:tcPr>
                <w:p w14:paraId="087C40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lang w:val="en-US" w:eastAsia="zh-CN" w:bidi="ar"/>
                    </w:rPr>
                    <w:t>1</w:t>
                  </w:r>
                </w:p>
              </w:tc>
              <w:tc>
                <w:tcPr>
                  <w:tcW w:w="692" w:type="pct"/>
                  <w:tcBorders>
                    <w:top w:val="single" w:color="auto" w:sz="6" w:space="0"/>
                    <w:left w:val="single" w:color="auto" w:sz="6" w:space="0"/>
                    <w:bottom w:val="single" w:color="auto" w:sz="6" w:space="0"/>
                    <w:right w:val="nil"/>
                  </w:tcBorders>
                  <w:noWrap w:val="0"/>
                  <w:vAlign w:val="center"/>
                </w:tcPr>
                <w:p w14:paraId="7F4B21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lang w:val="en-US" w:eastAsia="zh-CN" w:bidi="ar"/>
                    </w:rPr>
                    <w:t>立即停止生产进行检修</w:t>
                  </w:r>
                </w:p>
              </w:tc>
            </w:tr>
            <w:tr w14:paraId="5600D484">
              <w:tblPrEx>
                <w:tblBorders>
                  <w:top w:val="single" w:color="auto" w:sz="2" w:space="0"/>
                  <w:left w:val="none" w:color="auto" w:sz="6" w:space="0"/>
                  <w:bottom w:val="single" w:color="auto" w:sz="2" w:space="0"/>
                  <w:right w:val="non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00" w:type="pct"/>
                  <w:tcBorders>
                    <w:top w:val="single" w:color="auto" w:sz="6" w:space="0"/>
                    <w:left w:val="nil"/>
                    <w:right w:val="single" w:color="auto" w:sz="6" w:space="0"/>
                  </w:tcBorders>
                  <w:noWrap w:val="0"/>
                  <w:vAlign w:val="center"/>
                </w:tcPr>
                <w:p w14:paraId="32F120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
                    </w:rPr>
                  </w:pPr>
                  <w:r>
                    <w:rPr>
                      <w:rFonts w:hint="eastAsia" w:cs="Times New Roman"/>
                      <w:b w:val="0"/>
                      <w:bCs w:val="0"/>
                      <w:color w:val="auto"/>
                      <w:kern w:val="2"/>
                      <w:sz w:val="21"/>
                      <w:szCs w:val="21"/>
                      <w:highlight w:val="none"/>
                      <w:lang w:val="en-US" w:eastAsia="zh-CN" w:bidi="ar"/>
                    </w:rPr>
                    <w:t>DA002</w:t>
                  </w:r>
                </w:p>
              </w:tc>
              <w:tc>
                <w:tcPr>
                  <w:tcW w:w="568" w:type="pct"/>
                  <w:vMerge w:val="continue"/>
                  <w:tcBorders>
                    <w:left w:val="single" w:color="auto" w:sz="6" w:space="0"/>
                    <w:right w:val="single" w:color="auto" w:sz="6" w:space="0"/>
                  </w:tcBorders>
                  <w:noWrap w:val="0"/>
                  <w:vAlign w:val="center"/>
                </w:tcPr>
                <w:p w14:paraId="43EAE5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1"/>
                      <w:szCs w:val="21"/>
                      <w:lang w:val="en-US" w:eastAsia="zh-CN" w:bidi="ar"/>
                    </w:rPr>
                  </w:pPr>
                </w:p>
              </w:tc>
              <w:tc>
                <w:tcPr>
                  <w:tcW w:w="508" w:type="pct"/>
                  <w:tcBorders>
                    <w:top w:val="single" w:color="auto" w:sz="6" w:space="0"/>
                    <w:left w:val="single" w:color="auto" w:sz="6" w:space="0"/>
                    <w:bottom w:val="single" w:color="auto" w:sz="6" w:space="0"/>
                    <w:right w:val="single" w:color="auto" w:sz="6" w:space="0"/>
                  </w:tcBorders>
                  <w:noWrap w:val="0"/>
                  <w:vAlign w:val="center"/>
                </w:tcPr>
                <w:p w14:paraId="44315C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eastAsia" w:cs="Times New Roman"/>
                      <w:b w:val="0"/>
                      <w:bCs w:val="0"/>
                      <w:color w:val="auto"/>
                      <w:kern w:val="2"/>
                      <w:sz w:val="21"/>
                      <w:szCs w:val="21"/>
                      <w:lang w:val="en-US" w:eastAsia="zh-CN" w:bidi="ar"/>
                    </w:rPr>
                    <w:t>油烟</w:t>
                  </w:r>
                </w:p>
              </w:tc>
              <w:tc>
                <w:tcPr>
                  <w:tcW w:w="799" w:type="pct"/>
                  <w:tcBorders>
                    <w:top w:val="single" w:color="auto" w:sz="6" w:space="0"/>
                    <w:left w:val="single" w:color="auto" w:sz="6" w:space="0"/>
                    <w:bottom w:val="single" w:color="auto" w:sz="6" w:space="0"/>
                    <w:right w:val="single" w:color="auto" w:sz="6" w:space="0"/>
                  </w:tcBorders>
                  <w:noWrap w:val="0"/>
                  <w:vAlign w:val="center"/>
                </w:tcPr>
                <w:p w14:paraId="21A526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1"/>
                      <w:szCs w:val="21"/>
                      <w:lang w:val="en-US" w:eastAsia="zh-CN"/>
                    </w:rPr>
                  </w:pPr>
                  <w:r>
                    <w:rPr>
                      <w:rFonts w:hint="eastAsia" w:cs="Times New Roman"/>
                      <w:b w:val="0"/>
                      <w:bCs w:val="0"/>
                      <w:color w:val="auto"/>
                      <w:kern w:val="2"/>
                      <w:sz w:val="21"/>
                      <w:szCs w:val="21"/>
                      <w:lang w:val="en-US" w:eastAsia="zh-CN"/>
                    </w:rPr>
                    <w:t>1.0</w:t>
                  </w:r>
                </w:p>
              </w:tc>
              <w:tc>
                <w:tcPr>
                  <w:tcW w:w="766" w:type="pct"/>
                  <w:tcBorders>
                    <w:top w:val="single" w:color="auto" w:sz="6" w:space="0"/>
                    <w:left w:val="single" w:color="auto" w:sz="6" w:space="0"/>
                    <w:bottom w:val="single" w:color="auto" w:sz="6" w:space="0"/>
                    <w:right w:val="single" w:color="auto" w:sz="6" w:space="0"/>
                  </w:tcBorders>
                  <w:noWrap w:val="0"/>
                  <w:vAlign w:val="center"/>
                </w:tcPr>
                <w:p w14:paraId="7CFDEE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cs="Times New Roman"/>
                      <w:i w:val="0"/>
                      <w:iCs w:val="0"/>
                      <w:color w:val="auto"/>
                      <w:kern w:val="2"/>
                      <w:sz w:val="21"/>
                      <w:szCs w:val="21"/>
                      <w:u w:val="none"/>
                      <w:lang w:val="en-US" w:eastAsia="zh-CN" w:bidi="ar-SA"/>
                    </w:rPr>
                  </w:pPr>
                  <w:r>
                    <w:rPr>
                      <w:rFonts w:hint="eastAsia" w:cs="Times New Roman"/>
                      <w:i w:val="0"/>
                      <w:iCs w:val="0"/>
                      <w:color w:val="auto"/>
                      <w:kern w:val="2"/>
                      <w:sz w:val="21"/>
                      <w:szCs w:val="21"/>
                      <w:u w:val="none"/>
                      <w:lang w:val="en-US" w:eastAsia="zh-CN" w:bidi="ar-SA"/>
                    </w:rPr>
                    <w:t>0.0002</w:t>
                  </w:r>
                </w:p>
              </w:tc>
              <w:tc>
                <w:tcPr>
                  <w:tcW w:w="573" w:type="pct"/>
                  <w:tcBorders>
                    <w:top w:val="single" w:color="auto" w:sz="6" w:space="0"/>
                    <w:left w:val="single" w:color="auto" w:sz="6" w:space="0"/>
                    <w:right w:val="single" w:color="auto" w:sz="6" w:space="0"/>
                  </w:tcBorders>
                  <w:noWrap w:val="0"/>
                  <w:vAlign w:val="center"/>
                </w:tcPr>
                <w:p w14:paraId="2B9C05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eastAsia" w:cs="Times New Roman"/>
                      <w:b w:val="0"/>
                      <w:bCs w:val="0"/>
                      <w:color w:val="auto"/>
                      <w:kern w:val="2"/>
                      <w:sz w:val="21"/>
                      <w:szCs w:val="21"/>
                      <w:lang w:val="en-US" w:eastAsia="zh-CN" w:bidi="ar"/>
                    </w:rPr>
                    <w:t>1</w:t>
                  </w:r>
                </w:p>
              </w:tc>
              <w:tc>
                <w:tcPr>
                  <w:tcW w:w="490" w:type="pct"/>
                  <w:tcBorders>
                    <w:top w:val="single" w:color="auto" w:sz="6" w:space="0"/>
                    <w:left w:val="single" w:color="auto" w:sz="6" w:space="0"/>
                    <w:right w:val="single" w:color="auto" w:sz="6" w:space="0"/>
                  </w:tcBorders>
                  <w:noWrap w:val="0"/>
                  <w:vAlign w:val="center"/>
                </w:tcPr>
                <w:p w14:paraId="0CF832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eastAsia" w:cs="Times New Roman"/>
                      <w:b w:val="0"/>
                      <w:bCs w:val="0"/>
                      <w:color w:val="auto"/>
                      <w:kern w:val="2"/>
                      <w:sz w:val="21"/>
                      <w:szCs w:val="21"/>
                      <w:lang w:val="en-US" w:eastAsia="zh-CN" w:bidi="ar"/>
                    </w:rPr>
                    <w:t>1</w:t>
                  </w:r>
                </w:p>
              </w:tc>
              <w:tc>
                <w:tcPr>
                  <w:tcW w:w="692" w:type="pct"/>
                  <w:tcBorders>
                    <w:top w:val="single" w:color="auto" w:sz="6" w:space="0"/>
                    <w:left w:val="single" w:color="auto" w:sz="6" w:space="0"/>
                    <w:right w:val="nil"/>
                  </w:tcBorders>
                  <w:noWrap w:val="0"/>
                  <w:vAlign w:val="center"/>
                </w:tcPr>
                <w:p w14:paraId="57A45E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立即停止生产进行检修</w:t>
                  </w:r>
                </w:p>
              </w:tc>
            </w:tr>
          </w:tbl>
          <w:p w14:paraId="5FD391CB">
            <w:pPr>
              <w:keepNext w:val="0"/>
              <w:keepLines w:val="0"/>
              <w:pageBreakBefore w:val="0"/>
              <w:widowControl w:val="0"/>
              <w:suppressLineNumbers w:val="0"/>
              <w:kinsoku/>
              <w:wordWrap/>
              <w:topLinePunct w:val="0"/>
              <w:autoSpaceDE w:val="0"/>
              <w:autoSpaceDN w:val="0"/>
              <w:bidi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color w:val="000000" w:themeColor="text1"/>
                <w:kern w:val="2"/>
                <w:sz w:val="24"/>
                <w:szCs w:val="24"/>
                <w:highlight w:val="none"/>
                <w:u w:val="none" w:color="auto"/>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2"/>
                <w:sz w:val="24"/>
                <w:szCs w:val="24"/>
                <w:highlight w:val="none"/>
                <w:u w:val="none" w:color="auto"/>
                <w:lang w:val="en-US" w:eastAsia="zh-CN" w:bidi="ar-SA"/>
                <w14:textFill>
                  <w14:solidFill>
                    <w14:schemeClr w14:val="tx1"/>
                  </w14:solidFill>
                </w14:textFill>
              </w:rPr>
              <w:t>1.</w:t>
            </w:r>
            <w:r>
              <w:rPr>
                <w:rFonts w:hint="eastAsia" w:cs="Times New Roman"/>
                <w:b/>
                <w:bCs w:val="0"/>
                <w:color w:val="000000" w:themeColor="text1"/>
                <w:kern w:val="2"/>
                <w:sz w:val="24"/>
                <w:szCs w:val="24"/>
                <w:highlight w:val="none"/>
                <w:u w:val="none" w:color="auto"/>
                <w:lang w:val="en-US" w:eastAsia="zh-CN" w:bidi="ar-SA"/>
                <w14:textFill>
                  <w14:solidFill>
                    <w14:schemeClr w14:val="tx1"/>
                  </w14:solidFill>
                </w14:textFill>
              </w:rPr>
              <w:t>5</w:t>
            </w:r>
            <w:r>
              <w:rPr>
                <w:rFonts w:hint="default" w:ascii="Times New Roman" w:hAnsi="Times New Roman" w:eastAsia="宋体" w:cs="Times New Roman"/>
                <w:b/>
                <w:bCs w:val="0"/>
                <w:color w:val="000000" w:themeColor="text1"/>
                <w:kern w:val="2"/>
                <w:sz w:val="24"/>
                <w:szCs w:val="24"/>
                <w:highlight w:val="none"/>
                <w:u w:val="none" w:color="auto"/>
                <w:lang w:val="en-US" w:eastAsia="zh-CN" w:bidi="ar-SA"/>
                <w14:textFill>
                  <w14:solidFill>
                    <w14:schemeClr w14:val="tx1"/>
                  </w14:solidFill>
                </w14:textFill>
              </w:rPr>
              <w:t>自行监测计划</w:t>
            </w:r>
          </w:p>
          <w:p w14:paraId="2379BC1A">
            <w:pPr>
              <w:keepNext w:val="0"/>
              <w:keepLines w:val="0"/>
              <w:pageBreakBefore w:val="0"/>
              <w:widowControl w:val="0"/>
              <w:suppressLineNumbers w:val="0"/>
              <w:tabs>
                <w:tab w:val="left" w:pos="2994"/>
              </w:tabs>
              <w:kinsoku/>
              <w:wordWrap/>
              <w:overflowPunct/>
              <w:topLinePunct w:val="0"/>
              <w:autoSpaceDE w:val="0"/>
              <w:autoSpaceDN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bCs w:val="0"/>
                <w:color w:val="auto"/>
                <w:kern w:val="2"/>
                <w:sz w:val="24"/>
                <w:szCs w:val="24"/>
                <w:highlight w:val="none"/>
                <w:u w:val="none" w:color="auto"/>
                <w:lang w:val="en-US" w:eastAsia="zh-CN" w:bidi="ar-SA"/>
              </w:rPr>
            </w:pPr>
            <w:r>
              <w:rPr>
                <w:rFonts w:hint="default"/>
                <w:color w:val="auto"/>
                <w:sz w:val="24"/>
                <w:szCs w:val="24"/>
                <w:highlight w:val="none"/>
              </w:rPr>
              <w:t>本项目大气污染物需制定自行监测计划，按照</w:t>
            </w:r>
            <w:r>
              <w:rPr>
                <w:rFonts w:hint="eastAsia"/>
                <w:color w:val="auto"/>
                <w:sz w:val="24"/>
                <w:szCs w:val="24"/>
                <w:highlight w:val="none"/>
                <w:lang w:eastAsia="zh-CN"/>
              </w:rPr>
              <w:t>《排污单位自行监测技术指南</w:t>
            </w:r>
            <w:r>
              <w:rPr>
                <w:rFonts w:hint="eastAsia"/>
                <w:color w:val="auto"/>
                <w:sz w:val="24"/>
                <w:szCs w:val="24"/>
                <w:highlight w:val="none"/>
                <w:lang w:val="en-US" w:eastAsia="zh-CN"/>
              </w:rPr>
              <w:t xml:space="preserve"> </w:t>
            </w:r>
            <w:r>
              <w:rPr>
                <w:rFonts w:hint="eastAsia"/>
                <w:color w:val="auto"/>
                <w:sz w:val="24"/>
                <w:szCs w:val="24"/>
                <w:highlight w:val="none"/>
                <w:lang w:eastAsia="zh-CN"/>
              </w:rPr>
              <w:t>橡胶和塑料制品》（HJ12</w:t>
            </w:r>
            <w:r>
              <w:rPr>
                <w:rFonts w:hint="eastAsia"/>
                <w:color w:val="auto"/>
                <w:sz w:val="24"/>
                <w:szCs w:val="24"/>
                <w:highlight w:val="none"/>
                <w:lang w:val="en-US" w:eastAsia="zh-CN"/>
              </w:rPr>
              <w:t>07</w:t>
            </w:r>
            <w:r>
              <w:rPr>
                <w:rFonts w:hint="eastAsia"/>
                <w:color w:val="auto"/>
                <w:sz w:val="24"/>
                <w:szCs w:val="24"/>
                <w:highlight w:val="none"/>
                <w:lang w:eastAsia="zh-CN"/>
              </w:rPr>
              <w:t>-202</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ascii="Times New Roman" w:hAnsi="仿宋_GB2312" w:eastAsia="宋体" w:cs="Times New Roman"/>
                <w:color w:val="auto"/>
                <w:kern w:val="2"/>
                <w:sz w:val="24"/>
                <w:szCs w:val="22"/>
                <w:lang w:val="en-US" w:eastAsia="zh-CN" w:bidi="ar-SA"/>
              </w:rPr>
              <w:t xml:space="preserve">《排污单位自行监测技术指南 </w:t>
            </w:r>
            <w:r>
              <w:rPr>
                <w:rFonts w:hint="eastAsia" w:hAnsi="仿宋_GB2312" w:cs="Times New Roman"/>
                <w:color w:val="auto"/>
                <w:kern w:val="2"/>
                <w:sz w:val="24"/>
                <w:szCs w:val="22"/>
                <w:lang w:val="en-US" w:eastAsia="zh-CN" w:bidi="ar-SA"/>
              </w:rPr>
              <w:t>总则</w:t>
            </w:r>
            <w:r>
              <w:rPr>
                <w:rFonts w:hint="eastAsia" w:ascii="Times New Roman" w:hAnsi="仿宋_GB2312" w:eastAsia="宋体" w:cs="Times New Roman"/>
                <w:color w:val="auto"/>
                <w:kern w:val="2"/>
                <w:sz w:val="24"/>
                <w:szCs w:val="22"/>
                <w:lang w:val="en-US" w:eastAsia="zh-CN" w:bidi="ar-SA"/>
              </w:rPr>
              <w:t>》（HJ</w:t>
            </w:r>
            <w:r>
              <w:rPr>
                <w:rFonts w:hint="eastAsia" w:hAnsi="仿宋_GB2312" w:cs="Times New Roman"/>
                <w:color w:val="auto"/>
                <w:kern w:val="2"/>
                <w:sz w:val="24"/>
                <w:szCs w:val="22"/>
                <w:lang w:val="en-US" w:eastAsia="zh-CN" w:bidi="ar-SA"/>
              </w:rPr>
              <w:t>819</w:t>
            </w:r>
            <w:r>
              <w:rPr>
                <w:rFonts w:hint="eastAsia" w:ascii="Times New Roman" w:hAnsi="仿宋_GB2312" w:eastAsia="宋体" w:cs="Times New Roman"/>
                <w:color w:val="auto"/>
                <w:kern w:val="2"/>
                <w:sz w:val="24"/>
                <w:szCs w:val="22"/>
                <w:lang w:val="en-US" w:eastAsia="zh-CN" w:bidi="ar-SA"/>
              </w:rPr>
              <w:t>-20</w:t>
            </w:r>
            <w:r>
              <w:rPr>
                <w:rFonts w:hint="eastAsia" w:hAnsi="仿宋_GB2312" w:cs="Times New Roman"/>
                <w:color w:val="auto"/>
                <w:kern w:val="2"/>
                <w:sz w:val="24"/>
                <w:szCs w:val="22"/>
                <w:lang w:val="en-US" w:eastAsia="zh-CN" w:bidi="ar-SA"/>
              </w:rPr>
              <w:t>17</w:t>
            </w:r>
            <w:r>
              <w:rPr>
                <w:rFonts w:hint="eastAsia" w:ascii="Times New Roman" w:hAnsi="仿宋_GB2312" w:eastAsia="宋体" w:cs="Times New Roman"/>
                <w:color w:val="auto"/>
                <w:kern w:val="2"/>
                <w:sz w:val="24"/>
                <w:szCs w:val="22"/>
                <w:lang w:val="en-US" w:eastAsia="zh-CN" w:bidi="ar-SA"/>
              </w:rPr>
              <w:t>）</w:t>
            </w:r>
            <w:r>
              <w:rPr>
                <w:rFonts w:hint="default"/>
                <w:color w:val="auto"/>
                <w:sz w:val="24"/>
                <w:szCs w:val="24"/>
                <w:highlight w:val="none"/>
              </w:rPr>
              <w:t>的要求，本项目自行监测计划见下表。</w:t>
            </w:r>
          </w:p>
          <w:p w14:paraId="41E86BAC">
            <w:pPr>
              <w:keepNext w:val="0"/>
              <w:keepLines w:val="0"/>
              <w:pageBreakBefore w:val="0"/>
              <w:widowControl w:val="0"/>
              <w:suppressLineNumbers w:val="0"/>
              <w:kinsoku/>
              <w:wordWrap/>
              <w:topLinePunct w:val="0"/>
              <w:autoSpaceDE w:val="0"/>
              <w:autoSpaceDN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val="0"/>
                <w:color w:val="auto"/>
                <w:kern w:val="2"/>
                <w:sz w:val="24"/>
                <w:szCs w:val="24"/>
                <w:highlight w:val="none"/>
                <w:u w:val="none" w:color="auto"/>
                <w:lang w:val="en-US" w:eastAsia="zh-CN" w:bidi="ar-SA"/>
              </w:rPr>
            </w:pPr>
            <w:r>
              <w:rPr>
                <w:rFonts w:hint="default" w:ascii="Times New Roman" w:hAnsi="Times New Roman" w:eastAsia="宋体" w:cs="Times New Roman"/>
                <w:b/>
                <w:bCs w:val="0"/>
                <w:color w:val="auto"/>
                <w:kern w:val="2"/>
                <w:sz w:val="24"/>
                <w:szCs w:val="24"/>
                <w:highlight w:val="none"/>
                <w:u w:val="none" w:color="auto"/>
                <w:lang w:val="en-US" w:eastAsia="zh-CN" w:bidi="ar-SA"/>
              </w:rPr>
              <w:t>废气自行监测计划</w:t>
            </w:r>
          </w:p>
          <w:tbl>
            <w:tblPr>
              <w:tblStyle w:val="29"/>
              <w:tblW w:w="4992" w:type="pct"/>
              <w:jc w:val="center"/>
              <w:tblBorders>
                <w:top w:val="single" w:color="auto" w:sz="4" w:space="0"/>
                <w:left w:val="none" w:color="auto" w:sz="6" w:space="0"/>
                <w:bottom w:val="single" w:color="auto" w:sz="4" w:space="0"/>
                <w:right w:val="non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125"/>
              <w:gridCol w:w="968"/>
              <w:gridCol w:w="5303"/>
            </w:tblGrid>
            <w:tr w14:paraId="13DBA284">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75" w:type="pct"/>
                  <w:tcBorders>
                    <w:top w:val="single" w:color="auto" w:sz="4" w:space="0"/>
                    <w:left w:val="nil"/>
                    <w:bottom w:val="single" w:color="auto" w:sz="4" w:space="0"/>
                    <w:right w:val="single" w:color="auto" w:sz="4" w:space="0"/>
                  </w:tcBorders>
                  <w:noWrap w:val="0"/>
                  <w:vAlign w:val="center"/>
                </w:tcPr>
                <w:p w14:paraId="3B065D68">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rPr>
                  </w:pPr>
                  <w:r>
                    <w:rPr>
                      <w:rFonts w:hint="default" w:ascii="Times New Roman" w:hAnsi="Times New Roman" w:eastAsia="宋体" w:cs="Times New Roman"/>
                      <w:b/>
                      <w:bCs w:val="0"/>
                      <w:color w:val="auto"/>
                      <w:kern w:val="2"/>
                      <w:sz w:val="21"/>
                      <w:szCs w:val="21"/>
                      <w:lang w:val="en-US" w:eastAsia="zh-CN" w:bidi="ar"/>
                    </w:rPr>
                    <w:t>监测点位</w:t>
                  </w:r>
                </w:p>
              </w:tc>
              <w:tc>
                <w:tcPr>
                  <w:tcW w:w="673" w:type="pct"/>
                  <w:tcBorders>
                    <w:top w:val="single" w:color="auto" w:sz="4" w:space="0"/>
                    <w:left w:val="nil"/>
                    <w:bottom w:val="single" w:color="auto" w:sz="4" w:space="0"/>
                    <w:right w:val="single" w:color="auto" w:sz="4" w:space="0"/>
                  </w:tcBorders>
                  <w:noWrap w:val="0"/>
                  <w:vAlign w:val="center"/>
                </w:tcPr>
                <w:p w14:paraId="345696E5">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rPr>
                  </w:pPr>
                  <w:r>
                    <w:rPr>
                      <w:rFonts w:hint="default" w:ascii="Times New Roman" w:hAnsi="Times New Roman" w:eastAsia="宋体" w:cs="Times New Roman"/>
                      <w:b/>
                      <w:bCs w:val="0"/>
                      <w:color w:val="auto"/>
                      <w:kern w:val="2"/>
                      <w:sz w:val="21"/>
                      <w:szCs w:val="21"/>
                      <w:lang w:val="en-US" w:eastAsia="zh-CN" w:bidi="ar"/>
                    </w:rPr>
                    <w:t>监测因子</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73AFE847">
                  <w:pPr>
                    <w:pStyle w:val="18"/>
                    <w:keepNext w:val="0"/>
                    <w:keepLines w:val="0"/>
                    <w:suppressLineNumbers w:val="0"/>
                    <w:tabs>
                      <w:tab w:val="right" w:leader="dot" w:pos="8296"/>
                    </w:tabs>
                    <w:bidi w:val="0"/>
                    <w:spacing w:before="0" w:beforeAutospacing="0" w:after="0" w:afterAutospacing="0"/>
                    <w:ind w:left="0" w:leftChars="0" w:right="0" w:firstLine="0" w:firstLineChars="0"/>
                    <w:rPr>
                      <w:rFonts w:hint="default" w:ascii="Times New Roman" w:hAnsi="Times New Roman" w:eastAsia="宋体" w:cs="Times New Roman"/>
                      <w:b/>
                      <w:bCs w:val="0"/>
                      <w:color w:val="auto"/>
                      <w:kern w:val="2"/>
                      <w:sz w:val="21"/>
                      <w:szCs w:val="21"/>
                      <w:lang w:val="en-US" w:eastAsia="zh-CN" w:bidi="ar"/>
                    </w:rPr>
                  </w:pPr>
                  <w:r>
                    <w:rPr>
                      <w:rFonts w:hint="default"/>
                      <w:b/>
                      <w:bCs/>
                      <w:color w:val="auto"/>
                    </w:rPr>
                    <w:t>监测频次</w:t>
                  </w:r>
                </w:p>
              </w:tc>
              <w:tc>
                <w:tcPr>
                  <w:tcW w:w="3172" w:type="pct"/>
                  <w:tcBorders>
                    <w:top w:val="single" w:color="auto" w:sz="4" w:space="0"/>
                    <w:left w:val="single" w:color="auto" w:sz="4" w:space="0"/>
                    <w:bottom w:val="single" w:color="auto" w:sz="4" w:space="0"/>
                    <w:right w:val="nil"/>
                  </w:tcBorders>
                  <w:noWrap w:val="0"/>
                  <w:vAlign w:val="center"/>
                </w:tcPr>
                <w:p w14:paraId="57E288EE">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auto"/>
                      <w:kern w:val="2"/>
                      <w:sz w:val="21"/>
                      <w:szCs w:val="21"/>
                    </w:rPr>
                  </w:pPr>
                  <w:r>
                    <w:rPr>
                      <w:rFonts w:hint="default" w:ascii="Times New Roman" w:hAnsi="Times New Roman" w:eastAsia="宋体" w:cs="Times New Roman"/>
                      <w:b/>
                      <w:bCs w:val="0"/>
                      <w:color w:val="auto"/>
                      <w:kern w:val="2"/>
                      <w:sz w:val="21"/>
                      <w:szCs w:val="21"/>
                      <w:lang w:val="en-US" w:eastAsia="zh-CN" w:bidi="ar"/>
                    </w:rPr>
                    <w:t>执行标准</w:t>
                  </w:r>
                </w:p>
              </w:tc>
            </w:tr>
            <w:tr w14:paraId="34BA4F4B">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1282" w:hRule="atLeast"/>
                <w:jc w:val="center"/>
              </w:trPr>
              <w:tc>
                <w:tcPr>
                  <w:tcW w:w="575" w:type="pct"/>
                  <w:tcBorders>
                    <w:top w:val="single" w:color="auto" w:sz="4" w:space="0"/>
                    <w:left w:val="nil"/>
                    <w:right w:val="single" w:color="auto" w:sz="4" w:space="0"/>
                  </w:tcBorders>
                  <w:noWrap w:val="0"/>
                  <w:vAlign w:val="center"/>
                </w:tcPr>
                <w:p w14:paraId="6503ABA9">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yellow"/>
                      <w:lang w:val="en-US" w:eastAsia="zh-CN" w:bidi="ar"/>
                    </w:rPr>
                  </w:pPr>
                  <w:r>
                    <w:rPr>
                      <w:rFonts w:hint="default" w:ascii="Times New Roman" w:hAnsi="Times New Roman" w:eastAsia="宋体" w:cs="Times New Roman"/>
                      <w:color w:val="auto"/>
                      <w:kern w:val="2"/>
                      <w:sz w:val="21"/>
                      <w:szCs w:val="21"/>
                      <w:highlight w:val="none"/>
                      <w:lang w:val="en-US" w:eastAsia="zh-CN" w:bidi="ar"/>
                    </w:rPr>
                    <w:t>DA00</w:t>
                  </w:r>
                  <w:r>
                    <w:rPr>
                      <w:rFonts w:hint="eastAsia" w:ascii="Times New Roman" w:hAnsi="Times New Roman" w:eastAsia="宋体" w:cs="Times New Roman"/>
                      <w:color w:val="auto"/>
                      <w:kern w:val="2"/>
                      <w:sz w:val="21"/>
                      <w:szCs w:val="21"/>
                      <w:highlight w:val="none"/>
                      <w:lang w:val="en-US" w:eastAsia="zh-CN" w:bidi="ar"/>
                    </w:rPr>
                    <w:t>1</w:t>
                  </w:r>
                </w:p>
              </w:tc>
              <w:tc>
                <w:tcPr>
                  <w:tcW w:w="673" w:type="pct"/>
                  <w:tcBorders>
                    <w:top w:val="single" w:color="auto" w:sz="4" w:space="0"/>
                    <w:left w:val="nil"/>
                    <w:bottom w:val="single" w:color="auto" w:sz="4" w:space="0"/>
                    <w:right w:val="single" w:color="auto" w:sz="4" w:space="0"/>
                  </w:tcBorders>
                  <w:noWrap w:val="0"/>
                  <w:vAlign w:val="center"/>
                </w:tcPr>
                <w:p w14:paraId="43811DEA">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color w:val="auto"/>
                      <w:kern w:val="2"/>
                      <w:sz w:val="21"/>
                      <w:szCs w:val="21"/>
                      <w:highlight w:val="none"/>
                      <w:lang w:val="en-US" w:eastAsia="zh-CN" w:bidi="ar"/>
                    </w:rPr>
                  </w:pPr>
                  <w:r>
                    <w:rPr>
                      <w:rFonts w:hint="eastAsia" w:cs="Times New Roman"/>
                      <w:b w:val="0"/>
                      <w:bCs/>
                      <w:color w:val="auto"/>
                      <w:kern w:val="2"/>
                      <w:sz w:val="21"/>
                      <w:szCs w:val="21"/>
                      <w:highlight w:val="none"/>
                      <w:lang w:val="en-US" w:eastAsia="zh-CN" w:bidi="ar"/>
                    </w:rPr>
                    <w:t>非甲烷总烃</w:t>
                  </w:r>
                </w:p>
              </w:tc>
              <w:tc>
                <w:tcPr>
                  <w:tcW w:w="579" w:type="pct"/>
                  <w:tcBorders>
                    <w:left w:val="single" w:color="auto" w:sz="4" w:space="0"/>
                    <w:bottom w:val="single" w:color="auto" w:sz="4" w:space="0"/>
                    <w:right w:val="single" w:color="auto" w:sz="4" w:space="0"/>
                  </w:tcBorders>
                  <w:noWrap w:val="0"/>
                  <w:vAlign w:val="center"/>
                </w:tcPr>
                <w:p w14:paraId="776BFC04">
                  <w:pPr>
                    <w:pStyle w:val="18"/>
                    <w:keepNext w:val="0"/>
                    <w:keepLines w:val="0"/>
                    <w:suppressLineNumbers w:val="0"/>
                    <w:tabs>
                      <w:tab w:val="right" w:leader="dot" w:pos="8296"/>
                    </w:tabs>
                    <w:bidi w:val="0"/>
                    <w:spacing w:before="0" w:beforeAutospacing="0" w:after="0" w:afterAutospacing="0"/>
                    <w:ind w:left="0" w:leftChars="0" w:right="0" w:firstLine="0" w:firstLineChars="0"/>
                    <w:rPr>
                      <w:rFonts w:hint="eastAsia" w:cs="Times New Roman"/>
                      <w:b w:val="0"/>
                      <w:bCs/>
                      <w:color w:val="auto"/>
                      <w:kern w:val="2"/>
                      <w:sz w:val="21"/>
                      <w:szCs w:val="21"/>
                      <w:highlight w:val="none"/>
                      <w:lang w:val="en-US" w:eastAsia="zh-CN" w:bidi="ar"/>
                    </w:rPr>
                  </w:pPr>
                  <w:r>
                    <w:rPr>
                      <w:rFonts w:hint="default"/>
                      <w:color w:val="auto"/>
                    </w:rPr>
                    <w:t>1次/</w:t>
                  </w:r>
                  <w:r>
                    <w:rPr>
                      <w:rFonts w:hint="eastAsia"/>
                      <w:color w:val="auto"/>
                      <w:lang w:eastAsia="zh-CN"/>
                    </w:rPr>
                    <w:t>半</w:t>
                  </w:r>
                  <w:r>
                    <w:rPr>
                      <w:rFonts w:hint="default"/>
                      <w:color w:val="auto"/>
                    </w:rPr>
                    <w:t>年</w:t>
                  </w:r>
                </w:p>
              </w:tc>
              <w:tc>
                <w:tcPr>
                  <w:tcW w:w="3172" w:type="pct"/>
                  <w:tcBorders>
                    <w:left w:val="single" w:color="auto" w:sz="4" w:space="0"/>
                    <w:bottom w:val="single" w:color="auto" w:sz="4" w:space="0"/>
                    <w:right w:val="nil"/>
                  </w:tcBorders>
                  <w:noWrap w:val="0"/>
                  <w:vAlign w:val="center"/>
                </w:tcPr>
                <w:p w14:paraId="79A6BCD6">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color w:val="auto"/>
                      <w:kern w:val="2"/>
                      <w:sz w:val="21"/>
                      <w:szCs w:val="21"/>
                    </w:rPr>
                  </w:pPr>
                  <w:r>
                    <w:rPr>
                      <w:rFonts w:hint="default" w:ascii="Times New Roman" w:hAnsi="Times New Roman" w:eastAsia="宋体" w:cs="Times New Roman"/>
                      <w:b w:val="0"/>
                      <w:bCs/>
                      <w:color w:val="auto"/>
                      <w:kern w:val="2"/>
                      <w:sz w:val="21"/>
                      <w:szCs w:val="21"/>
                      <w:lang w:val="en-US" w:eastAsia="zh-CN" w:bidi="ar"/>
                    </w:rPr>
                    <w:t>《合成树脂工业污染物排放标准（GB31572</w:t>
                  </w:r>
                </w:p>
                <w:p w14:paraId="64474ACB">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color w:val="auto"/>
                      <w:kern w:val="2"/>
                      <w:sz w:val="21"/>
                      <w:szCs w:val="21"/>
                      <w:lang w:val="en-US" w:eastAsia="zh-CN" w:bidi="ar"/>
                    </w:rPr>
                  </w:pPr>
                  <w:r>
                    <w:rPr>
                      <w:rFonts w:hint="default" w:ascii="Times New Roman" w:hAnsi="Times New Roman" w:eastAsia="宋体" w:cs="Times New Roman"/>
                      <w:b w:val="0"/>
                      <w:bCs/>
                      <w:color w:val="auto"/>
                      <w:kern w:val="2"/>
                      <w:sz w:val="21"/>
                      <w:szCs w:val="21"/>
                      <w:lang w:val="en-US" w:eastAsia="zh-CN" w:bidi="ar"/>
                    </w:rPr>
                    <w:t>-2015）</w:t>
                  </w:r>
                  <w:r>
                    <w:rPr>
                      <w:rFonts w:hint="eastAsia" w:cs="Times New Roman"/>
                      <w:b w:val="0"/>
                      <w:bCs/>
                      <w:color w:val="auto"/>
                      <w:kern w:val="2"/>
                      <w:sz w:val="21"/>
                      <w:szCs w:val="21"/>
                      <w:lang w:val="en-US" w:eastAsia="zh-CN" w:bidi="ar"/>
                    </w:rPr>
                    <w:t>（</w:t>
                  </w:r>
                  <w:r>
                    <w:rPr>
                      <w:rFonts w:hint="default" w:ascii="Times New Roman" w:hAnsi="Times New Roman" w:eastAsia="宋体" w:cs="Times New Roman"/>
                      <w:b w:val="0"/>
                      <w:bCs/>
                      <w:color w:val="auto"/>
                      <w:kern w:val="2"/>
                      <w:sz w:val="21"/>
                      <w:szCs w:val="21"/>
                      <w:lang w:val="en-US" w:eastAsia="zh-CN" w:bidi="ar"/>
                    </w:rPr>
                    <w:t>含2024年修改单版本</w:t>
                  </w:r>
                  <w:r>
                    <w:rPr>
                      <w:rFonts w:hint="eastAsia" w:cs="Times New Roman"/>
                      <w:b w:val="0"/>
                      <w:bCs/>
                      <w:color w:val="auto"/>
                      <w:kern w:val="2"/>
                      <w:sz w:val="21"/>
                      <w:szCs w:val="21"/>
                      <w:lang w:val="en-US" w:eastAsia="zh-CN" w:bidi="ar"/>
                    </w:rPr>
                    <w:t>）</w:t>
                  </w:r>
                  <w:r>
                    <w:rPr>
                      <w:rFonts w:hint="default" w:ascii="Times New Roman" w:hAnsi="Times New Roman" w:eastAsia="宋体" w:cs="Times New Roman"/>
                      <w:b w:val="0"/>
                      <w:bCs/>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、《河南省重污染天气重点行业应急减排措施制定技术指南（2024年版）》</w:t>
                  </w:r>
                </w:p>
              </w:tc>
            </w:tr>
            <w:tr w14:paraId="6CBA6FFF">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1282" w:hRule="atLeast"/>
                <w:jc w:val="center"/>
              </w:trPr>
              <w:tc>
                <w:tcPr>
                  <w:tcW w:w="575" w:type="pct"/>
                  <w:tcBorders>
                    <w:top w:val="single" w:color="auto" w:sz="4" w:space="0"/>
                    <w:left w:val="nil"/>
                    <w:right w:val="single" w:color="auto" w:sz="4" w:space="0"/>
                  </w:tcBorders>
                  <w:noWrap w:val="0"/>
                  <w:vAlign w:val="center"/>
                </w:tcPr>
                <w:p w14:paraId="5EBD30EA">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eastAsia" w:cs="Times New Roman"/>
                      <w:color w:val="auto"/>
                      <w:kern w:val="2"/>
                      <w:sz w:val="21"/>
                      <w:szCs w:val="21"/>
                      <w:highlight w:val="none"/>
                      <w:lang w:val="en-US" w:eastAsia="zh-CN" w:bidi="ar"/>
                    </w:rPr>
                    <w:t>DA002</w:t>
                  </w:r>
                </w:p>
              </w:tc>
              <w:tc>
                <w:tcPr>
                  <w:tcW w:w="673" w:type="pct"/>
                  <w:tcBorders>
                    <w:top w:val="single" w:color="auto" w:sz="4" w:space="0"/>
                    <w:left w:val="nil"/>
                    <w:bottom w:val="single" w:color="auto" w:sz="4" w:space="0"/>
                    <w:right w:val="single" w:color="auto" w:sz="4" w:space="0"/>
                  </w:tcBorders>
                  <w:noWrap w:val="0"/>
                  <w:vAlign w:val="center"/>
                </w:tcPr>
                <w:p w14:paraId="38F37FAA">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eastAsia" w:cs="Times New Roman"/>
                      <w:b w:val="0"/>
                      <w:bCs/>
                      <w:color w:val="auto"/>
                      <w:kern w:val="2"/>
                      <w:sz w:val="21"/>
                      <w:szCs w:val="21"/>
                      <w:highlight w:val="none"/>
                      <w:lang w:val="en-US" w:eastAsia="zh-CN" w:bidi="ar"/>
                    </w:rPr>
                  </w:pPr>
                  <w:r>
                    <w:rPr>
                      <w:rFonts w:hint="eastAsia" w:cs="Times New Roman"/>
                      <w:b w:val="0"/>
                      <w:bCs/>
                      <w:color w:val="auto"/>
                      <w:kern w:val="2"/>
                      <w:sz w:val="21"/>
                      <w:szCs w:val="21"/>
                      <w:highlight w:val="none"/>
                      <w:lang w:val="en-US" w:eastAsia="zh-CN" w:bidi="ar"/>
                    </w:rPr>
                    <w:t>油烟</w:t>
                  </w:r>
                </w:p>
              </w:tc>
              <w:tc>
                <w:tcPr>
                  <w:tcW w:w="579" w:type="pct"/>
                  <w:tcBorders>
                    <w:left w:val="single" w:color="auto" w:sz="4" w:space="0"/>
                    <w:bottom w:val="single" w:color="auto" w:sz="4" w:space="0"/>
                    <w:right w:val="single" w:color="auto" w:sz="4" w:space="0"/>
                  </w:tcBorders>
                  <w:noWrap w:val="0"/>
                  <w:vAlign w:val="center"/>
                </w:tcPr>
                <w:p w14:paraId="48AACA9C">
                  <w:pPr>
                    <w:pStyle w:val="18"/>
                    <w:keepNext w:val="0"/>
                    <w:keepLines w:val="0"/>
                    <w:suppressLineNumbers w:val="0"/>
                    <w:tabs>
                      <w:tab w:val="right" w:leader="dot" w:pos="8296"/>
                    </w:tabs>
                    <w:bidi w:val="0"/>
                    <w:spacing w:before="0" w:beforeAutospacing="0" w:after="0" w:afterAutospacing="0"/>
                    <w:ind w:left="0" w:leftChars="0" w:right="0" w:firstLine="0" w:firstLineChars="0"/>
                    <w:rPr>
                      <w:rFonts w:hint="default"/>
                      <w:color w:val="auto"/>
                    </w:rPr>
                  </w:pPr>
                  <w:r>
                    <w:rPr>
                      <w:rFonts w:hint="eastAsia"/>
                      <w:color w:val="auto"/>
                      <w:sz w:val="21"/>
                      <w:szCs w:val="21"/>
                    </w:rPr>
                    <w:t>1次/年</w:t>
                  </w:r>
                </w:p>
              </w:tc>
              <w:tc>
                <w:tcPr>
                  <w:tcW w:w="3172" w:type="pct"/>
                  <w:tcBorders>
                    <w:left w:val="single" w:color="auto" w:sz="4" w:space="0"/>
                    <w:bottom w:val="single" w:color="auto" w:sz="4" w:space="0"/>
                    <w:right w:val="nil"/>
                  </w:tcBorders>
                  <w:noWrap w:val="0"/>
                  <w:vAlign w:val="center"/>
                </w:tcPr>
                <w:p w14:paraId="2735720B">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color w:val="auto"/>
                      <w:kern w:val="2"/>
                      <w:sz w:val="21"/>
                      <w:szCs w:val="21"/>
                      <w:lang w:val="en-US" w:eastAsia="zh-CN" w:bidi="ar"/>
                    </w:rPr>
                  </w:pPr>
                  <w:r>
                    <w:rPr>
                      <w:rFonts w:hint="default" w:ascii="Times New Roman" w:hAnsi="Times New Roman" w:eastAsia="宋体" w:cs="Times New Roman"/>
                      <w:b w:val="0"/>
                      <w:bCs/>
                      <w:color w:val="auto"/>
                      <w:kern w:val="2"/>
                      <w:sz w:val="21"/>
                      <w:szCs w:val="21"/>
                      <w:lang w:val="en-US" w:eastAsia="zh-CN" w:bidi="ar"/>
                    </w:rPr>
                    <w:t>《餐饮业油烟污染物排放标准》（DB41/1604-2018）</w:t>
                  </w:r>
                </w:p>
              </w:tc>
            </w:tr>
            <w:tr w14:paraId="0DE85601">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75" w:type="pct"/>
                  <w:tcBorders>
                    <w:top w:val="nil"/>
                    <w:left w:val="nil"/>
                    <w:right w:val="single" w:color="auto" w:sz="4" w:space="0"/>
                  </w:tcBorders>
                  <w:noWrap w:val="0"/>
                  <w:vAlign w:val="center"/>
                </w:tcPr>
                <w:p w14:paraId="2CC1617F">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厂界</w:t>
                  </w:r>
                </w:p>
              </w:tc>
              <w:tc>
                <w:tcPr>
                  <w:tcW w:w="673" w:type="pct"/>
                  <w:tcBorders>
                    <w:top w:val="single" w:color="auto" w:sz="4" w:space="0"/>
                    <w:left w:val="nil"/>
                    <w:bottom w:val="single" w:color="auto" w:sz="4" w:space="0"/>
                    <w:right w:val="single" w:color="auto" w:sz="4" w:space="0"/>
                  </w:tcBorders>
                  <w:noWrap w:val="0"/>
                  <w:vAlign w:val="center"/>
                </w:tcPr>
                <w:p w14:paraId="26D935D9">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color w:val="000000" w:themeColor="text1"/>
                      <w:kern w:val="2"/>
                      <w:sz w:val="21"/>
                      <w:szCs w:val="21"/>
                      <w:u w:val="none"/>
                      <w14:textFill>
                        <w14:solidFill>
                          <w14:schemeClr w14:val="tx1"/>
                        </w14:solidFill>
                      </w14:textFill>
                    </w:rPr>
                  </w:pPr>
                  <w:r>
                    <w:rPr>
                      <w:rFonts w:hint="eastAsia" w:cs="Times New Roman"/>
                      <w:b w:val="0"/>
                      <w:bCs/>
                      <w:color w:val="000000" w:themeColor="text1"/>
                      <w:kern w:val="2"/>
                      <w:sz w:val="21"/>
                      <w:szCs w:val="21"/>
                      <w:highlight w:val="none"/>
                      <w:u w:val="none"/>
                      <w:lang w:val="en-US" w:eastAsia="zh-CN" w:bidi="ar"/>
                      <w14:textFill>
                        <w14:solidFill>
                          <w14:schemeClr w14:val="tx1"/>
                        </w14:solidFill>
                      </w14:textFill>
                    </w:rPr>
                    <w:t>非甲烷总烃</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34617CAF">
                  <w:pPr>
                    <w:pStyle w:val="18"/>
                    <w:keepNext w:val="0"/>
                    <w:keepLines w:val="0"/>
                    <w:suppressLineNumbers w:val="0"/>
                    <w:tabs>
                      <w:tab w:val="right" w:leader="dot" w:pos="8296"/>
                    </w:tabs>
                    <w:bidi w:val="0"/>
                    <w:spacing w:before="0" w:beforeAutospacing="0" w:after="0" w:afterAutospacing="0"/>
                    <w:ind w:left="0" w:leftChars="0" w:right="0" w:firstLine="0" w:firstLineChars="0"/>
                    <w:rPr>
                      <w:rFonts w:hint="default" w:ascii="Times New Roman" w:hAnsi="Times New Roman" w:eastAsia="宋体" w:cs="Times New Roman"/>
                      <w:b w:val="0"/>
                      <w:bCs/>
                      <w:color w:val="000000" w:themeColor="text1"/>
                      <w:kern w:val="2"/>
                      <w:sz w:val="21"/>
                      <w:szCs w:val="21"/>
                      <w:u w:val="none"/>
                      <w:lang w:val="en-US" w:eastAsia="zh-CN" w:bidi="ar"/>
                      <w14:textFill>
                        <w14:solidFill>
                          <w14:schemeClr w14:val="tx1"/>
                        </w14:solidFill>
                      </w14:textFill>
                    </w:rPr>
                  </w:pPr>
                  <w:r>
                    <w:rPr>
                      <w:rFonts w:hint="eastAsia"/>
                      <w:b w:val="0"/>
                      <w:bCs/>
                      <w:color w:val="000000" w:themeColor="text1"/>
                      <w:sz w:val="21"/>
                      <w:szCs w:val="21"/>
                      <w:u w:val="none"/>
                      <w14:textFill>
                        <w14:solidFill>
                          <w14:schemeClr w14:val="tx1"/>
                        </w14:solidFill>
                      </w14:textFill>
                    </w:rPr>
                    <w:t>1次/年</w:t>
                  </w:r>
                </w:p>
              </w:tc>
              <w:tc>
                <w:tcPr>
                  <w:tcW w:w="3172" w:type="pct"/>
                  <w:tcBorders>
                    <w:top w:val="single" w:color="auto" w:sz="4" w:space="0"/>
                    <w:left w:val="single" w:color="auto" w:sz="4" w:space="0"/>
                    <w:bottom w:val="single" w:color="auto" w:sz="4" w:space="0"/>
                    <w:right w:val="nil"/>
                  </w:tcBorders>
                  <w:noWrap w:val="0"/>
                  <w:vAlign w:val="center"/>
                </w:tcPr>
                <w:p w14:paraId="53C98CF4">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color w:val="000000" w:themeColor="text1"/>
                      <w:kern w:val="2"/>
                      <w:sz w:val="21"/>
                      <w:szCs w:val="21"/>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
                      <w14:textFill>
                        <w14:solidFill>
                          <w14:schemeClr w14:val="tx1"/>
                        </w14:solidFill>
                      </w14:textFill>
                    </w:rPr>
                    <w:t>《合成树脂工业污染物排放标准（GB31572</w:t>
                  </w:r>
                </w:p>
                <w:p w14:paraId="47CBE8BE">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color w:val="000000" w:themeColor="text1"/>
                      <w:kern w:val="2"/>
                      <w:sz w:val="21"/>
                      <w:szCs w:val="21"/>
                      <w:u w:val="none"/>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
                      <w14:textFill>
                        <w14:solidFill>
                          <w14:schemeClr w14:val="tx1"/>
                        </w14:solidFill>
                      </w14:textFill>
                    </w:rPr>
                    <w:t>-2015）</w:t>
                  </w:r>
                  <w:r>
                    <w:rPr>
                      <w:rFonts w:hint="eastAsia" w:cs="Times New Roman"/>
                      <w:b w:val="0"/>
                      <w:bCs/>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b w:val="0"/>
                      <w:bCs/>
                      <w:color w:val="000000" w:themeColor="text1"/>
                      <w:kern w:val="2"/>
                      <w:sz w:val="21"/>
                      <w:szCs w:val="21"/>
                      <w:lang w:val="en-US" w:eastAsia="zh-CN" w:bidi="ar"/>
                      <w14:textFill>
                        <w14:solidFill>
                          <w14:schemeClr w14:val="tx1"/>
                        </w14:solidFill>
                      </w14:textFill>
                    </w:rPr>
                    <w:t>含2024年修改单版本</w:t>
                  </w:r>
                  <w:r>
                    <w:rPr>
                      <w:rFonts w:hint="eastAsia" w:cs="Times New Roman"/>
                      <w:b w:val="0"/>
                      <w:bCs/>
                      <w:color w:val="000000" w:themeColor="text1"/>
                      <w:kern w:val="2"/>
                      <w:sz w:val="21"/>
                      <w:szCs w:val="21"/>
                      <w:lang w:val="en-US" w:eastAsia="zh-CN" w:bidi="ar"/>
                      <w14:textFill>
                        <w14:solidFill>
                          <w14:schemeClr w14:val="tx1"/>
                        </w14:solidFill>
                      </w14:textFill>
                    </w:rPr>
                    <w:t>）</w:t>
                  </w:r>
                  <w:r>
                    <w:rPr>
                      <w:rFonts w:hint="default" w:ascii="Times New Roman" w:hAnsi="Times New Roman" w:eastAsia="宋体" w:cs="Times New Roman"/>
                      <w:b w:val="0"/>
                      <w:bCs/>
                      <w:color w:val="000000" w:themeColor="text1"/>
                      <w:kern w:val="2"/>
                      <w:sz w:val="21"/>
                      <w:szCs w:val="21"/>
                      <w:lang w:val="en-US" w:eastAsia="zh-CN" w:bidi="ar"/>
                      <w14:textFill>
                        <w14:solidFill>
                          <w14:schemeClr w14:val="tx1"/>
                        </w14:solidFill>
                      </w14:textFill>
                    </w:rPr>
                    <w:t>》</w:t>
                  </w:r>
                  <w:r>
                    <w:rPr>
                      <w:rFonts w:hint="eastAsia" w:cs="Times New Roman"/>
                      <w:b w:val="0"/>
                      <w:bCs/>
                      <w:color w:val="000000" w:themeColor="text1"/>
                      <w:kern w:val="2"/>
                      <w:sz w:val="21"/>
                      <w:szCs w:val="21"/>
                      <w:u w:val="none"/>
                      <w:lang w:val="en-US" w:eastAsia="zh-CN" w:bidi="ar"/>
                      <w14:textFill>
                        <w14:solidFill>
                          <w14:schemeClr w14:val="tx1"/>
                        </w14:solidFill>
                      </w14:textFill>
                    </w:rPr>
                    <w:t>、</w:t>
                  </w:r>
                  <w:r>
                    <w:rPr>
                      <w:rFonts w:hint="default" w:ascii="Times New Roman" w:hAnsi="Times New Roman" w:eastAsia="宋体" w:cs="Times New Roman"/>
                      <w:b w:val="0"/>
                      <w:bCs/>
                      <w:color w:val="000000" w:themeColor="text1"/>
                      <w:kern w:val="2"/>
                      <w:sz w:val="21"/>
                      <w:szCs w:val="21"/>
                      <w:u w:val="none"/>
                      <w:lang w:val="en-US" w:eastAsia="zh-CN" w:bidi="ar"/>
                      <w14:textFill>
                        <w14:solidFill>
                          <w14:schemeClr w14:val="tx1"/>
                        </w14:solidFill>
                      </w14:textFill>
                    </w:rPr>
                    <w:t>《河南省重污染天气重点行业应急减排措施制定技术指南（2024年版）》</w:t>
                  </w:r>
                </w:p>
              </w:tc>
            </w:tr>
          </w:tbl>
          <w:p w14:paraId="22B2D1AF">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b w:val="0"/>
                <w:bCs/>
                <w:color w:val="000000" w:themeColor="text1"/>
                <w:sz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综上所述，本项目营运期产生的大气污染物</w:t>
            </w:r>
            <w:r>
              <w:rPr>
                <w:rFonts w:hint="eastAsia" w:asciiTheme="minorEastAsia" w:hAnsiTheme="minorEastAsia" w:eastAsiaTheme="minorEastAsia" w:cstheme="minorEastAsia"/>
                <w:b w:val="0"/>
                <w:bCs/>
                <w:color w:val="000000" w:themeColor="text1"/>
                <w:sz w:val="24"/>
                <w:highlight w:val="none"/>
                <w:lang w:val="en-US" w:eastAsia="zh-CN"/>
                <w14:textFill>
                  <w14:solidFill>
                    <w14:schemeClr w14:val="tx1"/>
                  </w14:solidFill>
                </w14:textFill>
              </w:rPr>
              <w:t>经合理</w:t>
            </w:r>
            <w:r>
              <w:rPr>
                <w:rFonts w:hint="eastAsia" w:asciiTheme="majorEastAsia" w:hAnsiTheme="majorEastAsia" w:eastAsiaTheme="majorEastAsia" w:cstheme="majorEastAsia"/>
                <w:b w:val="0"/>
                <w:bCs/>
                <w:color w:val="000000" w:themeColor="text1"/>
                <w:sz w:val="24"/>
                <w:highlight w:val="none"/>
                <w:lang w:val="en-US" w:eastAsia="zh-CN"/>
                <w14:textFill>
                  <w14:solidFill>
                    <w14:schemeClr w14:val="tx1"/>
                  </w14:solidFill>
                </w14:textFill>
              </w:rPr>
              <w:t>治理后，达标排放，项目对周围大气环境影响较小</w:t>
            </w:r>
            <w:r>
              <w:rPr>
                <w:rFonts w:hint="default" w:ascii="Times New Roman" w:hAnsi="Times New Roman" w:eastAsia="Times New Roman" w:cs="Times New Roman"/>
                <w:b w:val="0"/>
                <w:bCs/>
                <w:color w:val="000000" w:themeColor="text1"/>
                <w:sz w:val="24"/>
                <w:highlight w:val="none"/>
                <w:lang w:val="en-US" w:eastAsia="zh-CN"/>
                <w14:textFill>
                  <w14:solidFill>
                    <w14:schemeClr w14:val="tx1"/>
                  </w14:solidFill>
                </w14:textFill>
              </w:rPr>
              <w:t>。</w:t>
            </w:r>
          </w:p>
          <w:p w14:paraId="635B753C">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pPr>
            <w: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t>2.废水</w:t>
            </w:r>
          </w:p>
          <w:p w14:paraId="0B5413CF">
            <w:pPr>
              <w:keepNext w:val="0"/>
              <w:keepLines w:val="0"/>
              <w:suppressLineNumbers w:val="0"/>
              <w:adjustRightInd w:val="0"/>
              <w:snapToGrid w:val="0"/>
              <w:spacing w:before="0" w:beforeAutospacing="0" w:after="0" w:afterAutospacing="0" w:line="360" w:lineRule="auto"/>
              <w:ind w:left="0" w:right="0" w:firstLine="241" w:firstLineChars="100"/>
              <w:rPr>
                <w:rFonts w:hint="default"/>
                <w:lang w:val="en-US" w:eastAsia="zh-CN"/>
              </w:rPr>
            </w:pPr>
            <w:r>
              <w:rPr>
                <w:rFonts w:hint="eastAsia" w:ascii="Times New Roman" w:hAnsi="Times New Roman" w:eastAsia="宋体" w:cs="Times New Roman"/>
                <w:b/>
                <w:bCs/>
                <w:color w:val="auto"/>
                <w:sz w:val="24"/>
                <w:lang w:val="en-US" w:eastAsia="zh-CN"/>
              </w:rPr>
              <w:t>2.1源强分析</w:t>
            </w:r>
          </w:p>
          <w:p w14:paraId="67AA8926">
            <w:pPr>
              <w:keepNext w:val="0"/>
              <w:keepLines w:val="0"/>
              <w:suppressLineNumbers w:val="0"/>
              <w:adjustRightInd w:val="0"/>
              <w:snapToGrid w:val="0"/>
              <w:spacing w:before="0" w:beforeAutospacing="0" w:after="0" w:afterAutospacing="0" w:line="360" w:lineRule="auto"/>
              <w:ind w:left="0" w:right="0" w:firstLine="480" w:firstLineChars="200"/>
              <w:jc w:val="left"/>
              <w:rPr>
                <w:rFonts w:hint="eastAsia" w:eastAsia="宋体"/>
                <w:sz w:val="24"/>
                <w:lang w:eastAsia="zh-CN"/>
              </w:rPr>
            </w:pPr>
            <w:r>
              <w:rPr>
                <w:rFonts w:hint="eastAsia"/>
                <w:sz w:val="24"/>
                <w:lang w:eastAsia="zh-CN"/>
              </w:rPr>
              <w:t>（</w:t>
            </w:r>
            <w:r>
              <w:rPr>
                <w:rFonts w:hint="eastAsia"/>
                <w:sz w:val="24"/>
                <w:lang w:val="en-US" w:eastAsia="zh-CN"/>
              </w:rPr>
              <w:t>1</w:t>
            </w:r>
            <w:r>
              <w:rPr>
                <w:rFonts w:hint="eastAsia"/>
                <w:sz w:val="24"/>
                <w:lang w:eastAsia="zh-CN"/>
              </w:rPr>
              <w:t>）挤出（吹膜）、高频复合冷却水</w:t>
            </w:r>
          </w:p>
          <w:p w14:paraId="3F7E218F">
            <w:pPr>
              <w:keepNext w:val="0"/>
              <w:keepLines w:val="0"/>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sz w:val="24"/>
                <w:lang w:val="en-US"/>
              </w:rPr>
            </w:pPr>
            <w:r>
              <w:rPr>
                <w:rFonts w:hint="default" w:ascii="Times New Roman" w:hAnsi="Times New Roman" w:eastAsia="宋体" w:cs="Times New Roman"/>
                <w:sz w:val="24"/>
                <w:lang w:val="en-US" w:eastAsia="zh-CN"/>
              </w:rPr>
              <w:t>参考《工业与城镇生活用水定额》（DB41/T386-2020）表23“橡胶和塑料制品业用水定额”中塑料管材，用水定额先进值为3.3m</w:t>
            </w:r>
            <w:r>
              <w:rPr>
                <w:rFonts w:hint="default" w:ascii="Times New Roman" w:hAnsi="Times New Roman" w:eastAsia="宋体" w:cs="Times New Roman"/>
                <w:sz w:val="24"/>
                <w:vertAlign w:val="superscript"/>
                <w:lang w:val="en-US" w:eastAsia="zh-CN"/>
              </w:rPr>
              <w:t>3</w:t>
            </w:r>
            <w:r>
              <w:rPr>
                <w:rFonts w:hint="default" w:ascii="Times New Roman" w:hAnsi="Times New Roman" w:eastAsia="宋体" w:cs="Times New Roman"/>
                <w:sz w:val="24"/>
                <w:lang w:val="en-US" w:eastAsia="zh-CN"/>
              </w:rPr>
              <w:t>/t-产品。项目</w:t>
            </w:r>
            <w:r>
              <w:rPr>
                <w:rFonts w:hint="eastAsia" w:ascii="Times New Roman" w:hAnsi="Times New Roman" w:eastAsia="宋体" w:cs="Times New Roman"/>
                <w:sz w:val="24"/>
                <w:lang w:val="en-US" w:eastAsia="zh-CN"/>
              </w:rPr>
              <w:t>挤出工序产品</w:t>
            </w:r>
            <w:r>
              <w:rPr>
                <w:rFonts w:hint="default" w:ascii="Times New Roman" w:hAnsi="Times New Roman" w:eastAsia="宋体" w:cs="Times New Roman"/>
                <w:sz w:val="24"/>
                <w:lang w:val="en-US" w:eastAsia="zh-CN"/>
              </w:rPr>
              <w:t>合计重量为</w:t>
            </w:r>
            <w:r>
              <w:rPr>
                <w:rFonts w:hint="eastAsia" w:ascii="Times New Roman" w:hAnsi="Times New Roman" w:eastAsia="宋体" w:cs="Times New Roman"/>
                <w:sz w:val="24"/>
                <w:lang w:val="en-US" w:eastAsia="zh-CN"/>
              </w:rPr>
              <w:t>290</w:t>
            </w:r>
            <w:r>
              <w:rPr>
                <w:rFonts w:hint="default" w:ascii="Times New Roman" w:hAnsi="Times New Roman" w:eastAsia="宋体" w:cs="Times New Roman"/>
                <w:sz w:val="24"/>
                <w:lang w:val="en-US" w:eastAsia="zh-CN"/>
              </w:rPr>
              <w:t>t/a，则冷却用水量</w:t>
            </w:r>
            <w:r>
              <w:rPr>
                <w:rFonts w:hint="eastAsia" w:ascii="Times New Roman" w:hAnsi="Times New Roman" w:eastAsia="宋体" w:cs="Times New Roman"/>
                <w:sz w:val="24"/>
                <w:lang w:val="en-US" w:eastAsia="zh-CN"/>
              </w:rPr>
              <w:t>957</w:t>
            </w:r>
            <w:r>
              <w:rPr>
                <w:rFonts w:hint="default" w:ascii="Times New Roman" w:hAnsi="Times New Roman" w:eastAsia="宋体" w:cs="Times New Roman"/>
                <w:sz w:val="24"/>
                <w:lang w:val="en-US" w:eastAsia="zh-CN"/>
              </w:rPr>
              <w:t>m</w:t>
            </w:r>
            <w:r>
              <w:rPr>
                <w:rFonts w:hint="default" w:ascii="Times New Roman" w:hAnsi="Times New Roman" w:eastAsia="宋体" w:cs="Times New Roman"/>
                <w:sz w:val="24"/>
                <w:vertAlign w:val="superscript"/>
                <w:lang w:val="en-US" w:eastAsia="zh-CN"/>
              </w:rPr>
              <w:t>3</w:t>
            </w:r>
            <w:r>
              <w:rPr>
                <w:rFonts w:hint="default" w:ascii="Times New Roman" w:hAnsi="Times New Roman" w:eastAsia="宋体" w:cs="Times New Roman"/>
                <w:sz w:val="24"/>
                <w:lang w:val="en-US" w:eastAsia="zh-CN"/>
              </w:rPr>
              <w:t>/a</w:t>
            </w:r>
            <w:r>
              <w:rPr>
                <w:rFonts w:hint="eastAsia" w:ascii="Times New Roman" w:hAnsi="Times New Roman" w:eastAsia="宋体" w:cs="Times New Roman"/>
                <w:sz w:val="24"/>
                <w:lang w:val="en-US" w:eastAsia="zh-CN"/>
              </w:rPr>
              <w:t>（3.19</w:t>
            </w:r>
            <w:r>
              <w:rPr>
                <w:rFonts w:hint="default" w:ascii="Times New Roman" w:hAnsi="Times New Roman" w:eastAsia="宋体" w:cs="Times New Roman"/>
                <w:sz w:val="24"/>
                <w:lang w:val="en-US" w:eastAsia="zh-CN"/>
              </w:rPr>
              <w:t>m</w:t>
            </w:r>
            <w:r>
              <w:rPr>
                <w:rFonts w:hint="default" w:ascii="Times New Roman" w:hAnsi="Times New Roman" w:eastAsia="宋体" w:cs="Times New Roman"/>
                <w:sz w:val="24"/>
                <w:vertAlign w:val="superscript"/>
                <w:lang w:val="en-US" w:eastAsia="zh-CN"/>
              </w:rPr>
              <w:t>3</w:t>
            </w:r>
            <w:r>
              <w:rPr>
                <w:rFonts w:hint="default" w:ascii="Times New Roman" w:hAnsi="Times New Roman" w:eastAsia="宋体" w:cs="Times New Roman"/>
                <w:sz w:val="24"/>
                <w:lang w:val="en-US" w:eastAsia="zh-CN"/>
              </w:rPr>
              <w:t>/d</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。蒸发损耗按照用水量的10%</w:t>
            </w:r>
            <w:r>
              <w:rPr>
                <w:rFonts w:hint="eastAsia" w:ascii="Times New Roman" w:hAnsi="Times New Roman" w:eastAsia="宋体" w:cs="Times New Roman"/>
                <w:sz w:val="24"/>
                <w:lang w:val="en-US" w:eastAsia="zh-CN"/>
              </w:rPr>
              <w:t>计</w:t>
            </w:r>
            <w:r>
              <w:rPr>
                <w:rFonts w:hint="default" w:ascii="Times New Roman" w:hAnsi="Times New Roman" w:eastAsia="宋体" w:cs="Times New Roman"/>
                <w:sz w:val="24"/>
                <w:lang w:val="en-US" w:eastAsia="zh-CN"/>
              </w:rPr>
              <w:t>，则挤出冷却水</w:t>
            </w:r>
            <w:r>
              <w:rPr>
                <w:rFonts w:hint="eastAsia" w:ascii="Times New Roman" w:hAnsi="Times New Roman" w:eastAsia="宋体" w:cs="Times New Roman"/>
                <w:sz w:val="24"/>
                <w:lang w:val="en-US" w:eastAsia="zh-CN"/>
              </w:rPr>
              <w:t>蒸发量为95.7</w:t>
            </w:r>
            <w:r>
              <w:rPr>
                <w:rFonts w:hint="default" w:ascii="Times New Roman" w:hAnsi="Times New Roman" w:eastAsia="宋体" w:cs="Times New Roman"/>
                <w:sz w:val="24"/>
                <w:lang w:val="en-US" w:eastAsia="zh-CN"/>
              </w:rPr>
              <w:t>m</w:t>
            </w:r>
            <w:r>
              <w:rPr>
                <w:rFonts w:hint="default" w:ascii="Times New Roman" w:hAnsi="Times New Roman" w:eastAsia="宋体" w:cs="Times New Roman"/>
                <w:sz w:val="24"/>
                <w:vertAlign w:val="superscript"/>
                <w:lang w:val="en-US" w:eastAsia="zh-CN"/>
              </w:rPr>
              <w:t>3</w:t>
            </w:r>
            <w:r>
              <w:rPr>
                <w:rFonts w:hint="default" w:ascii="Times New Roman" w:hAnsi="Times New Roman" w:eastAsia="宋体" w:cs="Times New Roman"/>
                <w:sz w:val="24"/>
                <w:lang w:val="en-US" w:eastAsia="zh-CN"/>
              </w:rPr>
              <w:t>/a、</w:t>
            </w:r>
            <w:r>
              <w:rPr>
                <w:rFonts w:hint="eastAsia" w:ascii="Times New Roman" w:hAnsi="Times New Roman" w:eastAsia="宋体" w:cs="Times New Roman"/>
                <w:sz w:val="24"/>
                <w:lang w:val="en-US" w:eastAsia="zh-CN"/>
              </w:rPr>
              <w:t>0.319</w:t>
            </w:r>
            <w:r>
              <w:rPr>
                <w:rFonts w:hint="default" w:ascii="Times New Roman" w:hAnsi="Times New Roman" w:eastAsia="宋体" w:cs="Times New Roman"/>
                <w:sz w:val="24"/>
                <w:lang w:val="en-US" w:eastAsia="zh-CN"/>
              </w:rPr>
              <w:t>m</w:t>
            </w:r>
            <w:r>
              <w:rPr>
                <w:rFonts w:hint="default" w:ascii="Times New Roman" w:hAnsi="Times New Roman" w:eastAsia="宋体" w:cs="Times New Roman"/>
                <w:sz w:val="24"/>
                <w:vertAlign w:val="superscript"/>
                <w:lang w:val="en-US" w:eastAsia="zh-CN"/>
              </w:rPr>
              <w:t>3</w:t>
            </w:r>
            <w:r>
              <w:rPr>
                <w:rFonts w:hint="default" w:ascii="Times New Roman" w:hAnsi="Times New Roman" w:eastAsia="宋体" w:cs="Times New Roman"/>
                <w:sz w:val="24"/>
                <w:lang w:val="en-US" w:eastAsia="zh-CN"/>
              </w:rPr>
              <w:t>/d</w:t>
            </w:r>
            <w:r>
              <w:rPr>
                <w:rFonts w:hint="eastAsia" w:ascii="Times New Roman" w:hAnsi="Times New Roman" w:eastAsia="宋体" w:cs="Times New Roman"/>
                <w:sz w:val="24"/>
                <w:lang w:val="en-US" w:eastAsia="zh-CN"/>
              </w:rPr>
              <w:t>，</w:t>
            </w:r>
            <w:r>
              <w:rPr>
                <w:rFonts w:hint="eastAsia"/>
                <w:sz w:val="24"/>
              </w:rPr>
              <w:t>该工序用水循环使用，定期补充，</w:t>
            </w:r>
            <w:r>
              <w:rPr>
                <w:rFonts w:hint="eastAsia" w:ascii="Times New Roman" w:hAnsi="Times New Roman" w:eastAsia="宋体" w:cs="Times New Roman"/>
                <w:sz w:val="24"/>
                <w:lang w:val="en-US" w:eastAsia="zh-CN"/>
              </w:rPr>
              <w:t>挤出工序补水量为95.7</w:t>
            </w:r>
            <w:r>
              <w:rPr>
                <w:rFonts w:hint="default" w:ascii="Times New Roman" w:hAnsi="Times New Roman" w:eastAsia="宋体" w:cs="Times New Roman"/>
                <w:sz w:val="24"/>
                <w:lang w:val="en-US" w:eastAsia="zh-CN"/>
              </w:rPr>
              <w:t>m</w:t>
            </w:r>
            <w:r>
              <w:rPr>
                <w:rFonts w:hint="default" w:ascii="Times New Roman" w:hAnsi="Times New Roman" w:eastAsia="宋体" w:cs="Times New Roman"/>
                <w:sz w:val="24"/>
                <w:vertAlign w:val="superscript"/>
                <w:lang w:val="en-US" w:eastAsia="zh-CN"/>
              </w:rPr>
              <w:t>3</w:t>
            </w:r>
            <w:r>
              <w:rPr>
                <w:rFonts w:hint="default" w:ascii="Times New Roman" w:hAnsi="Times New Roman" w:eastAsia="宋体" w:cs="Times New Roman"/>
                <w:sz w:val="24"/>
                <w:lang w:val="en-US" w:eastAsia="zh-CN"/>
              </w:rPr>
              <w:t>/a、</w:t>
            </w:r>
            <w:r>
              <w:rPr>
                <w:rFonts w:hint="eastAsia" w:ascii="Times New Roman" w:hAnsi="Times New Roman" w:eastAsia="宋体" w:cs="Times New Roman"/>
                <w:sz w:val="24"/>
                <w:lang w:val="en-US" w:eastAsia="zh-CN"/>
              </w:rPr>
              <w:t>0.319</w:t>
            </w:r>
            <w:r>
              <w:rPr>
                <w:rFonts w:hint="default" w:ascii="Times New Roman" w:hAnsi="Times New Roman" w:eastAsia="宋体" w:cs="Times New Roman"/>
                <w:sz w:val="24"/>
                <w:lang w:val="en-US" w:eastAsia="zh-CN"/>
              </w:rPr>
              <w:t>m</w:t>
            </w:r>
            <w:r>
              <w:rPr>
                <w:rFonts w:hint="default" w:ascii="Times New Roman" w:hAnsi="Times New Roman" w:eastAsia="宋体" w:cs="Times New Roman"/>
                <w:sz w:val="24"/>
                <w:vertAlign w:val="superscript"/>
                <w:lang w:val="en-US" w:eastAsia="zh-CN"/>
              </w:rPr>
              <w:t>3</w:t>
            </w:r>
            <w:r>
              <w:rPr>
                <w:rFonts w:hint="default" w:ascii="Times New Roman" w:hAnsi="Times New Roman" w:eastAsia="宋体" w:cs="Times New Roman"/>
                <w:sz w:val="24"/>
                <w:lang w:val="en-US" w:eastAsia="zh-CN"/>
              </w:rPr>
              <w:t>/d</w:t>
            </w:r>
            <w:r>
              <w:rPr>
                <w:rFonts w:hint="eastAsia" w:ascii="Times New Roman" w:hAnsi="Times New Roman" w:eastAsia="宋体" w:cs="Times New Roman"/>
                <w:sz w:val="24"/>
                <w:lang w:val="en-US" w:eastAsia="zh-CN"/>
              </w:rPr>
              <w:t>。</w:t>
            </w:r>
          </w:p>
          <w:p w14:paraId="5B830246">
            <w:pPr>
              <w:keepNext w:val="0"/>
              <w:keepLines w:val="0"/>
              <w:suppressLineNumbers w:val="0"/>
              <w:adjustRightInd w:val="0"/>
              <w:snapToGrid w:val="0"/>
              <w:spacing w:before="0" w:beforeAutospacing="0" w:after="0" w:afterAutospacing="0" w:line="360" w:lineRule="auto"/>
              <w:ind w:left="0" w:right="0" w:firstLine="480" w:firstLineChars="200"/>
              <w:jc w:val="left"/>
              <w:rPr>
                <w:rFonts w:hint="eastAsia"/>
                <w:sz w:val="24"/>
              </w:rPr>
            </w:pPr>
            <w:r>
              <w:rPr>
                <w:rFonts w:hint="eastAsia"/>
                <w:sz w:val="24"/>
              </w:rPr>
              <w:t>项目复合工序采取高频水加热复合，该工序用水循环使用，定期补充，补充水量约为0.</w:t>
            </w:r>
            <w:r>
              <w:rPr>
                <w:rFonts w:hint="eastAsia"/>
                <w:sz w:val="24"/>
                <w:lang w:val="en-US" w:eastAsia="zh-CN"/>
              </w:rPr>
              <w:t>2</w:t>
            </w:r>
            <w:r>
              <w:rPr>
                <w:rFonts w:hint="eastAsia"/>
                <w:sz w:val="24"/>
              </w:rPr>
              <w:t>m</w:t>
            </w:r>
            <w:r>
              <w:rPr>
                <w:rFonts w:hint="eastAsia"/>
                <w:sz w:val="24"/>
                <w:vertAlign w:val="superscript"/>
              </w:rPr>
              <w:t>3</w:t>
            </w:r>
            <w:r>
              <w:rPr>
                <w:rFonts w:hint="eastAsia"/>
                <w:sz w:val="24"/>
              </w:rPr>
              <w:t>/d，合计用水量</w:t>
            </w:r>
            <w:r>
              <w:rPr>
                <w:rFonts w:hint="eastAsia"/>
                <w:sz w:val="24"/>
                <w:lang w:val="en-US" w:eastAsia="zh-CN"/>
              </w:rPr>
              <w:t>60</w:t>
            </w:r>
            <w:r>
              <w:rPr>
                <w:rFonts w:hint="eastAsia"/>
                <w:sz w:val="24"/>
              </w:rPr>
              <w:t>m</w:t>
            </w:r>
            <w:r>
              <w:rPr>
                <w:rFonts w:hint="eastAsia"/>
                <w:sz w:val="24"/>
                <w:vertAlign w:val="superscript"/>
              </w:rPr>
              <w:t>3</w:t>
            </w:r>
            <w:r>
              <w:rPr>
                <w:rFonts w:hint="eastAsia"/>
                <w:sz w:val="24"/>
              </w:rPr>
              <w:t>/a。</w:t>
            </w:r>
          </w:p>
          <w:p w14:paraId="0F90AE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参考《工业循环冷却水处理设计规范》（GB_T50050-2017）“5补充水处理”蒸发水量公式为：Q</w:t>
            </w:r>
            <w:r>
              <w:rPr>
                <w:rFonts w:hint="eastAsia"/>
                <w:color w:val="000000" w:themeColor="text1"/>
                <w:sz w:val="24"/>
                <w:szCs w:val="24"/>
                <w:vertAlign w:val="subscript"/>
                <w:lang w:val="en-US" w:eastAsia="zh-CN"/>
                <w14:textFill>
                  <w14:solidFill>
                    <w14:schemeClr w14:val="tx1"/>
                  </w14:solidFill>
                </w14:textFill>
              </w:rPr>
              <w:t>e</w:t>
            </w:r>
            <w:r>
              <w:rPr>
                <w:rFonts w:hint="eastAsia"/>
                <w:color w:val="000000" w:themeColor="text1"/>
                <w:sz w:val="24"/>
                <w:szCs w:val="24"/>
                <w:lang w:val="en-US" w:eastAsia="zh-CN"/>
                <w14:textFill>
                  <w14:solidFill>
                    <w14:schemeClr w14:val="tx1"/>
                  </w14:solidFill>
                </w14:textFill>
              </w:rPr>
              <w:t>=k×Δt×Q</w:t>
            </w:r>
            <w:r>
              <w:rPr>
                <w:rFonts w:hint="eastAsia"/>
                <w:color w:val="000000" w:themeColor="text1"/>
                <w:sz w:val="24"/>
                <w:szCs w:val="24"/>
                <w:vertAlign w:val="subscript"/>
                <w:lang w:val="en-US" w:eastAsia="zh-CN"/>
                <w14:textFill>
                  <w14:solidFill>
                    <w14:schemeClr w14:val="tx1"/>
                  </w14:solidFill>
                </w14:textFill>
              </w:rPr>
              <w:t>r</w:t>
            </w:r>
          </w:p>
          <w:p w14:paraId="3E4212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其中：</w:t>
            </w:r>
          </w:p>
          <w:p w14:paraId="7579D1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Q</w:t>
            </w:r>
            <w:r>
              <w:rPr>
                <w:rFonts w:hint="eastAsia"/>
                <w:color w:val="000000" w:themeColor="text1"/>
                <w:sz w:val="24"/>
                <w:szCs w:val="24"/>
                <w:vertAlign w:val="subscript"/>
                <w:lang w:val="en-US" w:eastAsia="zh-CN"/>
                <w14:textFill>
                  <w14:solidFill>
                    <w14:schemeClr w14:val="tx1"/>
                  </w14:solidFill>
                </w14:textFill>
              </w:rPr>
              <w:t>e</w:t>
            </w:r>
            <w:r>
              <w:rPr>
                <w:rFonts w:hint="eastAsia"/>
                <w:color w:val="000000" w:themeColor="text1"/>
                <w:sz w:val="24"/>
                <w:szCs w:val="24"/>
                <w:lang w:val="en-US" w:eastAsia="zh-CN"/>
                <w14:textFill>
                  <w14:solidFill>
                    <w14:schemeClr w14:val="tx1"/>
                  </w14:solidFill>
                </w14:textFill>
              </w:rPr>
              <w:t>为蒸发水量（m</w:t>
            </w:r>
            <w:r>
              <w:rPr>
                <w:rFonts w:hint="eastAsia"/>
                <w:color w:val="000000" w:themeColor="text1"/>
                <w:sz w:val="24"/>
                <w:szCs w:val="24"/>
                <w:vertAlign w:val="superscript"/>
                <w:lang w:val="en-US" w:eastAsia="zh-CN"/>
                <w14:textFill>
                  <w14:solidFill>
                    <w14:schemeClr w14:val="tx1"/>
                  </w14:solidFill>
                </w14:textFill>
              </w:rPr>
              <w:t>3</w:t>
            </w:r>
            <w:r>
              <w:rPr>
                <w:rFonts w:hint="eastAsia"/>
                <w:color w:val="000000" w:themeColor="text1"/>
                <w:sz w:val="24"/>
                <w:szCs w:val="24"/>
                <w:lang w:val="en-US" w:eastAsia="zh-CN"/>
                <w14:textFill>
                  <w14:solidFill>
                    <w14:schemeClr w14:val="tx1"/>
                  </w14:solidFill>
                </w14:textFill>
              </w:rPr>
              <w:t>/a）；</w:t>
            </w:r>
          </w:p>
          <w:p w14:paraId="6106B3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k为蒸发损失系数（1/℃），按照下表进行取值；</w:t>
            </w:r>
          </w:p>
          <w:p w14:paraId="6D26CD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Q</w:t>
            </w:r>
            <w:r>
              <w:rPr>
                <w:rFonts w:hint="eastAsia"/>
                <w:color w:val="000000" w:themeColor="text1"/>
                <w:sz w:val="24"/>
                <w:szCs w:val="24"/>
                <w:vertAlign w:val="subscript"/>
                <w:lang w:val="en-US" w:eastAsia="zh-CN"/>
                <w14:textFill>
                  <w14:solidFill>
                    <w14:schemeClr w14:val="tx1"/>
                  </w14:solidFill>
                </w14:textFill>
              </w:rPr>
              <w:t>r</w:t>
            </w:r>
            <w:r>
              <w:rPr>
                <w:rFonts w:hint="eastAsia"/>
                <w:color w:val="000000" w:themeColor="text1"/>
                <w:sz w:val="24"/>
                <w:szCs w:val="24"/>
                <w:lang w:val="en-US" w:eastAsia="zh-CN"/>
                <w14:textFill>
                  <w14:solidFill>
                    <w14:schemeClr w14:val="tx1"/>
                  </w14:solidFill>
                </w14:textFill>
              </w:rPr>
              <w:t>为循环冷却水量（m</w:t>
            </w:r>
            <w:r>
              <w:rPr>
                <w:rFonts w:hint="eastAsia"/>
                <w:color w:val="000000" w:themeColor="text1"/>
                <w:sz w:val="24"/>
                <w:szCs w:val="24"/>
                <w:vertAlign w:val="superscript"/>
                <w:lang w:val="en-US" w:eastAsia="zh-CN"/>
                <w14:textFill>
                  <w14:solidFill>
                    <w14:schemeClr w14:val="tx1"/>
                  </w14:solidFill>
                </w14:textFill>
              </w:rPr>
              <w:t>3</w:t>
            </w:r>
            <w:r>
              <w:rPr>
                <w:rFonts w:hint="eastAsia"/>
                <w:color w:val="000000" w:themeColor="text1"/>
                <w:sz w:val="24"/>
                <w:szCs w:val="24"/>
                <w:lang w:val="en-US" w:eastAsia="zh-CN"/>
                <w14:textFill>
                  <w14:solidFill>
                    <w14:schemeClr w14:val="tx1"/>
                  </w14:solidFill>
                </w14:textFill>
              </w:rPr>
              <w:t>/a）；</w:t>
            </w:r>
          </w:p>
          <w:p w14:paraId="7E2B3E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Δt为循环冷却水进出塔温度（℃），取20℃</w:t>
            </w:r>
          </w:p>
          <w:p w14:paraId="7A76DA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则该企业循环水量Q</w:t>
            </w:r>
            <w:r>
              <w:rPr>
                <w:rFonts w:hint="eastAsia"/>
                <w:color w:val="000000" w:themeColor="text1"/>
                <w:sz w:val="24"/>
                <w:szCs w:val="24"/>
                <w:vertAlign w:val="subscript"/>
                <w:lang w:val="en-US" w:eastAsia="zh-CN"/>
                <w14:textFill>
                  <w14:solidFill>
                    <w14:schemeClr w14:val="tx1"/>
                  </w14:solidFill>
                </w14:textFill>
              </w:rPr>
              <w:t>r</w:t>
            </w:r>
            <w:r>
              <w:rPr>
                <w:rFonts w:hint="eastAsia"/>
                <w:color w:val="000000" w:themeColor="text1"/>
                <w:sz w:val="24"/>
                <w:szCs w:val="24"/>
                <w:vertAlign w:val="baseline"/>
                <w:lang w:val="en-US" w:eastAsia="zh-CN"/>
                <w14:textFill>
                  <w14:solidFill>
                    <w14:schemeClr w14:val="tx1"/>
                  </w14:solidFill>
                </w14:textFill>
              </w:rPr>
              <w:t>=155.7/0.0014/20=5560.7143m</w:t>
            </w:r>
            <w:r>
              <w:rPr>
                <w:rFonts w:hint="eastAsia"/>
                <w:color w:val="000000" w:themeColor="text1"/>
                <w:sz w:val="24"/>
                <w:szCs w:val="24"/>
                <w:vertAlign w:val="superscript"/>
                <w:lang w:val="en-US" w:eastAsia="zh-CN"/>
                <w14:textFill>
                  <w14:solidFill>
                    <w14:schemeClr w14:val="tx1"/>
                  </w14:solidFill>
                </w14:textFill>
              </w:rPr>
              <w:t>3</w:t>
            </w:r>
            <w:r>
              <w:rPr>
                <w:rFonts w:hint="eastAsia"/>
                <w:color w:val="000000" w:themeColor="text1"/>
                <w:sz w:val="24"/>
                <w:szCs w:val="24"/>
                <w:vertAlign w:val="baseline"/>
                <w:lang w:val="en-US" w:eastAsia="zh-CN"/>
                <w14:textFill>
                  <w14:solidFill>
                    <w14:schemeClr w14:val="tx1"/>
                  </w14:solidFill>
                </w14:textFill>
              </w:rPr>
              <w:t>/a</w:t>
            </w:r>
          </w:p>
          <w:p w14:paraId="3F043DB8">
            <w:pPr>
              <w:pStyle w:val="38"/>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b/>
                <w:bCs w:val="0"/>
                <w:color w:val="000000" w:themeColor="text1"/>
                <w:lang w:val="en-US" w:eastAsia="zh-CN"/>
                <w14:textFill>
                  <w14:solidFill>
                    <w14:schemeClr w14:val="tx1"/>
                  </w14:solidFill>
                </w14:textFill>
              </w:rPr>
            </w:pPr>
            <w:r>
              <w:rPr>
                <w:rFonts w:hint="eastAsia"/>
                <w:b/>
                <w:bCs w:val="0"/>
                <w:color w:val="000000" w:themeColor="text1"/>
                <w:sz w:val="24"/>
                <w:szCs w:val="24"/>
                <w:lang w:val="en-US" w:eastAsia="zh-CN"/>
                <w14:textFill>
                  <w14:solidFill>
                    <w14:schemeClr w14:val="tx1"/>
                  </w14:solidFill>
                </w14:textFill>
              </w:rPr>
              <w:t>蒸发损失系数k</w:t>
            </w:r>
          </w:p>
          <w:tbl>
            <w:tblPr>
              <w:tblStyle w:val="30"/>
              <w:tblW w:w="4991"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68"/>
              <w:gridCol w:w="1025"/>
              <w:gridCol w:w="1000"/>
              <w:gridCol w:w="1177"/>
              <w:gridCol w:w="1096"/>
              <w:gridCol w:w="1230"/>
              <w:gridCol w:w="1260"/>
            </w:tblGrid>
            <w:tr w14:paraId="0BA6BA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39" w:type="pct"/>
                </w:tcPr>
                <w:p w14:paraId="3F863354">
                  <w:pPr>
                    <w:keepNext w:val="0"/>
                    <w:keepLines w:val="0"/>
                    <w:suppressLineNumbers w:val="0"/>
                    <w:bidi w:val="0"/>
                    <w:spacing w:before="0" w:beforeAutospacing="0" w:after="0" w:afterAutospacing="0"/>
                    <w:ind w:left="0" w:right="0"/>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进塔大气温度</w:t>
                  </w:r>
                </w:p>
              </w:tc>
              <w:tc>
                <w:tcPr>
                  <w:tcW w:w="613" w:type="pct"/>
                </w:tcPr>
                <w:p w14:paraId="61D08608">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-10</w:t>
                  </w:r>
                </w:p>
              </w:tc>
              <w:tc>
                <w:tcPr>
                  <w:tcW w:w="598" w:type="pct"/>
                </w:tcPr>
                <w:p w14:paraId="04641E66">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w:t>
                  </w:r>
                </w:p>
              </w:tc>
              <w:tc>
                <w:tcPr>
                  <w:tcW w:w="704" w:type="pct"/>
                </w:tcPr>
                <w:p w14:paraId="2EE8A7C6">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10</w:t>
                  </w:r>
                </w:p>
              </w:tc>
              <w:tc>
                <w:tcPr>
                  <w:tcW w:w="656" w:type="pct"/>
                </w:tcPr>
                <w:p w14:paraId="53BA49CF">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20</w:t>
                  </w:r>
                </w:p>
              </w:tc>
              <w:tc>
                <w:tcPr>
                  <w:tcW w:w="736" w:type="pct"/>
                </w:tcPr>
                <w:p w14:paraId="1C3D7F81">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30</w:t>
                  </w:r>
                </w:p>
              </w:tc>
              <w:tc>
                <w:tcPr>
                  <w:tcW w:w="752" w:type="pct"/>
                </w:tcPr>
                <w:p w14:paraId="5B634B22">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40</w:t>
                  </w:r>
                </w:p>
              </w:tc>
            </w:tr>
            <w:tr w14:paraId="0F6626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39" w:type="pct"/>
                </w:tcPr>
                <w:p w14:paraId="0D901F01">
                  <w:pPr>
                    <w:keepNext w:val="0"/>
                    <w:keepLines w:val="0"/>
                    <w:suppressLineNumbers w:val="0"/>
                    <w:bidi w:val="0"/>
                    <w:spacing w:before="0" w:beforeAutospacing="0" w:after="0" w:afterAutospacing="0"/>
                    <w:ind w:left="0" w:right="0"/>
                    <w:jc w:val="center"/>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k（1</w:t>
                  </w:r>
                  <w:r>
                    <w:rPr>
                      <w:rFonts w:hint="eastAsia"/>
                      <w:color w:val="000000" w:themeColor="text1"/>
                      <w:sz w:val="21"/>
                      <w:szCs w:val="21"/>
                      <w:vertAlign w:val="baseline"/>
                      <w:lang w:val="en-US"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w:t>
                  </w:r>
                  <w:r>
                    <w:rPr>
                      <w:rFonts w:hint="eastAsia"/>
                      <w:color w:val="000000" w:themeColor="text1"/>
                      <w:vertAlign w:val="baseline"/>
                      <w:lang w:val="en-US" w:eastAsia="zh-CN"/>
                      <w14:textFill>
                        <w14:solidFill>
                          <w14:schemeClr w14:val="tx1"/>
                        </w14:solidFill>
                      </w14:textFill>
                    </w:rPr>
                    <w:t>）</w:t>
                  </w:r>
                </w:p>
              </w:tc>
              <w:tc>
                <w:tcPr>
                  <w:tcW w:w="613" w:type="pct"/>
                </w:tcPr>
                <w:p w14:paraId="6AD60B02">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0.0008</w:t>
                  </w:r>
                </w:p>
              </w:tc>
              <w:tc>
                <w:tcPr>
                  <w:tcW w:w="598" w:type="pct"/>
                </w:tcPr>
                <w:p w14:paraId="4890B5EF">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0.0010</w:t>
                  </w:r>
                </w:p>
              </w:tc>
              <w:tc>
                <w:tcPr>
                  <w:tcW w:w="704" w:type="pct"/>
                </w:tcPr>
                <w:p w14:paraId="666AF1B6">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0.0012</w:t>
                  </w:r>
                </w:p>
              </w:tc>
              <w:tc>
                <w:tcPr>
                  <w:tcW w:w="656" w:type="pct"/>
                </w:tcPr>
                <w:p w14:paraId="0B933CD9">
                  <w:pPr>
                    <w:keepNext w:val="0"/>
                    <w:keepLines w:val="0"/>
                    <w:suppressLineNumbers w:val="0"/>
                    <w:bidi w:val="0"/>
                    <w:spacing w:before="0" w:beforeAutospacing="0" w:after="0" w:afterAutospacing="0"/>
                    <w:ind w:left="0" w:right="0"/>
                    <w:jc w:val="center"/>
                    <w:rPr>
                      <w:rFonts w:hint="default"/>
                      <w:color w:val="000000" w:themeColor="text1"/>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0.0014</w:t>
                  </w:r>
                </w:p>
              </w:tc>
              <w:tc>
                <w:tcPr>
                  <w:tcW w:w="736" w:type="pct"/>
                </w:tcPr>
                <w:p w14:paraId="12771BD6">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0.0015</w:t>
                  </w:r>
                </w:p>
              </w:tc>
              <w:tc>
                <w:tcPr>
                  <w:tcW w:w="752" w:type="pct"/>
                </w:tcPr>
                <w:p w14:paraId="1F312F43">
                  <w:pPr>
                    <w:keepNext w:val="0"/>
                    <w:keepLines w:val="0"/>
                    <w:suppressLineNumbers w:val="0"/>
                    <w:bidi w:val="0"/>
                    <w:spacing w:before="0" w:beforeAutospacing="0" w:after="0" w:afterAutospacing="0"/>
                    <w:ind w:left="0" w:right="0"/>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0.0016</w:t>
                  </w:r>
                </w:p>
              </w:tc>
            </w:tr>
            <w:tr w14:paraId="6992ED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14:paraId="7307A379">
                  <w:pPr>
                    <w:keepNext w:val="0"/>
                    <w:keepLines w:val="0"/>
                    <w:suppressLineNumbers w:val="0"/>
                    <w:bidi w:val="0"/>
                    <w:spacing w:before="0" w:beforeAutospacing="0" w:after="0" w:afterAutospacing="0"/>
                    <w:ind w:left="0" w:right="0"/>
                    <w:jc w:val="both"/>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注：表中进塔大气温度指冷却塔设计干球温度</w:t>
                  </w:r>
                </w:p>
              </w:tc>
            </w:tr>
          </w:tbl>
          <w:p w14:paraId="15A7921A">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eastAsia"/>
                <w:sz w:val="24"/>
                <w:lang w:eastAsia="zh-CN"/>
              </w:rPr>
            </w:pPr>
            <w:r>
              <w:rPr>
                <w:rFonts w:hint="eastAsia"/>
                <w:sz w:val="24"/>
                <w:lang w:eastAsia="zh-CN"/>
              </w:rPr>
              <w:t>（</w:t>
            </w:r>
            <w:r>
              <w:rPr>
                <w:rFonts w:hint="eastAsia"/>
                <w:sz w:val="24"/>
                <w:lang w:val="en-US" w:eastAsia="zh-CN"/>
              </w:rPr>
              <w:t>2</w:t>
            </w:r>
            <w:r>
              <w:rPr>
                <w:rFonts w:hint="eastAsia"/>
                <w:sz w:val="24"/>
                <w:lang w:eastAsia="zh-CN"/>
              </w:rPr>
              <w:t>）职工生活污水</w:t>
            </w:r>
          </w:p>
          <w:p w14:paraId="3375D78D">
            <w:pPr>
              <w:keepNext w:val="0"/>
              <w:keepLines w:val="0"/>
              <w:suppressLineNumbers w:val="0"/>
              <w:adjustRightInd w:val="0"/>
              <w:snapToGrid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sz w:val="24"/>
                <w:lang w:val="en-US" w:eastAsia="zh-CN"/>
              </w:rPr>
              <w:t>项目生产过程中用水主要为生活用水，包括食堂用水和其他生活用水，本项目员工为2</w:t>
            </w:r>
            <w:r>
              <w:rPr>
                <w:rFonts w:hint="eastAsia" w:cs="Times New Roman"/>
                <w:sz w:val="24"/>
                <w:lang w:val="en-US" w:eastAsia="zh-CN"/>
              </w:rPr>
              <w:t>7</w:t>
            </w:r>
            <w:r>
              <w:rPr>
                <w:rFonts w:hint="eastAsia" w:ascii="Times New Roman" w:hAnsi="Times New Roman" w:eastAsia="宋体" w:cs="Times New Roman"/>
                <w:sz w:val="24"/>
                <w:lang w:val="en-US" w:eastAsia="zh-CN"/>
              </w:rPr>
              <w:t>人</w:t>
            </w:r>
            <w:r>
              <w:rPr>
                <w:rFonts w:hint="eastAsia" w:cs="Times New Roman"/>
                <w:color w:val="auto"/>
                <w:sz w:val="24"/>
                <w:lang w:val="en-US" w:eastAsia="zh-CN"/>
              </w:rPr>
              <w:t>（其中8人在厂区内食宿），并设置洗浴设施，参考《工业与城镇生活用水定额》（DB41/T 385-2025），</w:t>
            </w:r>
            <w:r>
              <w:rPr>
                <w:rFonts w:hint="eastAsia" w:ascii="Times New Roman" w:hAnsi="Times New Roman" w:eastAsia="宋体" w:cs="Times New Roman"/>
                <w:sz w:val="24"/>
                <w:lang w:val="en-US" w:eastAsia="zh-CN"/>
              </w:rPr>
              <w:t>员工生活用水量按城镇居民生活用水定额，以90L/人·d计，则员工生活用水量为</w:t>
            </w:r>
            <w:r>
              <w:rPr>
                <w:rFonts w:hint="eastAsia" w:cs="Times New Roman"/>
                <w:sz w:val="24"/>
                <w:lang w:val="en-US" w:eastAsia="zh-CN"/>
              </w:rPr>
              <w:t>729</w:t>
            </w:r>
            <w:r>
              <w:rPr>
                <w:rFonts w:hint="eastAsia" w:ascii="Times New Roman" w:hAnsi="Times New Roman" w:eastAsia="宋体" w:cs="Times New Roman"/>
                <w:sz w:val="24"/>
                <w:lang w:val="en-US" w:eastAsia="zh-CN"/>
              </w:rPr>
              <w:t>m</w:t>
            </w:r>
            <w:r>
              <w:rPr>
                <w:rFonts w:hint="eastAsia" w:ascii="Times New Roman" w:hAnsi="Times New Roman" w:eastAsia="宋体" w:cs="Times New Roman"/>
                <w:sz w:val="24"/>
                <w:vertAlign w:val="superscript"/>
                <w:lang w:val="en-US" w:eastAsia="zh-CN"/>
              </w:rPr>
              <w:t>3</w:t>
            </w:r>
            <w:r>
              <w:rPr>
                <w:rFonts w:hint="eastAsia" w:ascii="Times New Roman" w:hAnsi="Times New Roman" w:eastAsia="宋体" w:cs="Times New Roman"/>
                <w:sz w:val="24"/>
                <w:lang w:val="en-US" w:eastAsia="zh-CN"/>
              </w:rPr>
              <w:t>/a；食堂用水量按公共管理和社会组织用水定额有无食堂差值，以4m</w:t>
            </w:r>
            <w:r>
              <w:rPr>
                <w:rFonts w:hint="eastAsia" w:ascii="Times New Roman" w:hAnsi="Times New Roman" w:eastAsia="宋体" w:cs="Times New Roman"/>
                <w:sz w:val="24"/>
                <w:vertAlign w:val="superscript"/>
                <w:lang w:val="en-US" w:eastAsia="zh-CN"/>
              </w:rPr>
              <w:t>3</w:t>
            </w:r>
            <w:r>
              <w:rPr>
                <w:rFonts w:hint="eastAsia" w:ascii="Times New Roman" w:hAnsi="Times New Roman" w:eastAsia="宋体" w:cs="Times New Roman"/>
                <w:sz w:val="24"/>
                <w:lang w:val="en-US" w:eastAsia="zh-CN"/>
              </w:rPr>
              <w:t>/人·a计，则食堂用水量为</w:t>
            </w:r>
            <w:r>
              <w:rPr>
                <w:rFonts w:hint="eastAsia" w:cs="Times New Roman"/>
                <w:sz w:val="24"/>
                <w:lang w:val="en-US" w:eastAsia="zh-CN"/>
              </w:rPr>
              <w:t>32</w:t>
            </w:r>
            <w:r>
              <w:rPr>
                <w:rFonts w:hint="eastAsia" w:ascii="Times New Roman" w:hAnsi="Times New Roman" w:eastAsia="宋体" w:cs="Times New Roman"/>
                <w:sz w:val="24"/>
                <w:lang w:val="en-US" w:eastAsia="zh-CN"/>
              </w:rPr>
              <w:t>m</w:t>
            </w:r>
            <w:r>
              <w:rPr>
                <w:rFonts w:hint="eastAsia" w:ascii="Times New Roman" w:hAnsi="Times New Roman" w:eastAsia="宋体" w:cs="Times New Roman"/>
                <w:sz w:val="24"/>
                <w:vertAlign w:val="superscript"/>
                <w:lang w:val="en-US" w:eastAsia="zh-CN"/>
              </w:rPr>
              <w:t>3</w:t>
            </w:r>
            <w:r>
              <w:rPr>
                <w:rFonts w:hint="eastAsia" w:ascii="Times New Roman" w:hAnsi="Times New Roman" w:eastAsia="宋体" w:cs="Times New Roman"/>
                <w:sz w:val="24"/>
                <w:lang w:val="en-US" w:eastAsia="zh-CN"/>
              </w:rPr>
              <w:t>/a。则运营期间项目用水量为</w:t>
            </w:r>
            <w:r>
              <w:rPr>
                <w:rFonts w:hint="eastAsia" w:cs="Times New Roman"/>
                <w:sz w:val="24"/>
                <w:lang w:val="en-US" w:eastAsia="zh-CN"/>
              </w:rPr>
              <w:t>761</w:t>
            </w:r>
            <w:r>
              <w:rPr>
                <w:rFonts w:hint="eastAsia" w:ascii="Times New Roman" w:hAnsi="Times New Roman" w:eastAsia="宋体" w:cs="Times New Roman"/>
                <w:sz w:val="24"/>
                <w:lang w:val="en-US" w:eastAsia="zh-CN"/>
              </w:rPr>
              <w:t>m</w:t>
            </w:r>
            <w:r>
              <w:rPr>
                <w:rFonts w:hint="eastAsia" w:ascii="Times New Roman" w:hAnsi="Times New Roman" w:eastAsia="宋体" w:cs="Times New Roman"/>
                <w:sz w:val="24"/>
                <w:vertAlign w:val="superscript"/>
                <w:lang w:val="en-US" w:eastAsia="zh-CN"/>
              </w:rPr>
              <w:t>3</w:t>
            </w:r>
            <w:r>
              <w:rPr>
                <w:rFonts w:hint="eastAsia" w:ascii="Times New Roman" w:hAnsi="Times New Roman" w:eastAsia="宋体" w:cs="Times New Roman"/>
                <w:sz w:val="24"/>
                <w:lang w:val="en-US" w:eastAsia="zh-CN"/>
              </w:rPr>
              <w:t>/a，生活污水的损耗率以20%计，则生活污水的产生量为</w:t>
            </w:r>
            <w:r>
              <w:rPr>
                <w:rFonts w:hint="eastAsia" w:cs="Times New Roman"/>
                <w:sz w:val="24"/>
                <w:lang w:val="en-US" w:eastAsia="zh-CN"/>
              </w:rPr>
              <w:t>608.8</w:t>
            </w:r>
            <w:r>
              <w:rPr>
                <w:rFonts w:hint="eastAsia" w:ascii="Times New Roman" w:hAnsi="Times New Roman" w:eastAsia="宋体" w:cs="Times New Roman"/>
                <w:sz w:val="24"/>
                <w:lang w:val="en-US" w:eastAsia="zh-CN"/>
              </w:rPr>
              <w:t>m</w:t>
            </w:r>
            <w:r>
              <w:rPr>
                <w:rFonts w:hint="eastAsia" w:ascii="Times New Roman" w:hAnsi="Times New Roman" w:eastAsia="宋体" w:cs="Times New Roman"/>
                <w:sz w:val="24"/>
                <w:vertAlign w:val="superscript"/>
                <w:lang w:val="en-US" w:eastAsia="zh-CN"/>
              </w:rPr>
              <w:t>3</w:t>
            </w:r>
            <w:r>
              <w:rPr>
                <w:rFonts w:hint="eastAsia" w:ascii="Times New Roman" w:hAnsi="Times New Roman" w:eastAsia="宋体" w:cs="Times New Roman"/>
                <w:sz w:val="24"/>
                <w:lang w:val="en-US" w:eastAsia="zh-CN"/>
              </w:rPr>
              <w:t>/a。食堂废水经隔油池（</w:t>
            </w:r>
            <w:r>
              <w:rPr>
                <w:rFonts w:hint="eastAsia" w:cs="Times New Roman"/>
                <w:sz w:val="24"/>
                <w:lang w:val="en-US" w:eastAsia="zh-CN"/>
              </w:rPr>
              <w:t>1</w:t>
            </w:r>
            <w:r>
              <w:rPr>
                <w:rFonts w:hint="eastAsia" w:ascii="Times New Roman" w:hAnsi="Times New Roman" w:eastAsia="宋体" w:cs="Times New Roman"/>
                <w:sz w:val="24"/>
                <w:lang w:val="en-US" w:eastAsia="zh-CN"/>
              </w:rPr>
              <w:t>m</w:t>
            </w:r>
            <w:r>
              <w:rPr>
                <w:rFonts w:hint="eastAsia" w:ascii="Times New Roman" w:hAnsi="Times New Roman" w:eastAsia="宋体" w:cs="Times New Roman"/>
                <w:sz w:val="24"/>
                <w:vertAlign w:val="superscript"/>
                <w:lang w:val="en-US" w:eastAsia="zh-CN"/>
              </w:rPr>
              <w:t>3</w:t>
            </w:r>
            <w:r>
              <w:rPr>
                <w:rFonts w:hint="eastAsia" w:ascii="Times New Roman" w:hAnsi="Times New Roman" w:eastAsia="宋体" w:cs="Times New Roman"/>
                <w:sz w:val="24"/>
                <w:lang w:val="en-US" w:eastAsia="zh-CN"/>
              </w:rPr>
              <w:t>）预处理后与经化粪池（</w:t>
            </w:r>
            <w:r>
              <w:rPr>
                <w:rFonts w:hint="eastAsia" w:cs="Times New Roman"/>
                <w:sz w:val="24"/>
                <w:lang w:val="en-US" w:eastAsia="zh-CN"/>
              </w:rPr>
              <w:t>5</w:t>
            </w:r>
            <w:r>
              <w:rPr>
                <w:rFonts w:hint="eastAsia" w:ascii="Times New Roman" w:hAnsi="Times New Roman" w:eastAsia="宋体" w:cs="Times New Roman"/>
                <w:sz w:val="24"/>
                <w:lang w:val="en-US" w:eastAsia="zh-CN"/>
              </w:rPr>
              <w:t>m</w:t>
            </w:r>
            <w:r>
              <w:rPr>
                <w:rFonts w:hint="eastAsia" w:ascii="Times New Roman" w:hAnsi="Times New Roman" w:eastAsia="宋体" w:cs="Times New Roman"/>
                <w:sz w:val="24"/>
                <w:vertAlign w:val="superscript"/>
                <w:lang w:val="en-US" w:eastAsia="zh-CN"/>
              </w:rPr>
              <w:t>3</w:t>
            </w:r>
            <w:r>
              <w:rPr>
                <w:rFonts w:hint="eastAsia" w:ascii="Times New Roman" w:hAnsi="Times New Roman" w:eastAsia="宋体" w:cs="Times New Roman"/>
                <w:sz w:val="24"/>
                <w:lang w:val="en-US" w:eastAsia="zh-CN"/>
              </w:rPr>
              <w:t>）处理后</w:t>
            </w:r>
            <w:r>
              <w:rPr>
                <w:rFonts w:hint="eastAsia" w:cs="Times New Roman"/>
                <w:sz w:val="24"/>
                <w:lang w:val="en-US" w:eastAsia="zh-CN"/>
              </w:rPr>
              <w:t>的</w:t>
            </w:r>
            <w:r>
              <w:rPr>
                <w:rFonts w:hint="eastAsia" w:ascii="Times New Roman" w:hAnsi="Times New Roman" w:eastAsia="宋体" w:cs="Times New Roman"/>
                <w:sz w:val="24"/>
                <w:lang w:val="en-US" w:eastAsia="zh-CN"/>
              </w:rPr>
              <w:t>其他生活污水一同通过生活污水排放口（DW001）纳入市政管网，</w:t>
            </w:r>
            <w:r>
              <w:rPr>
                <w:rFonts w:hint="eastAsia" w:eastAsia="宋体"/>
                <w:color w:val="auto"/>
                <w:sz w:val="24"/>
                <w:szCs w:val="24"/>
                <w:lang w:val="en-US" w:eastAsia="zh-CN"/>
              </w:rPr>
              <w:t>排入</w:t>
            </w:r>
            <w:r>
              <w:rPr>
                <w:rFonts w:hint="eastAsia" w:ascii="Times New Roman" w:hAnsi="Times New Roman" w:eastAsia="宋体" w:cs="Times New Roman"/>
                <w:color w:val="auto"/>
                <w:sz w:val="24"/>
                <w:szCs w:val="24"/>
                <w:lang w:eastAsia="zh-CN"/>
              </w:rPr>
              <w:t>汤阴</w:t>
            </w:r>
            <w:r>
              <w:rPr>
                <w:rFonts w:hint="eastAsia" w:cs="Times New Roman"/>
                <w:color w:val="auto"/>
                <w:sz w:val="24"/>
                <w:szCs w:val="24"/>
                <w:lang w:eastAsia="zh-CN"/>
              </w:rPr>
              <w:t>天雨污水净化有限公司</w:t>
            </w:r>
            <w:r>
              <w:rPr>
                <w:rFonts w:hint="eastAsia" w:ascii="Times New Roman" w:hAnsi="Times New Roman" w:cs="仿宋_GB2312"/>
                <w:b w:val="0"/>
                <w:bCs w:val="0"/>
                <w:color w:val="auto"/>
                <w:sz w:val="24"/>
                <w:szCs w:val="24"/>
                <w:highlight w:val="none"/>
                <w:u w:val="none"/>
                <w:lang w:val="en-US" w:eastAsia="zh-CN"/>
              </w:rPr>
              <w:t>深度处理。</w:t>
            </w:r>
            <w:r>
              <w:rPr>
                <w:rFonts w:hint="eastAsia"/>
                <w:color w:val="auto"/>
                <w:sz w:val="24"/>
                <w:lang w:val="en-US" w:eastAsia="zh-CN"/>
              </w:rPr>
              <w:t>类比《江西交通职业技术学院新校区建设项目环境保护验收监测</w:t>
            </w:r>
            <w:r>
              <w:rPr>
                <w:rFonts w:hint="eastAsia" w:ascii="宋体" w:hAnsi="宋体" w:eastAsia="宋体" w:cs="宋体"/>
                <w:color w:val="auto"/>
                <w:sz w:val="24"/>
                <w:szCs w:val="24"/>
                <w:lang w:eastAsia="zh-CN"/>
              </w:rPr>
              <w:t>》</w:t>
            </w:r>
            <w:r>
              <w:rPr>
                <w:rFonts w:hint="eastAsia"/>
                <w:color w:val="auto"/>
                <w:sz w:val="24"/>
                <w:lang w:val="en-US" w:eastAsia="zh-CN"/>
              </w:rPr>
              <w:t>（南昌市环境监测站2016.6），</w:t>
            </w:r>
            <w:r>
              <w:rPr>
                <w:rFonts w:hint="eastAsia" w:eastAsia="宋体"/>
                <w:color w:val="auto"/>
                <w:sz w:val="24"/>
                <w:szCs w:val="24"/>
                <w:lang w:val="en-US" w:eastAsia="zh-CN"/>
              </w:rPr>
              <w:t>食堂污水经隔油池预处理后与经化粪池处理后</w:t>
            </w:r>
            <w:r>
              <w:rPr>
                <w:rFonts w:hint="eastAsia"/>
                <w:color w:val="auto"/>
                <w:sz w:val="24"/>
                <w:szCs w:val="24"/>
                <w:lang w:val="en-US" w:eastAsia="zh-CN"/>
              </w:rPr>
              <w:t>的</w:t>
            </w:r>
            <w:r>
              <w:rPr>
                <w:rFonts w:hint="eastAsia" w:eastAsia="宋体"/>
                <w:color w:val="auto"/>
                <w:sz w:val="24"/>
                <w:szCs w:val="24"/>
                <w:lang w:val="en-US" w:eastAsia="zh-CN"/>
              </w:rPr>
              <w:t>其他生活污水一同</w:t>
            </w:r>
            <w:r>
              <w:rPr>
                <w:rFonts w:hint="eastAsia"/>
                <w:color w:val="auto"/>
                <w:sz w:val="24"/>
                <w:szCs w:val="24"/>
                <w:lang w:val="en-US" w:eastAsia="zh-CN"/>
              </w:rPr>
              <w:t>排放的废水</w:t>
            </w:r>
            <w:r>
              <w:rPr>
                <w:rFonts w:hint="eastAsia"/>
                <w:color w:val="auto"/>
                <w:sz w:val="24"/>
                <w:lang w:val="en-US" w:eastAsia="zh-CN"/>
              </w:rPr>
              <w:t>水质为pH6.94（无量纲）、氨氮15.76mg/L、动植物油0.11mg/L、化学需氧量235mg/L、悬浮物26mg/L、五日化学需氧量40.5mg/L、阴离子表面活性剂0.53mg/L、总磷2.81mg/L。</w:t>
            </w:r>
          </w:p>
          <w:p w14:paraId="217CD0D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项目废水源强核算结果及相关核算参数一览表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27"/>
              <w:gridCol w:w="1205"/>
              <w:gridCol w:w="802"/>
              <w:gridCol w:w="807"/>
              <w:gridCol w:w="817"/>
              <w:gridCol w:w="815"/>
              <w:gridCol w:w="815"/>
              <w:gridCol w:w="817"/>
              <w:gridCol w:w="824"/>
              <w:gridCol w:w="839"/>
            </w:tblGrid>
            <w:tr w14:paraId="15D12D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pct"/>
                  <w:tcBorders>
                    <w:tl2br w:val="nil"/>
                    <w:tr2bl w:val="nil"/>
                  </w:tcBorders>
                  <w:noWrap w:val="0"/>
                  <w:vAlign w:val="center"/>
                </w:tcPr>
                <w:p w14:paraId="56EE4F0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bookmarkStart w:id="24" w:name="OLE_LINK159"/>
                  <w:r>
                    <w:rPr>
                      <w:rFonts w:hint="eastAsia" w:ascii="Times New Roman" w:hAnsi="Times New Roman" w:eastAsia="宋体" w:cs="Times New Roman"/>
                      <w:b/>
                      <w:bCs/>
                      <w:color w:val="auto"/>
                      <w:sz w:val="21"/>
                      <w:szCs w:val="21"/>
                      <w:vertAlign w:val="baseline"/>
                      <w:lang w:val="en-US" w:eastAsia="zh-CN"/>
                    </w:rPr>
                    <w:t>污染源</w:t>
                  </w:r>
                </w:p>
              </w:tc>
              <w:tc>
                <w:tcPr>
                  <w:tcW w:w="719" w:type="pct"/>
                  <w:tcBorders>
                    <w:tl2br w:val="nil"/>
                    <w:tr2bl w:val="nil"/>
                  </w:tcBorders>
                  <w:noWrap w:val="0"/>
                  <w:vAlign w:val="center"/>
                </w:tcPr>
                <w:p w14:paraId="6C4AE1F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项目</w:t>
                  </w:r>
                </w:p>
              </w:tc>
              <w:tc>
                <w:tcPr>
                  <w:tcW w:w="479" w:type="pct"/>
                  <w:tcBorders>
                    <w:tl2br w:val="nil"/>
                    <w:tr2bl w:val="nil"/>
                  </w:tcBorders>
                  <w:noWrap w:val="0"/>
                  <w:vAlign w:val="center"/>
                </w:tcPr>
                <w:p w14:paraId="0F0F7CC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COD</w:t>
                  </w:r>
                </w:p>
              </w:tc>
              <w:tc>
                <w:tcPr>
                  <w:tcW w:w="482" w:type="pct"/>
                  <w:tcBorders>
                    <w:tl2br w:val="nil"/>
                    <w:tr2bl w:val="nil"/>
                  </w:tcBorders>
                  <w:noWrap w:val="0"/>
                  <w:vAlign w:val="center"/>
                </w:tcPr>
                <w:p w14:paraId="5B24519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BOD</w:t>
                  </w:r>
                  <w:r>
                    <w:rPr>
                      <w:rFonts w:hint="eastAsia" w:ascii="Times New Roman" w:hAnsi="Times New Roman" w:eastAsia="宋体" w:cs="Times New Roman"/>
                      <w:b/>
                      <w:bCs/>
                      <w:color w:val="auto"/>
                      <w:sz w:val="21"/>
                      <w:szCs w:val="21"/>
                      <w:vertAlign w:val="subscript"/>
                      <w:lang w:val="en-US" w:eastAsia="zh-CN"/>
                    </w:rPr>
                    <w:t>5</w:t>
                  </w:r>
                </w:p>
              </w:tc>
              <w:tc>
                <w:tcPr>
                  <w:tcW w:w="488" w:type="pct"/>
                  <w:tcBorders>
                    <w:tl2br w:val="nil"/>
                    <w:tr2bl w:val="nil"/>
                  </w:tcBorders>
                  <w:noWrap w:val="0"/>
                  <w:vAlign w:val="center"/>
                </w:tcPr>
                <w:p w14:paraId="5117622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SS</w:t>
                  </w:r>
                </w:p>
              </w:tc>
              <w:tc>
                <w:tcPr>
                  <w:tcW w:w="487" w:type="pct"/>
                  <w:tcBorders>
                    <w:tl2br w:val="nil"/>
                    <w:tr2bl w:val="nil"/>
                  </w:tcBorders>
                  <w:noWrap w:val="0"/>
                  <w:vAlign w:val="center"/>
                </w:tcPr>
                <w:p w14:paraId="0ECDF83B">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氨氮</w:t>
                  </w:r>
                </w:p>
              </w:tc>
              <w:tc>
                <w:tcPr>
                  <w:tcW w:w="487" w:type="pct"/>
                  <w:tcBorders>
                    <w:tl2br w:val="nil"/>
                    <w:tr2bl w:val="nil"/>
                  </w:tcBorders>
                  <w:noWrap w:val="0"/>
                  <w:vAlign w:val="center"/>
                </w:tcPr>
                <w:p w14:paraId="7E1426C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rPr>
                    <w:t>动植物油</w:t>
                  </w:r>
                </w:p>
              </w:tc>
              <w:tc>
                <w:tcPr>
                  <w:tcW w:w="488" w:type="pct"/>
                  <w:tcBorders>
                    <w:tl2br w:val="nil"/>
                    <w:tr2bl w:val="nil"/>
                  </w:tcBorders>
                  <w:noWrap w:val="0"/>
                  <w:vAlign w:val="center"/>
                </w:tcPr>
                <w:p w14:paraId="789E9F1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pH</w:t>
                  </w:r>
                </w:p>
              </w:tc>
              <w:tc>
                <w:tcPr>
                  <w:tcW w:w="492" w:type="pct"/>
                  <w:tcBorders>
                    <w:tl2br w:val="nil"/>
                    <w:tr2bl w:val="nil"/>
                  </w:tcBorders>
                  <w:noWrap w:val="0"/>
                  <w:vAlign w:val="center"/>
                </w:tcPr>
                <w:p w14:paraId="6C57CCB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阴离子表面活性剂</w:t>
                  </w:r>
                </w:p>
              </w:tc>
              <w:tc>
                <w:tcPr>
                  <w:tcW w:w="491" w:type="pct"/>
                  <w:tcBorders>
                    <w:tl2br w:val="nil"/>
                    <w:tr2bl w:val="nil"/>
                  </w:tcBorders>
                  <w:noWrap w:val="0"/>
                  <w:vAlign w:val="center"/>
                </w:tcPr>
                <w:p w14:paraId="39E073F6">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总磷</w:t>
                  </w:r>
                </w:p>
              </w:tc>
            </w:tr>
            <w:tr w14:paraId="7D0FF8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pct"/>
                  <w:vMerge w:val="restart"/>
                  <w:tcBorders>
                    <w:tl2br w:val="nil"/>
                    <w:tr2bl w:val="nil"/>
                  </w:tcBorders>
                  <w:noWrap w:val="0"/>
                  <w:vAlign w:val="center"/>
                </w:tcPr>
                <w:p w14:paraId="08D888D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综合废水</w:t>
                  </w:r>
                </w:p>
              </w:tc>
              <w:tc>
                <w:tcPr>
                  <w:tcW w:w="719" w:type="pct"/>
                  <w:tcBorders>
                    <w:tl2br w:val="nil"/>
                    <w:tr2bl w:val="nil"/>
                  </w:tcBorders>
                  <w:noWrap w:val="0"/>
                  <w:vAlign w:val="center"/>
                </w:tcPr>
                <w:p w14:paraId="11EE6A9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排放浓度(mg/L)</w:t>
                  </w:r>
                </w:p>
              </w:tc>
              <w:tc>
                <w:tcPr>
                  <w:tcW w:w="479" w:type="pct"/>
                  <w:tcBorders>
                    <w:tl2br w:val="nil"/>
                    <w:tr2bl w:val="nil"/>
                  </w:tcBorders>
                  <w:noWrap w:val="0"/>
                  <w:vAlign w:val="center"/>
                </w:tcPr>
                <w:p w14:paraId="731E763D">
                  <w:pPr>
                    <w:keepNext w:val="0"/>
                    <w:keepLines w:val="0"/>
                    <w:pageBreakBefore w:val="0"/>
                    <w:widowControl/>
                    <w:suppressLineNumbers w:val="0"/>
                    <w:kinsoku/>
                    <w:wordWrap/>
                    <w:overflowPunct/>
                    <w:topLinePunct w:val="0"/>
                    <w:bidi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kern w:val="2"/>
                      <w:sz w:val="21"/>
                      <w:szCs w:val="21"/>
                      <w:u w:val="none"/>
                      <w:lang w:val="en-US" w:eastAsia="zh-CN" w:bidi="ar-SA"/>
                    </w:rPr>
                    <w:t>235</w:t>
                  </w:r>
                </w:p>
              </w:tc>
              <w:tc>
                <w:tcPr>
                  <w:tcW w:w="482" w:type="pct"/>
                  <w:tcBorders>
                    <w:tl2br w:val="nil"/>
                    <w:tr2bl w:val="nil"/>
                  </w:tcBorders>
                  <w:noWrap w:val="0"/>
                  <w:vAlign w:val="center"/>
                </w:tcPr>
                <w:p w14:paraId="6159DB6A">
                  <w:pPr>
                    <w:keepNext w:val="0"/>
                    <w:keepLines w:val="0"/>
                    <w:pageBreakBefore w:val="0"/>
                    <w:widowControl/>
                    <w:suppressLineNumbers w:val="0"/>
                    <w:kinsoku/>
                    <w:wordWrap/>
                    <w:overflowPunct/>
                    <w:topLinePunct w:val="0"/>
                    <w:bidi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kern w:val="2"/>
                      <w:sz w:val="21"/>
                      <w:szCs w:val="21"/>
                      <w:u w:val="none"/>
                      <w:lang w:val="en-US" w:eastAsia="zh-CN" w:bidi="ar-SA"/>
                    </w:rPr>
                    <w:t>40.5</w:t>
                  </w:r>
                </w:p>
              </w:tc>
              <w:tc>
                <w:tcPr>
                  <w:tcW w:w="488" w:type="pct"/>
                  <w:tcBorders>
                    <w:tl2br w:val="nil"/>
                    <w:tr2bl w:val="nil"/>
                  </w:tcBorders>
                  <w:noWrap w:val="0"/>
                  <w:vAlign w:val="center"/>
                </w:tcPr>
                <w:p w14:paraId="0625B3A9">
                  <w:pPr>
                    <w:keepNext w:val="0"/>
                    <w:keepLines w:val="0"/>
                    <w:pageBreakBefore w:val="0"/>
                    <w:widowControl/>
                    <w:suppressLineNumbers w:val="0"/>
                    <w:kinsoku/>
                    <w:wordWrap/>
                    <w:overflowPunct/>
                    <w:topLinePunct w:val="0"/>
                    <w:bidi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kern w:val="2"/>
                      <w:sz w:val="21"/>
                      <w:szCs w:val="21"/>
                      <w:u w:val="none"/>
                      <w:lang w:val="en-US" w:eastAsia="zh-CN" w:bidi="ar-SA"/>
                    </w:rPr>
                    <w:t>26</w:t>
                  </w:r>
                </w:p>
              </w:tc>
              <w:tc>
                <w:tcPr>
                  <w:tcW w:w="487" w:type="pct"/>
                  <w:tcBorders>
                    <w:right w:val="single" w:color="auto" w:sz="4" w:space="0"/>
                    <w:tl2br w:val="nil"/>
                    <w:tr2bl w:val="nil"/>
                  </w:tcBorders>
                  <w:noWrap w:val="0"/>
                  <w:vAlign w:val="center"/>
                </w:tcPr>
                <w:p w14:paraId="7EAA2025">
                  <w:pPr>
                    <w:keepNext w:val="0"/>
                    <w:keepLines w:val="0"/>
                    <w:pageBreakBefore w:val="0"/>
                    <w:widowControl/>
                    <w:suppressLineNumbers w:val="0"/>
                    <w:kinsoku/>
                    <w:wordWrap/>
                    <w:overflowPunct/>
                    <w:topLinePunct w:val="0"/>
                    <w:bidi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kern w:val="2"/>
                      <w:sz w:val="21"/>
                      <w:szCs w:val="21"/>
                      <w:u w:val="none"/>
                      <w:lang w:val="en-US" w:eastAsia="zh-CN" w:bidi="ar-SA"/>
                    </w:rPr>
                    <w:t>15.76</w:t>
                  </w:r>
                </w:p>
              </w:tc>
              <w:tc>
                <w:tcPr>
                  <w:tcW w:w="487" w:type="pct"/>
                  <w:tcBorders>
                    <w:left w:val="single" w:color="auto" w:sz="4" w:space="0"/>
                  </w:tcBorders>
                  <w:noWrap w:val="0"/>
                  <w:vAlign w:val="center"/>
                </w:tcPr>
                <w:p w14:paraId="562F970E">
                  <w:pPr>
                    <w:keepNext w:val="0"/>
                    <w:keepLines w:val="0"/>
                    <w:pageBreakBefore w:val="0"/>
                    <w:widowControl/>
                    <w:suppressLineNumbers w:val="0"/>
                    <w:kinsoku/>
                    <w:wordWrap/>
                    <w:overflowPunct/>
                    <w:topLinePunct w:val="0"/>
                    <w:bidi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0.11</w:t>
                  </w:r>
                </w:p>
              </w:tc>
              <w:tc>
                <w:tcPr>
                  <w:tcW w:w="488" w:type="pct"/>
                  <w:tcBorders>
                    <w:left w:val="single" w:color="auto" w:sz="4" w:space="0"/>
                  </w:tcBorders>
                  <w:noWrap w:val="0"/>
                  <w:vAlign w:val="center"/>
                </w:tcPr>
                <w:p w14:paraId="55617524">
                  <w:pPr>
                    <w:keepNext w:val="0"/>
                    <w:keepLines w:val="0"/>
                    <w:pageBreakBefore w:val="0"/>
                    <w:widowControl/>
                    <w:suppressLineNumbers w:val="0"/>
                    <w:kinsoku/>
                    <w:wordWrap/>
                    <w:overflowPunct/>
                    <w:topLinePunct w:val="0"/>
                    <w:bidi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6.94</w:t>
                  </w:r>
                </w:p>
              </w:tc>
              <w:tc>
                <w:tcPr>
                  <w:tcW w:w="492" w:type="pct"/>
                  <w:tcBorders>
                    <w:left w:val="single" w:color="auto" w:sz="4" w:space="0"/>
                  </w:tcBorders>
                  <w:noWrap w:val="0"/>
                  <w:vAlign w:val="center"/>
                </w:tcPr>
                <w:p w14:paraId="783A3E74">
                  <w:pPr>
                    <w:keepNext w:val="0"/>
                    <w:keepLines w:val="0"/>
                    <w:pageBreakBefore w:val="0"/>
                    <w:widowControl/>
                    <w:suppressLineNumbers w:val="0"/>
                    <w:kinsoku/>
                    <w:wordWrap/>
                    <w:overflowPunct/>
                    <w:topLinePunct w:val="0"/>
                    <w:bidi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vertAlign w:val="baseline"/>
                      <w:lang w:val="en-US" w:eastAsia="zh-CN"/>
                    </w:rPr>
                  </w:pPr>
                  <w:r>
                    <w:rPr>
                      <w:rFonts w:hint="eastAsia"/>
                      <w:color w:val="auto"/>
                      <w:sz w:val="21"/>
                      <w:szCs w:val="21"/>
                      <w:lang w:val="en-US" w:eastAsia="zh-CN"/>
                    </w:rPr>
                    <w:t>0.53</w:t>
                  </w:r>
                </w:p>
              </w:tc>
              <w:tc>
                <w:tcPr>
                  <w:tcW w:w="491" w:type="pct"/>
                  <w:tcBorders>
                    <w:left w:val="single" w:color="auto" w:sz="4" w:space="0"/>
                  </w:tcBorders>
                  <w:noWrap w:val="0"/>
                  <w:vAlign w:val="center"/>
                </w:tcPr>
                <w:p w14:paraId="2FA02FD4">
                  <w:pPr>
                    <w:keepNext w:val="0"/>
                    <w:keepLines w:val="0"/>
                    <w:pageBreakBefore w:val="0"/>
                    <w:widowControl/>
                    <w:suppressLineNumbers w:val="0"/>
                    <w:kinsoku/>
                    <w:wordWrap/>
                    <w:overflowPunct/>
                    <w:topLinePunct w:val="0"/>
                    <w:bidi w:val="0"/>
                    <w:spacing w:before="0" w:beforeAutospacing="0" w:after="0" w:afterAutospacing="0" w:line="240" w:lineRule="auto"/>
                    <w:ind w:left="0" w:right="0"/>
                    <w:jc w:val="center"/>
                    <w:textAlignment w:val="center"/>
                    <w:rPr>
                      <w:rFonts w:hint="default"/>
                      <w:color w:val="auto"/>
                      <w:sz w:val="21"/>
                      <w:szCs w:val="21"/>
                      <w:lang w:val="en-US" w:eastAsia="zh-CN"/>
                    </w:rPr>
                  </w:pPr>
                  <w:r>
                    <w:rPr>
                      <w:rFonts w:hint="eastAsia"/>
                      <w:color w:val="auto"/>
                      <w:sz w:val="21"/>
                      <w:szCs w:val="21"/>
                      <w:lang w:val="en-US" w:eastAsia="zh-CN"/>
                    </w:rPr>
                    <w:t>2.81</w:t>
                  </w:r>
                </w:p>
              </w:tc>
            </w:tr>
            <w:tr w14:paraId="16A295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pct"/>
                  <w:vMerge w:val="continue"/>
                  <w:tcBorders>
                    <w:tl2br w:val="nil"/>
                    <w:tr2bl w:val="nil"/>
                  </w:tcBorders>
                  <w:noWrap w:val="0"/>
                  <w:vAlign w:val="center"/>
                </w:tcPr>
                <w:p w14:paraId="68AB63A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p>
              </w:tc>
              <w:tc>
                <w:tcPr>
                  <w:tcW w:w="719" w:type="pct"/>
                  <w:tcBorders>
                    <w:tl2br w:val="nil"/>
                    <w:tr2bl w:val="nil"/>
                  </w:tcBorders>
                  <w:noWrap w:val="0"/>
                  <w:vAlign w:val="center"/>
                </w:tcPr>
                <w:p w14:paraId="36F9748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排放量（t/a）</w:t>
                  </w:r>
                </w:p>
              </w:tc>
              <w:tc>
                <w:tcPr>
                  <w:tcW w:w="815" w:type="dxa"/>
                  <w:tcBorders>
                    <w:tl2br w:val="nil"/>
                    <w:tr2bl w:val="nil"/>
                  </w:tcBorders>
                  <w:noWrap w:val="0"/>
                  <w:vAlign w:val="center"/>
                </w:tcPr>
                <w:p w14:paraId="59A3447E">
                  <w:pPr>
                    <w:keepNext w:val="0"/>
                    <w:keepLines w:val="0"/>
                    <w:pageBreakBefore w:val="0"/>
                    <w:widowControl/>
                    <w:suppressLineNumbers w:val="0"/>
                    <w:kinsoku/>
                    <w:wordWrap/>
                    <w:overflowPunct/>
                    <w:topLinePunct w:val="0"/>
                    <w:bidi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kern w:val="2"/>
                      <w:sz w:val="21"/>
                      <w:szCs w:val="21"/>
                      <w:u w:val="none"/>
                      <w:lang w:val="en-US" w:eastAsia="zh-CN" w:bidi="ar-SA"/>
                    </w:rPr>
                    <w:t>0.1</w:t>
                  </w:r>
                  <w:r>
                    <w:rPr>
                      <w:rFonts w:hint="eastAsia" w:cs="Times New Roman"/>
                      <w:i w:val="0"/>
                      <w:iCs w:val="0"/>
                      <w:color w:val="auto"/>
                      <w:kern w:val="2"/>
                      <w:sz w:val="21"/>
                      <w:szCs w:val="21"/>
                      <w:u w:val="none"/>
                      <w:lang w:val="en-US" w:eastAsia="zh-CN" w:bidi="ar-SA"/>
                    </w:rPr>
                    <w:t>431</w:t>
                  </w:r>
                </w:p>
              </w:tc>
              <w:tc>
                <w:tcPr>
                  <w:tcW w:w="820" w:type="dxa"/>
                  <w:tcBorders>
                    <w:tl2br w:val="nil"/>
                    <w:tr2bl w:val="nil"/>
                  </w:tcBorders>
                  <w:noWrap w:val="0"/>
                  <w:vAlign w:val="center"/>
                </w:tcPr>
                <w:p w14:paraId="5ACB2C1B">
                  <w:pPr>
                    <w:keepNext w:val="0"/>
                    <w:keepLines w:val="0"/>
                    <w:pageBreakBefore w:val="0"/>
                    <w:widowControl/>
                    <w:suppressLineNumbers w:val="0"/>
                    <w:kinsoku/>
                    <w:wordWrap/>
                    <w:overflowPunct/>
                    <w:topLinePunct w:val="0"/>
                    <w:bidi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i w:val="0"/>
                      <w:iCs w:val="0"/>
                      <w:color w:val="auto"/>
                      <w:kern w:val="2"/>
                      <w:sz w:val="21"/>
                      <w:szCs w:val="21"/>
                      <w:u w:val="none"/>
                      <w:lang w:val="en-US" w:eastAsia="zh-CN" w:bidi="ar-SA"/>
                    </w:rPr>
                    <w:t>0.0</w:t>
                  </w:r>
                  <w:r>
                    <w:rPr>
                      <w:rFonts w:hint="eastAsia" w:cs="Times New Roman"/>
                      <w:i w:val="0"/>
                      <w:iCs w:val="0"/>
                      <w:color w:val="auto"/>
                      <w:kern w:val="2"/>
                      <w:sz w:val="21"/>
                      <w:szCs w:val="21"/>
                      <w:u w:val="none"/>
                      <w:lang w:val="en-US" w:eastAsia="zh-CN" w:bidi="ar-SA"/>
                    </w:rPr>
                    <w:t>247</w:t>
                  </w:r>
                </w:p>
              </w:tc>
              <w:tc>
                <w:tcPr>
                  <w:tcW w:w="830" w:type="dxa"/>
                  <w:tcBorders>
                    <w:tl2br w:val="nil"/>
                    <w:tr2bl w:val="nil"/>
                  </w:tcBorders>
                  <w:noWrap w:val="0"/>
                  <w:vAlign w:val="center"/>
                </w:tcPr>
                <w:p w14:paraId="0D4C79D4">
                  <w:pPr>
                    <w:keepNext w:val="0"/>
                    <w:keepLines w:val="0"/>
                    <w:pageBreakBefore w:val="0"/>
                    <w:widowControl/>
                    <w:suppressLineNumbers w:val="0"/>
                    <w:kinsoku/>
                    <w:wordWrap/>
                    <w:overflowPunct/>
                    <w:topLinePunct w:val="0"/>
                    <w:bidi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158</w:t>
                  </w:r>
                </w:p>
              </w:tc>
              <w:tc>
                <w:tcPr>
                  <w:tcW w:w="828" w:type="dxa"/>
                  <w:tcBorders>
                    <w:right w:val="single" w:color="auto" w:sz="4" w:space="0"/>
                    <w:tl2br w:val="nil"/>
                    <w:tr2bl w:val="nil"/>
                  </w:tcBorders>
                  <w:noWrap w:val="0"/>
                  <w:vAlign w:val="center"/>
                </w:tcPr>
                <w:p w14:paraId="42A17964">
                  <w:pPr>
                    <w:keepNext w:val="0"/>
                    <w:keepLines w:val="0"/>
                    <w:pageBreakBefore w:val="0"/>
                    <w:widowControl/>
                    <w:suppressLineNumbers w:val="0"/>
                    <w:kinsoku/>
                    <w:wordWrap/>
                    <w:overflowPunct/>
                    <w:topLinePunct w:val="0"/>
                    <w:bidi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096</w:t>
                  </w:r>
                </w:p>
              </w:tc>
              <w:tc>
                <w:tcPr>
                  <w:tcW w:w="828" w:type="dxa"/>
                  <w:tcBorders>
                    <w:left w:val="single" w:color="auto" w:sz="4" w:space="0"/>
                  </w:tcBorders>
                  <w:noWrap w:val="0"/>
                  <w:vAlign w:val="center"/>
                </w:tcPr>
                <w:p w14:paraId="24F9127F">
                  <w:pPr>
                    <w:keepNext w:val="0"/>
                    <w:keepLines w:val="0"/>
                    <w:pageBreakBefore w:val="0"/>
                    <w:widowControl/>
                    <w:suppressLineNumbers w:val="0"/>
                    <w:kinsoku/>
                    <w:wordWrap/>
                    <w:overflowPunct/>
                    <w:topLinePunct w:val="0"/>
                    <w:bidi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0.00</w:t>
                  </w:r>
                  <w:r>
                    <w:rPr>
                      <w:rFonts w:hint="eastAsia" w:ascii="Times New Roman" w:hAnsi="Times New Roman" w:eastAsia="宋体" w:cs="Times New Roman"/>
                      <w:i w:val="0"/>
                      <w:iCs w:val="0"/>
                      <w:color w:val="auto"/>
                      <w:kern w:val="0"/>
                      <w:sz w:val="21"/>
                      <w:szCs w:val="21"/>
                      <w:u w:val="none"/>
                      <w:lang w:val="en-US" w:eastAsia="zh-CN" w:bidi="ar"/>
                    </w:rPr>
                    <w:t>01</w:t>
                  </w:r>
                </w:p>
              </w:tc>
              <w:tc>
                <w:tcPr>
                  <w:tcW w:w="830" w:type="dxa"/>
                  <w:tcBorders>
                    <w:left w:val="single" w:color="auto" w:sz="4" w:space="0"/>
                  </w:tcBorders>
                  <w:noWrap w:val="0"/>
                  <w:vAlign w:val="center"/>
                </w:tcPr>
                <w:p w14:paraId="27E7B2FE">
                  <w:pPr>
                    <w:keepNext w:val="0"/>
                    <w:keepLines w:val="0"/>
                    <w:pageBreakBefore w:val="0"/>
                    <w:widowControl/>
                    <w:suppressLineNumbers w:val="0"/>
                    <w:kinsoku/>
                    <w:wordWrap/>
                    <w:overflowPunct/>
                    <w:topLinePunct w:val="0"/>
                    <w:bidi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kern w:val="2"/>
                      <w:sz w:val="21"/>
                      <w:szCs w:val="21"/>
                      <w:u w:val="none"/>
                      <w:lang w:val="en-US" w:eastAsia="zh-CN" w:bidi="ar-SA"/>
                    </w:rPr>
                  </w:pPr>
                  <w:r>
                    <w:rPr>
                      <w:rFonts w:hint="eastAsia" w:ascii="Times New Roman" w:hAnsi="Times New Roman" w:eastAsia="宋体" w:cs="Times New Roman"/>
                      <w:color w:val="auto"/>
                      <w:sz w:val="21"/>
                      <w:szCs w:val="21"/>
                      <w:vertAlign w:val="baseline"/>
                      <w:lang w:val="en-US" w:eastAsia="zh-CN"/>
                    </w:rPr>
                    <w:t>—</w:t>
                  </w:r>
                </w:p>
              </w:tc>
              <w:tc>
                <w:tcPr>
                  <w:tcW w:w="837" w:type="dxa"/>
                  <w:tcBorders>
                    <w:left w:val="single" w:color="auto" w:sz="4" w:space="0"/>
                  </w:tcBorders>
                  <w:noWrap w:val="0"/>
                  <w:vAlign w:val="center"/>
                </w:tcPr>
                <w:p w14:paraId="78E54CAD">
                  <w:pPr>
                    <w:keepNext w:val="0"/>
                    <w:keepLines w:val="0"/>
                    <w:pageBreakBefore w:val="0"/>
                    <w:widowControl/>
                    <w:suppressLineNumbers w:val="0"/>
                    <w:kinsoku/>
                    <w:wordWrap/>
                    <w:overflowPunct/>
                    <w:topLinePunct w:val="0"/>
                    <w:bidi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0.00</w:t>
                  </w:r>
                  <w:r>
                    <w:rPr>
                      <w:rFonts w:hint="eastAsia"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w:t>
                  </w:r>
                </w:p>
              </w:tc>
              <w:tc>
                <w:tcPr>
                  <w:tcW w:w="852" w:type="dxa"/>
                  <w:tcBorders>
                    <w:left w:val="single" w:color="auto" w:sz="4" w:space="0"/>
                  </w:tcBorders>
                  <w:noWrap w:val="0"/>
                  <w:vAlign w:val="center"/>
                </w:tcPr>
                <w:p w14:paraId="757371D2">
                  <w:pPr>
                    <w:keepNext w:val="0"/>
                    <w:keepLines w:val="0"/>
                    <w:pageBreakBefore w:val="0"/>
                    <w:widowControl/>
                    <w:suppressLineNumbers w:val="0"/>
                    <w:kinsoku/>
                    <w:wordWrap/>
                    <w:overflowPunct/>
                    <w:topLinePunct w:val="0"/>
                    <w:bidi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17</w:t>
                  </w:r>
                </w:p>
              </w:tc>
            </w:tr>
            <w:tr w14:paraId="4DCDD0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pct"/>
                  <w:vMerge w:val="continue"/>
                  <w:tcBorders>
                    <w:tl2br w:val="nil"/>
                    <w:tr2bl w:val="nil"/>
                  </w:tcBorders>
                  <w:noWrap w:val="0"/>
                  <w:vAlign w:val="center"/>
                </w:tcPr>
                <w:p w14:paraId="363A3524">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p>
              </w:tc>
              <w:tc>
                <w:tcPr>
                  <w:tcW w:w="719" w:type="pct"/>
                  <w:tcBorders>
                    <w:tl2br w:val="nil"/>
                    <w:tr2bl w:val="nil"/>
                  </w:tcBorders>
                  <w:noWrap w:val="0"/>
                  <w:vAlign w:val="center"/>
                </w:tcPr>
                <w:p w14:paraId="453E49A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废水产生量（t/a）</w:t>
                  </w:r>
                </w:p>
              </w:tc>
              <w:tc>
                <w:tcPr>
                  <w:tcW w:w="3904" w:type="pct"/>
                  <w:gridSpan w:val="8"/>
                  <w:tcBorders>
                    <w:tl2br w:val="nil"/>
                    <w:tr2bl w:val="nil"/>
                  </w:tcBorders>
                  <w:noWrap w:val="0"/>
                  <w:vAlign w:val="center"/>
                </w:tcPr>
                <w:p w14:paraId="21A3029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cs="Times New Roman"/>
                      <w:color w:val="auto"/>
                      <w:sz w:val="21"/>
                      <w:szCs w:val="21"/>
                      <w:vertAlign w:val="baseline"/>
                      <w:lang w:val="en-US" w:eastAsia="zh-CN"/>
                    </w:rPr>
                    <w:t>608.8</w:t>
                  </w:r>
                </w:p>
              </w:tc>
            </w:tr>
            <w:tr w14:paraId="5B820B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5" w:type="pct"/>
                  <w:gridSpan w:val="2"/>
                  <w:tcBorders>
                    <w:tl2br w:val="nil"/>
                    <w:tr2bl w:val="nil"/>
                  </w:tcBorders>
                  <w:noWrap w:val="0"/>
                  <w:vAlign w:val="center"/>
                </w:tcPr>
                <w:p w14:paraId="6878589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排放规律</w:t>
                  </w:r>
                </w:p>
              </w:tc>
              <w:tc>
                <w:tcPr>
                  <w:tcW w:w="3904" w:type="pct"/>
                  <w:gridSpan w:val="8"/>
                  <w:tcBorders>
                    <w:tl2br w:val="nil"/>
                    <w:tr2bl w:val="nil"/>
                  </w:tcBorders>
                  <w:noWrap w:val="0"/>
                  <w:vAlign w:val="center"/>
                </w:tcPr>
                <w:p w14:paraId="22BC1C8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间断排放，排放期间流量不稳定且无规律，但不属于冲击型排放</w:t>
                  </w:r>
                  <w:r>
                    <w:rPr>
                      <w:rFonts w:hint="eastAsia" w:ascii="Times New Roman" w:hAnsi="Times New Roman" w:eastAsia="宋体" w:cs="Times New Roman"/>
                      <w:color w:val="auto"/>
                      <w:sz w:val="21"/>
                      <w:szCs w:val="21"/>
                      <w:vertAlign w:val="baseline"/>
                      <w:lang w:val="en-US" w:eastAsia="zh-CN"/>
                    </w:rPr>
                    <w:t>。</w:t>
                  </w:r>
                </w:p>
              </w:tc>
            </w:tr>
            <w:tr w14:paraId="670A26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5" w:type="pct"/>
                  <w:gridSpan w:val="2"/>
                  <w:tcBorders>
                    <w:tl2br w:val="nil"/>
                    <w:tr2bl w:val="nil"/>
                  </w:tcBorders>
                  <w:noWrap w:val="0"/>
                  <w:vAlign w:val="center"/>
                </w:tcPr>
                <w:p w14:paraId="5D5F3AC4">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排放去向</w:t>
                  </w:r>
                </w:p>
              </w:tc>
              <w:tc>
                <w:tcPr>
                  <w:tcW w:w="3904" w:type="pct"/>
                  <w:gridSpan w:val="8"/>
                  <w:tcBorders>
                    <w:tl2br w:val="nil"/>
                    <w:tr2bl w:val="nil"/>
                  </w:tcBorders>
                  <w:noWrap w:val="0"/>
                  <w:vAlign w:val="center"/>
                </w:tcPr>
                <w:p w14:paraId="142E60E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sz w:val="21"/>
                      <w:szCs w:val="21"/>
                      <w:u w:val="none" w:color="auto"/>
                      <w:lang w:eastAsia="zh-CN"/>
                    </w:rPr>
                  </w:pPr>
                  <w:r>
                    <w:rPr>
                      <w:rFonts w:hint="eastAsia" w:ascii="Times New Roman" w:hAnsi="Times New Roman" w:eastAsia="宋体" w:cs="Times New Roman"/>
                      <w:color w:val="auto"/>
                      <w:sz w:val="21"/>
                      <w:szCs w:val="21"/>
                      <w:lang w:eastAsia="zh-CN"/>
                    </w:rPr>
                    <w:t>汤阴</w:t>
                  </w:r>
                  <w:r>
                    <w:rPr>
                      <w:rFonts w:hint="eastAsia" w:cs="Times New Roman"/>
                      <w:color w:val="auto"/>
                      <w:sz w:val="21"/>
                      <w:szCs w:val="21"/>
                      <w:lang w:eastAsia="zh-CN"/>
                    </w:rPr>
                    <w:t>天雨污水净化有限公司</w:t>
                  </w:r>
                </w:p>
              </w:tc>
            </w:tr>
            <w:tr w14:paraId="60CA0E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5" w:type="pct"/>
                  <w:gridSpan w:val="2"/>
                  <w:tcBorders>
                    <w:tl2br w:val="nil"/>
                    <w:tr2bl w:val="nil"/>
                  </w:tcBorders>
                  <w:noWrap w:val="0"/>
                  <w:vAlign w:val="center"/>
                </w:tcPr>
                <w:p w14:paraId="20F94166">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bCs/>
                      <w:color w:val="auto"/>
                      <w:sz w:val="21"/>
                      <w:szCs w:val="21"/>
                      <w:u w:val="none"/>
                      <w:lang w:val="en-US" w:eastAsia="zh-CN"/>
                    </w:rPr>
                    <w:t>《污水综合排放标准》（GB8978-1996）表4三级标准</w:t>
                  </w:r>
                </w:p>
              </w:tc>
              <w:tc>
                <w:tcPr>
                  <w:tcW w:w="479" w:type="pct"/>
                  <w:tcBorders>
                    <w:tl2br w:val="nil"/>
                    <w:tr2bl w:val="nil"/>
                  </w:tcBorders>
                  <w:noWrap w:val="0"/>
                  <w:vAlign w:val="center"/>
                </w:tcPr>
                <w:p w14:paraId="4DA54E16">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500</w:t>
                  </w:r>
                </w:p>
              </w:tc>
              <w:tc>
                <w:tcPr>
                  <w:tcW w:w="482" w:type="pct"/>
                  <w:tcBorders>
                    <w:tl2br w:val="nil"/>
                    <w:tr2bl w:val="nil"/>
                  </w:tcBorders>
                  <w:noWrap w:val="0"/>
                  <w:vAlign w:val="center"/>
                </w:tcPr>
                <w:p w14:paraId="2741EE5C">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bCs/>
                      <w:color w:val="auto"/>
                      <w:kern w:val="2"/>
                      <w:sz w:val="21"/>
                      <w:szCs w:val="21"/>
                      <w:lang w:val="en-US" w:eastAsia="zh-CN" w:bidi="ar-SA"/>
                    </w:rPr>
                    <w:t>300</w:t>
                  </w:r>
                </w:p>
              </w:tc>
              <w:tc>
                <w:tcPr>
                  <w:tcW w:w="488" w:type="pct"/>
                  <w:tcBorders>
                    <w:tl2br w:val="nil"/>
                    <w:tr2bl w:val="nil"/>
                  </w:tcBorders>
                  <w:noWrap w:val="0"/>
                  <w:vAlign w:val="center"/>
                </w:tcPr>
                <w:p w14:paraId="6EAC2299">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400</w:t>
                  </w:r>
                </w:p>
              </w:tc>
              <w:tc>
                <w:tcPr>
                  <w:tcW w:w="487" w:type="pct"/>
                  <w:tcBorders>
                    <w:right w:val="single" w:color="auto" w:sz="4" w:space="0"/>
                    <w:tl2br w:val="nil"/>
                    <w:tr2bl w:val="nil"/>
                  </w:tcBorders>
                  <w:noWrap w:val="0"/>
                  <w:vAlign w:val="center"/>
                </w:tcPr>
                <w:p w14:paraId="5F4D56D0">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lang w:val="en-US" w:eastAsia="zh-CN" w:bidi="ar-SA"/>
                    </w:rPr>
                  </w:pPr>
                  <w:r>
                    <w:rPr>
                      <w:rFonts w:hint="eastAsia" w:ascii="Times New Roman" w:hAnsi="Times New Roman" w:eastAsia="宋体" w:cs="Times New Roman"/>
                      <w:color w:val="auto"/>
                      <w:sz w:val="21"/>
                      <w:szCs w:val="21"/>
                      <w:vertAlign w:val="baseline"/>
                      <w:lang w:val="en-US" w:eastAsia="zh-CN"/>
                    </w:rPr>
                    <w:t>—</w:t>
                  </w:r>
                </w:p>
              </w:tc>
              <w:tc>
                <w:tcPr>
                  <w:tcW w:w="487" w:type="pct"/>
                  <w:tcBorders>
                    <w:left w:val="single" w:color="auto" w:sz="4" w:space="0"/>
                  </w:tcBorders>
                  <w:noWrap w:val="0"/>
                  <w:vAlign w:val="center"/>
                </w:tcPr>
                <w:p w14:paraId="10DF8A8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100</w:t>
                  </w:r>
                </w:p>
              </w:tc>
              <w:tc>
                <w:tcPr>
                  <w:tcW w:w="488" w:type="pct"/>
                  <w:tcBorders>
                    <w:left w:val="single" w:color="auto" w:sz="4" w:space="0"/>
                  </w:tcBorders>
                  <w:noWrap w:val="0"/>
                  <w:vAlign w:val="center"/>
                </w:tcPr>
                <w:p w14:paraId="7D63EF9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6~9</w:t>
                  </w:r>
                </w:p>
              </w:tc>
              <w:tc>
                <w:tcPr>
                  <w:tcW w:w="492" w:type="pct"/>
                  <w:tcBorders>
                    <w:left w:val="single" w:color="auto" w:sz="4" w:space="0"/>
                  </w:tcBorders>
                  <w:noWrap w:val="0"/>
                  <w:vAlign w:val="center"/>
                </w:tcPr>
                <w:p w14:paraId="5D11FF3E">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w:t>
                  </w:r>
                </w:p>
              </w:tc>
              <w:tc>
                <w:tcPr>
                  <w:tcW w:w="491" w:type="pct"/>
                  <w:tcBorders>
                    <w:left w:val="single" w:color="auto" w:sz="4" w:space="0"/>
                  </w:tcBorders>
                  <w:noWrap w:val="0"/>
                  <w:vAlign w:val="center"/>
                </w:tcPr>
                <w:p w14:paraId="6A994F2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r>
            <w:tr w14:paraId="409627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5" w:type="pct"/>
                  <w:gridSpan w:val="2"/>
                  <w:tcBorders>
                    <w:tl2br w:val="nil"/>
                    <w:tr2bl w:val="nil"/>
                  </w:tcBorders>
                  <w:noWrap w:val="0"/>
                  <w:vAlign w:val="center"/>
                </w:tcPr>
                <w:p w14:paraId="5F05F81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lang w:eastAsia="zh-CN"/>
                    </w:rPr>
                    <w:t>汤阴</w:t>
                  </w:r>
                  <w:r>
                    <w:rPr>
                      <w:rFonts w:hint="eastAsia" w:cs="Times New Roman"/>
                      <w:color w:val="auto"/>
                      <w:sz w:val="21"/>
                      <w:szCs w:val="21"/>
                      <w:lang w:eastAsia="zh-CN"/>
                    </w:rPr>
                    <w:t>天雨污水净化有限公司</w:t>
                  </w:r>
                  <w:r>
                    <w:rPr>
                      <w:rFonts w:hint="default" w:ascii="Times New Roman" w:hAnsi="Times New Roman" w:eastAsia="宋体" w:cs="Times New Roman"/>
                      <w:bCs/>
                      <w:color w:val="auto"/>
                      <w:sz w:val="21"/>
                      <w:szCs w:val="21"/>
                      <w:u w:val="none"/>
                      <w:lang w:val="en-US" w:eastAsia="zh-CN"/>
                    </w:rPr>
                    <w:t>进水水质</w:t>
                  </w:r>
                  <w:r>
                    <w:rPr>
                      <w:rFonts w:hint="eastAsia" w:ascii="Times New Roman" w:hAnsi="Times New Roman" w:eastAsia="宋体" w:cs="Times New Roman"/>
                      <w:bCs/>
                      <w:color w:val="auto"/>
                      <w:sz w:val="21"/>
                      <w:szCs w:val="21"/>
                      <w:u w:val="none"/>
                      <w:lang w:val="en-US" w:eastAsia="zh-CN"/>
                    </w:rPr>
                    <w:t>要求</w:t>
                  </w:r>
                </w:p>
              </w:tc>
              <w:tc>
                <w:tcPr>
                  <w:tcW w:w="479" w:type="pct"/>
                  <w:tcBorders>
                    <w:tl2br w:val="nil"/>
                    <w:tr2bl w:val="nil"/>
                  </w:tcBorders>
                  <w:noWrap w:val="0"/>
                  <w:vAlign w:val="center"/>
                </w:tcPr>
                <w:p w14:paraId="69117258">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lang w:val="en-US" w:eastAsia="zh-CN" w:bidi="ar-SA"/>
                    </w:rPr>
                  </w:pPr>
                  <w:r>
                    <w:rPr>
                      <w:rFonts w:hint="eastAsia" w:cs="Times New Roman"/>
                      <w:color w:val="auto"/>
                      <w:kern w:val="2"/>
                      <w:sz w:val="21"/>
                      <w:szCs w:val="21"/>
                      <w:lang w:val="en-US" w:eastAsia="zh-CN" w:bidi="ar-SA"/>
                    </w:rPr>
                    <w:t>450</w:t>
                  </w:r>
                </w:p>
              </w:tc>
              <w:tc>
                <w:tcPr>
                  <w:tcW w:w="482" w:type="pct"/>
                  <w:tcBorders>
                    <w:tl2br w:val="nil"/>
                    <w:tr2bl w:val="nil"/>
                  </w:tcBorders>
                  <w:noWrap w:val="0"/>
                  <w:vAlign w:val="center"/>
                </w:tcPr>
                <w:p w14:paraId="069AA1E7">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lang w:val="en-US" w:eastAsia="zh-CN" w:bidi="ar-SA"/>
                    </w:rPr>
                  </w:pPr>
                  <w:r>
                    <w:rPr>
                      <w:rFonts w:hint="eastAsia" w:cs="Times New Roman"/>
                      <w:color w:val="auto"/>
                      <w:kern w:val="2"/>
                      <w:sz w:val="21"/>
                      <w:szCs w:val="21"/>
                      <w:lang w:val="en-US" w:eastAsia="zh-CN" w:bidi="ar-SA"/>
                    </w:rPr>
                    <w:t>200</w:t>
                  </w:r>
                </w:p>
              </w:tc>
              <w:tc>
                <w:tcPr>
                  <w:tcW w:w="488" w:type="pct"/>
                  <w:tcBorders>
                    <w:tl2br w:val="nil"/>
                    <w:tr2bl w:val="nil"/>
                  </w:tcBorders>
                  <w:noWrap w:val="0"/>
                  <w:vAlign w:val="center"/>
                </w:tcPr>
                <w:p w14:paraId="181BB29B">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2</w:t>
                  </w:r>
                  <w:r>
                    <w:rPr>
                      <w:rFonts w:hint="eastAsia" w:cs="Times New Roman"/>
                      <w:color w:val="auto"/>
                      <w:sz w:val="21"/>
                      <w:szCs w:val="21"/>
                      <w:lang w:val="en-US" w:eastAsia="zh-CN"/>
                    </w:rPr>
                    <w:t>00</w:t>
                  </w:r>
                </w:p>
              </w:tc>
              <w:tc>
                <w:tcPr>
                  <w:tcW w:w="487" w:type="pct"/>
                  <w:tcBorders>
                    <w:tl2br w:val="nil"/>
                    <w:tr2bl w:val="nil"/>
                  </w:tcBorders>
                  <w:noWrap w:val="0"/>
                  <w:vAlign w:val="center"/>
                </w:tcPr>
                <w:p w14:paraId="69F07A98">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lang w:val="en-US" w:eastAsia="zh-CN" w:bidi="ar-SA"/>
                    </w:rPr>
                  </w:pPr>
                  <w:r>
                    <w:rPr>
                      <w:rFonts w:hint="eastAsia" w:cs="Times New Roman"/>
                      <w:color w:val="auto"/>
                      <w:kern w:val="2"/>
                      <w:sz w:val="21"/>
                      <w:szCs w:val="21"/>
                      <w:lang w:val="en-US" w:eastAsia="zh-CN" w:bidi="ar-SA"/>
                    </w:rPr>
                    <w:t>40</w:t>
                  </w:r>
                </w:p>
              </w:tc>
              <w:tc>
                <w:tcPr>
                  <w:tcW w:w="487" w:type="pct"/>
                  <w:tcBorders>
                    <w:tl2br w:val="nil"/>
                    <w:tr2bl w:val="nil"/>
                  </w:tcBorders>
                  <w:noWrap w:val="0"/>
                  <w:vAlign w:val="center"/>
                </w:tcPr>
                <w:p w14:paraId="3AB24105">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488" w:type="pct"/>
                  <w:tcBorders>
                    <w:tl2br w:val="nil"/>
                    <w:tr2bl w:val="nil"/>
                  </w:tcBorders>
                  <w:noWrap w:val="0"/>
                  <w:vAlign w:val="center"/>
                </w:tcPr>
                <w:p w14:paraId="7A15CD4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6~9</w:t>
                  </w:r>
                </w:p>
              </w:tc>
              <w:tc>
                <w:tcPr>
                  <w:tcW w:w="492" w:type="pct"/>
                  <w:tcBorders>
                    <w:tl2br w:val="nil"/>
                    <w:tr2bl w:val="nil"/>
                  </w:tcBorders>
                  <w:noWrap w:val="0"/>
                  <w:vAlign w:val="center"/>
                </w:tcPr>
                <w:p w14:paraId="4BBA14BD">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491" w:type="pct"/>
                  <w:tcBorders>
                    <w:tl2br w:val="nil"/>
                    <w:tr2bl w:val="nil"/>
                  </w:tcBorders>
                  <w:noWrap w:val="0"/>
                  <w:vAlign w:val="center"/>
                </w:tcPr>
                <w:p w14:paraId="39C986A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5.0</w:t>
                  </w:r>
                </w:p>
              </w:tc>
            </w:tr>
            <w:tr w14:paraId="4CFC8C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5" w:type="pct"/>
                  <w:gridSpan w:val="2"/>
                  <w:tcBorders>
                    <w:tl2br w:val="nil"/>
                    <w:tr2bl w:val="nil"/>
                  </w:tcBorders>
                  <w:noWrap w:val="0"/>
                  <w:vAlign w:val="center"/>
                </w:tcPr>
                <w:p w14:paraId="6D18768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u w:val="none" w:color="auto"/>
                      <w:lang w:eastAsia="zh-CN"/>
                    </w:rPr>
                  </w:pPr>
                  <w:bookmarkStart w:id="25" w:name="OLE_LINK162"/>
                  <w:r>
                    <w:rPr>
                      <w:rFonts w:hint="eastAsia" w:ascii="Times New Roman" w:hAnsi="Times New Roman" w:eastAsia="宋体" w:cs="Times New Roman"/>
                      <w:color w:val="auto"/>
                      <w:sz w:val="21"/>
                      <w:szCs w:val="21"/>
                      <w:u w:val="none" w:color="auto"/>
                      <w:lang w:eastAsia="zh-CN"/>
                    </w:rPr>
                    <w:t>达标情况</w:t>
                  </w:r>
                </w:p>
              </w:tc>
              <w:tc>
                <w:tcPr>
                  <w:tcW w:w="479" w:type="pct"/>
                  <w:tcBorders>
                    <w:tl2br w:val="nil"/>
                    <w:tr2bl w:val="nil"/>
                  </w:tcBorders>
                  <w:noWrap w:val="0"/>
                  <w:vAlign w:val="center"/>
                </w:tcPr>
                <w:p w14:paraId="74FA575C">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达标</w:t>
                  </w:r>
                </w:p>
              </w:tc>
              <w:tc>
                <w:tcPr>
                  <w:tcW w:w="482" w:type="pct"/>
                  <w:tcBorders>
                    <w:tl2br w:val="nil"/>
                    <w:tr2bl w:val="nil"/>
                  </w:tcBorders>
                  <w:noWrap w:val="0"/>
                  <w:vAlign w:val="center"/>
                </w:tcPr>
                <w:p w14:paraId="74AE9B96">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达标</w:t>
                  </w:r>
                </w:p>
              </w:tc>
              <w:tc>
                <w:tcPr>
                  <w:tcW w:w="488" w:type="pct"/>
                  <w:tcBorders>
                    <w:tl2br w:val="nil"/>
                    <w:tr2bl w:val="nil"/>
                  </w:tcBorders>
                  <w:noWrap w:val="0"/>
                  <w:vAlign w:val="center"/>
                </w:tcPr>
                <w:p w14:paraId="75603F9F">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达标</w:t>
                  </w:r>
                </w:p>
              </w:tc>
              <w:tc>
                <w:tcPr>
                  <w:tcW w:w="487" w:type="pct"/>
                  <w:tcBorders>
                    <w:tl2br w:val="nil"/>
                    <w:tr2bl w:val="nil"/>
                  </w:tcBorders>
                  <w:noWrap w:val="0"/>
                  <w:vAlign w:val="center"/>
                </w:tcPr>
                <w:p w14:paraId="433D56E1">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达标</w:t>
                  </w:r>
                </w:p>
              </w:tc>
              <w:tc>
                <w:tcPr>
                  <w:tcW w:w="487" w:type="pct"/>
                  <w:tcBorders>
                    <w:tl2br w:val="nil"/>
                    <w:tr2bl w:val="nil"/>
                  </w:tcBorders>
                  <w:noWrap w:val="0"/>
                  <w:vAlign w:val="center"/>
                </w:tcPr>
                <w:p w14:paraId="23DD0E2A">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lang w:val="en-US" w:eastAsia="zh-CN"/>
                    </w:rPr>
                    <w:t>达标</w:t>
                  </w:r>
                </w:p>
              </w:tc>
              <w:tc>
                <w:tcPr>
                  <w:tcW w:w="488" w:type="pct"/>
                  <w:tcBorders>
                    <w:tl2br w:val="nil"/>
                    <w:tr2bl w:val="nil"/>
                  </w:tcBorders>
                  <w:noWrap w:val="0"/>
                  <w:vAlign w:val="center"/>
                </w:tcPr>
                <w:p w14:paraId="273AB2C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lang w:val="en-US" w:eastAsia="zh-CN"/>
                    </w:rPr>
                    <w:t>达标</w:t>
                  </w:r>
                </w:p>
              </w:tc>
              <w:tc>
                <w:tcPr>
                  <w:tcW w:w="492" w:type="pct"/>
                  <w:tcBorders>
                    <w:tl2br w:val="nil"/>
                    <w:tr2bl w:val="nil"/>
                  </w:tcBorders>
                  <w:noWrap w:val="0"/>
                  <w:vAlign w:val="center"/>
                </w:tcPr>
                <w:p w14:paraId="3214CF22">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达标</w:t>
                  </w:r>
                </w:p>
              </w:tc>
              <w:tc>
                <w:tcPr>
                  <w:tcW w:w="491" w:type="pct"/>
                  <w:tcBorders>
                    <w:tl2br w:val="nil"/>
                    <w:tr2bl w:val="nil"/>
                  </w:tcBorders>
                  <w:noWrap w:val="0"/>
                  <w:vAlign w:val="center"/>
                </w:tcPr>
                <w:p w14:paraId="47F2A5E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cs="Times New Roman"/>
                      <w:color w:val="auto"/>
                      <w:sz w:val="21"/>
                      <w:szCs w:val="21"/>
                      <w:lang w:val="en-US" w:eastAsia="zh-CN"/>
                    </w:rPr>
                  </w:pPr>
                  <w:r>
                    <w:rPr>
                      <w:rFonts w:hint="eastAsia" w:cs="Times New Roman"/>
                      <w:color w:val="auto"/>
                      <w:sz w:val="21"/>
                      <w:szCs w:val="21"/>
                      <w:lang w:val="en-US" w:eastAsia="zh-CN"/>
                    </w:rPr>
                    <w:t>达标</w:t>
                  </w:r>
                </w:p>
              </w:tc>
            </w:tr>
            <w:bookmarkEnd w:id="25"/>
            <w:tr w14:paraId="76F590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5" w:type="pct"/>
                  <w:gridSpan w:val="2"/>
                  <w:tcBorders>
                    <w:tl2br w:val="nil"/>
                    <w:tr2bl w:val="nil"/>
                  </w:tcBorders>
                  <w:noWrap w:val="0"/>
                  <w:vAlign w:val="center"/>
                </w:tcPr>
                <w:p w14:paraId="2AEEA85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Cs/>
                      <w:color w:val="auto"/>
                      <w:sz w:val="21"/>
                      <w:szCs w:val="21"/>
                      <w:u w:val="none"/>
                      <w:lang w:val="en-US" w:eastAsia="zh-CN"/>
                    </w:rPr>
                  </w:pPr>
                  <w:r>
                    <w:rPr>
                      <w:rFonts w:hint="eastAsia" w:ascii="Times New Roman" w:hAnsi="Times New Roman" w:eastAsia="宋体" w:cs="Times New Roman"/>
                      <w:color w:val="auto"/>
                      <w:sz w:val="21"/>
                      <w:szCs w:val="21"/>
                      <w:lang w:eastAsia="zh-CN"/>
                    </w:rPr>
                    <w:t>汤阴</w:t>
                  </w:r>
                  <w:r>
                    <w:rPr>
                      <w:rFonts w:hint="eastAsia" w:cs="Times New Roman"/>
                      <w:color w:val="auto"/>
                      <w:sz w:val="21"/>
                      <w:szCs w:val="21"/>
                      <w:lang w:eastAsia="zh-CN"/>
                    </w:rPr>
                    <w:t>天雨污水净化有限公司</w:t>
                  </w:r>
                  <w:r>
                    <w:rPr>
                      <w:rFonts w:hint="eastAsia" w:ascii="Times New Roman" w:hAnsi="Times New Roman" w:eastAsia="宋体" w:cs="Times New Roman"/>
                      <w:bCs/>
                      <w:color w:val="auto"/>
                      <w:sz w:val="21"/>
                      <w:szCs w:val="21"/>
                      <w:u w:val="none"/>
                      <w:lang w:val="en-US" w:eastAsia="zh-CN"/>
                    </w:rPr>
                    <w:t>出</w:t>
                  </w:r>
                  <w:r>
                    <w:rPr>
                      <w:rFonts w:hint="default" w:ascii="Times New Roman" w:hAnsi="Times New Roman" w:eastAsia="宋体" w:cs="Times New Roman"/>
                      <w:bCs/>
                      <w:color w:val="auto"/>
                      <w:sz w:val="21"/>
                      <w:szCs w:val="21"/>
                      <w:u w:val="none"/>
                      <w:lang w:val="en-US" w:eastAsia="zh-CN"/>
                    </w:rPr>
                    <w:t>水水质</w:t>
                  </w:r>
                  <w:r>
                    <w:rPr>
                      <w:rFonts w:hint="eastAsia" w:ascii="Times New Roman" w:hAnsi="Times New Roman" w:eastAsia="宋体" w:cs="Times New Roman"/>
                      <w:bCs/>
                      <w:color w:val="auto"/>
                      <w:sz w:val="21"/>
                      <w:szCs w:val="21"/>
                      <w:u w:val="none"/>
                      <w:lang w:val="en-US" w:eastAsia="zh-CN"/>
                    </w:rPr>
                    <w:t>要求</w:t>
                  </w:r>
                </w:p>
              </w:tc>
              <w:tc>
                <w:tcPr>
                  <w:tcW w:w="479" w:type="pct"/>
                  <w:tcBorders>
                    <w:tl2br w:val="nil"/>
                    <w:tr2bl w:val="nil"/>
                  </w:tcBorders>
                  <w:noWrap w:val="0"/>
                  <w:vAlign w:val="center"/>
                </w:tcPr>
                <w:p w14:paraId="15A016DD">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50</w:t>
                  </w:r>
                </w:p>
              </w:tc>
              <w:tc>
                <w:tcPr>
                  <w:tcW w:w="482" w:type="pct"/>
                  <w:tcBorders>
                    <w:tl2br w:val="nil"/>
                    <w:tr2bl w:val="nil"/>
                  </w:tcBorders>
                  <w:noWrap w:val="0"/>
                  <w:vAlign w:val="center"/>
                </w:tcPr>
                <w:p w14:paraId="697B4E7E">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default" w:ascii="Times New Roman" w:hAnsi="Times New Roman" w:cs="Times New Roman"/>
                      <w:color w:val="auto"/>
                      <w:sz w:val="21"/>
                      <w:szCs w:val="21"/>
                      <w:lang w:val="en-US" w:eastAsia="zh-CN"/>
                    </w:rPr>
                  </w:pPr>
                  <w:r>
                    <w:rPr>
                      <w:rFonts w:hint="eastAsia" w:ascii="Times New Roman" w:hAnsi="Times New Roman" w:eastAsia="宋体" w:cs="Times New Roman"/>
                      <w:color w:val="auto"/>
                      <w:sz w:val="21"/>
                      <w:szCs w:val="21"/>
                      <w:vertAlign w:val="baseline"/>
                      <w:lang w:val="en-US" w:eastAsia="zh-CN"/>
                    </w:rPr>
                    <w:t>10</w:t>
                  </w:r>
                </w:p>
              </w:tc>
              <w:tc>
                <w:tcPr>
                  <w:tcW w:w="488" w:type="pct"/>
                  <w:tcBorders>
                    <w:tl2br w:val="nil"/>
                    <w:tr2bl w:val="nil"/>
                  </w:tcBorders>
                  <w:noWrap w:val="0"/>
                  <w:vAlign w:val="center"/>
                </w:tcPr>
                <w:p w14:paraId="2C30CDA9">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default" w:ascii="Times New Roman" w:hAnsi="Times New Roman" w:cs="Times New Roman"/>
                      <w:color w:val="auto"/>
                      <w:sz w:val="21"/>
                      <w:szCs w:val="21"/>
                      <w:lang w:val="en-US" w:eastAsia="zh-CN"/>
                    </w:rPr>
                  </w:pPr>
                  <w:r>
                    <w:rPr>
                      <w:rFonts w:hint="eastAsia" w:ascii="Times New Roman" w:hAnsi="Times New Roman" w:eastAsia="宋体" w:cs="Times New Roman"/>
                      <w:color w:val="auto"/>
                      <w:sz w:val="21"/>
                      <w:szCs w:val="21"/>
                      <w:vertAlign w:val="baseline"/>
                      <w:lang w:val="en-US" w:eastAsia="zh-CN"/>
                    </w:rPr>
                    <w:t>10</w:t>
                  </w:r>
                </w:p>
              </w:tc>
              <w:tc>
                <w:tcPr>
                  <w:tcW w:w="487" w:type="pct"/>
                  <w:tcBorders>
                    <w:tl2br w:val="nil"/>
                    <w:tr2bl w:val="nil"/>
                  </w:tcBorders>
                  <w:noWrap w:val="0"/>
                  <w:vAlign w:val="center"/>
                </w:tcPr>
                <w:p w14:paraId="714D3288">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default" w:ascii="Times New Roman" w:hAnsi="Times New Roman" w:cs="Times New Roman"/>
                      <w:color w:val="auto"/>
                      <w:sz w:val="21"/>
                      <w:szCs w:val="21"/>
                      <w:lang w:val="en-US" w:eastAsia="zh-CN"/>
                    </w:rPr>
                  </w:pPr>
                  <w:r>
                    <w:rPr>
                      <w:rFonts w:hint="eastAsia" w:ascii="Times New Roman" w:hAnsi="Times New Roman" w:eastAsia="宋体" w:cs="Times New Roman"/>
                      <w:color w:val="auto"/>
                      <w:sz w:val="21"/>
                      <w:szCs w:val="21"/>
                      <w:vertAlign w:val="baseline"/>
                      <w:lang w:val="en-US" w:eastAsia="zh-CN"/>
                    </w:rPr>
                    <w:t>5</w:t>
                  </w:r>
                </w:p>
              </w:tc>
              <w:tc>
                <w:tcPr>
                  <w:tcW w:w="487" w:type="pct"/>
                  <w:tcBorders>
                    <w:tl2br w:val="nil"/>
                    <w:tr2bl w:val="nil"/>
                  </w:tcBorders>
                  <w:noWrap w:val="0"/>
                  <w:vAlign w:val="center"/>
                </w:tcPr>
                <w:p w14:paraId="5A83969B">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bCs/>
                      <w:color w:val="auto"/>
                      <w:kern w:val="2"/>
                      <w:sz w:val="21"/>
                      <w:szCs w:val="21"/>
                      <w:lang w:val="en-US" w:eastAsia="zh-CN" w:bidi="ar-SA"/>
                    </w:rPr>
                    <w:t>1</w:t>
                  </w:r>
                </w:p>
              </w:tc>
              <w:tc>
                <w:tcPr>
                  <w:tcW w:w="488" w:type="pct"/>
                  <w:tcBorders>
                    <w:tl2br w:val="nil"/>
                    <w:tr2bl w:val="nil"/>
                  </w:tcBorders>
                  <w:noWrap w:val="0"/>
                  <w:vAlign w:val="center"/>
                </w:tcPr>
                <w:p w14:paraId="7B1805A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6~9</w:t>
                  </w:r>
                </w:p>
              </w:tc>
              <w:tc>
                <w:tcPr>
                  <w:tcW w:w="492" w:type="pct"/>
                  <w:tcBorders>
                    <w:tl2br w:val="nil"/>
                    <w:tr2bl w:val="nil"/>
                  </w:tcBorders>
                  <w:noWrap w:val="0"/>
                  <w:vAlign w:val="center"/>
                </w:tcPr>
                <w:p w14:paraId="5D32AFC3">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0.5</w:t>
                  </w:r>
                </w:p>
              </w:tc>
              <w:tc>
                <w:tcPr>
                  <w:tcW w:w="491" w:type="pct"/>
                  <w:tcBorders>
                    <w:tl2br w:val="nil"/>
                    <w:tr2bl w:val="nil"/>
                  </w:tcBorders>
                  <w:noWrap w:val="0"/>
                  <w:vAlign w:val="center"/>
                </w:tcPr>
                <w:p w14:paraId="1DAE88F1">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0.5</w:t>
                  </w:r>
                </w:p>
              </w:tc>
            </w:tr>
            <w:tr w14:paraId="2203C6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5" w:type="pct"/>
                  <w:gridSpan w:val="2"/>
                  <w:tcBorders>
                    <w:tl2br w:val="nil"/>
                    <w:tr2bl w:val="nil"/>
                  </w:tcBorders>
                  <w:noWrap w:val="0"/>
                  <w:vAlign w:val="center"/>
                </w:tcPr>
                <w:p w14:paraId="0FCE6098">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u w:val="none" w:color="auto"/>
                      <w:lang w:eastAsia="zh-CN"/>
                    </w:rPr>
                  </w:pPr>
                  <w:r>
                    <w:rPr>
                      <w:rFonts w:hint="eastAsia" w:ascii="Times New Roman" w:hAnsi="Times New Roman" w:eastAsia="宋体" w:cs="Times New Roman"/>
                      <w:color w:val="auto"/>
                      <w:sz w:val="21"/>
                      <w:szCs w:val="21"/>
                      <w:u w:val="none" w:color="auto"/>
                      <w:lang w:eastAsia="zh-CN"/>
                    </w:rPr>
                    <w:t>出污水处理厂排放量（</w:t>
                  </w:r>
                  <w:r>
                    <w:rPr>
                      <w:rFonts w:hint="eastAsia" w:ascii="Times New Roman" w:hAnsi="Times New Roman" w:eastAsia="宋体" w:cs="Times New Roman"/>
                      <w:color w:val="auto"/>
                      <w:sz w:val="21"/>
                      <w:szCs w:val="21"/>
                      <w:u w:val="none" w:color="auto"/>
                      <w:lang w:val="en-US" w:eastAsia="zh-CN"/>
                    </w:rPr>
                    <w:t>t/a</w:t>
                  </w:r>
                  <w:r>
                    <w:rPr>
                      <w:rFonts w:hint="eastAsia" w:ascii="Times New Roman" w:hAnsi="Times New Roman" w:eastAsia="宋体" w:cs="Times New Roman"/>
                      <w:color w:val="auto"/>
                      <w:sz w:val="21"/>
                      <w:szCs w:val="21"/>
                      <w:u w:val="none" w:color="auto"/>
                      <w:lang w:eastAsia="zh-CN"/>
                    </w:rPr>
                    <w:t>）</w:t>
                  </w:r>
                </w:p>
              </w:tc>
              <w:tc>
                <w:tcPr>
                  <w:tcW w:w="815" w:type="dxa"/>
                  <w:tcBorders>
                    <w:tl2br w:val="nil"/>
                    <w:tr2bl w:val="nil"/>
                  </w:tcBorders>
                  <w:noWrap w:val="0"/>
                  <w:vAlign w:val="center"/>
                </w:tcPr>
                <w:p w14:paraId="6ECE3C4F">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0.0</w:t>
                  </w:r>
                  <w:r>
                    <w:rPr>
                      <w:rFonts w:hint="eastAsia" w:cs="Times New Roman"/>
                      <w:color w:val="auto"/>
                      <w:sz w:val="21"/>
                      <w:szCs w:val="21"/>
                      <w:lang w:val="en-US" w:eastAsia="zh-CN"/>
                    </w:rPr>
                    <w:t>304</w:t>
                  </w:r>
                </w:p>
              </w:tc>
              <w:tc>
                <w:tcPr>
                  <w:tcW w:w="820" w:type="dxa"/>
                  <w:tcBorders>
                    <w:tl2br w:val="nil"/>
                    <w:tr2bl w:val="nil"/>
                  </w:tcBorders>
                  <w:noWrap w:val="0"/>
                  <w:vAlign w:val="center"/>
                </w:tcPr>
                <w:p w14:paraId="23F0FD50">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61</w:t>
                  </w:r>
                </w:p>
              </w:tc>
              <w:tc>
                <w:tcPr>
                  <w:tcW w:w="830" w:type="dxa"/>
                  <w:tcBorders>
                    <w:tl2br w:val="nil"/>
                    <w:tr2bl w:val="nil"/>
                  </w:tcBorders>
                  <w:noWrap w:val="0"/>
                  <w:vAlign w:val="center"/>
                </w:tcPr>
                <w:p w14:paraId="52E122FE">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61</w:t>
                  </w:r>
                </w:p>
              </w:tc>
              <w:tc>
                <w:tcPr>
                  <w:tcW w:w="828" w:type="dxa"/>
                  <w:tcBorders>
                    <w:tl2br w:val="nil"/>
                    <w:tr2bl w:val="nil"/>
                  </w:tcBorders>
                  <w:noWrap w:val="0"/>
                  <w:vAlign w:val="center"/>
                </w:tcPr>
                <w:p w14:paraId="42C2FAF8">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w:t>
                  </w:r>
                </w:p>
              </w:tc>
              <w:tc>
                <w:tcPr>
                  <w:tcW w:w="828" w:type="dxa"/>
                  <w:tcBorders>
                    <w:tl2br w:val="nil"/>
                    <w:tr2bl w:val="nil"/>
                  </w:tcBorders>
                  <w:noWrap w:val="0"/>
                  <w:vAlign w:val="center"/>
                </w:tcPr>
                <w:p w14:paraId="283AF210">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0.00</w:t>
                  </w:r>
                  <w:r>
                    <w:rPr>
                      <w:rFonts w:hint="eastAsia"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1</w:t>
                  </w:r>
                </w:p>
              </w:tc>
              <w:tc>
                <w:tcPr>
                  <w:tcW w:w="830" w:type="dxa"/>
                  <w:tcBorders>
                    <w:tl2br w:val="nil"/>
                    <w:tr2bl w:val="nil"/>
                  </w:tcBorders>
                  <w:noWrap w:val="0"/>
                  <w:vAlign w:val="center"/>
                </w:tcPr>
                <w:p w14:paraId="41D82793">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vertAlign w:val="baseline"/>
                      <w:lang w:val="en-US" w:eastAsia="zh-CN"/>
                    </w:rPr>
                    <w:t>—</w:t>
                  </w:r>
                </w:p>
              </w:tc>
              <w:tc>
                <w:tcPr>
                  <w:tcW w:w="837" w:type="dxa"/>
                  <w:tcBorders>
                    <w:tl2br w:val="nil"/>
                    <w:tr2bl w:val="nil"/>
                  </w:tcBorders>
                  <w:noWrap w:val="0"/>
                  <w:vAlign w:val="center"/>
                </w:tcPr>
                <w:p w14:paraId="1EAE8D73">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0.00</w:t>
                  </w:r>
                  <w:r>
                    <w:rPr>
                      <w:rFonts w:hint="eastAsia"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w:t>
                  </w:r>
                </w:p>
              </w:tc>
              <w:tc>
                <w:tcPr>
                  <w:tcW w:w="835" w:type="dxa"/>
                  <w:tcBorders>
                    <w:tl2br w:val="nil"/>
                    <w:tr2bl w:val="nil"/>
                  </w:tcBorders>
                  <w:noWrap w:val="0"/>
                  <w:vAlign w:val="center"/>
                </w:tcPr>
                <w:p w14:paraId="01221078">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0.00</w:t>
                  </w:r>
                  <w:r>
                    <w:rPr>
                      <w:rFonts w:hint="eastAsia"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w:t>
                  </w:r>
                </w:p>
              </w:tc>
            </w:tr>
            <w:bookmarkEnd w:id="24"/>
          </w:tbl>
          <w:p w14:paraId="5F8650F4">
            <w:pPr>
              <w:keepNext w:val="0"/>
              <w:keepLines w:val="0"/>
              <w:pageBreakBefore w:val="0"/>
              <w:widowControl w:val="0"/>
              <w:suppressLineNumbers w:val="0"/>
              <w:kinsoku/>
              <w:wordWrap/>
              <w:overflowPunct/>
              <w:topLinePunct w:val="0"/>
              <w:autoSpaceDE w:val="0"/>
              <w:autoSpaceDN w:val="0"/>
              <w:bidi w:val="0"/>
              <w:adjustRightInd w:val="0"/>
              <w:snapToGrid w:val="0"/>
              <w:spacing w:before="157" w:beforeLines="50" w:beforeAutospacing="0" w:after="0" w:afterAutospacing="0"/>
              <w:ind w:left="0" w:right="0"/>
              <w:jc w:val="center"/>
              <w:textAlignment w:val="auto"/>
              <w:rPr>
                <w:rFonts w:hint="default" w:ascii="Times New Roman" w:hAnsi="Times New Roman" w:eastAsia="宋体" w:cs="Times New Roman"/>
                <w:b/>
                <w:bCs/>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废水排放口情况一览表</w:t>
            </w:r>
          </w:p>
          <w:tbl>
            <w:tblPr>
              <w:tblStyle w:val="30"/>
              <w:tblW w:w="850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790"/>
              <w:gridCol w:w="790"/>
              <w:gridCol w:w="1186"/>
              <w:gridCol w:w="1749"/>
              <w:gridCol w:w="678"/>
              <w:gridCol w:w="678"/>
              <w:gridCol w:w="1566"/>
            </w:tblGrid>
            <w:tr w14:paraId="3A73E5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067" w:type="dxa"/>
                  <w:vMerge w:val="restart"/>
                  <w:tcBorders>
                    <w:tl2br w:val="nil"/>
                    <w:tr2bl w:val="nil"/>
                  </w:tcBorders>
                  <w:noWrap w:val="0"/>
                  <w:tcMar>
                    <w:top w:w="0" w:type="dxa"/>
                    <w:left w:w="51" w:type="dxa"/>
                    <w:bottom w:w="0" w:type="dxa"/>
                    <w:right w:w="51" w:type="dxa"/>
                  </w:tcMar>
                  <w:vAlign w:val="center"/>
                </w:tcPr>
                <w:p w14:paraId="55879D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排放口编号</w:t>
                  </w:r>
                </w:p>
              </w:tc>
              <w:tc>
                <w:tcPr>
                  <w:tcW w:w="790" w:type="dxa"/>
                  <w:vMerge w:val="restart"/>
                  <w:tcBorders>
                    <w:tl2br w:val="nil"/>
                    <w:tr2bl w:val="nil"/>
                  </w:tcBorders>
                  <w:noWrap w:val="0"/>
                  <w:tcMar>
                    <w:top w:w="0" w:type="dxa"/>
                    <w:left w:w="51" w:type="dxa"/>
                    <w:bottom w:w="0" w:type="dxa"/>
                    <w:right w:w="51" w:type="dxa"/>
                  </w:tcMar>
                  <w:vAlign w:val="center"/>
                </w:tcPr>
                <w:p w14:paraId="2217AB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排放口名称</w:t>
                  </w:r>
                </w:p>
              </w:tc>
              <w:tc>
                <w:tcPr>
                  <w:tcW w:w="790" w:type="dxa"/>
                  <w:vMerge w:val="restart"/>
                  <w:tcBorders>
                    <w:tl2br w:val="nil"/>
                    <w:tr2bl w:val="nil"/>
                  </w:tcBorders>
                  <w:noWrap w:val="0"/>
                  <w:tcMar>
                    <w:top w:w="0" w:type="dxa"/>
                    <w:left w:w="51" w:type="dxa"/>
                    <w:bottom w:w="0" w:type="dxa"/>
                    <w:right w:w="51" w:type="dxa"/>
                  </w:tcMar>
                  <w:vAlign w:val="center"/>
                </w:tcPr>
                <w:p w14:paraId="1AFA6C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排放口类型</w:t>
                  </w:r>
                </w:p>
              </w:tc>
              <w:tc>
                <w:tcPr>
                  <w:tcW w:w="1186" w:type="dxa"/>
                  <w:vMerge w:val="restart"/>
                  <w:tcBorders>
                    <w:tl2br w:val="nil"/>
                    <w:tr2bl w:val="nil"/>
                  </w:tcBorders>
                  <w:noWrap w:val="0"/>
                  <w:tcMar>
                    <w:top w:w="0" w:type="dxa"/>
                    <w:left w:w="51" w:type="dxa"/>
                    <w:bottom w:w="0" w:type="dxa"/>
                    <w:right w:w="51" w:type="dxa"/>
                  </w:tcMar>
                  <w:vAlign w:val="center"/>
                </w:tcPr>
                <w:p w14:paraId="11C553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废水量（</w:t>
                  </w:r>
                  <w:r>
                    <w:rPr>
                      <w:rFonts w:hint="eastAsia" w:ascii="Times New Roman" w:hAnsi="Times New Roman" w:eastAsia="宋体" w:cs="Times New Roman"/>
                      <w:b/>
                      <w:bCs/>
                      <w:color w:val="auto"/>
                      <w:sz w:val="21"/>
                      <w:szCs w:val="21"/>
                      <w:vertAlign w:val="baseline"/>
                      <w:lang w:val="en-US" w:eastAsia="zh-CN"/>
                    </w:rPr>
                    <w:t>t</w:t>
                  </w:r>
                  <w:r>
                    <w:rPr>
                      <w:rFonts w:hint="default" w:ascii="Times New Roman" w:hAnsi="Times New Roman" w:eastAsia="宋体" w:cs="Times New Roman"/>
                      <w:b/>
                      <w:bCs/>
                      <w:color w:val="auto"/>
                      <w:sz w:val="21"/>
                      <w:szCs w:val="21"/>
                      <w:vertAlign w:val="baseline"/>
                      <w:lang w:val="en-US" w:eastAsia="zh-CN"/>
                    </w:rPr>
                    <w:t>/a）</w:t>
                  </w:r>
                </w:p>
              </w:tc>
              <w:tc>
                <w:tcPr>
                  <w:tcW w:w="1749" w:type="dxa"/>
                  <w:tcBorders>
                    <w:tl2br w:val="nil"/>
                    <w:tr2bl w:val="nil"/>
                  </w:tcBorders>
                  <w:noWrap w:val="0"/>
                  <w:tcMar>
                    <w:top w:w="0" w:type="dxa"/>
                    <w:left w:w="51" w:type="dxa"/>
                    <w:bottom w:w="0" w:type="dxa"/>
                    <w:right w:w="51" w:type="dxa"/>
                  </w:tcMar>
                  <w:vAlign w:val="center"/>
                </w:tcPr>
                <w:p w14:paraId="59A3D0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坐标</w:t>
                  </w:r>
                </w:p>
              </w:tc>
              <w:tc>
                <w:tcPr>
                  <w:tcW w:w="678" w:type="dxa"/>
                  <w:tcBorders>
                    <w:tl2br w:val="nil"/>
                    <w:tr2bl w:val="nil"/>
                  </w:tcBorders>
                  <w:noWrap w:val="0"/>
                  <w:tcMar>
                    <w:top w:w="0" w:type="dxa"/>
                    <w:left w:w="51" w:type="dxa"/>
                    <w:bottom w:w="0" w:type="dxa"/>
                    <w:right w:w="51" w:type="dxa"/>
                  </w:tcMar>
                  <w:vAlign w:val="center"/>
                </w:tcPr>
                <w:p w14:paraId="54E933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达标情况</w:t>
                  </w:r>
                </w:p>
              </w:tc>
              <w:tc>
                <w:tcPr>
                  <w:tcW w:w="678" w:type="dxa"/>
                  <w:vMerge w:val="restart"/>
                  <w:tcBorders>
                    <w:tl2br w:val="nil"/>
                    <w:tr2bl w:val="nil"/>
                  </w:tcBorders>
                  <w:noWrap w:val="0"/>
                  <w:tcMar>
                    <w:top w:w="0" w:type="dxa"/>
                    <w:left w:w="51" w:type="dxa"/>
                    <w:bottom w:w="0" w:type="dxa"/>
                    <w:right w:w="51" w:type="dxa"/>
                  </w:tcMar>
                  <w:vAlign w:val="center"/>
                </w:tcPr>
                <w:p w14:paraId="397F9A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排放方式</w:t>
                  </w:r>
                </w:p>
              </w:tc>
              <w:tc>
                <w:tcPr>
                  <w:tcW w:w="1566" w:type="dxa"/>
                  <w:vMerge w:val="restart"/>
                  <w:tcBorders>
                    <w:tl2br w:val="nil"/>
                    <w:tr2bl w:val="nil"/>
                  </w:tcBorders>
                  <w:noWrap w:val="0"/>
                  <w:tcMar>
                    <w:top w:w="0" w:type="dxa"/>
                    <w:left w:w="51" w:type="dxa"/>
                    <w:bottom w:w="0" w:type="dxa"/>
                    <w:right w:w="51" w:type="dxa"/>
                  </w:tcMar>
                  <w:vAlign w:val="center"/>
                </w:tcPr>
                <w:p w14:paraId="222011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排放去向</w:t>
                  </w:r>
                </w:p>
              </w:tc>
            </w:tr>
            <w:tr w14:paraId="765297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1067" w:type="dxa"/>
                  <w:tcBorders>
                    <w:tl2br w:val="nil"/>
                    <w:tr2bl w:val="nil"/>
                  </w:tcBorders>
                  <w:noWrap w:val="0"/>
                  <w:tcMar>
                    <w:top w:w="0" w:type="dxa"/>
                    <w:left w:w="51" w:type="dxa"/>
                    <w:bottom w:w="0" w:type="dxa"/>
                    <w:right w:w="51" w:type="dxa"/>
                  </w:tcMar>
                  <w:vAlign w:val="center"/>
                </w:tcPr>
                <w:p w14:paraId="270FD0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DW001</w:t>
                  </w:r>
                </w:p>
              </w:tc>
              <w:tc>
                <w:tcPr>
                  <w:tcW w:w="790" w:type="dxa"/>
                  <w:tcBorders>
                    <w:tl2br w:val="nil"/>
                    <w:tr2bl w:val="nil"/>
                  </w:tcBorders>
                  <w:noWrap w:val="0"/>
                  <w:tcMar>
                    <w:top w:w="0" w:type="dxa"/>
                    <w:left w:w="51" w:type="dxa"/>
                    <w:bottom w:w="0" w:type="dxa"/>
                    <w:right w:w="51" w:type="dxa"/>
                  </w:tcMar>
                  <w:vAlign w:val="center"/>
                </w:tcPr>
                <w:p w14:paraId="6814A9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生活污水排放口</w:t>
                  </w:r>
                </w:p>
              </w:tc>
              <w:tc>
                <w:tcPr>
                  <w:tcW w:w="790" w:type="dxa"/>
                  <w:tcBorders>
                    <w:tl2br w:val="nil"/>
                    <w:tr2bl w:val="nil"/>
                  </w:tcBorders>
                  <w:noWrap w:val="0"/>
                  <w:tcMar>
                    <w:top w:w="0" w:type="dxa"/>
                    <w:left w:w="51" w:type="dxa"/>
                    <w:bottom w:w="0" w:type="dxa"/>
                    <w:right w:w="51" w:type="dxa"/>
                  </w:tcMar>
                  <w:vAlign w:val="center"/>
                </w:tcPr>
                <w:p w14:paraId="18E6FB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一般排放口</w:t>
                  </w:r>
                </w:p>
              </w:tc>
              <w:tc>
                <w:tcPr>
                  <w:tcW w:w="1186" w:type="dxa"/>
                  <w:tcBorders>
                    <w:tl2br w:val="nil"/>
                    <w:tr2bl w:val="nil"/>
                  </w:tcBorders>
                  <w:noWrap w:val="0"/>
                  <w:tcMar>
                    <w:top w:w="0" w:type="dxa"/>
                    <w:left w:w="51" w:type="dxa"/>
                    <w:bottom w:w="0" w:type="dxa"/>
                    <w:right w:w="51" w:type="dxa"/>
                  </w:tcMar>
                  <w:vAlign w:val="center"/>
                </w:tcPr>
                <w:p w14:paraId="5CD40B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608.8</w:t>
                  </w:r>
                </w:p>
              </w:tc>
              <w:tc>
                <w:tcPr>
                  <w:tcW w:w="1749" w:type="dxa"/>
                  <w:tcBorders>
                    <w:tl2br w:val="nil"/>
                    <w:tr2bl w:val="nil"/>
                  </w:tcBorders>
                  <w:noWrap w:val="0"/>
                  <w:tcMar>
                    <w:top w:w="0" w:type="dxa"/>
                    <w:left w:w="51" w:type="dxa"/>
                    <w:bottom w:w="0" w:type="dxa"/>
                    <w:right w:w="51" w:type="dxa"/>
                  </w:tcMar>
                  <w:vAlign w:val="center"/>
                </w:tcPr>
                <w:p w14:paraId="368124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E</w:t>
                  </w:r>
                  <w:r>
                    <w:rPr>
                      <w:rFonts w:hint="default" w:ascii="Times New Roman" w:hAnsi="Times New Roman" w:eastAsia="宋体" w:cs="Times New Roman"/>
                      <w:b w:val="0"/>
                      <w:bCs w:val="0"/>
                      <w:color w:val="auto"/>
                      <w:sz w:val="21"/>
                      <w:szCs w:val="21"/>
                      <w:vertAlign w:val="baseline"/>
                      <w:lang w:val="en-US" w:eastAsia="zh-CN"/>
                    </w:rPr>
                    <w:t>114°22′30.517″</w:t>
                  </w:r>
                </w:p>
                <w:p w14:paraId="046B87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N35</w:t>
                  </w:r>
                  <w:r>
                    <w:rPr>
                      <w:rFonts w:hint="default" w:ascii="Times New Roman" w:hAnsi="Times New Roman" w:eastAsia="宋体" w:cs="Times New Roman"/>
                      <w:b w:val="0"/>
                      <w:bCs w:val="0"/>
                      <w:color w:val="auto"/>
                      <w:sz w:val="21"/>
                      <w:szCs w:val="21"/>
                      <w:vertAlign w:val="baseline"/>
                      <w:lang w:val="en-US" w:eastAsia="zh-CN"/>
                    </w:rPr>
                    <w:t>°</w:t>
                  </w:r>
                  <w:r>
                    <w:rPr>
                      <w:rFonts w:hint="eastAsia" w:ascii="Times New Roman" w:hAnsi="Times New Roman" w:eastAsia="宋体" w:cs="Times New Roman"/>
                      <w:b w:val="0"/>
                      <w:bCs w:val="0"/>
                      <w:color w:val="auto"/>
                      <w:sz w:val="21"/>
                      <w:szCs w:val="21"/>
                      <w:vertAlign w:val="baseline"/>
                      <w:lang w:val="en-US" w:eastAsia="zh-CN"/>
                    </w:rPr>
                    <w:t>53</w:t>
                  </w:r>
                  <w:r>
                    <w:rPr>
                      <w:rFonts w:hint="default" w:ascii="Times New Roman" w:hAnsi="Times New Roman" w:eastAsia="宋体" w:cs="Times New Roman"/>
                      <w:b w:val="0"/>
                      <w:bCs w:val="0"/>
                      <w:color w:val="auto"/>
                      <w:sz w:val="21"/>
                      <w:szCs w:val="21"/>
                      <w:vertAlign w:val="baseline"/>
                      <w:lang w:val="en-US" w:eastAsia="zh-CN"/>
                    </w:rPr>
                    <w:t>′</w:t>
                  </w:r>
                  <w:r>
                    <w:rPr>
                      <w:rFonts w:hint="eastAsia" w:ascii="Times New Roman" w:hAnsi="Times New Roman" w:eastAsia="宋体" w:cs="Times New Roman"/>
                      <w:b w:val="0"/>
                      <w:bCs w:val="0"/>
                      <w:color w:val="auto"/>
                      <w:sz w:val="21"/>
                      <w:szCs w:val="21"/>
                      <w:vertAlign w:val="baseline"/>
                      <w:lang w:val="en-US" w:eastAsia="zh-CN"/>
                    </w:rPr>
                    <w:t>31.765</w:t>
                  </w:r>
                  <w:r>
                    <w:rPr>
                      <w:rFonts w:hint="default" w:ascii="Times New Roman" w:hAnsi="Times New Roman" w:eastAsia="宋体" w:cs="Times New Roman"/>
                      <w:b w:val="0"/>
                      <w:bCs w:val="0"/>
                      <w:color w:val="auto"/>
                      <w:sz w:val="21"/>
                      <w:szCs w:val="21"/>
                      <w:vertAlign w:val="baseline"/>
                      <w:lang w:val="en-US" w:eastAsia="zh-CN"/>
                    </w:rPr>
                    <w:t>″</w:t>
                  </w:r>
                </w:p>
              </w:tc>
              <w:tc>
                <w:tcPr>
                  <w:tcW w:w="678" w:type="dxa"/>
                  <w:tcBorders>
                    <w:tl2br w:val="nil"/>
                    <w:tr2bl w:val="nil"/>
                  </w:tcBorders>
                  <w:noWrap w:val="0"/>
                  <w:tcMar>
                    <w:top w:w="0" w:type="dxa"/>
                    <w:left w:w="51" w:type="dxa"/>
                    <w:bottom w:w="0" w:type="dxa"/>
                    <w:right w:w="51" w:type="dxa"/>
                  </w:tcMar>
                  <w:vAlign w:val="center"/>
                </w:tcPr>
                <w:p w14:paraId="373A14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达标</w:t>
                  </w:r>
                </w:p>
              </w:tc>
              <w:tc>
                <w:tcPr>
                  <w:tcW w:w="678" w:type="dxa"/>
                  <w:tcBorders>
                    <w:tl2br w:val="nil"/>
                    <w:tr2bl w:val="nil"/>
                  </w:tcBorders>
                  <w:noWrap w:val="0"/>
                  <w:tcMar>
                    <w:top w:w="0" w:type="dxa"/>
                    <w:left w:w="51" w:type="dxa"/>
                    <w:bottom w:w="0" w:type="dxa"/>
                    <w:right w:w="51" w:type="dxa"/>
                  </w:tcMar>
                  <w:vAlign w:val="center"/>
                </w:tcPr>
                <w:p w14:paraId="144E18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间接排放</w:t>
                  </w:r>
                </w:p>
              </w:tc>
              <w:tc>
                <w:tcPr>
                  <w:tcW w:w="1566" w:type="dxa"/>
                  <w:tcBorders>
                    <w:tl2br w:val="nil"/>
                    <w:tr2bl w:val="nil"/>
                  </w:tcBorders>
                  <w:noWrap w:val="0"/>
                  <w:tcMar>
                    <w:top w:w="0" w:type="dxa"/>
                    <w:left w:w="51" w:type="dxa"/>
                    <w:bottom w:w="0" w:type="dxa"/>
                    <w:right w:w="51" w:type="dxa"/>
                  </w:tcMar>
                  <w:vAlign w:val="center"/>
                </w:tcPr>
                <w:p w14:paraId="694D77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color w:val="auto"/>
                      <w:sz w:val="21"/>
                      <w:szCs w:val="21"/>
                      <w:lang w:eastAsia="zh-CN"/>
                    </w:rPr>
                    <w:t>汤阴</w:t>
                  </w:r>
                  <w:r>
                    <w:rPr>
                      <w:rFonts w:hint="eastAsia" w:cs="Times New Roman"/>
                      <w:color w:val="auto"/>
                      <w:sz w:val="21"/>
                      <w:szCs w:val="21"/>
                      <w:lang w:eastAsia="zh-CN"/>
                    </w:rPr>
                    <w:t>天雨污水净化有限公司</w:t>
                  </w:r>
                </w:p>
              </w:tc>
            </w:tr>
          </w:tbl>
          <w:p w14:paraId="446361D3">
            <w:pPr>
              <w:keepNext w:val="0"/>
              <w:keepLines w:val="0"/>
              <w:suppressLineNumbers w:val="0"/>
              <w:autoSpaceDE w:val="0"/>
              <w:autoSpaceDN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由</w:t>
            </w:r>
            <w:r>
              <w:rPr>
                <w:rFonts w:hint="eastAsia" w:ascii="Times New Roman" w:hAnsi="Times New Roman" w:eastAsia="宋体" w:cs="Times New Roman"/>
                <w:color w:val="auto"/>
                <w:sz w:val="24"/>
                <w:lang w:val="en-US" w:eastAsia="zh-CN"/>
              </w:rPr>
              <w:t>上表</w:t>
            </w:r>
            <w:r>
              <w:rPr>
                <w:rFonts w:hint="default" w:ascii="Times New Roman" w:hAnsi="Times New Roman" w:eastAsia="宋体" w:cs="Times New Roman"/>
                <w:color w:val="auto"/>
                <w:sz w:val="24"/>
                <w:lang w:val="en-US" w:eastAsia="zh-CN"/>
              </w:rPr>
              <w:t>可知，</w:t>
            </w:r>
            <w:bookmarkStart w:id="26" w:name="OLE_LINK172"/>
            <w:r>
              <w:rPr>
                <w:rFonts w:hint="default" w:ascii="Times New Roman" w:hAnsi="Times New Roman" w:eastAsia="宋体" w:cs="Times New Roman"/>
                <w:color w:val="auto"/>
                <w:sz w:val="24"/>
                <w:lang w:val="en-US" w:eastAsia="zh-CN"/>
              </w:rPr>
              <w:t>本项目运营期</w:t>
            </w:r>
            <w:r>
              <w:rPr>
                <w:rFonts w:hint="eastAsia" w:ascii="Times New Roman" w:hAnsi="Times New Roman" w:eastAsia="宋体" w:cs="Times New Roman"/>
                <w:color w:val="auto"/>
                <w:sz w:val="24"/>
                <w:lang w:val="en-US" w:eastAsia="zh-CN"/>
              </w:rPr>
              <w:t>食堂污水经隔油池预处理后与经化粪池处理后的其他</w:t>
            </w:r>
            <w:r>
              <w:rPr>
                <w:rFonts w:hint="default" w:ascii="Times New Roman" w:hAnsi="Times New Roman" w:eastAsia="宋体" w:cs="Times New Roman"/>
                <w:color w:val="auto"/>
                <w:sz w:val="24"/>
                <w:lang w:val="en-US" w:eastAsia="zh-CN"/>
              </w:rPr>
              <w:t>生活污水</w:t>
            </w:r>
            <w:r>
              <w:rPr>
                <w:rFonts w:hint="eastAsia" w:ascii="Times New Roman" w:hAnsi="Times New Roman" w:eastAsia="宋体" w:cs="Times New Roman"/>
                <w:color w:val="auto"/>
                <w:sz w:val="24"/>
                <w:lang w:val="en-US" w:eastAsia="zh-CN"/>
              </w:rPr>
              <w:t>一同通过生活污水排放口（DW001）纳入市政管网</w:t>
            </w:r>
            <w:r>
              <w:rPr>
                <w:rFonts w:hint="default" w:ascii="Times New Roman" w:hAnsi="Times New Roman" w:eastAsia="宋体" w:cs="Times New Roman"/>
                <w:color w:val="auto"/>
                <w:sz w:val="24"/>
                <w:lang w:val="en-US" w:eastAsia="zh-CN"/>
              </w:rPr>
              <w:t>，其各污染物排放浓度均可满足《污水综合排放标准》（GB8978-1996）中三级标准要求，且同时满足</w:t>
            </w:r>
            <w:bookmarkStart w:id="27" w:name="OLE_LINK164"/>
            <w:r>
              <w:rPr>
                <w:rFonts w:hint="default" w:ascii="Times New Roman" w:hAnsi="Times New Roman" w:eastAsia="宋体" w:cs="Times New Roman"/>
                <w:color w:val="auto"/>
                <w:sz w:val="24"/>
                <w:lang w:val="en-US" w:eastAsia="zh-CN"/>
              </w:rPr>
              <w:t>汤阴天雨污水净化有限公司进水指标要求（COD：</w:t>
            </w:r>
            <w:r>
              <w:rPr>
                <w:rFonts w:hint="eastAsia" w:cs="Times New Roman"/>
                <w:color w:val="auto"/>
                <w:sz w:val="24"/>
                <w:lang w:val="en-US" w:eastAsia="zh-CN"/>
              </w:rPr>
              <w:t>450</w:t>
            </w:r>
            <w:r>
              <w:rPr>
                <w:rFonts w:hint="default" w:ascii="Times New Roman" w:hAnsi="Times New Roman" w:eastAsia="宋体" w:cs="Times New Roman"/>
                <w:color w:val="auto"/>
                <w:sz w:val="24"/>
                <w:lang w:val="en-US" w:eastAsia="zh-CN"/>
              </w:rPr>
              <w:t>mg/L、BOD</w:t>
            </w:r>
            <w:r>
              <w:rPr>
                <w:rFonts w:hint="default" w:ascii="Times New Roman" w:hAnsi="Times New Roman" w:eastAsia="宋体" w:cs="Times New Roman"/>
                <w:color w:val="auto"/>
                <w:sz w:val="24"/>
                <w:vertAlign w:val="subscript"/>
                <w:lang w:val="en-US" w:eastAsia="zh-CN"/>
              </w:rPr>
              <w:t>5</w:t>
            </w:r>
            <w:r>
              <w:rPr>
                <w:rFonts w:hint="default" w:ascii="Times New Roman" w:hAnsi="Times New Roman" w:eastAsia="宋体" w:cs="Times New Roman"/>
                <w:color w:val="auto"/>
                <w:sz w:val="24"/>
                <w:lang w:val="en-US" w:eastAsia="zh-CN"/>
              </w:rPr>
              <w:t>：</w:t>
            </w:r>
            <w:r>
              <w:rPr>
                <w:rFonts w:hint="eastAsia" w:cs="Times New Roman"/>
                <w:color w:val="auto"/>
                <w:sz w:val="24"/>
                <w:lang w:val="en-US" w:eastAsia="zh-CN"/>
              </w:rPr>
              <w:t>200</w:t>
            </w:r>
            <w:r>
              <w:rPr>
                <w:rFonts w:hint="default" w:ascii="Times New Roman" w:hAnsi="Times New Roman" w:eastAsia="宋体" w:cs="Times New Roman"/>
                <w:color w:val="auto"/>
                <w:sz w:val="24"/>
                <w:lang w:val="en-US" w:eastAsia="zh-CN"/>
              </w:rPr>
              <w:t>mg/L、SS：</w:t>
            </w:r>
            <w:r>
              <w:rPr>
                <w:rFonts w:hint="eastAsia" w:ascii="Times New Roman" w:hAnsi="Times New Roman" w:eastAsia="宋体" w:cs="Times New Roman"/>
                <w:color w:val="auto"/>
                <w:sz w:val="24"/>
                <w:lang w:val="en-US" w:eastAsia="zh-CN"/>
              </w:rPr>
              <w:t>2</w:t>
            </w:r>
            <w:r>
              <w:rPr>
                <w:rFonts w:hint="eastAsia" w:cs="Times New Roman"/>
                <w:color w:val="auto"/>
                <w:sz w:val="24"/>
                <w:lang w:val="en-US" w:eastAsia="zh-CN"/>
              </w:rPr>
              <w:t>00</w:t>
            </w:r>
            <w:r>
              <w:rPr>
                <w:rFonts w:hint="default" w:ascii="Times New Roman" w:hAnsi="Times New Roman" w:eastAsia="宋体" w:cs="Times New Roman"/>
                <w:color w:val="auto"/>
                <w:sz w:val="24"/>
                <w:lang w:val="en-US" w:eastAsia="zh-CN"/>
              </w:rPr>
              <w:t>mg/L、氨氮：</w:t>
            </w:r>
            <w:r>
              <w:rPr>
                <w:rFonts w:hint="eastAsia" w:cs="Times New Roman"/>
                <w:color w:val="auto"/>
                <w:sz w:val="24"/>
                <w:lang w:val="en-US" w:eastAsia="zh-CN"/>
              </w:rPr>
              <w:t>40</w:t>
            </w:r>
            <w:r>
              <w:rPr>
                <w:rFonts w:hint="default" w:ascii="Times New Roman" w:hAnsi="Times New Roman" w:eastAsia="宋体" w:cs="Times New Roman"/>
                <w:color w:val="auto"/>
                <w:sz w:val="24"/>
                <w:lang w:val="en-US" w:eastAsia="zh-CN"/>
              </w:rPr>
              <w:t>mg/L</w:t>
            </w:r>
            <w:r>
              <w:rPr>
                <w:rFonts w:hint="eastAsia" w:ascii="Times New Roman" w:hAnsi="Times New Roman" w:eastAsia="宋体" w:cs="Times New Roman"/>
                <w:color w:val="auto"/>
                <w:sz w:val="24"/>
                <w:lang w:val="en-US" w:eastAsia="zh-CN"/>
              </w:rPr>
              <w:t>、总磷：5.0</w:t>
            </w:r>
            <w:r>
              <w:rPr>
                <w:rFonts w:hint="default" w:ascii="Times New Roman" w:hAnsi="Times New Roman" w:eastAsia="宋体" w:cs="Times New Roman"/>
                <w:color w:val="auto"/>
                <w:sz w:val="24"/>
                <w:lang w:val="en-US" w:eastAsia="zh-CN"/>
              </w:rPr>
              <w:t>mg/L）</w:t>
            </w:r>
            <w:bookmarkEnd w:id="26"/>
            <w:bookmarkEnd w:id="27"/>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由厂区污水排放口（DW001）排入市政污水管网，最终进入</w:t>
            </w:r>
            <w:r>
              <w:rPr>
                <w:rFonts w:hint="eastAsia" w:ascii="Times New Roman" w:hAnsi="Times New Roman" w:eastAsia="宋体" w:cs="Times New Roman"/>
                <w:color w:val="auto"/>
                <w:sz w:val="24"/>
                <w:lang w:val="en-US" w:eastAsia="zh-CN"/>
              </w:rPr>
              <w:t>汤阴</w:t>
            </w:r>
            <w:r>
              <w:rPr>
                <w:rFonts w:hint="eastAsia" w:cs="Times New Roman"/>
                <w:color w:val="auto"/>
                <w:sz w:val="24"/>
                <w:lang w:val="en-US" w:eastAsia="zh-CN"/>
              </w:rPr>
              <w:t>天雨污水净化</w:t>
            </w:r>
            <w:r>
              <w:rPr>
                <w:rFonts w:hint="eastAsia" w:ascii="Times New Roman" w:hAnsi="Times New Roman" w:eastAsia="宋体" w:cs="Times New Roman"/>
                <w:color w:val="auto"/>
                <w:sz w:val="24"/>
                <w:lang w:val="en-US" w:eastAsia="zh-CN"/>
              </w:rPr>
              <w:t>有限公司</w:t>
            </w:r>
            <w:r>
              <w:rPr>
                <w:rFonts w:hint="default" w:ascii="Times New Roman" w:hAnsi="Times New Roman" w:eastAsia="宋体" w:cs="Times New Roman"/>
                <w:color w:val="auto"/>
                <w:sz w:val="24"/>
                <w:lang w:val="en-US" w:eastAsia="zh-CN"/>
              </w:rPr>
              <w:t>深度处理后达标排放。因此，该项目废水对周边地表水环境影响较小。</w:t>
            </w:r>
          </w:p>
          <w:p w14:paraId="05960DBE">
            <w:pPr>
              <w:keepNext w:val="0"/>
              <w:keepLines w:val="0"/>
              <w:suppressLineNumbers w:val="0"/>
              <w:adjustRightInd w:val="0"/>
              <w:snapToGrid w:val="0"/>
              <w:spacing w:before="0" w:beforeAutospacing="0" w:after="0" w:afterAutospacing="0" w:line="360" w:lineRule="auto"/>
              <w:ind w:left="0" w:right="0" w:firstLine="241" w:firstLineChars="100"/>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2.2废水处理可行性分析</w:t>
            </w:r>
          </w:p>
          <w:p w14:paraId="1B02D68C">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（1）废水处理设施可行性分析</w:t>
            </w:r>
          </w:p>
          <w:p w14:paraId="0FBDD9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b w:val="0"/>
                <w:bCs w:val="0"/>
                <w:color w:val="auto"/>
                <w:sz w:val="24"/>
                <w:lang w:val="en-US" w:eastAsia="zh-CN"/>
              </w:rPr>
            </w:pPr>
            <w:r>
              <w:rPr>
                <w:rFonts w:hint="eastAsia"/>
                <w:b w:val="0"/>
                <w:bCs w:val="0"/>
                <w:color w:val="auto"/>
                <w:sz w:val="24"/>
                <w:lang w:val="en-US" w:eastAsia="zh-CN"/>
              </w:rPr>
              <w:t>隔油池：</w:t>
            </w:r>
          </w:p>
          <w:p w14:paraId="40A6D5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b w:val="0"/>
                <w:bCs w:val="0"/>
                <w:color w:val="auto"/>
                <w:sz w:val="24"/>
                <w:lang w:val="en-US" w:eastAsia="zh-CN"/>
              </w:rPr>
            </w:pPr>
            <w:r>
              <w:rPr>
                <w:rFonts w:hint="eastAsia"/>
                <w:b w:val="0"/>
                <w:bCs w:val="0"/>
                <w:color w:val="auto"/>
                <w:sz w:val="24"/>
                <w:lang w:val="en-US" w:eastAsia="zh-CN"/>
              </w:rPr>
              <w:t>参考《饮食业环境保护技术规范》（HJ 554—2010）中第7条排水与隔油要求：饮食业单位排放的含油污水应经隔油设施处理后排放，当选用隔油池时，隔油池应符合下列要求：</w:t>
            </w:r>
          </w:p>
          <w:p w14:paraId="4AA5B4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b w:val="0"/>
                <w:bCs w:val="0"/>
                <w:color w:val="auto"/>
                <w:sz w:val="24"/>
                <w:lang w:val="en-US" w:eastAsia="zh-CN"/>
              </w:rPr>
            </w:pPr>
            <w:r>
              <w:rPr>
                <w:rFonts w:hint="eastAsia"/>
                <w:b w:val="0"/>
                <w:bCs w:val="0"/>
                <w:color w:val="auto"/>
                <w:sz w:val="24"/>
                <w:lang w:val="en-US" w:eastAsia="zh-CN"/>
              </w:rPr>
              <w:t>a）隔油设施不应设在厨房、饮食制作间及其他有卫生要求的空间内；</w:t>
            </w:r>
          </w:p>
          <w:p w14:paraId="5351E7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b w:val="0"/>
                <w:bCs w:val="0"/>
                <w:color w:val="auto"/>
                <w:sz w:val="24"/>
                <w:lang w:val="en-US" w:eastAsia="zh-CN"/>
              </w:rPr>
            </w:pPr>
            <w:r>
              <w:rPr>
                <w:rFonts w:hint="eastAsia"/>
                <w:b w:val="0"/>
                <w:bCs w:val="0"/>
                <w:color w:val="auto"/>
                <w:sz w:val="24"/>
                <w:lang w:val="en-US" w:eastAsia="zh-CN"/>
              </w:rPr>
              <w:t xml:space="preserve">b）含油污水的水力停留时间不宜小于0.5 h； </w:t>
            </w:r>
          </w:p>
          <w:p w14:paraId="2F8A2A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b w:val="0"/>
                <w:bCs w:val="0"/>
                <w:color w:val="auto"/>
                <w:sz w:val="24"/>
                <w:lang w:val="en-US" w:eastAsia="zh-CN"/>
              </w:rPr>
            </w:pPr>
            <w:r>
              <w:rPr>
                <w:rFonts w:hint="eastAsia"/>
                <w:b w:val="0"/>
                <w:bCs w:val="0"/>
                <w:color w:val="auto"/>
                <w:sz w:val="24"/>
                <w:lang w:val="en-US" w:eastAsia="zh-CN"/>
              </w:rPr>
              <w:t xml:space="preserve">c）池内水流流速不宜大于0.005 m/s； </w:t>
            </w:r>
          </w:p>
          <w:p w14:paraId="5C6301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b w:val="0"/>
                <w:bCs w:val="0"/>
                <w:color w:val="auto"/>
                <w:sz w:val="24"/>
                <w:lang w:val="en-US" w:eastAsia="zh-CN"/>
              </w:rPr>
            </w:pPr>
            <w:r>
              <w:rPr>
                <w:rFonts w:hint="eastAsia"/>
                <w:b w:val="0"/>
                <w:bCs w:val="0"/>
                <w:color w:val="auto"/>
                <w:sz w:val="24"/>
                <w:lang w:val="en-US" w:eastAsia="zh-CN"/>
              </w:rPr>
              <w:t xml:space="preserve">d）池内分格宜取二档三格； </w:t>
            </w:r>
          </w:p>
          <w:p w14:paraId="0E47A4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239" w:leftChars="114" w:right="0" w:firstLine="240" w:firstLineChars="100"/>
              <w:textAlignment w:val="auto"/>
              <w:rPr>
                <w:rFonts w:hint="eastAsia"/>
                <w:b w:val="0"/>
                <w:bCs w:val="0"/>
                <w:color w:val="auto"/>
                <w:sz w:val="24"/>
                <w:lang w:val="en-US" w:eastAsia="zh-CN"/>
              </w:rPr>
            </w:pPr>
            <w:r>
              <w:rPr>
                <w:rFonts w:hint="eastAsia"/>
                <w:b w:val="0"/>
                <w:bCs w:val="0"/>
                <w:color w:val="auto"/>
                <w:sz w:val="24"/>
                <w:lang w:val="en-US" w:eastAsia="zh-CN"/>
              </w:rPr>
              <w:t xml:space="preserve">e）人工除油的隔油池内存油部分容积不宜小于该池有效容积的25%；隔油池出水管管底至池底的深度，不宜小于0.6 m； </w:t>
            </w:r>
          </w:p>
          <w:p w14:paraId="2DF094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b w:val="0"/>
                <w:bCs w:val="0"/>
                <w:color w:val="auto"/>
                <w:sz w:val="24"/>
                <w:lang w:val="en-US" w:eastAsia="zh-CN"/>
              </w:rPr>
            </w:pPr>
            <w:r>
              <w:rPr>
                <w:rFonts w:hint="eastAsia"/>
                <w:b w:val="0"/>
                <w:bCs w:val="0"/>
                <w:color w:val="auto"/>
                <w:sz w:val="24"/>
                <w:lang w:val="en-US" w:eastAsia="zh-CN"/>
              </w:rPr>
              <w:t>f）与隔油池相连的管道均应防酸碱、耐高温。</w:t>
            </w:r>
          </w:p>
          <w:p w14:paraId="00A41C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本项目隔油池按照上述要求建设，食堂污水的产生量为</w:t>
            </w:r>
            <w:r>
              <w:rPr>
                <w:rFonts w:hint="eastAsia" w:cs="Times New Roman"/>
                <w:b w:val="0"/>
                <w:bCs w:val="0"/>
                <w:color w:val="auto"/>
                <w:sz w:val="24"/>
                <w:lang w:val="en-US" w:eastAsia="zh-CN"/>
              </w:rPr>
              <w:t>25.6</w:t>
            </w:r>
            <w:r>
              <w:rPr>
                <w:rFonts w:hint="eastAsia" w:ascii="Times New Roman" w:hAnsi="Times New Roman" w:eastAsia="宋体" w:cs="Times New Roman"/>
                <w:b w:val="0"/>
                <w:bCs w:val="0"/>
                <w:color w:val="auto"/>
                <w:sz w:val="24"/>
                <w:lang w:val="en-US" w:eastAsia="zh-CN"/>
              </w:rPr>
              <w:t>m</w:t>
            </w:r>
            <w:r>
              <w:rPr>
                <w:rFonts w:hint="eastAsia" w:ascii="Times New Roman" w:hAnsi="Times New Roman" w:eastAsia="宋体" w:cs="Times New Roman"/>
                <w:b w:val="0"/>
                <w:bCs w:val="0"/>
                <w:color w:val="auto"/>
                <w:sz w:val="24"/>
                <w:vertAlign w:val="superscript"/>
                <w:lang w:val="en-US" w:eastAsia="zh-CN"/>
              </w:rPr>
              <w:t>3</w:t>
            </w:r>
            <w:r>
              <w:rPr>
                <w:rFonts w:hint="eastAsia" w:ascii="Times New Roman" w:hAnsi="Times New Roman" w:eastAsia="宋体" w:cs="Times New Roman"/>
                <w:b w:val="0"/>
                <w:bCs w:val="0"/>
                <w:color w:val="auto"/>
                <w:sz w:val="24"/>
                <w:vertAlign w:val="baseline"/>
                <w:lang w:val="en-US" w:eastAsia="zh-CN"/>
              </w:rPr>
              <w:t>/a（</w:t>
            </w:r>
            <w:r>
              <w:rPr>
                <w:rFonts w:hint="eastAsia" w:cs="Times New Roman"/>
                <w:b w:val="0"/>
                <w:bCs w:val="0"/>
                <w:color w:val="auto"/>
                <w:sz w:val="24"/>
                <w:vertAlign w:val="baseline"/>
                <w:lang w:val="en-US" w:eastAsia="zh-CN"/>
              </w:rPr>
              <w:t>0.0853</w:t>
            </w:r>
            <w:r>
              <w:rPr>
                <w:rFonts w:hint="eastAsia" w:ascii="Times New Roman" w:hAnsi="Times New Roman" w:eastAsia="宋体" w:cs="Times New Roman"/>
                <w:b w:val="0"/>
                <w:bCs w:val="0"/>
                <w:color w:val="auto"/>
                <w:sz w:val="24"/>
                <w:lang w:val="en-US" w:eastAsia="zh-CN"/>
              </w:rPr>
              <w:t>m</w:t>
            </w:r>
            <w:r>
              <w:rPr>
                <w:rFonts w:hint="eastAsia" w:ascii="Times New Roman" w:hAnsi="Times New Roman" w:eastAsia="宋体" w:cs="Times New Roman"/>
                <w:b w:val="0"/>
                <w:bCs w:val="0"/>
                <w:color w:val="auto"/>
                <w:sz w:val="24"/>
                <w:vertAlign w:val="superscript"/>
                <w:lang w:val="en-US" w:eastAsia="zh-CN"/>
              </w:rPr>
              <w:t>3</w:t>
            </w:r>
            <w:r>
              <w:rPr>
                <w:rFonts w:hint="eastAsia" w:ascii="Times New Roman" w:hAnsi="Times New Roman" w:eastAsia="宋体" w:cs="Times New Roman"/>
                <w:b w:val="0"/>
                <w:bCs w:val="0"/>
                <w:color w:val="auto"/>
                <w:sz w:val="24"/>
                <w:vertAlign w:val="baseline"/>
                <w:lang w:val="en-US" w:eastAsia="zh-CN"/>
              </w:rPr>
              <w:t>/d）</w:t>
            </w:r>
            <w:r>
              <w:rPr>
                <w:rFonts w:hint="eastAsia" w:ascii="Times New Roman" w:hAnsi="Times New Roman" w:eastAsia="宋体" w:cs="Times New Roman"/>
                <w:b w:val="0"/>
                <w:bCs w:val="0"/>
                <w:color w:val="auto"/>
                <w:sz w:val="24"/>
                <w:lang w:val="en-US" w:eastAsia="zh-CN"/>
              </w:rPr>
              <w:t>，水力停留时间以2h计，隔油池的大小为</w:t>
            </w:r>
            <w:r>
              <w:rPr>
                <w:rFonts w:hint="eastAsia" w:cs="Times New Roman"/>
                <w:b w:val="0"/>
                <w:bCs w:val="0"/>
                <w:color w:val="auto"/>
                <w:sz w:val="24"/>
                <w:lang w:val="en-US" w:eastAsia="zh-CN"/>
              </w:rPr>
              <w:t>1</w:t>
            </w:r>
            <w:r>
              <w:rPr>
                <w:rFonts w:hint="eastAsia" w:ascii="Times New Roman" w:hAnsi="Times New Roman" w:eastAsia="宋体" w:cs="Times New Roman"/>
                <w:b w:val="0"/>
                <w:bCs w:val="0"/>
                <w:color w:val="auto"/>
                <w:sz w:val="24"/>
                <w:lang w:val="en-US" w:eastAsia="zh-CN"/>
              </w:rPr>
              <w:t>m</w:t>
            </w:r>
            <w:r>
              <w:rPr>
                <w:rFonts w:hint="eastAsia" w:ascii="Times New Roman" w:hAnsi="Times New Roman" w:eastAsia="宋体" w:cs="Times New Roman"/>
                <w:b w:val="0"/>
                <w:bCs w:val="0"/>
                <w:color w:val="auto"/>
                <w:sz w:val="24"/>
                <w:vertAlign w:val="superscript"/>
                <w:lang w:val="en-US" w:eastAsia="zh-CN"/>
              </w:rPr>
              <w:t>3</w:t>
            </w:r>
            <w:r>
              <w:rPr>
                <w:rFonts w:hint="eastAsia" w:ascii="Times New Roman" w:hAnsi="Times New Roman" w:eastAsia="宋体" w:cs="Times New Roman"/>
                <w:b w:val="0"/>
                <w:bCs w:val="0"/>
                <w:color w:val="auto"/>
                <w:sz w:val="24"/>
                <w:vertAlign w:val="baseline"/>
                <w:lang w:val="en-US" w:eastAsia="zh-CN"/>
              </w:rPr>
              <w:t>（3格），处理能力为2h/</w:t>
            </w:r>
            <w:r>
              <w:rPr>
                <w:rFonts w:hint="eastAsia" w:cs="Times New Roman"/>
                <w:b w:val="0"/>
                <w:bCs w:val="0"/>
                <w:color w:val="auto"/>
                <w:sz w:val="24"/>
                <w:vertAlign w:val="baseline"/>
                <w:lang w:val="en-US" w:eastAsia="zh-CN"/>
              </w:rPr>
              <w:t>0.33</w:t>
            </w:r>
            <w:r>
              <w:rPr>
                <w:rFonts w:hint="eastAsia" w:ascii="Times New Roman" w:hAnsi="Times New Roman" w:eastAsia="宋体" w:cs="Times New Roman"/>
                <w:b w:val="0"/>
                <w:bCs w:val="0"/>
                <w:color w:val="auto"/>
                <w:sz w:val="24"/>
                <w:vertAlign w:val="baseline"/>
                <w:lang w:val="en-US" w:eastAsia="zh-CN"/>
              </w:rPr>
              <w:t>m</w:t>
            </w:r>
            <w:r>
              <w:rPr>
                <w:rFonts w:hint="eastAsia" w:ascii="Times New Roman" w:hAnsi="Times New Roman" w:eastAsia="宋体" w:cs="Times New Roman"/>
                <w:b w:val="0"/>
                <w:bCs w:val="0"/>
                <w:color w:val="auto"/>
                <w:sz w:val="24"/>
                <w:vertAlign w:val="superscript"/>
                <w:lang w:val="en-US" w:eastAsia="zh-CN"/>
              </w:rPr>
              <w:t>3</w:t>
            </w:r>
            <w:r>
              <w:rPr>
                <w:rFonts w:hint="eastAsia" w:ascii="Times New Roman" w:hAnsi="Times New Roman" w:eastAsia="宋体" w:cs="Times New Roman"/>
                <w:b w:val="0"/>
                <w:bCs w:val="0"/>
                <w:color w:val="auto"/>
                <w:sz w:val="24"/>
                <w:lang w:val="en-US" w:eastAsia="zh-CN"/>
              </w:rPr>
              <w:t>，能够满足食堂污水处理的需求。</w:t>
            </w:r>
          </w:p>
          <w:p w14:paraId="06BA429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化粪池：</w:t>
            </w:r>
          </w:p>
          <w:p w14:paraId="12827F0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本项目</w:t>
            </w:r>
            <w:r>
              <w:rPr>
                <w:rFonts w:hint="eastAsia" w:cs="Times New Roman"/>
                <w:b w:val="0"/>
                <w:bCs w:val="0"/>
                <w:color w:val="auto"/>
                <w:kern w:val="2"/>
                <w:sz w:val="24"/>
                <w:szCs w:val="24"/>
                <w:lang w:val="en-US" w:eastAsia="zh-CN" w:bidi="ar-SA"/>
              </w:rPr>
              <w:t>除食堂废水外其他</w:t>
            </w:r>
            <w:r>
              <w:rPr>
                <w:rFonts w:hint="eastAsia"/>
                <w:color w:val="auto"/>
                <w:sz w:val="24"/>
                <w:lang w:val="en-US" w:eastAsia="zh-CN"/>
              </w:rPr>
              <w:t>生活污水的产生量为583.2m</w:t>
            </w:r>
            <w:r>
              <w:rPr>
                <w:rFonts w:hint="eastAsia"/>
                <w:color w:val="auto"/>
                <w:sz w:val="24"/>
                <w:vertAlign w:val="superscript"/>
                <w:lang w:val="en-US" w:eastAsia="zh-CN"/>
              </w:rPr>
              <w:t>3</w:t>
            </w:r>
            <w:r>
              <w:rPr>
                <w:rFonts w:hint="eastAsia"/>
                <w:color w:val="auto"/>
                <w:sz w:val="24"/>
                <w:lang w:val="en-US" w:eastAsia="zh-CN"/>
              </w:rPr>
              <w:t>/a（1.944m</w:t>
            </w:r>
            <w:r>
              <w:rPr>
                <w:rFonts w:hint="eastAsia"/>
                <w:color w:val="auto"/>
                <w:sz w:val="24"/>
                <w:vertAlign w:val="superscript"/>
                <w:lang w:val="en-US" w:eastAsia="zh-CN"/>
              </w:rPr>
              <w:t>3</w:t>
            </w:r>
            <w:r>
              <w:rPr>
                <w:rFonts w:hint="eastAsia"/>
                <w:color w:val="auto"/>
                <w:sz w:val="24"/>
                <w:lang w:val="en-US" w:eastAsia="zh-CN"/>
              </w:rPr>
              <w:t>/d），化粪池的大小为5m</w:t>
            </w:r>
            <w:r>
              <w:rPr>
                <w:rFonts w:hint="eastAsia"/>
                <w:color w:val="auto"/>
                <w:sz w:val="24"/>
                <w:vertAlign w:val="superscript"/>
                <w:lang w:val="en-US" w:eastAsia="zh-CN"/>
              </w:rPr>
              <w:t>3</w:t>
            </w:r>
            <w:r>
              <w:rPr>
                <w:rFonts w:hint="eastAsia"/>
                <w:color w:val="auto"/>
                <w:sz w:val="24"/>
                <w:lang w:val="en-US" w:eastAsia="zh-CN"/>
              </w:rPr>
              <w:t>，</w:t>
            </w:r>
            <w:r>
              <w:rPr>
                <w:rFonts w:hint="eastAsia" w:ascii="Times New Roman" w:hAnsi="Times New Roman" w:eastAsia="宋体" w:cs="Times New Roman"/>
                <w:b w:val="0"/>
                <w:bCs w:val="0"/>
                <w:color w:val="auto"/>
                <w:sz w:val="24"/>
                <w:lang w:val="en-US" w:eastAsia="zh-CN"/>
              </w:rPr>
              <w:t>水力停留时间以24h计，能够满足生活污水处理的需求。</w:t>
            </w:r>
          </w:p>
          <w:p w14:paraId="376FF2E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b w:val="0"/>
                <w:bCs w:val="0"/>
                <w:sz w:val="24"/>
                <w:lang w:val="en-US" w:eastAsia="zh-CN"/>
              </w:rPr>
            </w:pPr>
            <w:r>
              <w:rPr>
                <w:rFonts w:hint="eastAsia" w:ascii="Times New Roman" w:hAnsi="Times New Roman" w:eastAsia="宋体" w:cs="Times New Roman"/>
                <w:b w:val="0"/>
                <w:bCs w:val="0"/>
                <w:kern w:val="2"/>
                <w:sz w:val="24"/>
                <w:szCs w:val="24"/>
                <w:lang w:val="en-US" w:eastAsia="zh-CN" w:bidi="ar-SA"/>
              </w:rPr>
              <w:t>（2）</w:t>
            </w:r>
            <w:r>
              <w:rPr>
                <w:rFonts w:hint="eastAsia" w:ascii="Times New Roman" w:hAnsi="Times New Roman" w:eastAsia="宋体" w:cs="Times New Roman"/>
                <w:b w:val="0"/>
                <w:bCs w:val="0"/>
                <w:sz w:val="24"/>
                <w:lang w:val="en-US" w:eastAsia="zh-CN"/>
              </w:rPr>
              <w:t>废水依托污水处理厂可行性分析</w:t>
            </w:r>
          </w:p>
          <w:p w14:paraId="379BCB4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both"/>
              <w:textAlignment w:val="auto"/>
              <w:outlineLvl w:val="9"/>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汤阴天雨污水净化有限公司位于汤阴县产业集聚区众品大道以北、汤伏路以东，该污水处理厂一期工程已经于2018年底建成，于2019年10月正式投入运营，处理规模为2万m</w:t>
            </w:r>
            <w:r>
              <w:rPr>
                <w:rFonts w:hint="eastAsia" w:ascii="Times New Roman" w:hAnsi="Times New Roman" w:eastAsia="宋体" w:cs="Times New Roman"/>
                <w:sz w:val="24"/>
                <w:szCs w:val="24"/>
                <w:vertAlign w:val="superscript"/>
                <w:lang w:eastAsia="zh-CN"/>
              </w:rPr>
              <w:t>3</w:t>
            </w:r>
            <w:r>
              <w:rPr>
                <w:rFonts w:hint="eastAsia" w:ascii="Times New Roman" w:hAnsi="Times New Roman" w:eastAsia="宋体" w:cs="Times New Roman"/>
                <w:sz w:val="24"/>
                <w:szCs w:val="24"/>
                <w:lang w:eastAsia="zh-CN"/>
              </w:rPr>
              <w:t>/d，污水处理厂主体工艺采用“旋流沉砂池+水解酸化池+A</w:t>
            </w:r>
            <w:r>
              <w:rPr>
                <w:rFonts w:hint="eastAsia" w:ascii="Times New Roman" w:hAnsi="Times New Roman" w:eastAsia="宋体" w:cs="Times New Roman"/>
                <w:sz w:val="24"/>
                <w:szCs w:val="24"/>
                <w:vertAlign w:val="superscript"/>
                <w:lang w:eastAsia="zh-CN"/>
              </w:rPr>
              <w:t>2</w:t>
            </w:r>
            <w:r>
              <w:rPr>
                <w:rFonts w:hint="eastAsia" w:ascii="Times New Roman" w:hAnsi="Times New Roman" w:eastAsia="宋体" w:cs="Times New Roman"/>
                <w:sz w:val="24"/>
                <w:szCs w:val="24"/>
                <w:lang w:eastAsia="zh-CN"/>
              </w:rPr>
              <w:t>O池+二沉池+高密度沉淀池+纤维转盘滤池+紫外消毒”工艺，服务范围为6.7km</w:t>
            </w:r>
            <w:r>
              <w:rPr>
                <w:rFonts w:hint="eastAsia" w:ascii="Times New Roman" w:hAnsi="Times New Roman" w:eastAsia="宋体" w:cs="Times New Roman"/>
                <w:sz w:val="24"/>
                <w:szCs w:val="24"/>
                <w:vertAlign w:val="superscript"/>
                <w:lang w:eastAsia="zh-CN"/>
              </w:rPr>
              <w:t>2</w:t>
            </w:r>
            <w:r>
              <w:rPr>
                <w:rFonts w:hint="eastAsia" w:ascii="Times New Roman" w:hAnsi="Times New Roman" w:eastAsia="宋体" w:cs="Times New Roman"/>
                <w:sz w:val="24"/>
                <w:szCs w:val="24"/>
                <w:lang w:eastAsia="zh-CN"/>
              </w:rPr>
              <w:t>，具体范围为京港澳高速以东，精忠路-扁鹊路-302省道-集聚区东边界-汤伏路-惠民街-兴隆路-精忠路-京广高铁-复兴大道-工经一路-振兴大道-金秋路-淤泥河-京港澳高速合围区域。出水水质执行《城镇污水处理厂污染物排放标准》（GB18918-2002）一级A标准。</w:t>
            </w:r>
          </w:p>
          <w:p w14:paraId="79160FB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leftChars="0" w:right="0" w:firstLine="480" w:firstLineChars="200"/>
              <w:jc w:val="both"/>
              <w:textAlignment w:val="auto"/>
              <w:outlineLvl w:val="9"/>
              <w:rPr>
                <w:rFonts w:hint="default" w:ascii="Times New Roman" w:hAnsi="Times New Roman" w:eastAsia="宋体" w:cs="Times New Roman"/>
                <w:color w:val="auto"/>
                <w:sz w:val="24"/>
                <w:szCs w:val="24"/>
              </w:rPr>
            </w:pPr>
            <w:r>
              <w:rPr>
                <w:rFonts w:hint="eastAsia" w:ascii="Times New Roman" w:hAnsi="Times New Roman" w:eastAsia="宋体" w:cs="Times New Roman"/>
                <w:sz w:val="24"/>
                <w:szCs w:val="24"/>
                <w:lang w:eastAsia="zh-CN"/>
              </w:rPr>
              <w:t>汤阴天雨污水净化有限公司收水范围为汤阴县产业集聚区内的工业企业废水和职工生活污水，本项目厂区沿道路两侧的污水管网均已铺设完毕。汤阴天雨污水净化有限公司现状最大处理水量13886m</w:t>
            </w:r>
            <w:r>
              <w:rPr>
                <w:rFonts w:hint="eastAsia" w:ascii="Times New Roman" w:hAnsi="Times New Roman" w:eastAsia="宋体" w:cs="Times New Roman"/>
                <w:sz w:val="24"/>
                <w:szCs w:val="24"/>
                <w:vertAlign w:val="superscript"/>
                <w:lang w:eastAsia="zh-CN"/>
              </w:rPr>
              <w:t>3</w:t>
            </w:r>
            <w:r>
              <w:rPr>
                <w:rFonts w:hint="eastAsia" w:ascii="Times New Roman" w:hAnsi="Times New Roman" w:eastAsia="宋体" w:cs="Times New Roman"/>
                <w:sz w:val="24"/>
                <w:szCs w:val="24"/>
                <w:lang w:eastAsia="zh-CN"/>
              </w:rPr>
              <w:t>/d，本项目新增废水水量为</w:t>
            </w:r>
            <w:r>
              <w:rPr>
                <w:rFonts w:hint="eastAsia" w:cs="Times New Roman"/>
                <w:sz w:val="24"/>
                <w:szCs w:val="24"/>
                <w:lang w:val="en-US" w:eastAsia="zh-CN"/>
              </w:rPr>
              <w:t>2.0293</w:t>
            </w:r>
            <w:r>
              <w:rPr>
                <w:rFonts w:hint="eastAsia" w:ascii="Times New Roman" w:hAnsi="Times New Roman" w:eastAsia="宋体" w:cs="Times New Roman"/>
                <w:sz w:val="24"/>
                <w:szCs w:val="24"/>
                <w:lang w:eastAsia="zh-CN"/>
              </w:rPr>
              <w:t>m</w:t>
            </w:r>
            <w:r>
              <w:rPr>
                <w:rFonts w:hint="eastAsia" w:ascii="Times New Roman" w:hAnsi="Times New Roman" w:eastAsia="宋体" w:cs="Times New Roman"/>
                <w:sz w:val="24"/>
                <w:szCs w:val="24"/>
                <w:vertAlign w:val="superscript"/>
                <w:lang w:eastAsia="zh-CN"/>
              </w:rPr>
              <w:t>3</w:t>
            </w:r>
            <w:r>
              <w:rPr>
                <w:rFonts w:hint="eastAsia" w:ascii="Times New Roman" w:hAnsi="Times New Roman" w:eastAsia="宋体" w:cs="Times New Roman"/>
                <w:sz w:val="24"/>
                <w:szCs w:val="24"/>
                <w:lang w:eastAsia="zh-CN"/>
              </w:rPr>
              <w:t>/d，未超出汤阴天雨污水净化有限公司剩余处理能力。</w:t>
            </w:r>
          </w:p>
          <w:p w14:paraId="517264D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sz w:val="24"/>
                <w:lang w:val="en-US" w:eastAsia="zh-CN"/>
              </w:rPr>
              <w:t>本项目运营期生活污水</w:t>
            </w:r>
            <w:r>
              <w:rPr>
                <w:rFonts w:hint="eastAsia" w:ascii="Times New Roman" w:hAnsi="Times New Roman" w:eastAsia="宋体" w:cs="Times New Roman"/>
                <w:sz w:val="24"/>
                <w:lang w:val="en-US" w:eastAsia="zh-CN"/>
              </w:rPr>
              <w:t>与食堂废水通过综合排放口排放</w:t>
            </w:r>
            <w:r>
              <w:rPr>
                <w:rFonts w:hint="default" w:ascii="Times New Roman" w:hAnsi="Times New Roman" w:eastAsia="宋体" w:cs="Times New Roman"/>
                <w:sz w:val="24"/>
                <w:lang w:val="en-US" w:eastAsia="zh-CN"/>
              </w:rPr>
              <w:t>，其各污染物排放浓度均可满足《污水综合排放标准》（GB8978-1996）中三级标准要求，且同时满足</w:t>
            </w:r>
            <w:bookmarkStart w:id="28" w:name="OLE_LINK173"/>
            <w:r>
              <w:rPr>
                <w:rFonts w:hint="default" w:ascii="Times New Roman" w:hAnsi="Times New Roman" w:eastAsia="宋体" w:cs="Times New Roman"/>
                <w:sz w:val="24"/>
                <w:lang w:val="en-US" w:eastAsia="zh-CN"/>
              </w:rPr>
              <w:t>汤阴天雨污水净化有限公司</w:t>
            </w:r>
            <w:bookmarkEnd w:id="28"/>
            <w:r>
              <w:rPr>
                <w:rFonts w:hint="default" w:ascii="Times New Roman" w:hAnsi="Times New Roman" w:eastAsia="宋体" w:cs="Times New Roman"/>
                <w:sz w:val="24"/>
                <w:lang w:val="en-US" w:eastAsia="zh-CN"/>
              </w:rPr>
              <w:t>进水指标要求（COD：</w:t>
            </w:r>
            <w:r>
              <w:rPr>
                <w:rFonts w:hint="eastAsia" w:ascii="Times New Roman" w:hAnsi="Times New Roman" w:eastAsia="宋体" w:cs="Times New Roman"/>
                <w:sz w:val="24"/>
                <w:lang w:val="en-US" w:eastAsia="zh-CN"/>
              </w:rPr>
              <w:t>45</w:t>
            </w:r>
            <w:r>
              <w:rPr>
                <w:rFonts w:hint="default" w:ascii="Times New Roman" w:hAnsi="Times New Roman" w:eastAsia="宋体" w:cs="Times New Roman"/>
                <w:sz w:val="24"/>
                <w:lang w:val="en-US" w:eastAsia="zh-CN"/>
              </w:rPr>
              <w:t>0mg/L、BOD</w:t>
            </w:r>
            <w:r>
              <w:rPr>
                <w:rFonts w:hint="default" w:ascii="Times New Roman" w:hAnsi="Times New Roman" w:eastAsia="宋体" w:cs="Times New Roman"/>
                <w:sz w:val="24"/>
                <w:vertAlign w:val="subscript"/>
                <w:lang w:val="en-US" w:eastAsia="zh-CN"/>
              </w:rPr>
              <w:t>5</w:t>
            </w:r>
            <w:r>
              <w:rPr>
                <w:rFonts w:hint="default" w:ascii="Times New Roman" w:hAnsi="Times New Roman" w:eastAsia="宋体" w:cs="Times New Roman"/>
                <w:sz w:val="24"/>
                <w:lang w:val="en-US" w:eastAsia="zh-CN"/>
              </w:rPr>
              <w:t>：</w:t>
            </w:r>
            <w:r>
              <w:rPr>
                <w:rFonts w:hint="eastAsia" w:ascii="Times New Roman" w:hAnsi="Times New Roman" w:eastAsia="宋体" w:cs="Times New Roman"/>
                <w:sz w:val="24"/>
                <w:lang w:val="en-US" w:eastAsia="zh-CN"/>
              </w:rPr>
              <w:t>2</w:t>
            </w:r>
            <w:r>
              <w:rPr>
                <w:rFonts w:hint="default" w:ascii="Times New Roman" w:hAnsi="Times New Roman" w:eastAsia="宋体" w:cs="Times New Roman"/>
                <w:sz w:val="24"/>
                <w:lang w:val="en-US" w:eastAsia="zh-CN"/>
              </w:rPr>
              <w:t>00mg/L、SS：</w:t>
            </w:r>
            <w:r>
              <w:rPr>
                <w:rFonts w:hint="eastAsia" w:ascii="Times New Roman" w:hAnsi="Times New Roman" w:eastAsia="宋体" w:cs="Times New Roman"/>
                <w:sz w:val="24"/>
                <w:lang w:val="en-US" w:eastAsia="zh-CN"/>
              </w:rPr>
              <w:t>200</w:t>
            </w:r>
            <w:r>
              <w:rPr>
                <w:rFonts w:hint="default" w:ascii="Times New Roman" w:hAnsi="Times New Roman" w:eastAsia="宋体" w:cs="Times New Roman"/>
                <w:sz w:val="24"/>
                <w:lang w:val="en-US" w:eastAsia="zh-CN"/>
              </w:rPr>
              <w:t>mg/L、氨氮：</w:t>
            </w:r>
            <w:r>
              <w:rPr>
                <w:rFonts w:hint="eastAsia" w:ascii="Times New Roman" w:hAnsi="Times New Roman" w:eastAsia="宋体" w:cs="Times New Roman"/>
                <w:sz w:val="24"/>
                <w:lang w:val="en-US" w:eastAsia="zh-CN"/>
              </w:rPr>
              <w:t>40</w:t>
            </w:r>
            <w:r>
              <w:rPr>
                <w:rFonts w:hint="default" w:ascii="Times New Roman" w:hAnsi="Times New Roman" w:eastAsia="宋体" w:cs="Times New Roman"/>
                <w:sz w:val="24"/>
                <w:lang w:val="en-US" w:eastAsia="zh-CN"/>
              </w:rPr>
              <w:t>mg/L）</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由厂区污水排放口（DW001）排入市政污水管网，最终进入汤阴天雨污水净化有限公司深度处理后达标排放。</w:t>
            </w:r>
          </w:p>
          <w:p w14:paraId="11AE573A">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val="0"/>
                <w:bCs w:val="0"/>
                <w:color w:val="auto"/>
                <w:sz w:val="24"/>
                <w:szCs w:val="24"/>
              </w:rPr>
              <w:t>因此，从收水范围、进水水质等角度分析，该项目</w:t>
            </w:r>
            <w:r>
              <w:rPr>
                <w:rFonts w:hint="eastAsia" w:ascii="Times New Roman" w:hAnsi="Times New Roman" w:eastAsia="宋体" w:cs="Times New Roman"/>
                <w:b w:val="0"/>
                <w:bCs w:val="0"/>
                <w:color w:val="auto"/>
                <w:sz w:val="24"/>
                <w:szCs w:val="24"/>
                <w:lang w:eastAsia="zh-CN"/>
              </w:rPr>
              <w:t>综合废水</w:t>
            </w:r>
            <w:r>
              <w:rPr>
                <w:rFonts w:hint="default" w:ascii="Times New Roman" w:hAnsi="Times New Roman" w:eastAsia="宋体" w:cs="Times New Roman"/>
                <w:b w:val="0"/>
                <w:bCs w:val="0"/>
                <w:color w:val="auto"/>
                <w:sz w:val="24"/>
                <w:szCs w:val="24"/>
              </w:rPr>
              <w:t>排入污水处理厂是可行的</w:t>
            </w:r>
            <w:r>
              <w:rPr>
                <w:rFonts w:hint="eastAsia" w:ascii="Times New Roman" w:hAnsi="Times New Roman" w:eastAsia="宋体" w:cs="Times New Roman"/>
                <w:b w:val="0"/>
                <w:bCs w:val="0"/>
                <w:color w:val="auto"/>
                <w:sz w:val="24"/>
                <w:szCs w:val="24"/>
                <w:lang w:eastAsia="zh-CN"/>
              </w:rPr>
              <w:t>，不会对污水厂的废水造成冲击</w:t>
            </w:r>
            <w:r>
              <w:rPr>
                <w:rFonts w:hint="default" w:ascii="Times New Roman" w:hAnsi="Times New Roman" w:eastAsia="宋体" w:cs="Times New Roman"/>
                <w:b w:val="0"/>
                <w:bCs w:val="0"/>
                <w:color w:val="auto"/>
                <w:sz w:val="24"/>
                <w:szCs w:val="24"/>
              </w:rPr>
              <w:t>。</w:t>
            </w:r>
          </w:p>
          <w:p w14:paraId="100638B0">
            <w:pPr>
              <w:keepNext w:val="0"/>
              <w:keepLines w:val="0"/>
              <w:suppressLineNumbers w:val="0"/>
              <w:adjustRightInd w:val="0"/>
              <w:snapToGrid w:val="0"/>
              <w:spacing w:before="0" w:beforeAutospacing="0" w:after="0" w:afterAutospacing="0" w:line="360" w:lineRule="auto"/>
              <w:ind w:left="0" w:right="0" w:firstLine="480" w:firstLineChars="200"/>
              <w:contextualSpacing/>
              <w:rPr>
                <w:rFonts w:hint="eastAsia"/>
                <w:b/>
                <w:bCs/>
                <w:sz w:val="24"/>
                <w:lang w:val="en-US" w:eastAsia="zh-CN"/>
              </w:rPr>
            </w:pPr>
            <w:r>
              <w:rPr>
                <w:rFonts w:hint="default" w:ascii="Times New Roman" w:hAnsi="Times New Roman" w:cs="Times New Roman"/>
                <w:color w:val="auto"/>
                <w:sz w:val="24"/>
                <w:szCs w:val="24"/>
                <w:highlight w:val="none"/>
                <w:lang w:val="en-US" w:eastAsia="zh-CN"/>
              </w:rPr>
              <w:t>综上所述，项目运营期产生的废水对地表水环境影响较小，措施可行。</w:t>
            </w:r>
          </w:p>
          <w:p w14:paraId="71C916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240" w:firstLineChars="100"/>
              <w:textAlignment w:val="auto"/>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pPr>
            <w:r>
              <w:rPr>
                <w:rFonts w:hint="eastAsia" w:ascii="Times New Roman" w:hAnsi="Times New Roman" w:eastAsia="Times New Roman" w:cs="Times New Roman"/>
                <w:b/>
                <w:color w:val="000000" w:themeColor="text1"/>
                <w:sz w:val="24"/>
                <w:highlight w:val="none"/>
                <w:lang w:val="en-US" w:eastAsia="zh-CN"/>
                <w14:textFill>
                  <w14:solidFill>
                    <w14:schemeClr w14:val="tx1"/>
                  </w14:solidFill>
                </w14:textFill>
              </w:rPr>
              <w:t>2.3废水监测计划</w:t>
            </w:r>
          </w:p>
          <w:p w14:paraId="416ECC9C">
            <w:pPr>
              <w:keepNext w:val="0"/>
              <w:keepLines w:val="0"/>
              <w:suppressLineNumbers w:val="0"/>
              <w:autoSpaceDE w:val="0"/>
              <w:autoSpaceDN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kern w:val="2"/>
                <w:sz w:val="24"/>
                <w:szCs w:val="24"/>
                <w:highlight w:val="none"/>
                <w:u w:val="none" w:color="auto"/>
                <w:lang w:val="en-US" w:eastAsia="zh-CN" w:bidi="ar-SA"/>
              </w:rPr>
            </w:pPr>
            <w:r>
              <w:rPr>
                <w:rFonts w:hint="eastAsia" w:ascii="Times New Roman" w:hAnsi="Times New Roman" w:eastAsia="宋体" w:cs="Times New Roman"/>
                <w:b w:val="0"/>
                <w:bCs w:val="0"/>
                <w:color w:val="auto"/>
                <w:kern w:val="2"/>
                <w:sz w:val="24"/>
                <w:szCs w:val="24"/>
                <w:highlight w:val="none"/>
                <w:u w:val="none" w:color="auto"/>
                <w:lang w:val="en-US" w:eastAsia="zh-CN" w:bidi="ar-SA"/>
              </w:rPr>
              <w:t>根据《固定污染源排污许可分类管理名录》（2019年版），项目属于第二十四项“橡胶和塑料制品业29”中第62条“塑料制品业292”，属于“其他”，为排污许可登记管理</w:t>
            </w:r>
            <w:r>
              <w:rPr>
                <w:rFonts w:hint="eastAsia" w:cs="Times New Roman"/>
                <w:b w:val="0"/>
                <w:bCs w:val="0"/>
                <w:color w:val="auto"/>
                <w:kern w:val="2"/>
                <w:sz w:val="24"/>
                <w:szCs w:val="24"/>
                <w:highlight w:val="none"/>
                <w:u w:val="none" w:color="auto"/>
                <w:lang w:val="en-US" w:eastAsia="zh-CN" w:bidi="ar-SA"/>
              </w:rPr>
              <w:t>，属于废重点排污单位</w:t>
            </w:r>
            <w:r>
              <w:rPr>
                <w:rFonts w:hint="eastAsia" w:ascii="Times New Roman" w:hAnsi="Times New Roman" w:eastAsia="宋体" w:cs="Times New Roman"/>
                <w:b w:val="0"/>
                <w:bCs w:val="0"/>
                <w:color w:val="auto"/>
                <w:kern w:val="2"/>
                <w:sz w:val="24"/>
                <w:szCs w:val="24"/>
                <w:highlight w:val="none"/>
                <w:u w:val="none" w:color="auto"/>
                <w:lang w:val="en-US" w:eastAsia="zh-CN" w:bidi="ar-SA"/>
              </w:rPr>
              <w:t>。根据《排污单位自行监测技术指南 橡胶和塑料制品》（HJ1207-2021）</w:t>
            </w:r>
            <w:r>
              <w:rPr>
                <w:rFonts w:hint="eastAsia" w:cs="Times New Roman"/>
                <w:b w:val="0"/>
                <w:bCs w:val="0"/>
                <w:color w:val="auto"/>
                <w:kern w:val="2"/>
                <w:sz w:val="24"/>
                <w:szCs w:val="24"/>
                <w:highlight w:val="none"/>
                <w:u w:val="none" w:color="auto"/>
                <w:lang w:val="en-US" w:eastAsia="zh-CN" w:bidi="ar-SA"/>
              </w:rPr>
              <w:t>，本项目</w:t>
            </w:r>
            <w:r>
              <w:rPr>
                <w:rFonts w:hint="eastAsia" w:ascii="Times New Roman" w:hAnsi="Times New Roman" w:eastAsia="宋体" w:cs="Times New Roman"/>
                <w:color w:val="auto"/>
                <w:sz w:val="24"/>
                <w:lang w:val="en-US" w:eastAsia="zh-CN"/>
              </w:rPr>
              <w:t>食堂废水经隔油池（</w:t>
            </w:r>
            <w:r>
              <w:rPr>
                <w:rFonts w:hint="eastAsia" w:cs="Times New Roman"/>
                <w:color w:val="auto"/>
                <w:sz w:val="24"/>
                <w:lang w:val="en-US" w:eastAsia="zh-CN"/>
              </w:rPr>
              <w:t>1</w:t>
            </w:r>
            <w:r>
              <w:rPr>
                <w:rFonts w:hint="eastAsia" w:ascii="Times New Roman" w:hAnsi="Times New Roman" w:eastAsia="宋体" w:cs="Times New Roman"/>
                <w:color w:val="auto"/>
                <w:sz w:val="24"/>
                <w:lang w:val="en-US" w:eastAsia="zh-CN"/>
              </w:rPr>
              <w:t>m</w:t>
            </w:r>
            <w:r>
              <w:rPr>
                <w:rFonts w:hint="eastAsia" w:ascii="Times New Roman" w:hAnsi="Times New Roman" w:eastAsia="宋体" w:cs="Times New Roman"/>
                <w:color w:val="auto"/>
                <w:sz w:val="24"/>
                <w:vertAlign w:val="superscript"/>
                <w:lang w:val="en-US" w:eastAsia="zh-CN"/>
              </w:rPr>
              <w:t>3</w:t>
            </w:r>
            <w:r>
              <w:rPr>
                <w:rFonts w:hint="eastAsia" w:ascii="Times New Roman" w:hAnsi="Times New Roman" w:eastAsia="宋体" w:cs="Times New Roman"/>
                <w:color w:val="auto"/>
                <w:sz w:val="24"/>
                <w:lang w:val="en-US" w:eastAsia="zh-CN"/>
              </w:rPr>
              <w:t>）预处理后与经化粪池（</w:t>
            </w:r>
            <w:r>
              <w:rPr>
                <w:rFonts w:hint="eastAsia" w:cs="Times New Roman"/>
                <w:color w:val="auto"/>
                <w:sz w:val="24"/>
                <w:lang w:val="en-US" w:eastAsia="zh-CN"/>
              </w:rPr>
              <w:t>5</w:t>
            </w:r>
            <w:r>
              <w:rPr>
                <w:rFonts w:hint="eastAsia" w:ascii="Times New Roman" w:hAnsi="Times New Roman" w:eastAsia="宋体" w:cs="Times New Roman"/>
                <w:color w:val="auto"/>
                <w:sz w:val="24"/>
                <w:lang w:val="en-US" w:eastAsia="zh-CN"/>
              </w:rPr>
              <w:t>m</w:t>
            </w:r>
            <w:r>
              <w:rPr>
                <w:rFonts w:hint="eastAsia" w:ascii="Times New Roman" w:hAnsi="Times New Roman" w:eastAsia="宋体" w:cs="Times New Roman"/>
                <w:color w:val="auto"/>
                <w:sz w:val="24"/>
                <w:vertAlign w:val="superscript"/>
                <w:lang w:val="en-US" w:eastAsia="zh-CN"/>
              </w:rPr>
              <w:t>3</w:t>
            </w:r>
            <w:r>
              <w:rPr>
                <w:rFonts w:hint="eastAsia" w:ascii="Times New Roman" w:hAnsi="Times New Roman" w:eastAsia="宋体" w:cs="Times New Roman"/>
                <w:color w:val="auto"/>
                <w:sz w:val="24"/>
                <w:lang w:val="en-US" w:eastAsia="zh-CN"/>
              </w:rPr>
              <w:t>）处理后的其他生活污水一同通过生活污水排放口（DW001）纳入市政管网，</w:t>
            </w:r>
            <w:r>
              <w:rPr>
                <w:rFonts w:hint="eastAsia" w:eastAsia="宋体"/>
                <w:color w:val="auto"/>
                <w:sz w:val="24"/>
                <w:szCs w:val="24"/>
                <w:lang w:val="en-US" w:eastAsia="zh-CN"/>
              </w:rPr>
              <w:t>排入</w:t>
            </w:r>
            <w:r>
              <w:rPr>
                <w:rFonts w:hint="eastAsia" w:ascii="Times New Roman" w:hAnsi="Times New Roman" w:eastAsia="宋体" w:cs="Times New Roman"/>
                <w:color w:val="auto"/>
                <w:sz w:val="24"/>
                <w:szCs w:val="24"/>
                <w:lang w:eastAsia="zh-CN"/>
              </w:rPr>
              <w:t>汤阴</w:t>
            </w:r>
            <w:r>
              <w:rPr>
                <w:rFonts w:hint="eastAsia" w:cs="Times New Roman"/>
                <w:color w:val="auto"/>
                <w:sz w:val="24"/>
                <w:szCs w:val="24"/>
                <w:lang w:eastAsia="zh-CN"/>
              </w:rPr>
              <w:t>天雨污水净化有限公司</w:t>
            </w:r>
            <w:r>
              <w:rPr>
                <w:rFonts w:hint="eastAsia" w:ascii="Times New Roman" w:hAnsi="Times New Roman" w:cs="仿宋_GB2312"/>
                <w:b w:val="0"/>
                <w:bCs w:val="0"/>
                <w:color w:val="auto"/>
                <w:sz w:val="24"/>
                <w:szCs w:val="24"/>
                <w:highlight w:val="none"/>
                <w:u w:val="none"/>
                <w:lang w:val="en-US" w:eastAsia="zh-CN"/>
              </w:rPr>
              <w:t>深度处理</w:t>
            </w:r>
            <w:r>
              <w:rPr>
                <w:rFonts w:hint="eastAsia" w:cs="Times New Roman"/>
                <w:b w:val="0"/>
                <w:bCs w:val="0"/>
                <w:color w:val="auto"/>
                <w:kern w:val="2"/>
                <w:sz w:val="24"/>
                <w:szCs w:val="24"/>
                <w:highlight w:val="none"/>
                <w:u w:val="none" w:color="auto"/>
                <w:lang w:val="en-US" w:eastAsia="zh-CN" w:bidi="ar-SA"/>
              </w:rPr>
              <w:t>，属于间接排放，无需进行自行监测</w:t>
            </w:r>
            <w:r>
              <w:rPr>
                <w:rFonts w:hint="eastAsia" w:ascii="Times New Roman" w:hAnsi="Times New Roman" w:eastAsia="宋体" w:cs="Times New Roman"/>
                <w:b w:val="0"/>
                <w:bCs w:val="0"/>
                <w:color w:val="auto"/>
                <w:kern w:val="2"/>
                <w:sz w:val="24"/>
                <w:szCs w:val="24"/>
                <w:highlight w:val="none"/>
                <w:u w:val="none" w:color="auto"/>
                <w:lang w:val="en-US" w:eastAsia="zh-CN" w:bidi="ar-SA"/>
              </w:rPr>
              <w:t>。</w:t>
            </w:r>
          </w:p>
          <w:p w14:paraId="5BE4CC3D">
            <w:pPr>
              <w:keepNext w:val="0"/>
              <w:keepLines w:val="0"/>
              <w:pageBreakBefore w:val="0"/>
              <w:widowControl w:val="0"/>
              <w:suppressLineNumbers w:val="0"/>
              <w:tabs>
                <w:tab w:val="left" w:pos="851"/>
                <w:tab w:val="left" w:pos="1134"/>
                <w:tab w:val="left" w:pos="1276"/>
              </w:tabs>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t>3.</w:t>
            </w:r>
            <w:r>
              <w:rPr>
                <w:rFonts w:hint="default" w:ascii="Times New Roman" w:hAnsi="Times New Roman" w:eastAsia="Times New Roman" w:cs="Times New Roman"/>
                <w:b/>
                <w:color w:val="000000" w:themeColor="text1"/>
                <w:sz w:val="24"/>
                <w:highlight w:val="none"/>
                <w14:textFill>
                  <w14:solidFill>
                    <w14:schemeClr w14:val="tx1"/>
                  </w14:solidFill>
                </w14:textFill>
              </w:rPr>
              <w:t>噪声</w:t>
            </w:r>
          </w:p>
          <w:p w14:paraId="4F2B1D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240" w:firstLineChars="100"/>
              <w:textAlignment w:val="auto"/>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eastAsia="Times New Roman" w:cs="Times New Roman"/>
                <w:b/>
                <w:bCs/>
                <w:color w:val="000000" w:themeColor="text1"/>
                <w:sz w:val="24"/>
                <w:highlight w:val="none"/>
                <w:lang w:val="en-US" w:eastAsia="zh-CN"/>
                <w14:textFill>
                  <w14:solidFill>
                    <w14:schemeClr w14:val="tx1"/>
                  </w14:solidFill>
                </w14:textFill>
              </w:rPr>
              <w:t>3.1噪声源强</w:t>
            </w:r>
          </w:p>
          <w:p w14:paraId="5BCE98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highlight w:val="none"/>
                <w14:textFill>
                  <w14:solidFill>
                    <w14:schemeClr w14:val="tx1"/>
                  </w14:solidFill>
                </w14:textFill>
              </w:rPr>
              <w:t>项目</w:t>
            </w:r>
            <w:r>
              <w:rPr>
                <w:rFonts w:hint="default" w:ascii="Times New Roman" w:hAnsi="Times New Roman" w:eastAsia="Times New Roman" w:cs="Times New Roman"/>
                <w:color w:val="000000" w:themeColor="text1"/>
                <w:sz w:val="24"/>
                <w:highlight w:val="none"/>
                <w:lang w:val="en-US" w:eastAsia="zh-CN"/>
                <w14:textFill>
                  <w14:solidFill>
                    <w14:schemeClr w14:val="tx1"/>
                  </w14:solidFill>
                </w14:textFill>
              </w:rPr>
              <w:t>噪声源</w:t>
            </w:r>
            <w:r>
              <w:rPr>
                <w:rFonts w:hint="default" w:ascii="Times New Roman" w:hAnsi="Times New Roman" w:eastAsia="Times New Roman" w:cs="Times New Roman"/>
                <w:color w:val="000000" w:themeColor="text1"/>
                <w:kern w:val="0"/>
                <w:sz w:val="24"/>
                <w:highlight w:val="none"/>
                <w14:textFill>
                  <w14:solidFill>
                    <w14:schemeClr w14:val="tx1"/>
                  </w14:solidFill>
                </w14:textFill>
              </w:rPr>
              <w:t>主要为</w:t>
            </w:r>
            <w:r>
              <w:rPr>
                <w:rFonts w:hint="eastAsia" w:eastAsia="宋体" w:cs="Times New Roman"/>
                <w:color w:val="000000" w:themeColor="text1"/>
                <w:kern w:val="0"/>
                <w:sz w:val="24"/>
                <w:highlight w:val="none"/>
                <w:lang w:eastAsia="zh-CN"/>
                <w14:textFill>
                  <w14:solidFill>
                    <w14:schemeClr w14:val="tx1"/>
                  </w14:solidFill>
                </w14:textFill>
              </w:rPr>
              <w:t>挤出（吹膜）机、圆织机、水带粘合机、收卷机</w:t>
            </w:r>
            <w:r>
              <w:rPr>
                <w:rFonts w:hint="default" w:ascii="Times New Roman" w:hAnsi="Times New Roman" w:eastAsia="Times New Roman" w:cs="Times New Roman"/>
                <w:color w:val="000000" w:themeColor="text1"/>
                <w:kern w:val="0"/>
                <w:sz w:val="24"/>
                <w:highlight w:val="none"/>
                <w:lang w:val="en-US" w:eastAsia="zh-CN"/>
                <w14:textFill>
                  <w14:solidFill>
                    <w14:schemeClr w14:val="tx1"/>
                  </w14:solidFill>
                </w14:textFill>
              </w:rPr>
              <w:t>、</w:t>
            </w:r>
            <w:r>
              <w:rPr>
                <w:rFonts w:hint="eastAsia" w:eastAsia="Times New Roman" w:cs="Times New Roman"/>
                <w:color w:val="000000" w:themeColor="text1"/>
                <w:kern w:val="0"/>
                <w:sz w:val="24"/>
                <w:highlight w:val="none"/>
                <w:lang w:val="en-US" w:eastAsia="zh-CN"/>
                <w14:textFill>
                  <w14:solidFill>
                    <w14:schemeClr w14:val="tx1"/>
                  </w14:solidFill>
                </w14:textFill>
              </w:rPr>
              <w:t>高频复合机、治理设施风机</w:t>
            </w:r>
            <w:r>
              <w:rPr>
                <w:rFonts w:hint="default" w:ascii="Times New Roman" w:hAnsi="Times New Roman" w:eastAsia="Times New Roman" w:cs="Times New Roman"/>
                <w:color w:val="000000" w:themeColor="text1"/>
                <w:kern w:val="0"/>
                <w:sz w:val="24"/>
                <w:highlight w:val="none"/>
                <w:lang w:eastAsia="zh-CN"/>
                <w14:textFill>
                  <w14:solidFill>
                    <w14:schemeClr w14:val="tx1"/>
                  </w14:solidFill>
                </w14:textFill>
              </w:rPr>
              <w:t>等设备运行噪声，源强约</w:t>
            </w:r>
            <w:r>
              <w:rPr>
                <w:rFonts w:hint="default" w:ascii="Times New Roman" w:hAnsi="Times New Roman" w:eastAsia="Times New Roman" w:cs="Times New Roman"/>
                <w:color w:val="000000" w:themeColor="text1"/>
                <w:kern w:val="0"/>
                <w:sz w:val="24"/>
                <w:szCs w:val="24"/>
                <w:highlight w:val="none"/>
                <w:lang w:eastAsia="zh-CN"/>
                <w14:textFill>
                  <w14:solidFill>
                    <w14:schemeClr w14:val="tx1"/>
                  </w14:solidFill>
                </w14:textFill>
              </w:rPr>
              <w:t>为6</w:t>
            </w:r>
            <w:r>
              <w:rPr>
                <w:rFonts w:hint="eastAsia" w:eastAsia="Times New Roman" w:cs="Times New Roman"/>
                <w:color w:val="000000" w:themeColor="text1"/>
                <w:kern w:val="0"/>
                <w:sz w:val="24"/>
                <w:szCs w:val="24"/>
                <w:highlight w:val="none"/>
                <w:lang w:val="en-US" w:eastAsia="zh-CN"/>
                <w14:textFill>
                  <w14:solidFill>
                    <w14:schemeClr w14:val="tx1"/>
                  </w14:solidFill>
                </w14:textFill>
              </w:rPr>
              <w:t>5</w:t>
            </w:r>
            <w:r>
              <w:rPr>
                <w:rFonts w:hint="default" w:ascii="Times New Roman" w:hAnsi="Times New Roman" w:eastAsia="Times New Roman" w:cs="Times New Roman"/>
                <w:color w:val="000000" w:themeColor="text1"/>
                <w:kern w:val="0"/>
                <w:sz w:val="24"/>
                <w:szCs w:val="24"/>
                <w:highlight w:val="none"/>
                <w:lang w:eastAsia="zh-CN"/>
                <w14:textFill>
                  <w14:solidFill>
                    <w14:schemeClr w14:val="tx1"/>
                  </w14:solidFill>
                </w14:textFill>
              </w:rPr>
              <w:t>~</w:t>
            </w:r>
            <w:r>
              <w:rPr>
                <w:rFonts w:hint="eastAsia" w:eastAsia="Times New Roman" w:cs="Times New Roman"/>
                <w:color w:val="000000" w:themeColor="text1"/>
                <w:kern w:val="0"/>
                <w:sz w:val="24"/>
                <w:szCs w:val="24"/>
                <w:highlight w:val="none"/>
                <w:lang w:val="en-US" w:eastAsia="zh-CN"/>
                <w14:textFill>
                  <w14:solidFill>
                    <w14:schemeClr w14:val="tx1"/>
                  </w14:solidFill>
                </w14:textFill>
              </w:rPr>
              <w:t>8</w:t>
            </w:r>
            <w:r>
              <w:rPr>
                <w:rFonts w:hint="eastAsia"/>
                <w:sz w:val="24"/>
                <w:szCs w:val="24"/>
                <w:lang w:val="en-US" w:eastAsia="zh-CN"/>
              </w:rPr>
              <w:t>5</w:t>
            </w:r>
            <w:r>
              <w:rPr>
                <w:rFonts w:hint="default" w:ascii="Times New Roman" w:hAnsi="Times New Roman" w:eastAsia="Times New Roman" w:cs="Times New Roman"/>
                <w:color w:val="000000" w:themeColor="text1"/>
                <w:kern w:val="0"/>
                <w:sz w:val="24"/>
                <w:szCs w:val="24"/>
                <w:highlight w:val="none"/>
                <w:lang w:eastAsia="zh-CN"/>
                <w14:textFill>
                  <w14:solidFill>
                    <w14:schemeClr w14:val="tx1"/>
                  </w14:solidFill>
                </w14:textFill>
              </w:rPr>
              <w:t>dB(A)</w:t>
            </w:r>
            <w:r>
              <w:rPr>
                <w:rFonts w:hint="eastAsia" w:eastAsia="Times New Roman" w:cs="Times New Roman"/>
                <w:color w:val="000000" w:themeColor="text1"/>
                <w:kern w:val="0"/>
                <w:sz w:val="24"/>
                <w:szCs w:val="24"/>
                <w:highlight w:val="none"/>
                <w:lang w:eastAsia="zh-CN"/>
                <w14:textFill>
                  <w14:solidFill>
                    <w14:schemeClr w14:val="tx1"/>
                  </w14:solidFill>
                </w14:textFill>
              </w:rPr>
              <w:t>，</w:t>
            </w:r>
            <w:r>
              <w:rPr>
                <w:rFonts w:hint="eastAsia" w:eastAsia="Times New Roman" w:cs="Times New Roman"/>
                <w:color w:val="000000" w:themeColor="text1"/>
                <w:kern w:val="0"/>
                <w:sz w:val="24"/>
                <w:highlight w:val="none"/>
                <w:lang w:eastAsia="zh-CN"/>
                <w14:textFill>
                  <w14:solidFill>
                    <w14:schemeClr w14:val="tx1"/>
                  </w14:solidFill>
                </w14:textFill>
              </w:rPr>
              <w:t>以生产车间西南角为原点</w:t>
            </w:r>
            <w:r>
              <w:rPr>
                <w:rFonts w:hint="default" w:ascii="Times New Roman" w:hAnsi="Times New Roman" w:eastAsia="Times New Roman" w:cs="Times New Roman"/>
                <w:bCs/>
                <w:color w:val="000000" w:themeColor="text1"/>
                <w:sz w:val="24"/>
                <w:highlight w:val="none"/>
                <w14:textFill>
                  <w14:solidFill>
                    <w14:schemeClr w14:val="tx1"/>
                  </w14:solidFill>
                </w14:textFill>
              </w:rPr>
              <w:t>。</w:t>
            </w:r>
            <w:r>
              <w:rPr>
                <w:rFonts w:hint="default" w:ascii="Times New Roman" w:hAnsi="Times New Roman" w:eastAsia="Times New Roman" w:cs="Times New Roman"/>
                <w:color w:val="000000" w:themeColor="text1"/>
                <w:sz w:val="24"/>
                <w:highlight w:val="none"/>
                <w:lang w:val="en-US" w:eastAsia="zh-CN"/>
                <w14:textFill>
                  <w14:solidFill>
                    <w14:schemeClr w14:val="tx1"/>
                  </w14:solidFill>
                </w14:textFill>
              </w:rPr>
              <w:t>具体</w:t>
            </w:r>
            <w:r>
              <w:rPr>
                <w:rFonts w:hint="default" w:ascii="Times New Roman" w:hAnsi="Times New Roman" w:eastAsia="Times New Roman" w:cs="Times New Roman"/>
                <w:color w:val="000000" w:themeColor="text1"/>
                <w:sz w:val="24"/>
                <w:highlight w:val="none"/>
                <w14:textFill>
                  <w14:solidFill>
                    <w14:schemeClr w14:val="tx1"/>
                  </w14:solidFill>
                </w14:textFill>
              </w:rPr>
              <w:t>见下表。</w:t>
            </w:r>
          </w:p>
          <w:p w14:paraId="3FBC07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Times New Roman"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本项目工业企业主要噪声源强调查清单（室内声源）</w:t>
            </w:r>
          </w:p>
          <w:tbl>
            <w:tblPr>
              <w:tblStyle w:val="29"/>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13"/>
              <w:gridCol w:w="902"/>
              <w:gridCol w:w="526"/>
              <w:gridCol w:w="1015"/>
              <w:gridCol w:w="849"/>
              <w:gridCol w:w="1015"/>
              <w:gridCol w:w="748"/>
              <w:gridCol w:w="1017"/>
              <w:gridCol w:w="1018"/>
              <w:gridCol w:w="764"/>
            </w:tblGrid>
            <w:tr w14:paraId="6CBE13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06" w:type="pct"/>
                  <w:vMerge w:val="restart"/>
                  <w:tcBorders>
                    <w:tl2br w:val="nil"/>
                    <w:tr2bl w:val="nil"/>
                  </w:tcBorders>
                  <w:noWrap w:val="0"/>
                  <w:vAlign w:val="center"/>
                </w:tcPr>
                <w:p w14:paraId="7D89F0B8">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建筑物名称</w:t>
                  </w:r>
                </w:p>
              </w:tc>
              <w:tc>
                <w:tcPr>
                  <w:tcW w:w="539" w:type="pct"/>
                  <w:vMerge w:val="restart"/>
                  <w:tcBorders>
                    <w:tl2br w:val="nil"/>
                    <w:tr2bl w:val="nil"/>
                  </w:tcBorders>
                  <w:noWrap w:val="0"/>
                  <w:vAlign w:val="center"/>
                </w:tcPr>
                <w:p w14:paraId="296572EC">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声源名称</w:t>
                  </w:r>
                </w:p>
              </w:tc>
              <w:tc>
                <w:tcPr>
                  <w:tcW w:w="314" w:type="pct"/>
                  <w:vMerge w:val="restart"/>
                  <w:tcBorders>
                    <w:tl2br w:val="nil"/>
                    <w:tr2bl w:val="nil"/>
                  </w:tcBorders>
                  <w:noWrap w:val="0"/>
                  <w:vAlign w:val="center"/>
                </w:tcPr>
                <w:p w14:paraId="5D1DB3AC">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型号</w:t>
                  </w:r>
                </w:p>
              </w:tc>
              <w:tc>
                <w:tcPr>
                  <w:tcW w:w="606" w:type="pct"/>
                  <w:tcBorders>
                    <w:tl2br w:val="nil"/>
                    <w:tr2bl w:val="nil"/>
                  </w:tcBorders>
                  <w:noWrap w:val="0"/>
                  <w:vAlign w:val="center"/>
                </w:tcPr>
                <w:p w14:paraId="6C29A666">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声源源强</w:t>
                  </w:r>
                </w:p>
              </w:tc>
              <w:tc>
                <w:tcPr>
                  <w:tcW w:w="507" w:type="pct"/>
                  <w:vMerge w:val="restart"/>
                  <w:tcBorders>
                    <w:tl2br w:val="nil"/>
                    <w:tr2bl w:val="nil"/>
                  </w:tcBorders>
                  <w:noWrap w:val="0"/>
                  <w:vAlign w:val="center"/>
                </w:tcPr>
                <w:p w14:paraId="43417EC0">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距室内边</w:t>
                  </w:r>
                </w:p>
                <w:p w14:paraId="2575C507">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界距离/m</w:t>
                  </w:r>
                </w:p>
              </w:tc>
              <w:tc>
                <w:tcPr>
                  <w:tcW w:w="606" w:type="pct"/>
                  <w:vMerge w:val="restart"/>
                  <w:tcBorders>
                    <w:tl2br w:val="nil"/>
                    <w:tr2bl w:val="nil"/>
                  </w:tcBorders>
                  <w:noWrap w:val="0"/>
                  <w:vAlign w:val="center"/>
                </w:tcPr>
                <w:p w14:paraId="5C3032C7">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室内边界</w:t>
                  </w:r>
                </w:p>
                <w:p w14:paraId="20874BAE">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声级</w:t>
                  </w:r>
                </w:p>
                <w:p w14:paraId="7ACAD486">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/dB(A)</w:t>
                  </w:r>
                </w:p>
              </w:tc>
              <w:tc>
                <w:tcPr>
                  <w:tcW w:w="447" w:type="pct"/>
                  <w:vMerge w:val="restart"/>
                  <w:tcBorders>
                    <w:tl2br w:val="nil"/>
                    <w:tr2bl w:val="nil"/>
                  </w:tcBorders>
                  <w:noWrap w:val="0"/>
                  <w:vAlign w:val="center"/>
                </w:tcPr>
                <w:p w14:paraId="3A5BED8A">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运行时段</w:t>
                  </w:r>
                </w:p>
              </w:tc>
              <w:tc>
                <w:tcPr>
                  <w:tcW w:w="607" w:type="pct"/>
                  <w:vMerge w:val="restart"/>
                  <w:tcBorders>
                    <w:tl2br w:val="nil"/>
                    <w:tr2bl w:val="nil"/>
                  </w:tcBorders>
                  <w:noWrap w:val="0"/>
                  <w:vAlign w:val="center"/>
                </w:tcPr>
                <w:p w14:paraId="64FE7775">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建筑物</w:t>
                  </w:r>
                </w:p>
                <w:p w14:paraId="11D9D233">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插入损</w:t>
                  </w:r>
                </w:p>
                <w:p w14:paraId="3B31AD63">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失/dB(A)</w:t>
                  </w:r>
                </w:p>
              </w:tc>
              <w:tc>
                <w:tcPr>
                  <w:tcW w:w="1063" w:type="pct"/>
                  <w:gridSpan w:val="2"/>
                  <w:tcBorders>
                    <w:tl2br w:val="nil"/>
                    <w:tr2bl w:val="nil"/>
                  </w:tcBorders>
                  <w:noWrap w:val="0"/>
                  <w:vAlign w:val="center"/>
                </w:tcPr>
                <w:p w14:paraId="7D9738D0">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建筑物外噪声</w:t>
                  </w:r>
                </w:p>
              </w:tc>
            </w:tr>
            <w:tr w14:paraId="054CEB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306" w:type="pct"/>
                  <w:vMerge w:val="continue"/>
                  <w:tcBorders>
                    <w:tl2br w:val="nil"/>
                    <w:tr2bl w:val="nil"/>
                  </w:tcBorders>
                  <w:noWrap w:val="0"/>
                  <w:vAlign w:val="center"/>
                </w:tcPr>
                <w:p w14:paraId="5A77848A">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Times New Roman" w:cs="Times New Roman"/>
                      <w:b/>
                      <w:bCs/>
                      <w:color w:val="000000" w:themeColor="text1"/>
                      <w:sz w:val="21"/>
                      <w:szCs w:val="21"/>
                      <w14:textFill>
                        <w14:solidFill>
                          <w14:schemeClr w14:val="tx1"/>
                        </w14:solidFill>
                      </w14:textFill>
                    </w:rPr>
                  </w:pPr>
                </w:p>
              </w:tc>
              <w:tc>
                <w:tcPr>
                  <w:tcW w:w="539" w:type="pct"/>
                  <w:vMerge w:val="continue"/>
                  <w:tcBorders>
                    <w:tl2br w:val="nil"/>
                    <w:tr2bl w:val="nil"/>
                  </w:tcBorders>
                  <w:noWrap w:val="0"/>
                  <w:vAlign w:val="center"/>
                </w:tcPr>
                <w:p w14:paraId="19F16FA8">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Times New Roman" w:cs="Times New Roman"/>
                      <w:b/>
                      <w:bCs/>
                      <w:color w:val="000000" w:themeColor="text1"/>
                      <w:sz w:val="21"/>
                      <w:szCs w:val="21"/>
                      <w14:textFill>
                        <w14:solidFill>
                          <w14:schemeClr w14:val="tx1"/>
                        </w14:solidFill>
                      </w14:textFill>
                    </w:rPr>
                  </w:pPr>
                </w:p>
              </w:tc>
              <w:tc>
                <w:tcPr>
                  <w:tcW w:w="314" w:type="pct"/>
                  <w:vMerge w:val="continue"/>
                  <w:tcBorders>
                    <w:tl2br w:val="nil"/>
                    <w:tr2bl w:val="nil"/>
                  </w:tcBorders>
                  <w:noWrap w:val="0"/>
                  <w:vAlign w:val="center"/>
                </w:tcPr>
                <w:p w14:paraId="756BFAD6">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Times New Roman" w:cs="Times New Roman"/>
                      <w:b/>
                      <w:bCs/>
                      <w:color w:val="000000" w:themeColor="text1"/>
                      <w:sz w:val="21"/>
                      <w:szCs w:val="21"/>
                      <w14:textFill>
                        <w14:solidFill>
                          <w14:schemeClr w14:val="tx1"/>
                        </w14:solidFill>
                      </w14:textFill>
                    </w:rPr>
                  </w:pPr>
                </w:p>
              </w:tc>
              <w:tc>
                <w:tcPr>
                  <w:tcW w:w="606" w:type="pct"/>
                  <w:tcBorders>
                    <w:tl2br w:val="nil"/>
                    <w:tr2bl w:val="nil"/>
                  </w:tcBorders>
                  <w:noWrap w:val="0"/>
                  <w:vAlign w:val="center"/>
                </w:tcPr>
                <w:p w14:paraId="64588769">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声功率级/dB(A)</w:t>
                  </w:r>
                </w:p>
              </w:tc>
              <w:tc>
                <w:tcPr>
                  <w:tcW w:w="507" w:type="pct"/>
                  <w:vMerge w:val="continue"/>
                  <w:tcBorders>
                    <w:tl2br w:val="nil"/>
                    <w:tr2bl w:val="nil"/>
                  </w:tcBorders>
                  <w:noWrap w:val="0"/>
                  <w:vAlign w:val="center"/>
                </w:tcPr>
                <w:p w14:paraId="1550F900">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Times New Roman" w:cs="Times New Roman"/>
                      <w:b/>
                      <w:bCs/>
                      <w:color w:val="000000" w:themeColor="text1"/>
                      <w:sz w:val="21"/>
                      <w:szCs w:val="21"/>
                      <w14:textFill>
                        <w14:solidFill>
                          <w14:schemeClr w14:val="tx1"/>
                        </w14:solidFill>
                      </w14:textFill>
                    </w:rPr>
                  </w:pPr>
                </w:p>
              </w:tc>
              <w:tc>
                <w:tcPr>
                  <w:tcW w:w="606" w:type="pct"/>
                  <w:vMerge w:val="continue"/>
                  <w:tcBorders>
                    <w:tl2br w:val="nil"/>
                    <w:tr2bl w:val="nil"/>
                  </w:tcBorders>
                  <w:noWrap w:val="0"/>
                  <w:vAlign w:val="center"/>
                </w:tcPr>
                <w:p w14:paraId="7882FE81">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Times New Roman" w:cs="Times New Roman"/>
                      <w:b/>
                      <w:bCs/>
                      <w:color w:val="000000" w:themeColor="text1"/>
                      <w:sz w:val="21"/>
                      <w:szCs w:val="21"/>
                      <w14:textFill>
                        <w14:solidFill>
                          <w14:schemeClr w14:val="tx1"/>
                        </w14:solidFill>
                      </w14:textFill>
                    </w:rPr>
                  </w:pPr>
                </w:p>
              </w:tc>
              <w:tc>
                <w:tcPr>
                  <w:tcW w:w="447" w:type="pct"/>
                  <w:vMerge w:val="continue"/>
                  <w:tcBorders>
                    <w:tl2br w:val="nil"/>
                    <w:tr2bl w:val="nil"/>
                  </w:tcBorders>
                  <w:noWrap w:val="0"/>
                  <w:vAlign w:val="center"/>
                </w:tcPr>
                <w:p w14:paraId="612076AA">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Times New Roman" w:cs="Times New Roman"/>
                      <w:b/>
                      <w:bCs/>
                      <w:color w:val="000000" w:themeColor="text1"/>
                      <w:sz w:val="21"/>
                      <w:szCs w:val="21"/>
                      <w14:textFill>
                        <w14:solidFill>
                          <w14:schemeClr w14:val="tx1"/>
                        </w14:solidFill>
                      </w14:textFill>
                    </w:rPr>
                  </w:pPr>
                </w:p>
              </w:tc>
              <w:tc>
                <w:tcPr>
                  <w:tcW w:w="607" w:type="pct"/>
                  <w:vMerge w:val="continue"/>
                  <w:tcBorders>
                    <w:tl2br w:val="nil"/>
                    <w:tr2bl w:val="nil"/>
                  </w:tcBorders>
                  <w:noWrap w:val="0"/>
                  <w:vAlign w:val="center"/>
                </w:tcPr>
                <w:p w14:paraId="0C36046E">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Times New Roman" w:cs="Times New Roman"/>
                      <w:b/>
                      <w:bCs/>
                      <w:color w:val="000000" w:themeColor="text1"/>
                      <w:sz w:val="21"/>
                      <w:szCs w:val="21"/>
                      <w14:textFill>
                        <w14:solidFill>
                          <w14:schemeClr w14:val="tx1"/>
                        </w14:solidFill>
                      </w14:textFill>
                    </w:rPr>
                  </w:pPr>
                </w:p>
              </w:tc>
              <w:tc>
                <w:tcPr>
                  <w:tcW w:w="607" w:type="pct"/>
                  <w:tcBorders>
                    <w:tl2br w:val="nil"/>
                    <w:tr2bl w:val="nil"/>
                  </w:tcBorders>
                  <w:noWrap w:val="0"/>
                  <w:vAlign w:val="center"/>
                </w:tcPr>
                <w:p w14:paraId="300C006D">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声压级</w:t>
                  </w:r>
                </w:p>
                <w:p w14:paraId="157B8895">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/dB(A)</w:t>
                  </w:r>
                </w:p>
              </w:tc>
              <w:tc>
                <w:tcPr>
                  <w:tcW w:w="456" w:type="pct"/>
                  <w:tcBorders>
                    <w:tl2br w:val="nil"/>
                    <w:tr2bl w:val="nil"/>
                  </w:tcBorders>
                  <w:noWrap w:val="0"/>
                  <w:vAlign w:val="center"/>
                </w:tcPr>
                <w:p w14:paraId="521745B7">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建筑物外距离</w:t>
                  </w:r>
                </w:p>
              </w:tc>
            </w:tr>
            <w:tr w14:paraId="72F8A7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306" w:type="pct"/>
                  <w:vMerge w:val="restart"/>
                  <w:tcBorders>
                    <w:tl2br w:val="nil"/>
                    <w:tr2bl w:val="nil"/>
                  </w:tcBorders>
                  <w:noWrap w:val="0"/>
                  <w:vAlign w:val="center"/>
                </w:tcPr>
                <w:p w14:paraId="39172F7B">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生产车间</w:t>
                  </w:r>
                </w:p>
              </w:tc>
              <w:tc>
                <w:tcPr>
                  <w:tcW w:w="539" w:type="pct"/>
                  <w:tcBorders>
                    <w:tl2br w:val="nil"/>
                    <w:tr2bl w:val="nil"/>
                  </w:tcBorders>
                  <w:noWrap w:val="0"/>
                  <w:vAlign w:val="center"/>
                </w:tcPr>
                <w:p w14:paraId="25AB14EC">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color w:val="auto"/>
                      <w:sz w:val="21"/>
                      <w:szCs w:val="21"/>
                      <w:lang w:val="en-US" w:eastAsia="zh-CN"/>
                    </w:rPr>
                    <w:t>挤出（</w:t>
                  </w:r>
                  <w:r>
                    <w:rPr>
                      <w:rFonts w:hint="default" w:ascii="Times New Roman" w:hAnsi="Times New Roman" w:eastAsia="宋体" w:cs="Times New Roman"/>
                      <w:color w:val="auto"/>
                      <w:sz w:val="21"/>
                      <w:szCs w:val="21"/>
                      <w:lang w:val="en-US" w:eastAsia="zh-CN"/>
                    </w:rPr>
                    <w:t>吹膜</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机</w:t>
                  </w:r>
                  <w:r>
                    <w:rPr>
                      <w:rFonts w:hint="eastAsia" w:cs="Times New Roman"/>
                      <w:color w:val="auto"/>
                      <w:sz w:val="21"/>
                      <w:szCs w:val="21"/>
                      <w:lang w:val="en-US" w:eastAsia="zh-CN"/>
                    </w:rPr>
                    <w:t>*2</w:t>
                  </w:r>
                </w:p>
              </w:tc>
              <w:tc>
                <w:tcPr>
                  <w:tcW w:w="314" w:type="pct"/>
                  <w:tcBorders>
                    <w:tl2br w:val="nil"/>
                    <w:tr2bl w:val="nil"/>
                  </w:tcBorders>
                  <w:noWrap w:val="0"/>
                  <w:vAlign w:val="center"/>
                </w:tcPr>
                <w:p w14:paraId="55885092">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Times New Roman" w:cs="Times New Roman"/>
                      <w:color w:val="000000" w:themeColor="text1"/>
                      <w:sz w:val="21"/>
                      <w:szCs w:val="21"/>
                      <w:lang w:val="en-US" w:eastAsia="zh-CN"/>
                      <w14:textFill>
                        <w14:solidFill>
                          <w14:schemeClr w14:val="tx1"/>
                        </w14:solidFill>
                      </w14:textFill>
                    </w:rPr>
                    <w:t>点源</w:t>
                  </w:r>
                </w:p>
              </w:tc>
              <w:tc>
                <w:tcPr>
                  <w:tcW w:w="606" w:type="pct"/>
                  <w:tcBorders>
                    <w:tl2br w:val="nil"/>
                    <w:tr2bl w:val="nil"/>
                  </w:tcBorders>
                  <w:noWrap w:val="0"/>
                  <w:vAlign w:val="center"/>
                </w:tcPr>
                <w:p w14:paraId="2AACF60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75</w:t>
                  </w:r>
                </w:p>
              </w:tc>
              <w:tc>
                <w:tcPr>
                  <w:tcW w:w="507" w:type="pct"/>
                  <w:tcBorders>
                    <w:tl2br w:val="nil"/>
                    <w:tr2bl w:val="nil"/>
                  </w:tcBorders>
                  <w:noWrap w:val="0"/>
                  <w:vAlign w:val="center"/>
                </w:tcPr>
                <w:p w14:paraId="60B549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30.84</w:t>
                  </w:r>
                </w:p>
              </w:tc>
              <w:tc>
                <w:tcPr>
                  <w:tcW w:w="606" w:type="pct"/>
                  <w:tcBorders>
                    <w:tl2br w:val="nil"/>
                    <w:tr2bl w:val="nil"/>
                  </w:tcBorders>
                  <w:noWrap w:val="0"/>
                  <w:vAlign w:val="center"/>
                </w:tcPr>
                <w:p w14:paraId="26AAE7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kern w:val="0"/>
                      <w:sz w:val="21"/>
                      <w:szCs w:val="21"/>
                      <w:u w:val="none"/>
                      <w:lang w:val="en-US" w:eastAsia="zh-CN" w:bidi="ar"/>
                    </w:rPr>
                    <w:t>5</w:t>
                  </w:r>
                  <w:r>
                    <w:rPr>
                      <w:rFonts w:hint="eastAsia" w:cs="Times New Roman"/>
                      <w:i w:val="0"/>
                      <w:iCs w:val="0"/>
                      <w:color w:val="000000"/>
                      <w:kern w:val="0"/>
                      <w:sz w:val="21"/>
                      <w:szCs w:val="21"/>
                      <w:u w:val="none"/>
                      <w:lang w:val="en-US" w:eastAsia="zh-CN" w:bidi="ar"/>
                    </w:rPr>
                    <w:t>4</w:t>
                  </w:r>
                </w:p>
              </w:tc>
              <w:tc>
                <w:tcPr>
                  <w:tcW w:w="447" w:type="pct"/>
                  <w:tcBorders>
                    <w:tl2br w:val="nil"/>
                    <w:tr2bl w:val="nil"/>
                  </w:tcBorders>
                  <w:noWrap w:val="0"/>
                  <w:vAlign w:val="center"/>
                </w:tcPr>
                <w:p w14:paraId="31A76E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昼夜</w:t>
                  </w:r>
                </w:p>
              </w:tc>
              <w:tc>
                <w:tcPr>
                  <w:tcW w:w="607" w:type="pct"/>
                  <w:tcBorders>
                    <w:tl2br w:val="nil"/>
                    <w:tr2bl w:val="nil"/>
                  </w:tcBorders>
                  <w:noWrap w:val="0"/>
                  <w:vAlign w:val="center"/>
                </w:tcPr>
                <w:p w14:paraId="2D081F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15</w:t>
                  </w:r>
                </w:p>
              </w:tc>
              <w:tc>
                <w:tcPr>
                  <w:tcW w:w="607" w:type="pct"/>
                  <w:tcBorders>
                    <w:tl2br w:val="nil"/>
                    <w:tr2bl w:val="nil"/>
                  </w:tcBorders>
                  <w:noWrap w:val="0"/>
                  <w:vAlign w:val="center"/>
                </w:tcPr>
                <w:p w14:paraId="047D58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57.85</w:t>
                  </w:r>
                </w:p>
              </w:tc>
              <w:tc>
                <w:tcPr>
                  <w:tcW w:w="456" w:type="pct"/>
                  <w:tcBorders>
                    <w:tl2br w:val="nil"/>
                    <w:tr2bl w:val="nil"/>
                  </w:tcBorders>
                  <w:noWrap w:val="0"/>
                  <w:vAlign w:val="center"/>
                </w:tcPr>
                <w:p w14:paraId="6F35F0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374462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306" w:type="pct"/>
                  <w:vMerge w:val="continue"/>
                  <w:tcBorders>
                    <w:tl2br w:val="nil"/>
                    <w:tr2bl w:val="nil"/>
                  </w:tcBorders>
                  <w:noWrap w:val="0"/>
                  <w:vAlign w:val="center"/>
                </w:tcPr>
                <w:p w14:paraId="48F3AA1B">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539" w:type="pct"/>
                  <w:tcBorders>
                    <w:tl2br w:val="nil"/>
                    <w:tr2bl w:val="nil"/>
                  </w:tcBorders>
                  <w:noWrap w:val="0"/>
                  <w:vAlign w:val="center"/>
                </w:tcPr>
                <w:p w14:paraId="15B99756">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auto"/>
                      <w:sz w:val="21"/>
                      <w:szCs w:val="21"/>
                      <w:lang w:val="en-US" w:eastAsia="zh-CN"/>
                    </w:rPr>
                    <w:t>圆织机</w:t>
                  </w:r>
                  <w:r>
                    <w:rPr>
                      <w:rFonts w:hint="eastAsia" w:cs="Times New Roman"/>
                      <w:color w:val="auto"/>
                      <w:sz w:val="21"/>
                      <w:szCs w:val="21"/>
                      <w:lang w:val="en-US" w:eastAsia="zh-CN"/>
                    </w:rPr>
                    <w:t>*100</w:t>
                  </w:r>
                </w:p>
              </w:tc>
              <w:tc>
                <w:tcPr>
                  <w:tcW w:w="314" w:type="pct"/>
                  <w:tcBorders>
                    <w:tl2br w:val="nil"/>
                    <w:tr2bl w:val="nil"/>
                  </w:tcBorders>
                  <w:noWrap w:val="0"/>
                  <w:vAlign w:val="center"/>
                </w:tcPr>
                <w:p w14:paraId="6B8EB9A6">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Times New Roman" w:cs="Times New Roman"/>
                      <w:color w:val="000000" w:themeColor="text1"/>
                      <w:sz w:val="21"/>
                      <w:szCs w:val="21"/>
                      <w:lang w:val="en-US" w:eastAsia="zh-CN"/>
                      <w14:textFill>
                        <w14:solidFill>
                          <w14:schemeClr w14:val="tx1"/>
                        </w14:solidFill>
                      </w14:textFill>
                    </w:rPr>
                    <w:t>点源</w:t>
                  </w:r>
                </w:p>
              </w:tc>
              <w:tc>
                <w:tcPr>
                  <w:tcW w:w="606" w:type="pct"/>
                  <w:tcBorders>
                    <w:tl2br w:val="nil"/>
                    <w:tr2bl w:val="nil"/>
                  </w:tcBorders>
                  <w:noWrap w:val="0"/>
                  <w:vAlign w:val="center"/>
                </w:tcPr>
                <w:p w14:paraId="23C6B5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65</w:t>
                  </w:r>
                </w:p>
              </w:tc>
              <w:tc>
                <w:tcPr>
                  <w:tcW w:w="507" w:type="pct"/>
                  <w:tcBorders>
                    <w:tl2br w:val="nil"/>
                    <w:tr2bl w:val="nil"/>
                  </w:tcBorders>
                  <w:noWrap w:val="0"/>
                  <w:vAlign w:val="center"/>
                </w:tcPr>
                <w:p w14:paraId="0D0386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30.84</w:t>
                  </w:r>
                </w:p>
              </w:tc>
              <w:tc>
                <w:tcPr>
                  <w:tcW w:w="606" w:type="pct"/>
                  <w:tcBorders>
                    <w:tl2br w:val="nil"/>
                    <w:tr2bl w:val="nil"/>
                  </w:tcBorders>
                  <w:noWrap w:val="0"/>
                  <w:vAlign w:val="center"/>
                </w:tcPr>
                <w:p w14:paraId="509FE3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44</w:t>
                  </w:r>
                </w:p>
              </w:tc>
              <w:tc>
                <w:tcPr>
                  <w:tcW w:w="447" w:type="pct"/>
                  <w:tcBorders>
                    <w:tl2br w:val="nil"/>
                    <w:tr2bl w:val="nil"/>
                  </w:tcBorders>
                  <w:noWrap w:val="0"/>
                  <w:vAlign w:val="center"/>
                </w:tcPr>
                <w:p w14:paraId="2769F3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昼夜</w:t>
                  </w:r>
                </w:p>
              </w:tc>
              <w:tc>
                <w:tcPr>
                  <w:tcW w:w="607" w:type="pct"/>
                  <w:tcBorders>
                    <w:tl2br w:val="nil"/>
                    <w:tr2bl w:val="nil"/>
                  </w:tcBorders>
                  <w:noWrap w:val="0"/>
                  <w:vAlign w:val="center"/>
                </w:tcPr>
                <w:p w14:paraId="11963F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15</w:t>
                  </w:r>
                </w:p>
              </w:tc>
              <w:tc>
                <w:tcPr>
                  <w:tcW w:w="607" w:type="pct"/>
                  <w:tcBorders>
                    <w:tl2br w:val="nil"/>
                    <w:tr2bl w:val="nil"/>
                  </w:tcBorders>
                  <w:noWrap w:val="0"/>
                  <w:vAlign w:val="center"/>
                </w:tcPr>
                <w:p w14:paraId="0FD6DB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47.85</w:t>
                  </w:r>
                </w:p>
              </w:tc>
              <w:tc>
                <w:tcPr>
                  <w:tcW w:w="456" w:type="pct"/>
                  <w:tcBorders>
                    <w:tl2br w:val="nil"/>
                    <w:tr2bl w:val="nil"/>
                  </w:tcBorders>
                  <w:noWrap w:val="0"/>
                  <w:vAlign w:val="center"/>
                </w:tcPr>
                <w:p w14:paraId="5DB956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619A3C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306" w:type="pct"/>
                  <w:vMerge w:val="continue"/>
                  <w:tcBorders>
                    <w:tl2br w:val="nil"/>
                    <w:tr2bl w:val="nil"/>
                  </w:tcBorders>
                  <w:noWrap w:val="0"/>
                  <w:vAlign w:val="center"/>
                </w:tcPr>
                <w:p w14:paraId="1C0C9EBD">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539" w:type="pct"/>
                  <w:tcBorders>
                    <w:tl2br w:val="nil"/>
                    <w:tr2bl w:val="nil"/>
                  </w:tcBorders>
                  <w:noWrap w:val="0"/>
                  <w:vAlign w:val="center"/>
                </w:tcPr>
                <w:p w14:paraId="2F87644F">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auto"/>
                      <w:sz w:val="21"/>
                      <w:szCs w:val="21"/>
                      <w:lang w:val="en-US" w:eastAsia="zh-CN"/>
                    </w:rPr>
                    <w:t>水</w:t>
                  </w:r>
                  <w:r>
                    <w:rPr>
                      <w:rFonts w:hint="eastAsia" w:ascii="Times New Roman" w:hAnsi="Times New Roman" w:eastAsia="宋体" w:cs="Times New Roman"/>
                      <w:color w:val="auto"/>
                      <w:sz w:val="21"/>
                      <w:szCs w:val="21"/>
                      <w:lang w:val="en-US" w:eastAsia="zh-CN"/>
                    </w:rPr>
                    <w:t>带粘合</w:t>
                  </w:r>
                  <w:r>
                    <w:rPr>
                      <w:rFonts w:hint="default" w:ascii="Times New Roman" w:hAnsi="Times New Roman" w:eastAsia="宋体" w:cs="Times New Roman"/>
                      <w:color w:val="auto"/>
                      <w:sz w:val="21"/>
                      <w:szCs w:val="21"/>
                      <w:lang w:val="en-US" w:eastAsia="zh-CN"/>
                    </w:rPr>
                    <w:t>机</w:t>
                  </w:r>
                  <w:r>
                    <w:rPr>
                      <w:rFonts w:hint="eastAsia" w:cs="Times New Roman"/>
                      <w:color w:val="auto"/>
                      <w:sz w:val="21"/>
                      <w:szCs w:val="21"/>
                      <w:lang w:val="en-US" w:eastAsia="zh-CN"/>
                    </w:rPr>
                    <w:t>*5</w:t>
                  </w:r>
                </w:p>
              </w:tc>
              <w:tc>
                <w:tcPr>
                  <w:tcW w:w="314" w:type="pct"/>
                  <w:tcBorders>
                    <w:tl2br w:val="nil"/>
                    <w:tr2bl w:val="nil"/>
                  </w:tcBorders>
                  <w:noWrap w:val="0"/>
                  <w:vAlign w:val="center"/>
                </w:tcPr>
                <w:p w14:paraId="076DEB52">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Times New Roman" w:cs="Times New Roman"/>
                      <w:color w:val="000000" w:themeColor="text1"/>
                      <w:sz w:val="21"/>
                      <w:szCs w:val="21"/>
                      <w:lang w:val="en-US" w:eastAsia="zh-CN"/>
                      <w14:textFill>
                        <w14:solidFill>
                          <w14:schemeClr w14:val="tx1"/>
                        </w14:solidFill>
                      </w14:textFill>
                    </w:rPr>
                    <w:t>点源</w:t>
                  </w:r>
                </w:p>
              </w:tc>
              <w:tc>
                <w:tcPr>
                  <w:tcW w:w="606" w:type="pct"/>
                  <w:tcBorders>
                    <w:tl2br w:val="nil"/>
                    <w:tr2bl w:val="nil"/>
                  </w:tcBorders>
                  <w:noWrap w:val="0"/>
                  <w:vAlign w:val="center"/>
                </w:tcPr>
                <w:p w14:paraId="6D43CB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65</w:t>
                  </w:r>
                </w:p>
              </w:tc>
              <w:tc>
                <w:tcPr>
                  <w:tcW w:w="507" w:type="pct"/>
                  <w:tcBorders>
                    <w:tl2br w:val="nil"/>
                    <w:tr2bl w:val="nil"/>
                  </w:tcBorders>
                  <w:noWrap w:val="0"/>
                  <w:vAlign w:val="center"/>
                </w:tcPr>
                <w:p w14:paraId="04B656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30.84</w:t>
                  </w:r>
                </w:p>
              </w:tc>
              <w:tc>
                <w:tcPr>
                  <w:tcW w:w="606" w:type="pct"/>
                  <w:tcBorders>
                    <w:tl2br w:val="nil"/>
                    <w:tr2bl w:val="nil"/>
                  </w:tcBorders>
                  <w:noWrap w:val="0"/>
                  <w:vAlign w:val="center"/>
                </w:tcPr>
                <w:p w14:paraId="209ED8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44</w:t>
                  </w:r>
                </w:p>
              </w:tc>
              <w:tc>
                <w:tcPr>
                  <w:tcW w:w="447" w:type="pct"/>
                  <w:tcBorders>
                    <w:tl2br w:val="nil"/>
                    <w:tr2bl w:val="nil"/>
                  </w:tcBorders>
                  <w:noWrap w:val="0"/>
                  <w:vAlign w:val="center"/>
                </w:tcPr>
                <w:p w14:paraId="3F35D7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昼夜</w:t>
                  </w:r>
                </w:p>
              </w:tc>
              <w:tc>
                <w:tcPr>
                  <w:tcW w:w="607" w:type="pct"/>
                  <w:tcBorders>
                    <w:tl2br w:val="nil"/>
                    <w:tr2bl w:val="nil"/>
                  </w:tcBorders>
                  <w:noWrap w:val="0"/>
                  <w:vAlign w:val="center"/>
                </w:tcPr>
                <w:p w14:paraId="38B83F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15</w:t>
                  </w:r>
                </w:p>
              </w:tc>
              <w:tc>
                <w:tcPr>
                  <w:tcW w:w="607" w:type="pct"/>
                  <w:tcBorders>
                    <w:tl2br w:val="nil"/>
                    <w:tr2bl w:val="nil"/>
                  </w:tcBorders>
                  <w:noWrap w:val="0"/>
                  <w:vAlign w:val="center"/>
                </w:tcPr>
                <w:p w14:paraId="3E207B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47.85</w:t>
                  </w:r>
                </w:p>
              </w:tc>
              <w:tc>
                <w:tcPr>
                  <w:tcW w:w="456" w:type="pct"/>
                  <w:tcBorders>
                    <w:tl2br w:val="nil"/>
                    <w:tr2bl w:val="nil"/>
                  </w:tcBorders>
                  <w:noWrap w:val="0"/>
                  <w:vAlign w:val="center"/>
                </w:tcPr>
                <w:p w14:paraId="254E5D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0809B6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306" w:type="pct"/>
                  <w:vMerge w:val="continue"/>
                  <w:tcBorders>
                    <w:tl2br w:val="nil"/>
                    <w:tr2bl w:val="nil"/>
                  </w:tcBorders>
                  <w:noWrap w:val="0"/>
                  <w:vAlign w:val="center"/>
                </w:tcPr>
                <w:p w14:paraId="3A0832EC">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539" w:type="pct"/>
                  <w:tcBorders>
                    <w:tl2br w:val="nil"/>
                    <w:tr2bl w:val="nil"/>
                  </w:tcBorders>
                  <w:noWrap w:val="0"/>
                  <w:vAlign w:val="center"/>
                </w:tcPr>
                <w:p w14:paraId="41078A4C">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auto"/>
                      <w:sz w:val="21"/>
                      <w:szCs w:val="21"/>
                      <w:lang w:val="en-US" w:eastAsia="zh-CN"/>
                    </w:rPr>
                    <w:t>收卷机</w:t>
                  </w:r>
                  <w:r>
                    <w:rPr>
                      <w:rFonts w:hint="eastAsia" w:cs="Times New Roman"/>
                      <w:color w:val="auto"/>
                      <w:sz w:val="21"/>
                      <w:szCs w:val="21"/>
                      <w:lang w:val="en-US" w:eastAsia="zh-CN"/>
                    </w:rPr>
                    <w:t>*5</w:t>
                  </w:r>
                </w:p>
              </w:tc>
              <w:tc>
                <w:tcPr>
                  <w:tcW w:w="314" w:type="pct"/>
                  <w:tcBorders>
                    <w:tl2br w:val="nil"/>
                    <w:tr2bl w:val="nil"/>
                  </w:tcBorders>
                  <w:noWrap w:val="0"/>
                  <w:vAlign w:val="center"/>
                </w:tcPr>
                <w:p w14:paraId="364970EB">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Times New Roman" w:cs="Times New Roman"/>
                      <w:color w:val="000000" w:themeColor="text1"/>
                      <w:sz w:val="21"/>
                      <w:szCs w:val="21"/>
                      <w:lang w:val="en-US" w:eastAsia="zh-CN"/>
                      <w14:textFill>
                        <w14:solidFill>
                          <w14:schemeClr w14:val="tx1"/>
                        </w14:solidFill>
                      </w14:textFill>
                    </w:rPr>
                    <w:t>点源</w:t>
                  </w:r>
                </w:p>
              </w:tc>
              <w:tc>
                <w:tcPr>
                  <w:tcW w:w="606" w:type="pct"/>
                  <w:tcBorders>
                    <w:tl2br w:val="nil"/>
                    <w:tr2bl w:val="nil"/>
                  </w:tcBorders>
                  <w:noWrap w:val="0"/>
                  <w:vAlign w:val="center"/>
                </w:tcPr>
                <w:p w14:paraId="423ADE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65</w:t>
                  </w:r>
                </w:p>
              </w:tc>
              <w:tc>
                <w:tcPr>
                  <w:tcW w:w="507" w:type="pct"/>
                  <w:tcBorders>
                    <w:tl2br w:val="nil"/>
                    <w:tr2bl w:val="nil"/>
                  </w:tcBorders>
                  <w:noWrap w:val="0"/>
                  <w:vAlign w:val="center"/>
                </w:tcPr>
                <w:p w14:paraId="467EE4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30.84</w:t>
                  </w:r>
                </w:p>
              </w:tc>
              <w:tc>
                <w:tcPr>
                  <w:tcW w:w="606" w:type="pct"/>
                  <w:tcBorders>
                    <w:tl2br w:val="nil"/>
                    <w:tr2bl w:val="nil"/>
                  </w:tcBorders>
                  <w:noWrap w:val="0"/>
                  <w:vAlign w:val="center"/>
                </w:tcPr>
                <w:p w14:paraId="581AC1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44</w:t>
                  </w:r>
                </w:p>
              </w:tc>
              <w:tc>
                <w:tcPr>
                  <w:tcW w:w="447" w:type="pct"/>
                  <w:tcBorders>
                    <w:tl2br w:val="nil"/>
                    <w:tr2bl w:val="nil"/>
                  </w:tcBorders>
                  <w:noWrap w:val="0"/>
                  <w:vAlign w:val="center"/>
                </w:tcPr>
                <w:p w14:paraId="28DDF9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昼夜</w:t>
                  </w:r>
                </w:p>
              </w:tc>
              <w:tc>
                <w:tcPr>
                  <w:tcW w:w="607" w:type="pct"/>
                  <w:tcBorders>
                    <w:tl2br w:val="nil"/>
                    <w:tr2bl w:val="nil"/>
                  </w:tcBorders>
                  <w:noWrap w:val="0"/>
                  <w:vAlign w:val="center"/>
                </w:tcPr>
                <w:p w14:paraId="5191A9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15</w:t>
                  </w:r>
                </w:p>
              </w:tc>
              <w:tc>
                <w:tcPr>
                  <w:tcW w:w="607" w:type="pct"/>
                  <w:tcBorders>
                    <w:tl2br w:val="nil"/>
                    <w:tr2bl w:val="nil"/>
                  </w:tcBorders>
                  <w:noWrap w:val="0"/>
                  <w:vAlign w:val="center"/>
                </w:tcPr>
                <w:p w14:paraId="6EFF10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47.85</w:t>
                  </w:r>
                </w:p>
              </w:tc>
              <w:tc>
                <w:tcPr>
                  <w:tcW w:w="456" w:type="pct"/>
                  <w:tcBorders>
                    <w:tl2br w:val="nil"/>
                    <w:tr2bl w:val="nil"/>
                  </w:tcBorders>
                  <w:noWrap w:val="0"/>
                  <w:vAlign w:val="center"/>
                </w:tcPr>
                <w:p w14:paraId="1A092D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0AB1B2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306" w:type="pct"/>
                  <w:vMerge w:val="continue"/>
                  <w:tcBorders>
                    <w:tl2br w:val="nil"/>
                    <w:tr2bl w:val="nil"/>
                  </w:tcBorders>
                  <w:noWrap w:val="0"/>
                  <w:vAlign w:val="center"/>
                </w:tcPr>
                <w:p w14:paraId="14BB6352">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539" w:type="pct"/>
                  <w:tcBorders>
                    <w:tl2br w:val="nil"/>
                    <w:tr2bl w:val="nil"/>
                  </w:tcBorders>
                  <w:noWrap w:val="0"/>
                  <w:vAlign w:val="center"/>
                </w:tcPr>
                <w:p w14:paraId="422581FE">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auto"/>
                      <w:sz w:val="21"/>
                      <w:szCs w:val="21"/>
                      <w:lang w:val="en-US" w:eastAsia="zh-CN"/>
                    </w:rPr>
                    <w:t>喷码机</w:t>
                  </w:r>
                  <w:r>
                    <w:rPr>
                      <w:rFonts w:hint="eastAsia" w:cs="Times New Roman"/>
                      <w:color w:val="auto"/>
                      <w:sz w:val="21"/>
                      <w:szCs w:val="21"/>
                      <w:lang w:val="en-US" w:eastAsia="zh-CN"/>
                    </w:rPr>
                    <w:t>*5</w:t>
                  </w:r>
                </w:p>
              </w:tc>
              <w:tc>
                <w:tcPr>
                  <w:tcW w:w="314" w:type="pct"/>
                  <w:tcBorders>
                    <w:tl2br w:val="nil"/>
                    <w:tr2bl w:val="nil"/>
                  </w:tcBorders>
                  <w:noWrap w:val="0"/>
                  <w:vAlign w:val="center"/>
                </w:tcPr>
                <w:p w14:paraId="32EF1662">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Times New Roman" w:cs="Times New Roman"/>
                      <w:color w:val="000000" w:themeColor="text1"/>
                      <w:sz w:val="21"/>
                      <w:szCs w:val="21"/>
                      <w:lang w:val="en-US" w:eastAsia="zh-CN"/>
                      <w14:textFill>
                        <w14:solidFill>
                          <w14:schemeClr w14:val="tx1"/>
                        </w14:solidFill>
                      </w14:textFill>
                    </w:rPr>
                    <w:t>点源</w:t>
                  </w:r>
                </w:p>
              </w:tc>
              <w:tc>
                <w:tcPr>
                  <w:tcW w:w="606" w:type="pct"/>
                  <w:tcBorders>
                    <w:tl2br w:val="nil"/>
                    <w:tr2bl w:val="nil"/>
                  </w:tcBorders>
                  <w:noWrap w:val="0"/>
                  <w:vAlign w:val="center"/>
                </w:tcPr>
                <w:p w14:paraId="24A252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65</w:t>
                  </w:r>
                </w:p>
              </w:tc>
              <w:tc>
                <w:tcPr>
                  <w:tcW w:w="507" w:type="pct"/>
                  <w:tcBorders>
                    <w:tl2br w:val="nil"/>
                    <w:tr2bl w:val="nil"/>
                  </w:tcBorders>
                  <w:noWrap w:val="0"/>
                  <w:vAlign w:val="center"/>
                </w:tcPr>
                <w:p w14:paraId="7D000C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30.84</w:t>
                  </w:r>
                </w:p>
              </w:tc>
              <w:tc>
                <w:tcPr>
                  <w:tcW w:w="606" w:type="pct"/>
                  <w:tcBorders>
                    <w:tl2br w:val="nil"/>
                    <w:tr2bl w:val="nil"/>
                  </w:tcBorders>
                  <w:noWrap w:val="0"/>
                  <w:vAlign w:val="center"/>
                </w:tcPr>
                <w:p w14:paraId="783DCB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44</w:t>
                  </w:r>
                </w:p>
              </w:tc>
              <w:tc>
                <w:tcPr>
                  <w:tcW w:w="447" w:type="pct"/>
                  <w:tcBorders>
                    <w:tl2br w:val="nil"/>
                    <w:tr2bl w:val="nil"/>
                  </w:tcBorders>
                  <w:noWrap w:val="0"/>
                  <w:vAlign w:val="center"/>
                </w:tcPr>
                <w:p w14:paraId="239994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昼夜</w:t>
                  </w:r>
                </w:p>
              </w:tc>
              <w:tc>
                <w:tcPr>
                  <w:tcW w:w="607" w:type="pct"/>
                  <w:tcBorders>
                    <w:tl2br w:val="nil"/>
                    <w:tr2bl w:val="nil"/>
                  </w:tcBorders>
                  <w:noWrap w:val="0"/>
                  <w:vAlign w:val="center"/>
                </w:tcPr>
                <w:p w14:paraId="47B2AF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15</w:t>
                  </w:r>
                </w:p>
              </w:tc>
              <w:tc>
                <w:tcPr>
                  <w:tcW w:w="607" w:type="pct"/>
                  <w:tcBorders>
                    <w:tl2br w:val="nil"/>
                    <w:tr2bl w:val="nil"/>
                  </w:tcBorders>
                  <w:noWrap w:val="0"/>
                  <w:vAlign w:val="center"/>
                </w:tcPr>
                <w:p w14:paraId="467D95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47.85</w:t>
                  </w:r>
                </w:p>
              </w:tc>
              <w:tc>
                <w:tcPr>
                  <w:tcW w:w="456" w:type="pct"/>
                  <w:tcBorders>
                    <w:tl2br w:val="nil"/>
                    <w:tr2bl w:val="nil"/>
                  </w:tcBorders>
                  <w:noWrap w:val="0"/>
                  <w:vAlign w:val="center"/>
                </w:tcPr>
                <w:p w14:paraId="700C3A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5509E06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306" w:type="pct"/>
                  <w:vMerge w:val="continue"/>
                  <w:tcBorders>
                    <w:tl2br w:val="nil"/>
                    <w:tr2bl w:val="nil"/>
                  </w:tcBorders>
                  <w:noWrap w:val="0"/>
                  <w:vAlign w:val="center"/>
                </w:tcPr>
                <w:p w14:paraId="274C5BBD">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539" w:type="pct"/>
                  <w:tcBorders>
                    <w:tl2br w:val="nil"/>
                    <w:tr2bl w:val="nil"/>
                  </w:tcBorders>
                  <w:noWrap w:val="0"/>
                  <w:vAlign w:val="center"/>
                </w:tcPr>
                <w:p w14:paraId="00F6772E">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color w:val="auto"/>
                      <w:sz w:val="21"/>
                      <w:szCs w:val="21"/>
                      <w:lang w:val="en-US" w:eastAsia="zh-CN"/>
                    </w:rPr>
                    <w:t>包装机*2</w:t>
                  </w:r>
                </w:p>
              </w:tc>
              <w:tc>
                <w:tcPr>
                  <w:tcW w:w="314" w:type="pct"/>
                  <w:tcBorders>
                    <w:tl2br w:val="nil"/>
                    <w:tr2bl w:val="nil"/>
                  </w:tcBorders>
                  <w:noWrap w:val="0"/>
                  <w:vAlign w:val="center"/>
                </w:tcPr>
                <w:p w14:paraId="3D3353BA">
                  <w:pPr>
                    <w:keepNext w:val="0"/>
                    <w:keepLines w:val="0"/>
                    <w:suppressLineNumbers w:val="0"/>
                    <w:bidi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lang w:val="en-US" w:eastAsia="zh-CN"/>
                      <w14:textFill>
                        <w14:solidFill>
                          <w14:schemeClr w14:val="tx1"/>
                        </w14:solidFill>
                      </w14:textFill>
                    </w:rPr>
                    <w:t>点源</w:t>
                  </w:r>
                </w:p>
              </w:tc>
              <w:tc>
                <w:tcPr>
                  <w:tcW w:w="606" w:type="pct"/>
                  <w:tcBorders>
                    <w:tl2br w:val="nil"/>
                    <w:tr2bl w:val="nil"/>
                  </w:tcBorders>
                  <w:noWrap w:val="0"/>
                  <w:vAlign w:val="center"/>
                </w:tcPr>
                <w:p w14:paraId="099AED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65</w:t>
                  </w:r>
                </w:p>
              </w:tc>
              <w:tc>
                <w:tcPr>
                  <w:tcW w:w="507" w:type="pct"/>
                  <w:tcBorders>
                    <w:tl2br w:val="nil"/>
                    <w:tr2bl w:val="nil"/>
                  </w:tcBorders>
                  <w:noWrap w:val="0"/>
                  <w:vAlign w:val="center"/>
                </w:tcPr>
                <w:p w14:paraId="566237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30.84</w:t>
                  </w:r>
                </w:p>
              </w:tc>
              <w:tc>
                <w:tcPr>
                  <w:tcW w:w="606" w:type="pct"/>
                  <w:tcBorders>
                    <w:tl2br w:val="nil"/>
                    <w:tr2bl w:val="nil"/>
                  </w:tcBorders>
                  <w:noWrap w:val="0"/>
                  <w:vAlign w:val="center"/>
                </w:tcPr>
                <w:p w14:paraId="3A276E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44</w:t>
                  </w:r>
                </w:p>
              </w:tc>
              <w:tc>
                <w:tcPr>
                  <w:tcW w:w="447" w:type="pct"/>
                  <w:tcBorders>
                    <w:tl2br w:val="nil"/>
                    <w:tr2bl w:val="nil"/>
                  </w:tcBorders>
                  <w:noWrap w:val="0"/>
                  <w:vAlign w:val="center"/>
                </w:tcPr>
                <w:p w14:paraId="4287BF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昼夜</w:t>
                  </w:r>
                </w:p>
              </w:tc>
              <w:tc>
                <w:tcPr>
                  <w:tcW w:w="607" w:type="pct"/>
                  <w:tcBorders>
                    <w:tl2br w:val="nil"/>
                    <w:tr2bl w:val="nil"/>
                  </w:tcBorders>
                  <w:noWrap w:val="0"/>
                  <w:vAlign w:val="center"/>
                </w:tcPr>
                <w:p w14:paraId="5851D4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15</w:t>
                  </w:r>
                </w:p>
              </w:tc>
              <w:tc>
                <w:tcPr>
                  <w:tcW w:w="607" w:type="pct"/>
                  <w:tcBorders>
                    <w:tl2br w:val="nil"/>
                    <w:tr2bl w:val="nil"/>
                  </w:tcBorders>
                  <w:noWrap w:val="0"/>
                  <w:vAlign w:val="center"/>
                </w:tcPr>
                <w:p w14:paraId="18DD86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47.85</w:t>
                  </w:r>
                </w:p>
              </w:tc>
              <w:tc>
                <w:tcPr>
                  <w:tcW w:w="456" w:type="pct"/>
                  <w:tcBorders>
                    <w:tl2br w:val="nil"/>
                    <w:tr2bl w:val="nil"/>
                  </w:tcBorders>
                  <w:noWrap w:val="0"/>
                  <w:vAlign w:val="center"/>
                </w:tcPr>
                <w:p w14:paraId="36EFF4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3E2ADA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306" w:type="pct"/>
                  <w:vMerge w:val="continue"/>
                  <w:tcBorders>
                    <w:tl2br w:val="nil"/>
                    <w:tr2bl w:val="nil"/>
                  </w:tcBorders>
                  <w:noWrap w:val="0"/>
                  <w:vAlign w:val="center"/>
                </w:tcPr>
                <w:p w14:paraId="09139302">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14:textFill>
                        <w14:solidFill>
                          <w14:schemeClr w14:val="tx1"/>
                        </w14:solidFill>
                      </w14:textFill>
                    </w:rPr>
                  </w:pPr>
                </w:p>
              </w:tc>
              <w:tc>
                <w:tcPr>
                  <w:tcW w:w="539" w:type="pct"/>
                  <w:tcBorders>
                    <w:tl2br w:val="nil"/>
                    <w:tr2bl w:val="nil"/>
                  </w:tcBorders>
                  <w:noWrap w:val="0"/>
                  <w:vAlign w:val="center"/>
                </w:tcPr>
                <w:p w14:paraId="016A72D3">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auto"/>
                      <w:sz w:val="21"/>
                      <w:szCs w:val="21"/>
                      <w:lang w:val="en-US" w:eastAsia="zh-CN"/>
                    </w:rPr>
                    <w:t>倒</w:t>
                  </w:r>
                  <w:r>
                    <w:rPr>
                      <w:rFonts w:hint="eastAsia" w:cs="Times New Roman"/>
                      <w:color w:val="auto"/>
                      <w:sz w:val="21"/>
                      <w:szCs w:val="21"/>
                      <w:lang w:val="en-US" w:eastAsia="zh-CN"/>
                    </w:rPr>
                    <w:t>线</w:t>
                  </w:r>
                  <w:r>
                    <w:rPr>
                      <w:rFonts w:hint="default" w:ascii="Times New Roman" w:hAnsi="Times New Roman" w:eastAsia="宋体" w:cs="Times New Roman"/>
                      <w:color w:val="auto"/>
                      <w:sz w:val="21"/>
                      <w:szCs w:val="21"/>
                      <w:lang w:val="en-US" w:eastAsia="zh-CN"/>
                    </w:rPr>
                    <w:t>机</w:t>
                  </w:r>
                  <w:r>
                    <w:rPr>
                      <w:rFonts w:hint="eastAsia" w:cs="Times New Roman"/>
                      <w:color w:val="auto"/>
                      <w:sz w:val="21"/>
                      <w:szCs w:val="21"/>
                      <w:lang w:val="en-US" w:eastAsia="zh-CN"/>
                    </w:rPr>
                    <w:t>*6</w:t>
                  </w:r>
                </w:p>
              </w:tc>
              <w:tc>
                <w:tcPr>
                  <w:tcW w:w="314" w:type="pct"/>
                  <w:tcBorders>
                    <w:tl2br w:val="nil"/>
                    <w:tr2bl w:val="nil"/>
                  </w:tcBorders>
                  <w:noWrap w:val="0"/>
                  <w:vAlign w:val="center"/>
                </w:tcPr>
                <w:p w14:paraId="51AA5D3B">
                  <w:pPr>
                    <w:keepNext w:val="0"/>
                    <w:keepLines w:val="0"/>
                    <w:suppressLineNumbers w:val="0"/>
                    <w:bidi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lang w:val="en-US" w:eastAsia="zh-CN"/>
                      <w14:textFill>
                        <w14:solidFill>
                          <w14:schemeClr w14:val="tx1"/>
                        </w14:solidFill>
                      </w14:textFill>
                    </w:rPr>
                  </w:pPr>
                  <w:r>
                    <w:rPr>
                      <w:rFonts w:hint="eastAsia" w:eastAsia="Times New Roman" w:cs="Times New Roman"/>
                      <w:color w:val="000000" w:themeColor="text1"/>
                      <w:sz w:val="21"/>
                      <w:szCs w:val="21"/>
                      <w:lang w:val="en-US" w:eastAsia="zh-CN"/>
                      <w14:textFill>
                        <w14:solidFill>
                          <w14:schemeClr w14:val="tx1"/>
                        </w14:solidFill>
                      </w14:textFill>
                    </w:rPr>
                    <w:t>点源</w:t>
                  </w:r>
                </w:p>
              </w:tc>
              <w:tc>
                <w:tcPr>
                  <w:tcW w:w="606" w:type="pct"/>
                  <w:tcBorders>
                    <w:tl2br w:val="nil"/>
                    <w:tr2bl w:val="nil"/>
                  </w:tcBorders>
                  <w:noWrap w:val="0"/>
                  <w:vAlign w:val="center"/>
                </w:tcPr>
                <w:p w14:paraId="52AF1030">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65</w:t>
                  </w:r>
                </w:p>
              </w:tc>
              <w:tc>
                <w:tcPr>
                  <w:tcW w:w="507" w:type="pct"/>
                  <w:tcBorders>
                    <w:tl2br w:val="nil"/>
                    <w:tr2bl w:val="nil"/>
                  </w:tcBorders>
                  <w:noWrap w:val="0"/>
                  <w:vAlign w:val="center"/>
                </w:tcPr>
                <w:p w14:paraId="2FFCD9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30.84</w:t>
                  </w:r>
                </w:p>
              </w:tc>
              <w:tc>
                <w:tcPr>
                  <w:tcW w:w="606" w:type="pct"/>
                  <w:tcBorders>
                    <w:tl2br w:val="nil"/>
                    <w:tr2bl w:val="nil"/>
                  </w:tcBorders>
                  <w:noWrap w:val="0"/>
                  <w:vAlign w:val="center"/>
                </w:tcPr>
                <w:p w14:paraId="1317F5D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44</w:t>
                  </w:r>
                </w:p>
              </w:tc>
              <w:tc>
                <w:tcPr>
                  <w:tcW w:w="447" w:type="pct"/>
                  <w:tcBorders>
                    <w:tl2br w:val="nil"/>
                    <w:tr2bl w:val="nil"/>
                  </w:tcBorders>
                  <w:noWrap w:val="0"/>
                  <w:vAlign w:val="center"/>
                </w:tcPr>
                <w:p w14:paraId="37BC7FF7">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昼夜</w:t>
                  </w:r>
                </w:p>
              </w:tc>
              <w:tc>
                <w:tcPr>
                  <w:tcW w:w="607" w:type="pct"/>
                  <w:tcBorders>
                    <w:tl2br w:val="nil"/>
                    <w:tr2bl w:val="nil"/>
                  </w:tcBorders>
                  <w:noWrap w:val="0"/>
                  <w:vAlign w:val="center"/>
                </w:tcPr>
                <w:p w14:paraId="30D42D8D">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15</w:t>
                  </w:r>
                </w:p>
              </w:tc>
              <w:tc>
                <w:tcPr>
                  <w:tcW w:w="607" w:type="pct"/>
                  <w:tcBorders>
                    <w:tl2br w:val="nil"/>
                    <w:tr2bl w:val="nil"/>
                  </w:tcBorders>
                  <w:noWrap w:val="0"/>
                  <w:vAlign w:val="center"/>
                </w:tcPr>
                <w:p w14:paraId="212D278C">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47.85</w:t>
                  </w:r>
                </w:p>
              </w:tc>
              <w:tc>
                <w:tcPr>
                  <w:tcW w:w="456" w:type="pct"/>
                  <w:tcBorders>
                    <w:tl2br w:val="nil"/>
                    <w:tr2bl w:val="nil"/>
                  </w:tcBorders>
                  <w:noWrap w:val="0"/>
                  <w:vAlign w:val="center"/>
                </w:tcPr>
                <w:p w14:paraId="06B7AF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015BC9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306" w:type="pct"/>
                  <w:vMerge w:val="continue"/>
                  <w:tcBorders>
                    <w:tl2br w:val="nil"/>
                    <w:tr2bl w:val="nil"/>
                  </w:tcBorders>
                  <w:noWrap w:val="0"/>
                  <w:vAlign w:val="center"/>
                </w:tcPr>
                <w:p w14:paraId="3D169A30">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p>
              </w:tc>
              <w:tc>
                <w:tcPr>
                  <w:tcW w:w="539" w:type="pct"/>
                  <w:tcBorders>
                    <w:tl2br w:val="nil"/>
                    <w:tr2bl w:val="nil"/>
                  </w:tcBorders>
                  <w:noWrap w:val="0"/>
                  <w:vAlign w:val="center"/>
                </w:tcPr>
                <w:p w14:paraId="524E1269">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eastAsia" w:ascii="Times New Roman" w:hAnsi="Times New Roman" w:eastAsia="宋体" w:cs="Times New Roman"/>
                      <w:color w:val="auto"/>
                      <w:sz w:val="21"/>
                      <w:szCs w:val="21"/>
                      <w:lang w:val="en-US" w:eastAsia="zh-CN"/>
                    </w:rPr>
                    <w:t>覆膜机</w:t>
                  </w:r>
                  <w:r>
                    <w:rPr>
                      <w:rFonts w:hint="eastAsia" w:cs="Times New Roman"/>
                      <w:color w:val="auto"/>
                      <w:sz w:val="21"/>
                      <w:szCs w:val="21"/>
                      <w:lang w:val="en-US" w:eastAsia="zh-CN"/>
                    </w:rPr>
                    <w:t>*2</w:t>
                  </w:r>
                </w:p>
              </w:tc>
              <w:tc>
                <w:tcPr>
                  <w:tcW w:w="314" w:type="pct"/>
                  <w:tcBorders>
                    <w:tl2br w:val="nil"/>
                    <w:tr2bl w:val="nil"/>
                  </w:tcBorders>
                  <w:noWrap w:val="0"/>
                  <w:vAlign w:val="center"/>
                </w:tcPr>
                <w:p w14:paraId="7996FEB7">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点源</w:t>
                  </w:r>
                </w:p>
              </w:tc>
              <w:tc>
                <w:tcPr>
                  <w:tcW w:w="606" w:type="pct"/>
                  <w:tcBorders>
                    <w:tl2br w:val="nil"/>
                    <w:tr2bl w:val="nil"/>
                  </w:tcBorders>
                  <w:noWrap w:val="0"/>
                  <w:vAlign w:val="center"/>
                </w:tcPr>
                <w:p w14:paraId="53DB1C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65</w:t>
                  </w:r>
                </w:p>
              </w:tc>
              <w:tc>
                <w:tcPr>
                  <w:tcW w:w="507" w:type="pct"/>
                  <w:tcBorders>
                    <w:tl2br w:val="nil"/>
                    <w:tr2bl w:val="nil"/>
                  </w:tcBorders>
                  <w:noWrap w:val="0"/>
                  <w:vAlign w:val="center"/>
                </w:tcPr>
                <w:p w14:paraId="38FA37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30.84</w:t>
                  </w:r>
                </w:p>
              </w:tc>
              <w:tc>
                <w:tcPr>
                  <w:tcW w:w="606" w:type="pct"/>
                  <w:tcBorders>
                    <w:tl2br w:val="nil"/>
                    <w:tr2bl w:val="nil"/>
                  </w:tcBorders>
                  <w:noWrap w:val="0"/>
                  <w:vAlign w:val="center"/>
                </w:tcPr>
                <w:p w14:paraId="3A6DF3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44</w:t>
                  </w:r>
                </w:p>
              </w:tc>
              <w:tc>
                <w:tcPr>
                  <w:tcW w:w="447" w:type="pct"/>
                  <w:tcBorders>
                    <w:tl2br w:val="nil"/>
                    <w:tr2bl w:val="nil"/>
                  </w:tcBorders>
                  <w:noWrap w:val="0"/>
                  <w:vAlign w:val="center"/>
                </w:tcPr>
                <w:p w14:paraId="324846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昼夜</w:t>
                  </w:r>
                </w:p>
              </w:tc>
              <w:tc>
                <w:tcPr>
                  <w:tcW w:w="607" w:type="pct"/>
                  <w:tcBorders>
                    <w:tl2br w:val="nil"/>
                    <w:tr2bl w:val="nil"/>
                  </w:tcBorders>
                  <w:noWrap w:val="0"/>
                  <w:vAlign w:val="center"/>
                </w:tcPr>
                <w:p w14:paraId="084298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15</w:t>
                  </w:r>
                </w:p>
              </w:tc>
              <w:tc>
                <w:tcPr>
                  <w:tcW w:w="607" w:type="pct"/>
                  <w:tcBorders>
                    <w:tl2br w:val="nil"/>
                    <w:tr2bl w:val="nil"/>
                  </w:tcBorders>
                  <w:noWrap w:val="0"/>
                  <w:vAlign w:val="center"/>
                </w:tcPr>
                <w:p w14:paraId="1BB51F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Times New Roman" w:cs="Times New Roman"/>
                      <w:color w:val="000000" w:themeColor="text1"/>
                      <w:sz w:val="21"/>
                      <w:szCs w:val="21"/>
                      <w:highlight w:val="none"/>
                      <w:lang w:val="en-US"/>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47.85</w:t>
                  </w:r>
                </w:p>
              </w:tc>
              <w:tc>
                <w:tcPr>
                  <w:tcW w:w="456" w:type="pct"/>
                  <w:tcBorders>
                    <w:tl2br w:val="nil"/>
                    <w:tr2bl w:val="nil"/>
                  </w:tcBorders>
                  <w:noWrap w:val="0"/>
                  <w:vAlign w:val="center"/>
                </w:tcPr>
                <w:p w14:paraId="5EDD86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r>
            <w:tr w14:paraId="33C95D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306" w:type="pct"/>
                  <w:vMerge w:val="continue"/>
                  <w:tcBorders>
                    <w:tl2br w:val="nil"/>
                    <w:tr2bl w:val="nil"/>
                  </w:tcBorders>
                  <w:noWrap w:val="0"/>
                  <w:vAlign w:val="center"/>
                </w:tcPr>
                <w:p w14:paraId="20D7C61D">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p>
              </w:tc>
              <w:tc>
                <w:tcPr>
                  <w:tcW w:w="539" w:type="pct"/>
                  <w:tcBorders>
                    <w:tl2br w:val="nil"/>
                    <w:tr2bl w:val="nil"/>
                  </w:tcBorders>
                  <w:noWrap w:val="0"/>
                  <w:vAlign w:val="center"/>
                </w:tcPr>
                <w:p w14:paraId="67D30EF7">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高频复合机*5</w:t>
                  </w:r>
                </w:p>
              </w:tc>
              <w:tc>
                <w:tcPr>
                  <w:tcW w:w="314" w:type="pct"/>
                  <w:tcBorders>
                    <w:tl2br w:val="nil"/>
                    <w:tr2bl w:val="nil"/>
                  </w:tcBorders>
                  <w:noWrap w:val="0"/>
                  <w:vAlign w:val="center"/>
                </w:tcPr>
                <w:p w14:paraId="3A2C7D0E">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点源</w:t>
                  </w:r>
                </w:p>
              </w:tc>
              <w:tc>
                <w:tcPr>
                  <w:tcW w:w="606" w:type="pct"/>
                  <w:tcBorders>
                    <w:tl2br w:val="nil"/>
                    <w:tr2bl w:val="nil"/>
                  </w:tcBorders>
                  <w:noWrap w:val="0"/>
                  <w:vAlign w:val="center"/>
                </w:tcPr>
                <w:p w14:paraId="1AC87BE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65</w:t>
                  </w:r>
                </w:p>
              </w:tc>
              <w:tc>
                <w:tcPr>
                  <w:tcW w:w="507" w:type="pct"/>
                  <w:tcBorders>
                    <w:tl2br w:val="nil"/>
                    <w:tr2bl w:val="nil"/>
                  </w:tcBorders>
                  <w:noWrap w:val="0"/>
                  <w:vAlign w:val="center"/>
                </w:tcPr>
                <w:p w14:paraId="49F2C1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30.84</w:t>
                  </w:r>
                </w:p>
              </w:tc>
              <w:tc>
                <w:tcPr>
                  <w:tcW w:w="606" w:type="pct"/>
                  <w:tcBorders>
                    <w:tl2br w:val="nil"/>
                    <w:tr2bl w:val="nil"/>
                  </w:tcBorders>
                  <w:noWrap w:val="0"/>
                  <w:vAlign w:val="center"/>
                </w:tcPr>
                <w:p w14:paraId="685939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44</w:t>
                  </w:r>
                </w:p>
              </w:tc>
              <w:tc>
                <w:tcPr>
                  <w:tcW w:w="447" w:type="pct"/>
                  <w:tcBorders>
                    <w:tl2br w:val="nil"/>
                    <w:tr2bl w:val="nil"/>
                  </w:tcBorders>
                  <w:noWrap w:val="0"/>
                  <w:vAlign w:val="center"/>
                </w:tcPr>
                <w:p w14:paraId="2EE806B7">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昼夜</w:t>
                  </w:r>
                </w:p>
              </w:tc>
              <w:tc>
                <w:tcPr>
                  <w:tcW w:w="607" w:type="pct"/>
                  <w:tcBorders>
                    <w:tl2br w:val="nil"/>
                    <w:tr2bl w:val="nil"/>
                  </w:tcBorders>
                  <w:noWrap w:val="0"/>
                  <w:vAlign w:val="center"/>
                </w:tcPr>
                <w:p w14:paraId="4B09D711">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15</w:t>
                  </w:r>
                </w:p>
              </w:tc>
              <w:tc>
                <w:tcPr>
                  <w:tcW w:w="607" w:type="pct"/>
                  <w:tcBorders>
                    <w:tl2br w:val="nil"/>
                    <w:tr2bl w:val="nil"/>
                  </w:tcBorders>
                  <w:noWrap w:val="0"/>
                  <w:vAlign w:val="center"/>
                </w:tcPr>
                <w:p w14:paraId="048038BF">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47.85</w:t>
                  </w:r>
                </w:p>
              </w:tc>
              <w:tc>
                <w:tcPr>
                  <w:tcW w:w="456" w:type="pct"/>
                  <w:tcBorders>
                    <w:tl2br w:val="nil"/>
                    <w:tr2bl w:val="nil"/>
                  </w:tcBorders>
                  <w:noWrap w:val="0"/>
                  <w:vAlign w:val="center"/>
                </w:tcPr>
                <w:p w14:paraId="1098A3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w:t>
                  </w:r>
                </w:p>
              </w:tc>
            </w:tr>
            <w:tr w14:paraId="700708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306" w:type="pct"/>
                  <w:vMerge w:val="continue"/>
                  <w:tcBorders>
                    <w:tl2br w:val="nil"/>
                    <w:tr2bl w:val="nil"/>
                  </w:tcBorders>
                  <w:noWrap w:val="0"/>
                  <w:vAlign w:val="center"/>
                </w:tcPr>
                <w:p w14:paraId="55960AD2">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p>
              </w:tc>
              <w:tc>
                <w:tcPr>
                  <w:tcW w:w="539" w:type="pct"/>
                  <w:tcBorders>
                    <w:tl2br w:val="nil"/>
                    <w:tr2bl w:val="nil"/>
                  </w:tcBorders>
                  <w:noWrap w:val="0"/>
                  <w:vAlign w:val="center"/>
                </w:tcPr>
                <w:p w14:paraId="5967C7A8">
                  <w:pPr>
                    <w:keepNext w:val="0"/>
                    <w:keepLines w:val="0"/>
                    <w:pageBreakBefore w:val="0"/>
                    <w:widowControl w:val="0"/>
                    <w:suppressLineNumbers w:val="0"/>
                    <w:kinsoku/>
                    <w:wordWrap w:val="0"/>
                    <w:overflowPunct/>
                    <w:topLinePunct w:val="0"/>
                    <w:autoSpaceDE/>
                    <w:autoSpaceDN/>
                    <w:bidi w:val="0"/>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闭式冷却塔*1</w:t>
                  </w:r>
                </w:p>
              </w:tc>
              <w:tc>
                <w:tcPr>
                  <w:tcW w:w="314" w:type="pct"/>
                  <w:tcBorders>
                    <w:tl2br w:val="nil"/>
                    <w:tr2bl w:val="nil"/>
                  </w:tcBorders>
                  <w:noWrap w:val="0"/>
                  <w:vAlign w:val="center"/>
                </w:tcPr>
                <w:p w14:paraId="253D0094">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点源</w:t>
                  </w:r>
                </w:p>
              </w:tc>
              <w:tc>
                <w:tcPr>
                  <w:tcW w:w="606" w:type="pct"/>
                  <w:tcBorders>
                    <w:tl2br w:val="nil"/>
                    <w:tr2bl w:val="nil"/>
                  </w:tcBorders>
                  <w:noWrap w:val="0"/>
                  <w:vAlign w:val="center"/>
                </w:tcPr>
                <w:p w14:paraId="658B8640">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65</w:t>
                  </w:r>
                </w:p>
              </w:tc>
              <w:tc>
                <w:tcPr>
                  <w:tcW w:w="507" w:type="pct"/>
                  <w:tcBorders>
                    <w:tl2br w:val="nil"/>
                    <w:tr2bl w:val="nil"/>
                  </w:tcBorders>
                  <w:noWrap w:val="0"/>
                  <w:vAlign w:val="center"/>
                </w:tcPr>
                <w:p w14:paraId="45845F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30.84</w:t>
                  </w:r>
                </w:p>
              </w:tc>
              <w:tc>
                <w:tcPr>
                  <w:tcW w:w="606" w:type="pct"/>
                  <w:tcBorders>
                    <w:tl2br w:val="nil"/>
                    <w:tr2bl w:val="nil"/>
                  </w:tcBorders>
                  <w:noWrap w:val="0"/>
                  <w:vAlign w:val="center"/>
                </w:tcPr>
                <w:p w14:paraId="7D8D11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44</w:t>
                  </w:r>
                </w:p>
              </w:tc>
              <w:tc>
                <w:tcPr>
                  <w:tcW w:w="447" w:type="pct"/>
                  <w:tcBorders>
                    <w:tl2br w:val="nil"/>
                    <w:tr2bl w:val="nil"/>
                  </w:tcBorders>
                  <w:noWrap w:val="0"/>
                  <w:vAlign w:val="center"/>
                </w:tcPr>
                <w:p w14:paraId="213146C0">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昼夜</w:t>
                  </w:r>
                </w:p>
              </w:tc>
              <w:tc>
                <w:tcPr>
                  <w:tcW w:w="607" w:type="pct"/>
                  <w:tcBorders>
                    <w:tl2br w:val="nil"/>
                    <w:tr2bl w:val="nil"/>
                  </w:tcBorders>
                  <w:noWrap w:val="0"/>
                  <w:vAlign w:val="center"/>
                </w:tcPr>
                <w:p w14:paraId="62C75533">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15</w:t>
                  </w:r>
                </w:p>
              </w:tc>
              <w:tc>
                <w:tcPr>
                  <w:tcW w:w="607" w:type="pct"/>
                  <w:tcBorders>
                    <w:tl2br w:val="nil"/>
                    <w:tr2bl w:val="nil"/>
                  </w:tcBorders>
                  <w:noWrap w:val="0"/>
                  <w:vAlign w:val="center"/>
                </w:tcPr>
                <w:p w14:paraId="3D5783CB">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47.85</w:t>
                  </w:r>
                </w:p>
              </w:tc>
              <w:tc>
                <w:tcPr>
                  <w:tcW w:w="456" w:type="pct"/>
                  <w:tcBorders>
                    <w:tl2br w:val="nil"/>
                    <w:tr2bl w:val="nil"/>
                  </w:tcBorders>
                  <w:noWrap w:val="0"/>
                  <w:vAlign w:val="center"/>
                </w:tcPr>
                <w:p w14:paraId="7179A5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w:t>
                  </w:r>
                </w:p>
              </w:tc>
            </w:tr>
          </w:tbl>
          <w:p w14:paraId="0F68064D">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eastAsia="Times New Roman" w:cs="Times New Roman"/>
                <w:b/>
                <w:bCs/>
                <w:color w:val="000000" w:themeColor="text1"/>
                <w:sz w:val="24"/>
                <w:highlight w:val="none"/>
                <w:lang w:val="en-US" w:eastAsia="zh-CN"/>
                <w14:textFill>
                  <w14:solidFill>
                    <w14:schemeClr w14:val="tx1"/>
                  </w14:solidFill>
                </w14:textFill>
              </w:rPr>
              <w:t>本项目工业企业主要噪声源强调查清单（室外声源）</w:t>
            </w:r>
          </w:p>
          <w:tbl>
            <w:tblPr>
              <w:tblStyle w:val="29"/>
              <w:tblW w:w="4996"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72"/>
              <w:gridCol w:w="1100"/>
              <w:gridCol w:w="998"/>
              <w:gridCol w:w="1284"/>
              <w:gridCol w:w="835"/>
              <w:gridCol w:w="775"/>
              <w:gridCol w:w="778"/>
              <w:gridCol w:w="1121"/>
              <w:gridCol w:w="900"/>
            </w:tblGrid>
            <w:tr w14:paraId="11605D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42" w:type="pct"/>
                  <w:vMerge w:val="restart"/>
                  <w:tcBorders>
                    <w:tl2br w:val="nil"/>
                    <w:tr2bl w:val="nil"/>
                  </w:tcBorders>
                  <w:noWrap w:val="0"/>
                  <w:vAlign w:val="center"/>
                </w:tcPr>
                <w:p w14:paraId="2CBF31AC">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eastAsia" w:ascii="Times New Roman" w:hAnsi="Times New Roman" w:eastAsia="宋体" w:cs="Times New Roman"/>
                      <w:b/>
                      <w:bCs/>
                      <w:color w:val="000000" w:themeColor="text1"/>
                      <w:kern w:val="2"/>
                      <w:sz w:val="21"/>
                      <w:szCs w:val="21"/>
                      <w:lang w:eastAsia="zh-CN"/>
                      <w14:textFill>
                        <w14:solidFill>
                          <w14:schemeClr w14:val="tx1"/>
                        </w14:solidFill>
                      </w14:textFill>
                    </w:rPr>
                  </w:pPr>
                  <w:r>
                    <w:rPr>
                      <w:rFonts w:hint="eastAsia" w:cs="Times New Roman"/>
                      <w:b/>
                      <w:bCs/>
                      <w:color w:val="000000" w:themeColor="text1"/>
                      <w:kern w:val="2"/>
                      <w:sz w:val="21"/>
                      <w:szCs w:val="21"/>
                      <w:lang w:eastAsia="zh-CN"/>
                      <w14:textFill>
                        <w14:solidFill>
                          <w14:schemeClr w14:val="tx1"/>
                        </w14:solidFill>
                      </w14:textFill>
                    </w:rPr>
                    <w:t>序号</w:t>
                  </w:r>
                </w:p>
              </w:tc>
              <w:tc>
                <w:tcPr>
                  <w:tcW w:w="657" w:type="pct"/>
                  <w:vMerge w:val="restart"/>
                  <w:tcBorders>
                    <w:tl2br w:val="nil"/>
                    <w:tr2bl w:val="nil"/>
                  </w:tcBorders>
                  <w:noWrap w:val="0"/>
                  <w:vAlign w:val="center"/>
                </w:tcPr>
                <w:p w14:paraId="197FA444">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声源名称</w:t>
                  </w:r>
                </w:p>
              </w:tc>
              <w:tc>
                <w:tcPr>
                  <w:tcW w:w="596" w:type="pct"/>
                  <w:vMerge w:val="restart"/>
                  <w:tcBorders>
                    <w:tl2br w:val="nil"/>
                    <w:tr2bl w:val="nil"/>
                  </w:tcBorders>
                  <w:noWrap w:val="0"/>
                  <w:vAlign w:val="center"/>
                </w:tcPr>
                <w:p w14:paraId="0A394570">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eastAsia" w:cs="Times New Roman"/>
                      <w:b/>
                      <w:bCs/>
                      <w:color w:val="000000" w:themeColor="text1"/>
                      <w:kern w:val="2"/>
                      <w:sz w:val="21"/>
                      <w:szCs w:val="21"/>
                      <w:lang w:val="en-US" w:eastAsia="zh-CN" w:bidi="ar"/>
                      <w14:textFill>
                        <w14:solidFill>
                          <w14:schemeClr w14:val="tx1"/>
                        </w14:solidFill>
                      </w14:textFill>
                    </w:rPr>
                    <w:t>型号</w:t>
                  </w:r>
                </w:p>
              </w:tc>
              <w:tc>
                <w:tcPr>
                  <w:tcW w:w="767" w:type="pct"/>
                  <w:tcBorders>
                    <w:tl2br w:val="nil"/>
                    <w:tr2bl w:val="nil"/>
                  </w:tcBorders>
                  <w:noWrap w:val="0"/>
                  <w:vAlign w:val="center"/>
                </w:tcPr>
                <w:p w14:paraId="4419FDC5">
                  <w:pPr>
                    <w:keepNext w:val="0"/>
                    <w:keepLines w:val="0"/>
                    <w:pageBreakBefore w:val="0"/>
                    <w:widowControl w:val="0"/>
                    <w:suppressLineNumbers w:val="0"/>
                    <w:kinsoku/>
                    <w:wordWrap/>
                    <w:topLinePunct w:val="0"/>
                    <w:bidi w:val="0"/>
                    <w:adjustRightInd w:val="0"/>
                    <w:snapToGrid w:val="0"/>
                    <w:spacing w:before="0" w:beforeAutospacing="0" w:after="0" w:afterAutospacing="0"/>
                    <w:ind w:left="0" w:leftChars="0" w:right="0" w:rightChars="0"/>
                    <w:jc w:val="cente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声源源强</w:t>
                  </w:r>
                </w:p>
              </w:tc>
              <w:tc>
                <w:tcPr>
                  <w:tcW w:w="1427" w:type="pct"/>
                  <w:gridSpan w:val="3"/>
                  <w:tcBorders>
                    <w:tl2br w:val="nil"/>
                    <w:tr2bl w:val="nil"/>
                  </w:tcBorders>
                  <w:noWrap w:val="0"/>
                  <w:vAlign w:val="center"/>
                </w:tcPr>
                <w:p w14:paraId="443C824F">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空间相对位置/m</w:t>
                  </w:r>
                </w:p>
              </w:tc>
              <w:tc>
                <w:tcPr>
                  <w:tcW w:w="670" w:type="pct"/>
                  <w:vMerge w:val="restart"/>
                  <w:tcBorders>
                    <w:tl2br w:val="nil"/>
                    <w:tr2bl w:val="nil"/>
                  </w:tcBorders>
                  <w:noWrap w:val="0"/>
                  <w:vAlign w:val="center"/>
                </w:tcPr>
                <w:p w14:paraId="5C5011E6">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声源控制措施</w:t>
                  </w:r>
                </w:p>
              </w:tc>
              <w:tc>
                <w:tcPr>
                  <w:tcW w:w="538" w:type="pct"/>
                  <w:vMerge w:val="restart"/>
                  <w:tcBorders>
                    <w:tl2br w:val="nil"/>
                    <w:tr2bl w:val="nil"/>
                  </w:tcBorders>
                  <w:noWrap w:val="0"/>
                  <w:vAlign w:val="center"/>
                </w:tcPr>
                <w:p w14:paraId="7968A3DF">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运行时段</w:t>
                  </w:r>
                </w:p>
              </w:tc>
            </w:tr>
            <w:tr w14:paraId="4E837F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42" w:type="pct"/>
                  <w:vMerge w:val="continue"/>
                  <w:tcBorders>
                    <w:tl2br w:val="nil"/>
                    <w:tr2bl w:val="nil"/>
                  </w:tcBorders>
                  <w:noWrap w:val="0"/>
                  <w:vAlign w:val="center"/>
                </w:tcPr>
                <w:p w14:paraId="136DAE76">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Times New Roman" w:cs="Times New Roman"/>
                      <w:b/>
                      <w:bCs/>
                      <w:color w:val="000000" w:themeColor="text1"/>
                      <w:sz w:val="20"/>
                      <w:szCs w:val="20"/>
                      <w14:textFill>
                        <w14:solidFill>
                          <w14:schemeClr w14:val="tx1"/>
                        </w14:solidFill>
                      </w14:textFill>
                    </w:rPr>
                  </w:pPr>
                </w:p>
              </w:tc>
              <w:tc>
                <w:tcPr>
                  <w:tcW w:w="657" w:type="pct"/>
                  <w:vMerge w:val="continue"/>
                  <w:tcBorders>
                    <w:tl2br w:val="nil"/>
                    <w:tr2bl w:val="nil"/>
                  </w:tcBorders>
                  <w:noWrap w:val="0"/>
                  <w:vAlign w:val="center"/>
                </w:tcPr>
                <w:p w14:paraId="33EA6709">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Times New Roman" w:cs="Times New Roman"/>
                      <w:b/>
                      <w:bCs/>
                      <w:color w:val="000000" w:themeColor="text1"/>
                      <w:sz w:val="20"/>
                      <w:szCs w:val="20"/>
                      <w14:textFill>
                        <w14:solidFill>
                          <w14:schemeClr w14:val="tx1"/>
                        </w14:solidFill>
                      </w14:textFill>
                    </w:rPr>
                  </w:pPr>
                </w:p>
              </w:tc>
              <w:tc>
                <w:tcPr>
                  <w:tcW w:w="596" w:type="pct"/>
                  <w:vMerge w:val="continue"/>
                  <w:tcBorders>
                    <w:tl2br w:val="nil"/>
                    <w:tr2bl w:val="nil"/>
                  </w:tcBorders>
                  <w:noWrap w:val="0"/>
                  <w:vAlign w:val="center"/>
                </w:tcPr>
                <w:p w14:paraId="6DCA2BC4">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p>
              </w:tc>
              <w:tc>
                <w:tcPr>
                  <w:tcW w:w="767" w:type="pct"/>
                  <w:tcBorders>
                    <w:tl2br w:val="nil"/>
                    <w:tr2bl w:val="nil"/>
                  </w:tcBorders>
                  <w:noWrap w:val="0"/>
                  <w:vAlign w:val="center"/>
                </w:tcPr>
                <w:p w14:paraId="7E241BD3">
                  <w:pPr>
                    <w:keepNext w:val="0"/>
                    <w:keepLines w:val="0"/>
                    <w:pageBreakBefore w:val="0"/>
                    <w:widowControl w:val="0"/>
                    <w:suppressLineNumbers w:val="0"/>
                    <w:kinsoku/>
                    <w:wordWrap/>
                    <w:topLinePunct w:val="0"/>
                    <w:bidi w:val="0"/>
                    <w:adjustRightInd w:val="0"/>
                    <w:snapToGrid w:val="0"/>
                    <w:spacing w:before="0" w:beforeAutospacing="0" w:after="0" w:afterAutospacing="0"/>
                    <w:ind w:left="0" w:leftChars="0" w:right="0" w:rightChars="0"/>
                    <w:jc w:val="cente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声功率级/dB(A)</w:t>
                  </w:r>
                </w:p>
              </w:tc>
              <w:tc>
                <w:tcPr>
                  <w:tcW w:w="499" w:type="pct"/>
                  <w:tcBorders>
                    <w:tl2br w:val="nil"/>
                    <w:tr2bl w:val="nil"/>
                  </w:tcBorders>
                  <w:noWrap w:val="0"/>
                  <w:vAlign w:val="center"/>
                </w:tcPr>
                <w:p w14:paraId="7D80E37D">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X</w:t>
                  </w:r>
                </w:p>
              </w:tc>
              <w:tc>
                <w:tcPr>
                  <w:tcW w:w="463" w:type="pct"/>
                  <w:tcBorders>
                    <w:tl2br w:val="nil"/>
                    <w:tr2bl w:val="nil"/>
                  </w:tcBorders>
                  <w:noWrap w:val="0"/>
                  <w:vAlign w:val="center"/>
                </w:tcPr>
                <w:p w14:paraId="102AA28B">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Y</w:t>
                  </w:r>
                </w:p>
              </w:tc>
              <w:tc>
                <w:tcPr>
                  <w:tcW w:w="465" w:type="pct"/>
                  <w:tcBorders>
                    <w:tl2br w:val="nil"/>
                    <w:tr2bl w:val="nil"/>
                  </w:tcBorders>
                  <w:noWrap w:val="0"/>
                  <w:vAlign w:val="center"/>
                </w:tcPr>
                <w:p w14:paraId="7C0CFDAE">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14:textFill>
                        <w14:solidFill>
                          <w14:schemeClr w14:val="tx1"/>
                        </w14:solidFill>
                      </w14:textFill>
                    </w:rPr>
                  </w:pPr>
                  <w:r>
                    <w:rPr>
                      <w:rFonts w:hint="default" w:ascii="Times New Roman" w:hAnsi="Times New Roman" w:eastAsia="宋体" w:cs="Times New Roman"/>
                      <w:b/>
                      <w:bCs/>
                      <w:color w:val="000000" w:themeColor="text1"/>
                      <w:kern w:val="2"/>
                      <w:sz w:val="21"/>
                      <w:szCs w:val="21"/>
                      <w:lang w:val="en-US" w:eastAsia="zh-CN" w:bidi="ar"/>
                      <w14:textFill>
                        <w14:solidFill>
                          <w14:schemeClr w14:val="tx1"/>
                        </w14:solidFill>
                      </w14:textFill>
                    </w:rPr>
                    <w:t>Z</w:t>
                  </w:r>
                </w:p>
              </w:tc>
              <w:tc>
                <w:tcPr>
                  <w:tcW w:w="670" w:type="pct"/>
                  <w:vMerge w:val="continue"/>
                  <w:tcBorders>
                    <w:tl2br w:val="nil"/>
                    <w:tr2bl w:val="nil"/>
                  </w:tcBorders>
                  <w:noWrap w:val="0"/>
                  <w:vAlign w:val="center"/>
                </w:tcPr>
                <w:p w14:paraId="5F653508">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Times New Roman" w:cs="Times New Roman"/>
                      <w:b/>
                      <w:bCs/>
                      <w:color w:val="000000" w:themeColor="text1"/>
                      <w:sz w:val="20"/>
                      <w:szCs w:val="20"/>
                      <w14:textFill>
                        <w14:solidFill>
                          <w14:schemeClr w14:val="tx1"/>
                        </w14:solidFill>
                      </w14:textFill>
                    </w:rPr>
                  </w:pPr>
                </w:p>
              </w:tc>
              <w:tc>
                <w:tcPr>
                  <w:tcW w:w="538" w:type="pct"/>
                  <w:vMerge w:val="continue"/>
                  <w:tcBorders>
                    <w:tl2br w:val="nil"/>
                    <w:tr2bl w:val="nil"/>
                  </w:tcBorders>
                  <w:noWrap w:val="0"/>
                  <w:vAlign w:val="center"/>
                </w:tcPr>
                <w:p w14:paraId="49088F2F">
                  <w:pPr>
                    <w:keepNext w:val="0"/>
                    <w:keepLines w:val="0"/>
                    <w:pageBreakBefore w:val="0"/>
                    <w:suppressLineNumbers w:val="0"/>
                    <w:kinsoku/>
                    <w:wordWrap/>
                    <w:topLinePunct w:val="0"/>
                    <w:bidi w:val="0"/>
                    <w:adjustRightInd w:val="0"/>
                    <w:snapToGrid w:val="0"/>
                    <w:spacing w:before="0" w:beforeAutospacing="0" w:after="0" w:afterAutospacing="0"/>
                    <w:ind w:left="0" w:right="0"/>
                    <w:rPr>
                      <w:rFonts w:hint="default" w:ascii="Times New Roman" w:hAnsi="Times New Roman" w:eastAsia="Times New Roman" w:cs="Times New Roman"/>
                      <w:b/>
                      <w:bCs/>
                      <w:color w:val="000000" w:themeColor="text1"/>
                      <w:sz w:val="20"/>
                      <w:szCs w:val="20"/>
                      <w14:textFill>
                        <w14:solidFill>
                          <w14:schemeClr w14:val="tx1"/>
                        </w14:solidFill>
                      </w14:textFill>
                    </w:rPr>
                  </w:pPr>
                </w:p>
              </w:tc>
            </w:tr>
            <w:tr w14:paraId="4F7A10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342" w:type="pct"/>
                  <w:tcBorders>
                    <w:tl2br w:val="nil"/>
                    <w:tr2bl w:val="nil"/>
                  </w:tcBorders>
                  <w:noWrap w:val="0"/>
                  <w:vAlign w:val="center"/>
                </w:tcPr>
                <w:p w14:paraId="54205C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657" w:type="pct"/>
                  <w:tcBorders>
                    <w:tl2br w:val="nil"/>
                    <w:tr2bl w:val="nil"/>
                  </w:tcBorders>
                  <w:noWrap w:val="0"/>
                  <w:vAlign w:val="center"/>
                </w:tcPr>
                <w:p w14:paraId="45722C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风机</w:t>
                  </w:r>
                </w:p>
              </w:tc>
              <w:tc>
                <w:tcPr>
                  <w:tcW w:w="596" w:type="pct"/>
                  <w:tcBorders>
                    <w:tl2br w:val="nil"/>
                    <w:tr2bl w:val="nil"/>
                  </w:tcBorders>
                  <w:noWrap w:val="0"/>
                  <w:vAlign w:val="center"/>
                </w:tcPr>
                <w:p w14:paraId="2D25D0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点源</w:t>
                  </w:r>
                </w:p>
              </w:tc>
              <w:tc>
                <w:tcPr>
                  <w:tcW w:w="767" w:type="pct"/>
                  <w:tcBorders>
                    <w:tl2br w:val="nil"/>
                    <w:tr2bl w:val="nil"/>
                  </w:tcBorders>
                  <w:noWrap w:val="0"/>
                  <w:vAlign w:val="center"/>
                </w:tcPr>
                <w:p w14:paraId="6AF0BA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85</w:t>
                  </w:r>
                </w:p>
              </w:tc>
              <w:tc>
                <w:tcPr>
                  <w:tcW w:w="499" w:type="pct"/>
                  <w:tcBorders>
                    <w:tl2br w:val="nil"/>
                    <w:tr2bl w:val="nil"/>
                  </w:tcBorders>
                  <w:noWrap w:val="0"/>
                  <w:vAlign w:val="center"/>
                </w:tcPr>
                <w:p w14:paraId="5AC7B1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13</w:t>
                  </w:r>
                </w:p>
              </w:tc>
              <w:tc>
                <w:tcPr>
                  <w:tcW w:w="463" w:type="pct"/>
                  <w:tcBorders>
                    <w:tl2br w:val="nil"/>
                    <w:tr2bl w:val="nil"/>
                  </w:tcBorders>
                  <w:noWrap w:val="0"/>
                  <w:vAlign w:val="center"/>
                </w:tcPr>
                <w:p w14:paraId="4C1F93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cs="Times New Roman"/>
                      <w:color w:val="000000" w:themeColor="text1"/>
                      <w:kern w:val="2"/>
                      <w:sz w:val="21"/>
                      <w:szCs w:val="21"/>
                      <w:lang w:val="en-US" w:eastAsia="zh-CN" w:bidi="ar"/>
                      <w14:textFill>
                        <w14:solidFill>
                          <w14:schemeClr w14:val="tx1"/>
                        </w14:solidFill>
                      </w14:textFill>
                    </w:rPr>
                    <w:t>-24</w:t>
                  </w:r>
                </w:p>
              </w:tc>
              <w:tc>
                <w:tcPr>
                  <w:tcW w:w="465" w:type="pct"/>
                  <w:tcBorders>
                    <w:tl2br w:val="nil"/>
                    <w:tr2bl w:val="nil"/>
                  </w:tcBorders>
                  <w:noWrap w:val="0"/>
                  <w:vAlign w:val="center"/>
                </w:tcPr>
                <w:p w14:paraId="620EC8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1.2</w:t>
                  </w:r>
                </w:p>
              </w:tc>
              <w:tc>
                <w:tcPr>
                  <w:tcW w:w="670" w:type="pct"/>
                  <w:tcBorders>
                    <w:tl2br w:val="nil"/>
                    <w:tr2bl w:val="nil"/>
                  </w:tcBorders>
                  <w:noWrap w:val="0"/>
                  <w:vAlign w:val="center"/>
                </w:tcPr>
                <w:p w14:paraId="2E854FA6">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基础减震、隔声罩</w:t>
                  </w:r>
                </w:p>
              </w:tc>
              <w:tc>
                <w:tcPr>
                  <w:tcW w:w="538" w:type="pct"/>
                  <w:tcBorders>
                    <w:tl2br w:val="nil"/>
                    <w:tr2bl w:val="nil"/>
                  </w:tcBorders>
                  <w:noWrap w:val="0"/>
                  <w:vAlign w:val="center"/>
                </w:tcPr>
                <w:p w14:paraId="056A8D76">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auto"/>
                      <w:sz w:val="21"/>
                      <w:szCs w:val="21"/>
                      <w:lang w:eastAsia="zh-CN"/>
                    </w:rPr>
                    <w:t>昼夜</w:t>
                  </w:r>
                </w:p>
              </w:tc>
            </w:tr>
          </w:tbl>
          <w:p w14:paraId="18F96937">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240" w:firstLineChars="1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Times New Roman" w:cs="Times New Roman"/>
                <w:b/>
                <w:bCs/>
                <w:color w:val="000000" w:themeColor="text1"/>
                <w:sz w:val="24"/>
                <w:highlight w:val="none"/>
                <w:lang w:val="en-US" w:eastAsia="zh-CN"/>
                <w14:textFill>
                  <w14:solidFill>
                    <w14:schemeClr w14:val="tx1"/>
                  </w14:solidFill>
                </w14:textFill>
              </w:rPr>
              <w:t>3.2预测模式</w:t>
            </w:r>
          </w:p>
          <w:p w14:paraId="6934A715">
            <w:pPr>
              <w:pStyle w:val="92"/>
              <w:keepNext w:val="0"/>
              <w:keepLines w:val="0"/>
              <w:widowControl/>
              <w:suppressLineNumbers w:val="0"/>
              <w:spacing w:before="120" w:beforeLines="50" w:beforeAutospacing="0" w:after="0" w:afterAutospacing="0"/>
              <w:ind w:left="0" w:right="0" w:firstLine="482"/>
              <w:rPr>
                <w:rFonts w:hint="default"/>
                <w:b/>
                <w:bCs/>
                <w:color w:val="auto"/>
                <w:sz w:val="24"/>
                <w:szCs w:val="24"/>
              </w:rPr>
            </w:pPr>
            <w:r>
              <w:rPr>
                <w:rFonts w:hint="default"/>
                <w:b/>
                <w:bCs/>
                <w:color w:val="auto"/>
                <w:sz w:val="24"/>
                <w:szCs w:val="24"/>
              </w:rPr>
              <w:t>3.3预测方法</w:t>
            </w:r>
          </w:p>
          <w:p w14:paraId="76D034F7">
            <w:pPr>
              <w:keepNext w:val="0"/>
              <w:keepLines w:val="0"/>
              <w:suppressLineNumbers w:val="0"/>
              <w:autoSpaceDE w:val="0"/>
              <w:autoSpaceDN w:val="0"/>
              <w:spacing w:before="0" w:beforeAutospacing="0" w:after="0" w:afterAutospacing="0" w:line="360" w:lineRule="auto"/>
              <w:ind w:left="0" w:right="0" w:firstLine="482"/>
              <w:rPr>
                <w:rFonts w:hint="default"/>
                <w:color w:val="auto"/>
                <w:sz w:val="24"/>
                <w:szCs w:val="24"/>
              </w:rPr>
            </w:pPr>
            <w:r>
              <w:rPr>
                <w:rFonts w:hint="default"/>
                <w:color w:val="auto"/>
                <w:sz w:val="24"/>
                <w:szCs w:val="24"/>
              </w:rPr>
              <w:t>（1）室内声源等效为室外声源</w:t>
            </w:r>
          </w:p>
          <w:p w14:paraId="5052B287">
            <w:pPr>
              <w:keepNext w:val="0"/>
              <w:keepLines w:val="0"/>
              <w:suppressLineNumbers w:val="0"/>
              <w:autoSpaceDE w:val="0"/>
              <w:autoSpaceDN w:val="0"/>
              <w:spacing w:before="0" w:beforeAutospacing="0" w:after="0" w:afterAutospacing="0" w:line="360" w:lineRule="auto"/>
              <w:ind w:left="0" w:right="0" w:firstLine="482"/>
              <w:rPr>
                <w:rFonts w:hint="default"/>
                <w:color w:val="auto"/>
                <w:sz w:val="24"/>
                <w:szCs w:val="24"/>
              </w:rPr>
            </w:pPr>
            <w:r>
              <w:rPr>
                <w:rFonts w:hint="default"/>
                <w:color w:val="auto"/>
                <w:sz w:val="24"/>
                <w:szCs w:val="24"/>
              </w:rPr>
              <w:t>采用等效室外声源声功率级法进行计算，设靠近开口处（或窗户）室内、室外某倍频带的声压级或A声级分</w:t>
            </w:r>
            <w:r>
              <w:rPr>
                <w:rFonts w:hint="eastAsia"/>
                <w:color w:val="auto"/>
                <w:sz w:val="24"/>
                <w:szCs w:val="24"/>
                <w:lang w:eastAsia="zh-CN"/>
              </w:rPr>
              <w:t>别</w:t>
            </w:r>
            <w:r>
              <w:rPr>
                <w:rFonts w:hint="default"/>
                <w:color w:val="auto"/>
                <w:sz w:val="24"/>
                <w:szCs w:val="24"/>
              </w:rPr>
              <w:t>为L</w:t>
            </w:r>
            <w:r>
              <w:rPr>
                <w:rFonts w:hint="default"/>
                <w:color w:val="auto"/>
                <w:sz w:val="24"/>
                <w:szCs w:val="24"/>
                <w:vertAlign w:val="subscript"/>
              </w:rPr>
              <w:t>p1</w:t>
            </w:r>
            <w:r>
              <w:rPr>
                <w:rFonts w:hint="default"/>
                <w:color w:val="auto"/>
                <w:sz w:val="24"/>
                <w:szCs w:val="24"/>
              </w:rPr>
              <w:t>和L</w:t>
            </w:r>
            <w:r>
              <w:rPr>
                <w:rFonts w:hint="default"/>
                <w:color w:val="auto"/>
                <w:sz w:val="24"/>
                <w:szCs w:val="24"/>
                <w:vertAlign w:val="subscript"/>
              </w:rPr>
              <w:t>p2</w:t>
            </w:r>
            <w:r>
              <w:rPr>
                <w:rFonts w:hint="default"/>
                <w:color w:val="auto"/>
                <w:sz w:val="24"/>
                <w:szCs w:val="24"/>
              </w:rPr>
              <w:t>。若声源所在室内声场为近似扩散声场，则室外的倍频带声压级可按下式近似求出：</w:t>
            </w:r>
          </w:p>
          <w:p w14:paraId="1996F657">
            <w:pPr>
              <w:keepNext w:val="0"/>
              <w:keepLines w:val="0"/>
              <w:suppressLineNumbers w:val="0"/>
              <w:autoSpaceDE w:val="0"/>
              <w:autoSpaceDN w:val="0"/>
              <w:spacing w:before="0" w:beforeAutospacing="0" w:after="0" w:afterAutospacing="0" w:line="360" w:lineRule="auto"/>
              <w:ind w:left="0" w:right="0"/>
              <w:jc w:val="center"/>
              <w:rPr>
                <w:rFonts w:hint="default"/>
                <w:color w:val="auto"/>
                <w:sz w:val="24"/>
                <w:szCs w:val="24"/>
              </w:rPr>
            </w:pPr>
            <w:r>
              <w:rPr>
                <w:rFonts w:hint="eastAsia"/>
                <w:color w:val="auto"/>
                <w:sz w:val="24"/>
                <w:szCs w:val="24"/>
              </w:rPr>
              <w:t>L</w:t>
            </w:r>
            <w:r>
              <w:rPr>
                <w:rFonts w:hint="eastAsia"/>
                <w:color w:val="auto"/>
                <w:sz w:val="24"/>
                <w:szCs w:val="24"/>
                <w:vertAlign w:val="subscript"/>
              </w:rPr>
              <w:t>p1</w:t>
            </w:r>
            <w:r>
              <w:rPr>
                <w:rFonts w:hint="eastAsia"/>
                <w:color w:val="auto"/>
                <w:sz w:val="24"/>
                <w:szCs w:val="24"/>
              </w:rPr>
              <w:t>=L</w:t>
            </w:r>
            <w:r>
              <w:rPr>
                <w:rFonts w:hint="eastAsia"/>
                <w:color w:val="auto"/>
                <w:sz w:val="24"/>
                <w:szCs w:val="24"/>
                <w:vertAlign w:val="subscript"/>
              </w:rPr>
              <w:t>p1</w:t>
            </w:r>
            <w:r>
              <w:rPr>
                <w:rFonts w:hint="eastAsia"/>
                <w:color w:val="auto"/>
                <w:sz w:val="24"/>
                <w:szCs w:val="24"/>
              </w:rPr>
              <w:t>-（TL+6）</w:t>
            </w:r>
          </w:p>
          <w:p w14:paraId="760F2A4B">
            <w:pPr>
              <w:keepNext w:val="0"/>
              <w:keepLines w:val="0"/>
              <w:suppressLineNumbers w:val="0"/>
              <w:autoSpaceDE w:val="0"/>
              <w:autoSpaceDN w:val="0"/>
              <w:spacing w:before="0" w:beforeAutospacing="0" w:after="0" w:afterAutospacing="0" w:line="360" w:lineRule="auto"/>
              <w:ind w:left="0" w:right="0" w:firstLine="482"/>
              <w:rPr>
                <w:rFonts w:hint="default"/>
                <w:color w:val="auto"/>
                <w:sz w:val="24"/>
                <w:szCs w:val="24"/>
              </w:rPr>
            </w:pPr>
            <w:r>
              <w:rPr>
                <w:rFonts w:hint="default"/>
                <w:color w:val="auto"/>
                <w:sz w:val="24"/>
                <w:szCs w:val="24"/>
              </w:rPr>
              <w:t>式中：L</w:t>
            </w:r>
            <w:r>
              <w:rPr>
                <w:rFonts w:hint="default"/>
                <w:color w:val="auto"/>
                <w:sz w:val="24"/>
                <w:szCs w:val="24"/>
                <w:vertAlign w:val="subscript"/>
              </w:rPr>
              <w:t>p1</w:t>
            </w:r>
            <w:r>
              <w:rPr>
                <w:rFonts w:hint="default"/>
                <w:color w:val="auto"/>
                <w:sz w:val="24"/>
                <w:szCs w:val="24"/>
              </w:rPr>
              <w:t>——靠近开口处（或窗户）室内某倍频带的声压级或A声级，dB；</w:t>
            </w:r>
          </w:p>
          <w:p w14:paraId="27AA2B85">
            <w:pPr>
              <w:keepNext w:val="0"/>
              <w:keepLines w:val="0"/>
              <w:suppressLineNumbers w:val="0"/>
              <w:autoSpaceDE w:val="0"/>
              <w:autoSpaceDN w:val="0"/>
              <w:spacing w:before="0" w:beforeAutospacing="0" w:after="0" w:afterAutospacing="0" w:line="360" w:lineRule="auto"/>
              <w:ind w:left="0" w:right="0" w:firstLine="482"/>
              <w:rPr>
                <w:rFonts w:hint="default"/>
                <w:color w:val="auto"/>
                <w:sz w:val="24"/>
                <w:szCs w:val="24"/>
              </w:rPr>
            </w:pPr>
            <w:r>
              <w:rPr>
                <w:rFonts w:hint="default"/>
                <w:color w:val="auto"/>
                <w:sz w:val="24"/>
                <w:szCs w:val="24"/>
              </w:rPr>
              <w:t>L</w:t>
            </w:r>
            <w:r>
              <w:rPr>
                <w:rFonts w:hint="default"/>
                <w:color w:val="auto"/>
                <w:sz w:val="24"/>
                <w:szCs w:val="24"/>
                <w:vertAlign w:val="subscript"/>
              </w:rPr>
              <w:t>p2</w:t>
            </w:r>
            <w:r>
              <w:rPr>
                <w:rFonts w:hint="default"/>
                <w:color w:val="auto"/>
                <w:sz w:val="24"/>
                <w:szCs w:val="24"/>
              </w:rPr>
              <w:t>——靠近开口处（或窗户）室外某倍频带的声压级或A声级，dB；</w:t>
            </w:r>
          </w:p>
          <w:p w14:paraId="30D3A0AB">
            <w:pPr>
              <w:keepNext w:val="0"/>
              <w:keepLines w:val="0"/>
              <w:suppressLineNumbers w:val="0"/>
              <w:autoSpaceDE w:val="0"/>
              <w:autoSpaceDN w:val="0"/>
              <w:spacing w:before="0" w:beforeAutospacing="0" w:after="0" w:afterAutospacing="0" w:line="360" w:lineRule="auto"/>
              <w:ind w:left="0" w:right="0" w:firstLine="482"/>
              <w:rPr>
                <w:rFonts w:hint="default"/>
                <w:color w:val="auto"/>
                <w:sz w:val="24"/>
                <w:szCs w:val="24"/>
              </w:rPr>
            </w:pPr>
            <w:r>
              <w:rPr>
                <w:rFonts w:hint="default"/>
                <w:color w:val="auto"/>
                <w:sz w:val="24"/>
                <w:szCs w:val="24"/>
              </w:rPr>
              <w:t>TL——隔墙（或窗户）倍频带或A声级的隔音量，dB。</w:t>
            </w:r>
          </w:p>
          <w:p w14:paraId="74145D96">
            <w:pPr>
              <w:keepNext w:val="0"/>
              <w:keepLines w:val="0"/>
              <w:suppressLineNumbers w:val="0"/>
              <w:autoSpaceDE w:val="0"/>
              <w:autoSpaceDN w:val="0"/>
              <w:spacing w:before="0" w:beforeAutospacing="0" w:after="0" w:afterAutospacing="0" w:line="360" w:lineRule="auto"/>
              <w:ind w:left="0" w:right="0" w:firstLine="482"/>
              <w:rPr>
                <w:rFonts w:hint="default"/>
                <w:color w:val="auto"/>
                <w:sz w:val="24"/>
                <w:szCs w:val="24"/>
              </w:rPr>
            </w:pPr>
            <w:r>
              <w:rPr>
                <w:rFonts w:hint="default"/>
                <w:color w:val="auto"/>
                <w:sz w:val="24"/>
                <w:szCs w:val="24"/>
              </w:rPr>
              <w:t>如下图所示：</w:t>
            </w:r>
          </w:p>
          <w:p w14:paraId="11A179BD">
            <w:pPr>
              <w:keepNext w:val="0"/>
              <w:keepLines w:val="0"/>
              <w:suppressLineNumbers w:val="0"/>
              <w:autoSpaceDE w:val="0"/>
              <w:autoSpaceDN w:val="0"/>
              <w:spacing w:before="0" w:beforeAutospacing="0" w:after="0" w:afterAutospacing="0" w:line="360" w:lineRule="auto"/>
              <w:ind w:left="0" w:right="0"/>
              <w:jc w:val="center"/>
              <w:rPr>
                <w:rFonts w:hint="default"/>
                <w:color w:val="auto"/>
                <w:sz w:val="24"/>
                <w:szCs w:val="24"/>
              </w:rPr>
            </w:pPr>
            <w:r>
              <w:rPr>
                <w:rFonts w:hint="default"/>
                <w:color w:val="auto"/>
              </w:rPr>
              <w:drawing>
                <wp:inline distT="0" distB="0" distL="114300" distR="114300">
                  <wp:extent cx="2519045" cy="1231265"/>
                  <wp:effectExtent l="0" t="0" r="14605" b="698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2519045" cy="1231265"/>
                          </a:xfrm>
                          <a:prstGeom prst="rect">
                            <a:avLst/>
                          </a:prstGeom>
                          <a:noFill/>
                          <a:ln>
                            <a:noFill/>
                          </a:ln>
                        </pic:spPr>
                      </pic:pic>
                    </a:graphicData>
                  </a:graphic>
                </wp:inline>
              </w:drawing>
            </w:r>
          </w:p>
          <w:p w14:paraId="0F35E966">
            <w:pPr>
              <w:keepNext w:val="0"/>
              <w:keepLines w:val="0"/>
              <w:suppressLineNumbers w:val="0"/>
              <w:autoSpaceDE w:val="0"/>
              <w:autoSpaceDN w:val="0"/>
              <w:spacing w:before="0" w:beforeAutospacing="0" w:after="0" w:afterAutospacing="0" w:line="360" w:lineRule="auto"/>
              <w:ind w:left="0" w:right="0" w:firstLine="482"/>
              <w:rPr>
                <w:rFonts w:hint="default"/>
                <w:color w:val="auto"/>
                <w:sz w:val="24"/>
                <w:szCs w:val="24"/>
              </w:rPr>
            </w:pPr>
            <w:r>
              <w:rPr>
                <w:rFonts w:hint="default"/>
                <w:color w:val="auto"/>
                <w:sz w:val="24"/>
                <w:szCs w:val="24"/>
              </w:rPr>
              <w:t>对于多个室内噪声源采用下列公式叠加</w:t>
            </w:r>
          </w:p>
          <w:p w14:paraId="305BC658">
            <w:pPr>
              <w:keepNext w:val="0"/>
              <w:keepLines w:val="0"/>
              <w:suppressLineNumbers w:val="0"/>
              <w:autoSpaceDE w:val="0"/>
              <w:autoSpaceDN w:val="0"/>
              <w:spacing w:before="0" w:beforeAutospacing="0" w:after="0" w:afterAutospacing="0" w:line="360" w:lineRule="auto"/>
              <w:ind w:left="0" w:right="0"/>
              <w:jc w:val="center"/>
              <w:rPr>
                <w:rFonts w:hint="default"/>
                <w:color w:val="auto"/>
                <w:sz w:val="24"/>
                <w:szCs w:val="24"/>
              </w:rPr>
            </w:pPr>
            <w:r>
              <w:rPr>
                <w:rFonts w:hint="default"/>
                <w:color w:val="auto"/>
              </w:rPr>
              <w:drawing>
                <wp:inline distT="0" distB="0" distL="114300" distR="114300">
                  <wp:extent cx="1694180" cy="483235"/>
                  <wp:effectExtent l="0" t="0" r="1270" b="1206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3"/>
                          <a:stretch>
                            <a:fillRect/>
                          </a:stretch>
                        </pic:blipFill>
                        <pic:spPr>
                          <a:xfrm>
                            <a:off x="0" y="0"/>
                            <a:ext cx="1694180" cy="483235"/>
                          </a:xfrm>
                          <a:prstGeom prst="rect">
                            <a:avLst/>
                          </a:prstGeom>
                          <a:noFill/>
                          <a:ln>
                            <a:noFill/>
                          </a:ln>
                        </pic:spPr>
                      </pic:pic>
                    </a:graphicData>
                  </a:graphic>
                </wp:inline>
              </w:drawing>
            </w:r>
          </w:p>
          <w:p w14:paraId="5A6459EF">
            <w:pPr>
              <w:keepNext w:val="0"/>
              <w:keepLines w:val="0"/>
              <w:suppressLineNumbers w:val="0"/>
              <w:autoSpaceDE w:val="0"/>
              <w:autoSpaceDN w:val="0"/>
              <w:spacing w:before="0" w:beforeAutospacing="0" w:after="0" w:afterAutospacing="0" w:line="360" w:lineRule="auto"/>
              <w:ind w:left="0" w:right="0" w:firstLine="482"/>
              <w:rPr>
                <w:rFonts w:hint="default"/>
                <w:color w:val="auto"/>
                <w:sz w:val="24"/>
                <w:szCs w:val="24"/>
              </w:rPr>
            </w:pPr>
            <w:r>
              <w:rPr>
                <w:rFonts w:hint="default"/>
                <w:color w:val="auto"/>
                <w:sz w:val="24"/>
                <w:szCs w:val="24"/>
              </w:rPr>
              <w:t>L</w:t>
            </w:r>
            <w:r>
              <w:rPr>
                <w:rFonts w:hint="default"/>
                <w:color w:val="auto"/>
                <w:sz w:val="24"/>
                <w:szCs w:val="24"/>
                <w:vertAlign w:val="subscript"/>
              </w:rPr>
              <w:t>p1i</w:t>
            </w:r>
            <w:r>
              <w:rPr>
                <w:rFonts w:hint="default"/>
                <w:color w:val="auto"/>
                <w:sz w:val="24"/>
                <w:szCs w:val="24"/>
              </w:rPr>
              <w:t>（T）——靠近围护结构处室内N个声源i倍频带的叠加声压级，dB；</w:t>
            </w:r>
          </w:p>
          <w:p w14:paraId="1134799D">
            <w:pPr>
              <w:keepNext w:val="0"/>
              <w:keepLines w:val="0"/>
              <w:suppressLineNumbers w:val="0"/>
              <w:autoSpaceDE w:val="0"/>
              <w:autoSpaceDN w:val="0"/>
              <w:spacing w:before="0" w:beforeAutospacing="0" w:after="0" w:afterAutospacing="0" w:line="360" w:lineRule="auto"/>
              <w:ind w:left="0" w:right="0" w:firstLine="482"/>
              <w:rPr>
                <w:rFonts w:hint="default"/>
                <w:color w:val="auto"/>
                <w:sz w:val="24"/>
                <w:szCs w:val="24"/>
              </w:rPr>
            </w:pPr>
            <w:r>
              <w:rPr>
                <w:rFonts w:hint="default"/>
                <w:color w:val="auto"/>
                <w:sz w:val="24"/>
                <w:szCs w:val="24"/>
              </w:rPr>
              <w:t>L</w:t>
            </w:r>
            <w:r>
              <w:rPr>
                <w:rFonts w:hint="default"/>
                <w:color w:val="auto"/>
                <w:sz w:val="24"/>
                <w:szCs w:val="24"/>
                <w:vertAlign w:val="subscript"/>
              </w:rPr>
              <w:t>p1ij</w:t>
            </w:r>
            <w:r>
              <w:rPr>
                <w:rFonts w:hint="default"/>
                <w:color w:val="auto"/>
                <w:sz w:val="24"/>
                <w:szCs w:val="24"/>
              </w:rPr>
              <w:t>——室内j声源i倍频带的声压级，dB；</w:t>
            </w:r>
          </w:p>
          <w:p w14:paraId="27F58BD8">
            <w:pPr>
              <w:keepNext w:val="0"/>
              <w:keepLines w:val="0"/>
              <w:suppressLineNumbers w:val="0"/>
              <w:autoSpaceDE w:val="0"/>
              <w:autoSpaceDN w:val="0"/>
              <w:spacing w:before="0" w:beforeAutospacing="0" w:after="0" w:afterAutospacing="0" w:line="360" w:lineRule="auto"/>
              <w:ind w:left="0" w:right="0" w:firstLine="482"/>
              <w:rPr>
                <w:rFonts w:hint="default"/>
                <w:color w:val="auto"/>
                <w:sz w:val="24"/>
                <w:szCs w:val="24"/>
              </w:rPr>
            </w:pPr>
            <w:r>
              <w:rPr>
                <w:rFonts w:hint="default"/>
                <w:color w:val="auto"/>
                <w:sz w:val="24"/>
                <w:szCs w:val="24"/>
              </w:rPr>
              <w:t>N——室内声源总数。</w:t>
            </w:r>
          </w:p>
          <w:p w14:paraId="4487A5BE">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kern w:val="2"/>
                <w:sz w:val="24"/>
                <w:szCs w:val="24"/>
              </w:rPr>
            </w:pPr>
            <w:r>
              <w:rPr>
                <w:rFonts w:hint="default"/>
                <w:b w:val="0"/>
                <w:bCs w:val="0"/>
                <w:color w:val="auto"/>
                <w:sz w:val="24"/>
                <w:szCs w:val="24"/>
              </w:rPr>
              <w:t>（2）</w:t>
            </w:r>
            <w:r>
              <w:rPr>
                <w:rFonts w:hint="default" w:ascii="Times New Roman" w:hAnsi="Times New Roman" w:eastAsia="宋体" w:cs="Times New Roman"/>
                <w:b w:val="0"/>
                <w:bCs w:val="0"/>
                <w:color w:val="auto"/>
                <w:kern w:val="2"/>
                <w:sz w:val="24"/>
                <w:szCs w:val="24"/>
                <w:lang w:val="en-US" w:eastAsia="zh-CN" w:bidi="ar"/>
              </w:rPr>
              <w:t>室外点声源传播</w:t>
            </w:r>
          </w:p>
          <w:p w14:paraId="71445B5A">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对于本项目，户外声传播衰减主要考虑几何发散（A</w:t>
            </w:r>
            <w:r>
              <w:rPr>
                <w:rFonts w:hint="default" w:ascii="Times New Roman" w:hAnsi="Times New Roman" w:eastAsia="宋体" w:cs="Times New Roman"/>
                <w:color w:val="auto"/>
                <w:kern w:val="2"/>
                <w:sz w:val="24"/>
                <w:szCs w:val="24"/>
                <w:vertAlign w:val="subscript"/>
                <w:lang w:val="en-US" w:eastAsia="zh-CN" w:bidi="ar"/>
              </w:rPr>
              <w:t>div</w:t>
            </w:r>
            <w:r>
              <w:rPr>
                <w:rFonts w:hint="default" w:ascii="Times New Roman" w:hAnsi="Times New Roman" w:eastAsia="宋体" w:cs="Times New Roman"/>
                <w:color w:val="auto"/>
                <w:kern w:val="2"/>
                <w:sz w:val="24"/>
                <w:szCs w:val="24"/>
                <w:lang w:val="en-US" w:eastAsia="zh-CN" w:bidi="ar"/>
              </w:rPr>
              <w:t>）、大气吸收（A</w:t>
            </w:r>
            <w:r>
              <w:rPr>
                <w:rFonts w:hint="default" w:ascii="Times New Roman" w:hAnsi="Times New Roman" w:eastAsia="宋体" w:cs="Times New Roman"/>
                <w:color w:val="auto"/>
                <w:kern w:val="2"/>
                <w:sz w:val="24"/>
                <w:szCs w:val="24"/>
                <w:vertAlign w:val="subscript"/>
                <w:lang w:val="en-US" w:eastAsia="zh-CN" w:bidi="ar"/>
              </w:rPr>
              <w:t>atm</w:t>
            </w:r>
            <w:r>
              <w:rPr>
                <w:rFonts w:hint="default" w:ascii="Times New Roman" w:hAnsi="Times New Roman" w:eastAsia="宋体" w:cs="Times New Roman"/>
                <w:color w:val="auto"/>
                <w:kern w:val="2"/>
                <w:sz w:val="24"/>
                <w:szCs w:val="24"/>
                <w:lang w:val="en-US" w:eastAsia="zh-CN" w:bidi="ar"/>
              </w:rPr>
              <w:t>）和围墙障碍物屏蔽（A</w:t>
            </w:r>
            <w:r>
              <w:rPr>
                <w:rFonts w:hint="default" w:ascii="Times New Roman" w:hAnsi="Times New Roman" w:eastAsia="宋体" w:cs="Times New Roman"/>
                <w:color w:val="auto"/>
                <w:kern w:val="2"/>
                <w:sz w:val="24"/>
                <w:szCs w:val="24"/>
                <w:vertAlign w:val="subscript"/>
                <w:lang w:val="en-US" w:eastAsia="zh-CN" w:bidi="ar"/>
              </w:rPr>
              <w:t>bar</w:t>
            </w:r>
            <w:r>
              <w:rPr>
                <w:rFonts w:hint="default" w:ascii="Times New Roman" w:hAnsi="Times New Roman" w:eastAsia="宋体" w:cs="Times New Roman"/>
                <w:color w:val="auto"/>
                <w:kern w:val="2"/>
                <w:sz w:val="24"/>
                <w:szCs w:val="24"/>
                <w:lang w:val="en-US" w:eastAsia="zh-CN" w:bidi="ar"/>
              </w:rPr>
              <w:t>）引起的衰减。即Lp</w:t>
            </w:r>
            <w:r>
              <w:rPr>
                <w:rFonts w:hint="eastAsia" w:ascii="Times New Roman" w:hAnsi="Times New Roman" w:eastAsia="宋体"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r</w:t>
            </w:r>
            <w:r>
              <w:rPr>
                <w:rFonts w:hint="eastAsia" w:ascii="Times New Roman" w:hAnsi="Times New Roman" w:eastAsia="宋体"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=L</w:t>
            </w:r>
            <w:r>
              <w:rPr>
                <w:rFonts w:hint="default" w:ascii="Times New Roman" w:hAnsi="Times New Roman" w:eastAsia="宋体" w:cs="Times New Roman"/>
                <w:color w:val="auto"/>
                <w:kern w:val="2"/>
                <w:sz w:val="24"/>
                <w:szCs w:val="24"/>
                <w:vertAlign w:val="subscript"/>
                <w:lang w:val="en-US" w:eastAsia="zh-CN" w:bidi="ar"/>
              </w:rPr>
              <w:t>w</w:t>
            </w:r>
            <w:r>
              <w:rPr>
                <w:rFonts w:hint="default" w:ascii="Times New Roman" w:hAnsi="Times New Roman" w:eastAsia="宋体" w:cs="Times New Roman"/>
                <w:color w:val="auto"/>
                <w:kern w:val="2"/>
                <w:sz w:val="24"/>
                <w:szCs w:val="24"/>
                <w:lang w:val="en-US" w:eastAsia="zh-CN" w:bidi="ar"/>
              </w:rPr>
              <w:t>-A</w:t>
            </w:r>
            <w:r>
              <w:rPr>
                <w:rFonts w:hint="default" w:ascii="Times New Roman" w:hAnsi="Times New Roman" w:eastAsia="宋体" w:cs="Times New Roman"/>
                <w:color w:val="auto"/>
                <w:kern w:val="2"/>
                <w:sz w:val="24"/>
                <w:szCs w:val="24"/>
                <w:vertAlign w:val="subscript"/>
                <w:lang w:val="en-US" w:eastAsia="zh-CN" w:bidi="ar"/>
              </w:rPr>
              <w:t>div</w:t>
            </w:r>
            <w:r>
              <w:rPr>
                <w:rFonts w:hint="default" w:ascii="Times New Roman" w:hAnsi="Times New Roman" w:eastAsia="宋体" w:cs="Times New Roman"/>
                <w:color w:val="auto"/>
                <w:kern w:val="2"/>
                <w:sz w:val="24"/>
                <w:szCs w:val="24"/>
                <w:lang w:val="en-US" w:eastAsia="zh-CN" w:bidi="ar"/>
              </w:rPr>
              <w:t>-A</w:t>
            </w:r>
            <w:r>
              <w:rPr>
                <w:rFonts w:hint="default" w:ascii="Times New Roman" w:hAnsi="Times New Roman" w:eastAsia="宋体" w:cs="Times New Roman"/>
                <w:color w:val="auto"/>
                <w:kern w:val="2"/>
                <w:sz w:val="24"/>
                <w:szCs w:val="24"/>
                <w:vertAlign w:val="subscript"/>
                <w:lang w:val="en-US" w:eastAsia="zh-CN" w:bidi="ar"/>
              </w:rPr>
              <w:t>atm</w:t>
            </w:r>
            <w:r>
              <w:rPr>
                <w:rFonts w:hint="default" w:ascii="Times New Roman" w:hAnsi="Times New Roman" w:eastAsia="宋体" w:cs="Times New Roman"/>
                <w:color w:val="auto"/>
                <w:kern w:val="2"/>
                <w:sz w:val="24"/>
                <w:szCs w:val="24"/>
                <w:lang w:val="en-US" w:eastAsia="zh-CN" w:bidi="ar"/>
              </w:rPr>
              <w:t>-A</w:t>
            </w:r>
            <w:r>
              <w:rPr>
                <w:rFonts w:hint="default" w:ascii="Times New Roman" w:hAnsi="Times New Roman" w:eastAsia="宋体" w:cs="Times New Roman"/>
                <w:color w:val="auto"/>
                <w:kern w:val="2"/>
                <w:sz w:val="24"/>
                <w:szCs w:val="24"/>
                <w:vertAlign w:val="subscript"/>
                <w:lang w:val="en-US" w:eastAsia="zh-CN" w:bidi="ar"/>
              </w:rPr>
              <w:t>bar</w:t>
            </w:r>
            <w:r>
              <w:rPr>
                <w:rFonts w:hint="default" w:ascii="Times New Roman" w:hAnsi="Times New Roman" w:eastAsia="宋体" w:cs="Times New Roman"/>
                <w:color w:val="auto"/>
                <w:kern w:val="2"/>
                <w:sz w:val="24"/>
                <w:szCs w:val="24"/>
                <w:lang w:val="en-US" w:eastAsia="zh-CN" w:bidi="ar"/>
              </w:rPr>
              <w:t>。</w:t>
            </w:r>
          </w:p>
          <w:p w14:paraId="74A35A8C">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①几何发散衰减A</w:t>
            </w:r>
            <w:r>
              <w:rPr>
                <w:rFonts w:hint="default" w:ascii="Times New Roman" w:hAnsi="Times New Roman" w:eastAsia="宋体" w:cs="Times New Roman"/>
                <w:color w:val="auto"/>
                <w:kern w:val="2"/>
                <w:sz w:val="24"/>
                <w:szCs w:val="24"/>
                <w:vertAlign w:val="subscript"/>
                <w:lang w:val="en-US" w:eastAsia="zh-CN" w:bidi="ar"/>
              </w:rPr>
              <w:t>div</w:t>
            </w:r>
            <w:r>
              <w:rPr>
                <w:rFonts w:hint="default" w:ascii="Times New Roman" w:hAnsi="Times New Roman" w:eastAsia="宋体" w:cs="Times New Roman"/>
                <w:color w:val="auto"/>
                <w:kern w:val="2"/>
                <w:sz w:val="24"/>
                <w:szCs w:val="24"/>
                <w:lang w:val="en-US" w:eastAsia="zh-CN" w:bidi="ar"/>
              </w:rPr>
              <w:t>利用半自由声场点源衰减公式：</w:t>
            </w:r>
          </w:p>
          <w:p w14:paraId="720390D4">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L</w:t>
            </w:r>
            <w:r>
              <w:rPr>
                <w:rFonts w:hint="default" w:ascii="Times New Roman" w:hAnsi="Times New Roman" w:eastAsia="宋体" w:cs="Times New Roman"/>
                <w:color w:val="auto"/>
                <w:kern w:val="2"/>
                <w:sz w:val="24"/>
                <w:szCs w:val="24"/>
                <w:vertAlign w:val="subscript"/>
                <w:lang w:val="en-US" w:eastAsia="zh-CN" w:bidi="ar"/>
              </w:rPr>
              <w:t>A</w:t>
            </w:r>
            <w:r>
              <w:rPr>
                <w:rFonts w:hint="eastAsia" w:ascii="Times New Roman" w:hAnsi="Times New Roman" w:eastAsia="宋体" w:cs="Times New Roman"/>
                <w:color w:val="auto"/>
                <w:kern w:val="2"/>
                <w:sz w:val="24"/>
                <w:szCs w:val="24"/>
                <w:vertAlign w:val="subscript"/>
                <w:lang w:val="en-US" w:eastAsia="zh-CN" w:bidi="ar"/>
              </w:rPr>
              <w:t>（</w:t>
            </w:r>
            <w:r>
              <w:rPr>
                <w:rFonts w:hint="default" w:ascii="Times New Roman" w:hAnsi="Times New Roman" w:eastAsia="宋体" w:cs="Times New Roman"/>
                <w:color w:val="auto"/>
                <w:kern w:val="2"/>
                <w:sz w:val="24"/>
                <w:szCs w:val="24"/>
                <w:vertAlign w:val="subscript"/>
                <w:lang w:val="en-US" w:eastAsia="zh-CN" w:bidi="ar"/>
              </w:rPr>
              <w:t>r</w:t>
            </w:r>
            <w:r>
              <w:rPr>
                <w:rFonts w:hint="eastAsia" w:ascii="Times New Roman" w:hAnsi="Times New Roman" w:eastAsia="宋体" w:cs="Times New Roman"/>
                <w:color w:val="auto"/>
                <w:kern w:val="2"/>
                <w:sz w:val="24"/>
                <w:szCs w:val="24"/>
                <w:vertAlign w:val="subscript"/>
                <w:lang w:val="en-US" w:eastAsia="zh-CN" w:bidi="ar"/>
              </w:rPr>
              <w:t>）</w:t>
            </w:r>
            <w:r>
              <w:rPr>
                <w:rFonts w:hint="default" w:ascii="Times New Roman" w:hAnsi="Times New Roman" w:eastAsia="宋体" w:cs="Times New Roman"/>
                <w:color w:val="auto"/>
                <w:kern w:val="2"/>
                <w:sz w:val="24"/>
                <w:szCs w:val="24"/>
                <w:lang w:val="en-US" w:eastAsia="zh-CN" w:bidi="ar"/>
              </w:rPr>
              <w:t>=L</w:t>
            </w:r>
            <w:r>
              <w:rPr>
                <w:rFonts w:hint="default" w:ascii="Times New Roman" w:hAnsi="Times New Roman" w:eastAsia="宋体" w:cs="Times New Roman"/>
                <w:color w:val="auto"/>
                <w:kern w:val="2"/>
                <w:sz w:val="24"/>
                <w:szCs w:val="24"/>
                <w:vertAlign w:val="subscript"/>
                <w:lang w:val="en-US" w:eastAsia="zh-CN" w:bidi="ar"/>
              </w:rPr>
              <w:t>Aw</w:t>
            </w:r>
            <w:r>
              <w:rPr>
                <w:rFonts w:hint="default" w:ascii="Times New Roman" w:hAnsi="Times New Roman" w:eastAsia="宋体" w:cs="Times New Roman"/>
                <w:color w:val="auto"/>
                <w:kern w:val="2"/>
                <w:sz w:val="24"/>
                <w:szCs w:val="24"/>
                <w:lang w:val="en-US" w:eastAsia="zh-CN" w:bidi="ar"/>
              </w:rPr>
              <w:t>-20lgr-8；</w:t>
            </w:r>
          </w:p>
          <w:p w14:paraId="7BA8993C">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式中：L</w:t>
            </w:r>
            <w:r>
              <w:rPr>
                <w:rFonts w:hint="default" w:ascii="Times New Roman" w:hAnsi="Times New Roman" w:eastAsia="宋体" w:cs="Times New Roman"/>
                <w:color w:val="auto"/>
                <w:kern w:val="2"/>
                <w:sz w:val="24"/>
                <w:szCs w:val="24"/>
                <w:vertAlign w:val="subscript"/>
                <w:lang w:val="en-US" w:eastAsia="zh-CN" w:bidi="ar"/>
              </w:rPr>
              <w:t>A</w:t>
            </w:r>
            <w:r>
              <w:rPr>
                <w:rFonts w:hint="eastAsia" w:ascii="Times New Roman" w:hAnsi="Times New Roman" w:eastAsia="宋体" w:cs="Times New Roman"/>
                <w:color w:val="auto"/>
                <w:kern w:val="2"/>
                <w:sz w:val="24"/>
                <w:szCs w:val="24"/>
                <w:vertAlign w:val="subscript"/>
                <w:lang w:val="en-US" w:eastAsia="zh-CN" w:bidi="ar"/>
              </w:rPr>
              <w:t>（</w:t>
            </w:r>
            <w:r>
              <w:rPr>
                <w:rFonts w:hint="default" w:ascii="Times New Roman" w:hAnsi="Times New Roman" w:eastAsia="宋体" w:cs="Times New Roman"/>
                <w:color w:val="auto"/>
                <w:kern w:val="2"/>
                <w:sz w:val="24"/>
                <w:szCs w:val="24"/>
                <w:vertAlign w:val="subscript"/>
                <w:lang w:val="en-US" w:eastAsia="zh-CN" w:bidi="ar"/>
              </w:rPr>
              <w:t>r</w:t>
            </w:r>
            <w:r>
              <w:rPr>
                <w:rFonts w:hint="eastAsia" w:ascii="Times New Roman" w:hAnsi="Times New Roman" w:eastAsia="宋体" w:cs="Times New Roman"/>
                <w:color w:val="auto"/>
                <w:kern w:val="2"/>
                <w:sz w:val="24"/>
                <w:szCs w:val="24"/>
                <w:vertAlign w:val="subscript"/>
                <w:lang w:val="en-US" w:eastAsia="zh-CN" w:bidi="ar"/>
              </w:rPr>
              <w:t>）</w:t>
            </w:r>
            <w:r>
              <w:rPr>
                <w:rFonts w:hint="default" w:ascii="Times New Roman" w:hAnsi="Times New Roman" w:eastAsia="宋体" w:cs="Times New Roman"/>
                <w:color w:val="auto"/>
                <w:kern w:val="2"/>
                <w:sz w:val="24"/>
                <w:szCs w:val="24"/>
                <w:lang w:val="en-US" w:eastAsia="zh-CN" w:bidi="ar"/>
              </w:rPr>
              <w:t>——距声源r处的A声级，dB</w:t>
            </w:r>
            <w:r>
              <w:rPr>
                <w:rFonts w:hint="eastAsia" w:ascii="Times New Roman" w:hAnsi="Times New Roman" w:eastAsia="宋体"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A</w:t>
            </w:r>
            <w:r>
              <w:rPr>
                <w:rFonts w:hint="eastAsia" w:ascii="Times New Roman" w:hAnsi="Times New Roman" w:eastAsia="宋体"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w:t>
            </w:r>
          </w:p>
          <w:p w14:paraId="0E8006E7">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L</w:t>
            </w:r>
            <w:r>
              <w:rPr>
                <w:rFonts w:hint="default" w:ascii="Times New Roman" w:hAnsi="Times New Roman" w:eastAsia="宋体" w:cs="Times New Roman"/>
                <w:color w:val="auto"/>
                <w:kern w:val="2"/>
                <w:sz w:val="24"/>
                <w:szCs w:val="24"/>
                <w:vertAlign w:val="subscript"/>
                <w:lang w:val="en-US" w:eastAsia="zh-CN" w:bidi="ar"/>
              </w:rPr>
              <w:t>Aw</w:t>
            </w:r>
            <w:r>
              <w:rPr>
                <w:rFonts w:hint="default" w:ascii="Times New Roman" w:hAnsi="Times New Roman" w:eastAsia="宋体" w:cs="Times New Roman"/>
                <w:color w:val="auto"/>
                <w:kern w:val="2"/>
                <w:sz w:val="24"/>
                <w:szCs w:val="24"/>
                <w:lang w:val="en-US" w:eastAsia="zh-CN" w:bidi="ar"/>
              </w:rPr>
              <w:t>——点声源A计权声功率级，dB；</w:t>
            </w:r>
          </w:p>
          <w:p w14:paraId="74376149">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r——预测点距声源的距离。</w:t>
            </w:r>
          </w:p>
          <w:p w14:paraId="28C93C97">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②空气吸收引起的衰减A</w:t>
            </w:r>
            <w:r>
              <w:rPr>
                <w:rFonts w:hint="default" w:ascii="Times New Roman" w:hAnsi="Times New Roman" w:eastAsia="宋体" w:cs="Times New Roman"/>
                <w:color w:val="auto"/>
                <w:kern w:val="2"/>
                <w:sz w:val="24"/>
                <w:szCs w:val="24"/>
                <w:vertAlign w:val="subscript"/>
                <w:lang w:val="en-US" w:eastAsia="zh-CN" w:bidi="ar"/>
              </w:rPr>
              <w:t>atm</w:t>
            </w:r>
            <w:r>
              <w:rPr>
                <w:rFonts w:hint="default" w:ascii="Times New Roman" w:hAnsi="Times New Roman" w:eastAsia="宋体" w:cs="Times New Roman"/>
                <w:color w:val="auto"/>
                <w:kern w:val="2"/>
                <w:sz w:val="24"/>
                <w:szCs w:val="24"/>
                <w:lang w:val="en-US" w:eastAsia="zh-CN" w:bidi="ar"/>
              </w:rPr>
              <w:t>=a</w:t>
            </w:r>
            <w:r>
              <w:rPr>
                <w:rFonts w:hint="eastAsia" w:ascii="Times New Roman" w:hAnsi="Times New Roman" w:eastAsia="宋体"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r-r</w:t>
            </w:r>
            <w:r>
              <w:rPr>
                <w:rFonts w:hint="default" w:ascii="Times New Roman" w:hAnsi="Times New Roman" w:eastAsia="宋体" w:cs="Times New Roman"/>
                <w:color w:val="auto"/>
                <w:kern w:val="2"/>
                <w:sz w:val="24"/>
                <w:szCs w:val="24"/>
                <w:vertAlign w:val="subscript"/>
                <w:lang w:val="en-US" w:eastAsia="zh-CN" w:bidi="ar"/>
              </w:rPr>
              <w:t>0</w:t>
            </w:r>
            <w:r>
              <w:rPr>
                <w:rFonts w:hint="eastAsia" w:ascii="Times New Roman" w:hAnsi="Times New Roman" w:eastAsia="宋体"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/1000，式中：a为温度、湿度和声波频率的函数，预测计算中一般根据建设项目所处区域常年平均气温和湿度选择相应的空气吸收系数，见下表。</w:t>
            </w:r>
          </w:p>
          <w:p w14:paraId="3BD50FC9">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b/>
                <w:bCs/>
                <w:color w:val="auto"/>
                <w:kern w:val="2"/>
                <w:sz w:val="24"/>
                <w:szCs w:val="24"/>
                <w:lang w:val="en-US" w:eastAsia="zh-CN" w:bidi="ar"/>
              </w:rPr>
              <w:t>倍频带噪声的大气吸收衰减系数</w:t>
            </w:r>
          </w:p>
          <w:tbl>
            <w:tblPr>
              <w:tblStyle w:val="29"/>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1"/>
              <w:gridCol w:w="1126"/>
              <w:gridCol w:w="1071"/>
              <w:gridCol w:w="1033"/>
              <w:gridCol w:w="1128"/>
              <w:gridCol w:w="1033"/>
              <w:gridCol w:w="1033"/>
              <w:gridCol w:w="951"/>
            </w:tblGrid>
            <w:tr w14:paraId="212442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4" w:type="dxa"/>
                  <w:vMerge w:val="restart"/>
                  <w:noWrap w:val="0"/>
                  <w:vAlign w:val="center"/>
                </w:tcPr>
                <w:p w14:paraId="32E2395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温度</w:t>
                  </w:r>
                </w:p>
                <w:p w14:paraId="3BFF885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w:t>
                  </w:r>
                </w:p>
              </w:tc>
              <w:tc>
                <w:tcPr>
                  <w:tcW w:w="1094" w:type="dxa"/>
                  <w:vMerge w:val="restart"/>
                  <w:noWrap w:val="0"/>
                  <w:vAlign w:val="center"/>
                </w:tcPr>
                <w:p w14:paraId="2CAC447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相对湿度</w:t>
                  </w:r>
                </w:p>
                <w:p w14:paraId="730C474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w:t>
                  </w:r>
                </w:p>
              </w:tc>
              <w:tc>
                <w:tcPr>
                  <w:tcW w:w="6073" w:type="dxa"/>
                  <w:gridSpan w:val="6"/>
                  <w:noWrap w:val="0"/>
                  <w:vAlign w:val="center"/>
                </w:tcPr>
                <w:p w14:paraId="2C30F69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大气吸收衰减系数a，dB/km，倍频带中心频率Hz</w:t>
                  </w:r>
                </w:p>
              </w:tc>
            </w:tr>
            <w:tr w14:paraId="1CB7BA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4" w:type="dxa"/>
                  <w:vMerge w:val="continue"/>
                  <w:noWrap w:val="0"/>
                  <w:vAlign w:val="center"/>
                </w:tcPr>
                <w:p w14:paraId="26C899A5">
                  <w:pPr>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1"/>
                      <w:szCs w:val="21"/>
                    </w:rPr>
                  </w:pPr>
                </w:p>
              </w:tc>
              <w:tc>
                <w:tcPr>
                  <w:tcW w:w="1094" w:type="dxa"/>
                  <w:vMerge w:val="continue"/>
                  <w:noWrap w:val="0"/>
                  <w:vAlign w:val="center"/>
                </w:tcPr>
                <w:p w14:paraId="2CFAC216">
                  <w:pPr>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1"/>
                      <w:szCs w:val="21"/>
                    </w:rPr>
                  </w:pPr>
                </w:p>
              </w:tc>
              <w:tc>
                <w:tcPr>
                  <w:tcW w:w="1041" w:type="dxa"/>
                  <w:noWrap w:val="0"/>
                  <w:vAlign w:val="center"/>
                </w:tcPr>
                <w:p w14:paraId="1F4DCD5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63</w:t>
                  </w:r>
                </w:p>
              </w:tc>
              <w:tc>
                <w:tcPr>
                  <w:tcW w:w="1004" w:type="dxa"/>
                  <w:noWrap w:val="0"/>
                  <w:vAlign w:val="center"/>
                </w:tcPr>
                <w:p w14:paraId="49E6C2A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125</w:t>
                  </w:r>
                </w:p>
              </w:tc>
              <w:tc>
                <w:tcPr>
                  <w:tcW w:w="1096" w:type="dxa"/>
                  <w:noWrap w:val="0"/>
                  <w:vAlign w:val="center"/>
                </w:tcPr>
                <w:p w14:paraId="0159B7A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250</w:t>
                  </w:r>
                </w:p>
              </w:tc>
              <w:tc>
                <w:tcPr>
                  <w:tcW w:w="1004" w:type="dxa"/>
                  <w:noWrap w:val="0"/>
                  <w:vAlign w:val="center"/>
                </w:tcPr>
                <w:p w14:paraId="333CD97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500</w:t>
                  </w:r>
                </w:p>
              </w:tc>
              <w:tc>
                <w:tcPr>
                  <w:tcW w:w="1004" w:type="dxa"/>
                  <w:noWrap w:val="0"/>
                  <w:vAlign w:val="center"/>
                </w:tcPr>
                <w:p w14:paraId="09DF441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1000</w:t>
                  </w:r>
                </w:p>
              </w:tc>
              <w:tc>
                <w:tcPr>
                  <w:tcW w:w="924" w:type="dxa"/>
                  <w:noWrap w:val="0"/>
                  <w:vAlign w:val="center"/>
                </w:tcPr>
                <w:p w14:paraId="666D84D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lang w:val="en-US" w:eastAsia="zh-CN" w:bidi="ar"/>
                    </w:rPr>
                    <w:t>2000</w:t>
                  </w:r>
                </w:p>
              </w:tc>
            </w:tr>
            <w:tr w14:paraId="5E7854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4" w:type="dxa"/>
                  <w:noWrap w:val="0"/>
                  <w:vAlign w:val="center"/>
                </w:tcPr>
                <w:p w14:paraId="2282EAD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w:t>
                  </w:r>
                </w:p>
              </w:tc>
              <w:tc>
                <w:tcPr>
                  <w:tcW w:w="1094" w:type="dxa"/>
                  <w:noWrap w:val="0"/>
                  <w:vAlign w:val="center"/>
                </w:tcPr>
                <w:p w14:paraId="68F565A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70</w:t>
                  </w:r>
                </w:p>
              </w:tc>
              <w:tc>
                <w:tcPr>
                  <w:tcW w:w="1041" w:type="dxa"/>
                  <w:noWrap w:val="0"/>
                  <w:vAlign w:val="center"/>
                </w:tcPr>
                <w:p w14:paraId="792A2F5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0.1</w:t>
                  </w:r>
                </w:p>
              </w:tc>
              <w:tc>
                <w:tcPr>
                  <w:tcW w:w="1004" w:type="dxa"/>
                  <w:noWrap w:val="0"/>
                  <w:vAlign w:val="center"/>
                </w:tcPr>
                <w:p w14:paraId="302FFB5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0.4</w:t>
                  </w:r>
                </w:p>
              </w:tc>
              <w:tc>
                <w:tcPr>
                  <w:tcW w:w="1096" w:type="dxa"/>
                  <w:noWrap w:val="0"/>
                  <w:vAlign w:val="center"/>
                </w:tcPr>
                <w:p w14:paraId="41778EC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w:t>
                  </w:r>
                </w:p>
              </w:tc>
              <w:tc>
                <w:tcPr>
                  <w:tcW w:w="1004" w:type="dxa"/>
                  <w:noWrap w:val="0"/>
                  <w:vAlign w:val="center"/>
                </w:tcPr>
                <w:p w14:paraId="5797221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1.9</w:t>
                  </w:r>
                </w:p>
              </w:tc>
              <w:tc>
                <w:tcPr>
                  <w:tcW w:w="1004" w:type="dxa"/>
                  <w:noWrap w:val="0"/>
                  <w:vAlign w:val="center"/>
                </w:tcPr>
                <w:p w14:paraId="483CD86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3.7</w:t>
                  </w:r>
                </w:p>
              </w:tc>
              <w:tc>
                <w:tcPr>
                  <w:tcW w:w="924" w:type="dxa"/>
                  <w:noWrap w:val="0"/>
                  <w:vAlign w:val="center"/>
                </w:tcPr>
                <w:p w14:paraId="1E8DCA0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9.7</w:t>
                  </w:r>
                </w:p>
              </w:tc>
            </w:tr>
            <w:tr w14:paraId="6F1E88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4" w:type="dxa"/>
                  <w:noWrap w:val="0"/>
                  <w:vAlign w:val="center"/>
                </w:tcPr>
                <w:p w14:paraId="622E1C6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20</w:t>
                  </w:r>
                </w:p>
              </w:tc>
              <w:tc>
                <w:tcPr>
                  <w:tcW w:w="1094" w:type="dxa"/>
                  <w:noWrap w:val="0"/>
                  <w:vAlign w:val="center"/>
                </w:tcPr>
                <w:p w14:paraId="334327D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70</w:t>
                  </w:r>
                </w:p>
              </w:tc>
              <w:tc>
                <w:tcPr>
                  <w:tcW w:w="1041" w:type="dxa"/>
                  <w:noWrap w:val="0"/>
                  <w:vAlign w:val="center"/>
                </w:tcPr>
                <w:p w14:paraId="0E727A5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0.1</w:t>
                  </w:r>
                </w:p>
              </w:tc>
              <w:tc>
                <w:tcPr>
                  <w:tcW w:w="1004" w:type="dxa"/>
                  <w:noWrap w:val="0"/>
                  <w:vAlign w:val="center"/>
                </w:tcPr>
                <w:p w14:paraId="3AB04E2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0.3</w:t>
                  </w:r>
                </w:p>
              </w:tc>
              <w:tc>
                <w:tcPr>
                  <w:tcW w:w="1096" w:type="dxa"/>
                  <w:noWrap w:val="0"/>
                  <w:vAlign w:val="center"/>
                </w:tcPr>
                <w:p w14:paraId="43D742E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1.1</w:t>
                  </w:r>
                </w:p>
              </w:tc>
              <w:tc>
                <w:tcPr>
                  <w:tcW w:w="1004" w:type="dxa"/>
                  <w:noWrap w:val="0"/>
                  <w:vAlign w:val="center"/>
                </w:tcPr>
                <w:p w14:paraId="3739529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2.8</w:t>
                  </w:r>
                </w:p>
              </w:tc>
              <w:tc>
                <w:tcPr>
                  <w:tcW w:w="1004" w:type="dxa"/>
                  <w:noWrap w:val="0"/>
                  <w:vAlign w:val="center"/>
                </w:tcPr>
                <w:p w14:paraId="1470AD8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5.0</w:t>
                  </w:r>
                </w:p>
              </w:tc>
              <w:tc>
                <w:tcPr>
                  <w:tcW w:w="924" w:type="dxa"/>
                  <w:noWrap w:val="0"/>
                  <w:vAlign w:val="center"/>
                </w:tcPr>
                <w:p w14:paraId="06926BE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9.0</w:t>
                  </w:r>
                </w:p>
              </w:tc>
            </w:tr>
            <w:tr w14:paraId="261DD4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4" w:type="dxa"/>
                  <w:noWrap w:val="0"/>
                  <w:vAlign w:val="center"/>
                </w:tcPr>
                <w:p w14:paraId="039D498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30</w:t>
                  </w:r>
                </w:p>
              </w:tc>
              <w:tc>
                <w:tcPr>
                  <w:tcW w:w="1094" w:type="dxa"/>
                  <w:noWrap w:val="0"/>
                  <w:vAlign w:val="center"/>
                </w:tcPr>
                <w:p w14:paraId="1B32753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70</w:t>
                  </w:r>
                </w:p>
              </w:tc>
              <w:tc>
                <w:tcPr>
                  <w:tcW w:w="1041" w:type="dxa"/>
                  <w:noWrap w:val="0"/>
                  <w:vAlign w:val="center"/>
                </w:tcPr>
                <w:p w14:paraId="36FE2F5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0.1</w:t>
                  </w:r>
                </w:p>
              </w:tc>
              <w:tc>
                <w:tcPr>
                  <w:tcW w:w="1004" w:type="dxa"/>
                  <w:noWrap w:val="0"/>
                  <w:vAlign w:val="center"/>
                </w:tcPr>
                <w:p w14:paraId="517F91F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0.3</w:t>
                  </w:r>
                </w:p>
              </w:tc>
              <w:tc>
                <w:tcPr>
                  <w:tcW w:w="1096" w:type="dxa"/>
                  <w:noWrap w:val="0"/>
                  <w:vAlign w:val="center"/>
                </w:tcPr>
                <w:p w14:paraId="3D3D769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1.1</w:t>
                  </w:r>
                </w:p>
              </w:tc>
              <w:tc>
                <w:tcPr>
                  <w:tcW w:w="1004" w:type="dxa"/>
                  <w:noWrap w:val="0"/>
                  <w:vAlign w:val="center"/>
                </w:tcPr>
                <w:p w14:paraId="7E2EACD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3.1</w:t>
                  </w:r>
                </w:p>
              </w:tc>
              <w:tc>
                <w:tcPr>
                  <w:tcW w:w="1004" w:type="dxa"/>
                  <w:noWrap w:val="0"/>
                  <w:vAlign w:val="center"/>
                </w:tcPr>
                <w:p w14:paraId="7BD4936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7.4</w:t>
                  </w:r>
                </w:p>
              </w:tc>
              <w:tc>
                <w:tcPr>
                  <w:tcW w:w="924" w:type="dxa"/>
                  <w:noWrap w:val="0"/>
                  <w:vAlign w:val="center"/>
                </w:tcPr>
                <w:p w14:paraId="124AB5A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12.7</w:t>
                  </w:r>
                </w:p>
              </w:tc>
            </w:tr>
            <w:tr w14:paraId="4F6624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4" w:type="dxa"/>
                  <w:noWrap w:val="0"/>
                  <w:vAlign w:val="center"/>
                </w:tcPr>
                <w:p w14:paraId="52078A8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15</w:t>
                  </w:r>
                </w:p>
              </w:tc>
              <w:tc>
                <w:tcPr>
                  <w:tcW w:w="1094" w:type="dxa"/>
                  <w:noWrap w:val="0"/>
                  <w:vAlign w:val="center"/>
                </w:tcPr>
                <w:p w14:paraId="6196F12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20</w:t>
                  </w:r>
                </w:p>
              </w:tc>
              <w:tc>
                <w:tcPr>
                  <w:tcW w:w="1041" w:type="dxa"/>
                  <w:noWrap w:val="0"/>
                  <w:vAlign w:val="center"/>
                </w:tcPr>
                <w:p w14:paraId="032CD42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0.3</w:t>
                  </w:r>
                </w:p>
              </w:tc>
              <w:tc>
                <w:tcPr>
                  <w:tcW w:w="1004" w:type="dxa"/>
                  <w:noWrap w:val="0"/>
                  <w:vAlign w:val="center"/>
                </w:tcPr>
                <w:p w14:paraId="7334DDF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0.6</w:t>
                  </w:r>
                </w:p>
              </w:tc>
              <w:tc>
                <w:tcPr>
                  <w:tcW w:w="1096" w:type="dxa"/>
                  <w:noWrap w:val="0"/>
                  <w:vAlign w:val="center"/>
                </w:tcPr>
                <w:p w14:paraId="6E77B4C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1.2</w:t>
                  </w:r>
                </w:p>
              </w:tc>
              <w:tc>
                <w:tcPr>
                  <w:tcW w:w="1004" w:type="dxa"/>
                  <w:noWrap w:val="0"/>
                  <w:vAlign w:val="center"/>
                </w:tcPr>
                <w:p w14:paraId="158D272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2.7</w:t>
                  </w:r>
                </w:p>
              </w:tc>
              <w:tc>
                <w:tcPr>
                  <w:tcW w:w="1004" w:type="dxa"/>
                  <w:noWrap w:val="0"/>
                  <w:vAlign w:val="center"/>
                </w:tcPr>
                <w:p w14:paraId="05669CE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8.2</w:t>
                  </w:r>
                </w:p>
              </w:tc>
              <w:tc>
                <w:tcPr>
                  <w:tcW w:w="924" w:type="dxa"/>
                  <w:noWrap w:val="0"/>
                  <w:vAlign w:val="center"/>
                </w:tcPr>
                <w:p w14:paraId="1E898E8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28.2</w:t>
                  </w:r>
                </w:p>
              </w:tc>
            </w:tr>
            <w:tr w14:paraId="0F4F5FD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4" w:type="dxa"/>
                  <w:noWrap w:val="0"/>
                  <w:vAlign w:val="center"/>
                </w:tcPr>
                <w:p w14:paraId="541EE1A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15</w:t>
                  </w:r>
                </w:p>
              </w:tc>
              <w:tc>
                <w:tcPr>
                  <w:tcW w:w="1094" w:type="dxa"/>
                  <w:noWrap w:val="0"/>
                  <w:vAlign w:val="center"/>
                </w:tcPr>
                <w:p w14:paraId="46821B2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50</w:t>
                  </w:r>
                </w:p>
              </w:tc>
              <w:tc>
                <w:tcPr>
                  <w:tcW w:w="1041" w:type="dxa"/>
                  <w:noWrap w:val="0"/>
                  <w:vAlign w:val="center"/>
                </w:tcPr>
                <w:p w14:paraId="19A0A19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0.1</w:t>
                  </w:r>
                </w:p>
              </w:tc>
              <w:tc>
                <w:tcPr>
                  <w:tcW w:w="1004" w:type="dxa"/>
                  <w:noWrap w:val="0"/>
                  <w:vAlign w:val="center"/>
                </w:tcPr>
                <w:p w14:paraId="2788AD7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0.5</w:t>
                  </w:r>
                </w:p>
              </w:tc>
              <w:tc>
                <w:tcPr>
                  <w:tcW w:w="1096" w:type="dxa"/>
                  <w:noWrap w:val="0"/>
                  <w:vAlign w:val="center"/>
                </w:tcPr>
                <w:p w14:paraId="2E3EB4C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1.2</w:t>
                  </w:r>
                </w:p>
              </w:tc>
              <w:tc>
                <w:tcPr>
                  <w:tcW w:w="1004" w:type="dxa"/>
                  <w:noWrap w:val="0"/>
                  <w:vAlign w:val="center"/>
                </w:tcPr>
                <w:p w14:paraId="5D62EEF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2.2</w:t>
                  </w:r>
                </w:p>
              </w:tc>
              <w:tc>
                <w:tcPr>
                  <w:tcW w:w="1004" w:type="dxa"/>
                  <w:noWrap w:val="0"/>
                  <w:vAlign w:val="center"/>
                </w:tcPr>
                <w:p w14:paraId="146A1AE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4.2</w:t>
                  </w:r>
                </w:p>
              </w:tc>
              <w:tc>
                <w:tcPr>
                  <w:tcW w:w="924" w:type="dxa"/>
                  <w:noWrap w:val="0"/>
                  <w:vAlign w:val="center"/>
                </w:tcPr>
                <w:p w14:paraId="36A9A12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10.8</w:t>
                  </w:r>
                </w:p>
              </w:tc>
            </w:tr>
            <w:tr w14:paraId="5D5C5B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4" w:type="dxa"/>
                  <w:noWrap w:val="0"/>
                  <w:vAlign w:val="center"/>
                </w:tcPr>
                <w:p w14:paraId="5A682F0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15</w:t>
                  </w:r>
                </w:p>
              </w:tc>
              <w:tc>
                <w:tcPr>
                  <w:tcW w:w="1094" w:type="dxa"/>
                  <w:noWrap w:val="0"/>
                  <w:vAlign w:val="center"/>
                </w:tcPr>
                <w:p w14:paraId="6284A4D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80</w:t>
                  </w:r>
                </w:p>
              </w:tc>
              <w:tc>
                <w:tcPr>
                  <w:tcW w:w="1041" w:type="dxa"/>
                  <w:noWrap w:val="0"/>
                  <w:vAlign w:val="center"/>
                </w:tcPr>
                <w:p w14:paraId="24DE7B1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0.1</w:t>
                  </w:r>
                </w:p>
              </w:tc>
              <w:tc>
                <w:tcPr>
                  <w:tcW w:w="1004" w:type="dxa"/>
                  <w:noWrap w:val="0"/>
                  <w:vAlign w:val="center"/>
                </w:tcPr>
                <w:p w14:paraId="31C3182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0.3</w:t>
                  </w:r>
                </w:p>
              </w:tc>
              <w:tc>
                <w:tcPr>
                  <w:tcW w:w="1096" w:type="dxa"/>
                  <w:noWrap w:val="0"/>
                  <w:vAlign w:val="center"/>
                </w:tcPr>
                <w:p w14:paraId="3CC7620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1.1</w:t>
                  </w:r>
                </w:p>
              </w:tc>
              <w:tc>
                <w:tcPr>
                  <w:tcW w:w="1004" w:type="dxa"/>
                  <w:noWrap w:val="0"/>
                  <w:vAlign w:val="center"/>
                </w:tcPr>
                <w:p w14:paraId="7729F7E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2.4</w:t>
                  </w:r>
                </w:p>
              </w:tc>
              <w:tc>
                <w:tcPr>
                  <w:tcW w:w="1004" w:type="dxa"/>
                  <w:noWrap w:val="0"/>
                  <w:vAlign w:val="center"/>
                </w:tcPr>
                <w:p w14:paraId="1B909C4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4.1</w:t>
                  </w:r>
                </w:p>
              </w:tc>
              <w:tc>
                <w:tcPr>
                  <w:tcW w:w="924" w:type="dxa"/>
                  <w:noWrap w:val="0"/>
                  <w:vAlign w:val="center"/>
                </w:tcPr>
                <w:p w14:paraId="5A07788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8.3</w:t>
                  </w:r>
                </w:p>
              </w:tc>
            </w:tr>
          </w:tbl>
          <w:p w14:paraId="719F919A">
            <w:pPr>
              <w:keepNext w:val="0"/>
              <w:keepLines w:val="0"/>
              <w:pageBreakBefore w:val="0"/>
              <w:widowControl w:val="0"/>
              <w:suppressLineNumbers w:val="0"/>
              <w:kinsoku/>
              <w:wordWrap/>
              <w:overflowPunct/>
              <w:topLinePunct w:val="0"/>
              <w:autoSpaceDE w:val="0"/>
              <w:autoSpaceDN w:val="0"/>
              <w:bidi w:val="0"/>
              <w:adjustRightInd w:val="0"/>
              <w:snapToGrid w:val="0"/>
              <w:spacing w:before="157" w:beforeLines="5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③围墙障碍物屏蔽（A</w:t>
            </w:r>
            <w:r>
              <w:rPr>
                <w:rFonts w:hint="default" w:ascii="Times New Roman" w:hAnsi="Times New Roman" w:eastAsia="宋体" w:cs="Times New Roman"/>
                <w:color w:val="auto"/>
                <w:kern w:val="2"/>
                <w:sz w:val="24"/>
                <w:szCs w:val="24"/>
                <w:vertAlign w:val="subscript"/>
                <w:lang w:val="en-US" w:eastAsia="zh-CN" w:bidi="ar"/>
              </w:rPr>
              <w:t>bar</w:t>
            </w:r>
            <w:r>
              <w:rPr>
                <w:rFonts w:hint="default" w:ascii="Times New Roman" w:hAnsi="Times New Roman" w:eastAsia="宋体" w:cs="Times New Roman"/>
                <w:color w:val="auto"/>
                <w:kern w:val="2"/>
                <w:sz w:val="24"/>
                <w:szCs w:val="24"/>
                <w:lang w:val="en-US" w:eastAsia="zh-CN" w:bidi="ar"/>
              </w:rPr>
              <w:t>）：围墙简化为具有一定高度的薄屏障，在噪声预测中，声屏障插入损失的计算方法需要根据实际情况</w:t>
            </w:r>
            <w:r>
              <w:rPr>
                <w:rFonts w:hint="eastAsia" w:cs="Times New Roman"/>
                <w:color w:val="auto"/>
                <w:kern w:val="2"/>
                <w:sz w:val="24"/>
                <w:szCs w:val="24"/>
                <w:lang w:val="en-US" w:eastAsia="zh-CN" w:bidi="ar"/>
              </w:rPr>
              <w:t>做</w:t>
            </w:r>
            <w:r>
              <w:rPr>
                <w:rFonts w:hint="default" w:ascii="Times New Roman" w:hAnsi="Times New Roman" w:eastAsia="宋体" w:cs="Times New Roman"/>
                <w:color w:val="auto"/>
                <w:kern w:val="2"/>
                <w:sz w:val="24"/>
                <w:szCs w:val="24"/>
                <w:lang w:val="en-US" w:eastAsia="zh-CN" w:bidi="ar"/>
              </w:rPr>
              <w:t>简化处理。</w:t>
            </w:r>
          </w:p>
          <w:p w14:paraId="3D29C6EF">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color w:val="auto"/>
                <w:sz w:val="24"/>
                <w:szCs w:val="24"/>
              </w:rPr>
              <w:t>（4）</w:t>
            </w:r>
            <w:r>
              <w:rPr>
                <w:rFonts w:hint="default" w:ascii="Times New Roman" w:hAnsi="Times New Roman" w:eastAsia="宋体" w:cs="Times New Roman"/>
                <w:color w:val="auto"/>
                <w:kern w:val="2"/>
                <w:sz w:val="24"/>
                <w:szCs w:val="24"/>
                <w:lang w:val="en-US" w:eastAsia="zh-CN" w:bidi="ar"/>
              </w:rPr>
              <w:t>拟建工程声源对预测点产生的贡献值</w:t>
            </w:r>
          </w:p>
          <w:p w14:paraId="37382C8A">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公式如下：</w:t>
            </w:r>
          </w:p>
          <w:p w14:paraId="40E110C3">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snapToGrid w:val="0"/>
                <w:color w:val="auto"/>
                <w:kern w:val="2"/>
                <w:sz w:val="24"/>
                <w:szCs w:val="24"/>
                <w:lang w:val="en-US" w:eastAsia="zh-CN" w:bidi="ar"/>
              </w:rPr>
              <w:fldChar w:fldCharType="begin"/>
            </w:r>
            <w:r>
              <w:rPr>
                <w:rFonts w:hint="default" w:ascii="Times New Roman" w:hAnsi="Times New Roman" w:eastAsia="宋体" w:cs="Times New Roman"/>
                <w:snapToGrid w:val="0"/>
                <w:color w:val="auto"/>
                <w:kern w:val="2"/>
                <w:sz w:val="24"/>
                <w:szCs w:val="24"/>
                <w:lang w:val="en-US" w:eastAsia="zh-CN" w:bidi="ar"/>
              </w:rPr>
              <w:instrText xml:space="preserve">INCLUDEPICTURE \d "D:\\TMP\\ksohtml8972\\wps2.png" \* MERGEFORMATINET </w:instrText>
            </w:r>
            <w:r>
              <w:rPr>
                <w:rFonts w:hint="default" w:ascii="Times New Roman" w:hAnsi="Times New Roman" w:eastAsia="宋体" w:cs="Times New Roman"/>
                <w:snapToGrid w:val="0"/>
                <w:color w:val="auto"/>
                <w:kern w:val="2"/>
                <w:sz w:val="24"/>
                <w:szCs w:val="24"/>
                <w:lang w:val="en-US" w:eastAsia="zh-CN" w:bidi="ar"/>
              </w:rPr>
              <w:fldChar w:fldCharType="separate"/>
            </w:r>
            <w:r>
              <w:rPr>
                <w:rFonts w:hint="default" w:ascii="Times New Roman" w:hAnsi="Times New Roman" w:eastAsia="宋体" w:cs="Times New Roman"/>
                <w:snapToGrid w:val="0"/>
                <w:color w:val="auto"/>
                <w:kern w:val="2"/>
                <w:sz w:val="24"/>
                <w:szCs w:val="24"/>
                <w:lang w:val="en-US" w:eastAsia="zh-CN" w:bidi="ar"/>
              </w:rPr>
              <w:drawing>
                <wp:inline distT="0" distB="0" distL="114300" distR="114300">
                  <wp:extent cx="2419350" cy="447675"/>
                  <wp:effectExtent l="0" t="0" r="0" b="9525"/>
                  <wp:docPr id="4" name="图片 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7"/>
                          <pic:cNvPicPr>
                            <a:picLocks noChangeAspect="1"/>
                          </pic:cNvPicPr>
                        </pic:nvPicPr>
                        <pic:blipFill>
                          <a:blip r:embed="rId14"/>
                          <a:stretch>
                            <a:fillRect/>
                          </a:stretch>
                        </pic:blipFill>
                        <pic:spPr>
                          <a:xfrm>
                            <a:off x="0" y="0"/>
                            <a:ext cx="2419350" cy="447675"/>
                          </a:xfrm>
                          <a:prstGeom prst="rect">
                            <a:avLst/>
                          </a:prstGeom>
                          <a:noFill/>
                          <a:ln>
                            <a:noFill/>
                          </a:ln>
                        </pic:spPr>
                      </pic:pic>
                    </a:graphicData>
                  </a:graphic>
                </wp:inline>
              </w:drawing>
            </w:r>
            <w:r>
              <w:rPr>
                <w:rFonts w:hint="default" w:ascii="Times New Roman" w:hAnsi="Times New Roman" w:eastAsia="宋体" w:cs="Times New Roman"/>
                <w:snapToGrid w:val="0"/>
                <w:color w:val="auto"/>
                <w:kern w:val="2"/>
                <w:sz w:val="24"/>
                <w:szCs w:val="24"/>
                <w:lang w:val="en-US" w:eastAsia="zh-CN" w:bidi="ar"/>
              </w:rPr>
              <w:fldChar w:fldCharType="end"/>
            </w:r>
            <w:r>
              <w:rPr>
                <w:rFonts w:hint="default" w:ascii="Times New Roman" w:hAnsi="Times New Roman" w:eastAsia="宋体" w:cs="Times New Roman"/>
                <w:color w:val="auto"/>
                <w:kern w:val="2"/>
                <w:sz w:val="24"/>
                <w:szCs w:val="24"/>
                <w:lang w:val="en-US" w:eastAsia="zh-CN" w:bidi="ar"/>
              </w:rPr>
              <w:t xml:space="preserve"> </w:t>
            </w:r>
          </w:p>
          <w:p w14:paraId="62603DD5">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式中：L</w:t>
            </w:r>
            <w:r>
              <w:rPr>
                <w:rFonts w:hint="default" w:ascii="Times New Roman" w:hAnsi="Times New Roman" w:eastAsia="宋体" w:cs="Times New Roman"/>
                <w:color w:val="auto"/>
                <w:kern w:val="2"/>
                <w:sz w:val="24"/>
                <w:szCs w:val="24"/>
                <w:vertAlign w:val="subscript"/>
                <w:lang w:val="en-US" w:eastAsia="zh-CN" w:bidi="ar"/>
              </w:rPr>
              <w:t>eqg</w:t>
            </w:r>
            <w:r>
              <w:rPr>
                <w:rFonts w:hint="default" w:ascii="Times New Roman" w:hAnsi="Times New Roman" w:eastAsia="宋体" w:cs="Times New Roman"/>
                <w:color w:val="auto"/>
                <w:kern w:val="2"/>
                <w:sz w:val="24"/>
                <w:szCs w:val="24"/>
                <w:lang w:val="en-US" w:eastAsia="zh-CN" w:bidi="ar"/>
              </w:rPr>
              <w:t>——建设项目声源在预测点产生的噪声贡献值，dB；</w:t>
            </w:r>
          </w:p>
          <w:p w14:paraId="236A2FE1">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T——用于计算等效声级的时间，s；</w:t>
            </w:r>
          </w:p>
          <w:p w14:paraId="74F44BD2">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N——室外声源个数；</w:t>
            </w:r>
          </w:p>
          <w:p w14:paraId="6A482A37">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t</w:t>
            </w:r>
            <w:r>
              <w:rPr>
                <w:rFonts w:hint="default" w:ascii="Times New Roman" w:hAnsi="Times New Roman" w:eastAsia="宋体" w:cs="Times New Roman"/>
                <w:color w:val="auto"/>
                <w:kern w:val="2"/>
                <w:sz w:val="24"/>
                <w:szCs w:val="24"/>
                <w:vertAlign w:val="subscript"/>
                <w:lang w:val="en-US" w:eastAsia="zh-CN" w:bidi="ar"/>
              </w:rPr>
              <w:t>i</w:t>
            </w:r>
            <w:r>
              <w:rPr>
                <w:rFonts w:hint="default" w:ascii="Times New Roman" w:hAnsi="Times New Roman" w:eastAsia="宋体" w:cs="Times New Roman"/>
                <w:color w:val="auto"/>
                <w:kern w:val="2"/>
                <w:sz w:val="24"/>
                <w:szCs w:val="24"/>
                <w:lang w:val="en-US" w:eastAsia="zh-CN" w:bidi="ar"/>
              </w:rPr>
              <w:t>——在T时间内i声源工作时间，s；</w:t>
            </w:r>
          </w:p>
          <w:p w14:paraId="30A2C5FE">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M——等效室外声源个数；</w:t>
            </w:r>
          </w:p>
          <w:p w14:paraId="78930A46">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2"/>
                <w:sz w:val="24"/>
                <w:szCs w:val="24"/>
                <w:lang w:val="en-US" w:eastAsia="zh-CN" w:bidi="ar"/>
              </w:rPr>
              <w:t>t</w:t>
            </w:r>
            <w:r>
              <w:rPr>
                <w:rFonts w:hint="default" w:ascii="Times New Roman" w:hAnsi="Times New Roman" w:eastAsia="宋体" w:cs="Times New Roman"/>
                <w:color w:val="auto"/>
                <w:kern w:val="2"/>
                <w:sz w:val="24"/>
                <w:szCs w:val="24"/>
                <w:vertAlign w:val="subscript"/>
                <w:lang w:val="en-US" w:eastAsia="zh-CN" w:bidi="ar"/>
              </w:rPr>
              <w:t>j</w:t>
            </w:r>
            <w:r>
              <w:rPr>
                <w:rFonts w:hint="default" w:ascii="Times New Roman" w:hAnsi="Times New Roman" w:eastAsia="宋体" w:cs="Times New Roman"/>
                <w:color w:val="auto"/>
                <w:kern w:val="2"/>
                <w:sz w:val="24"/>
                <w:szCs w:val="24"/>
                <w:lang w:val="en-US" w:eastAsia="zh-CN" w:bidi="ar"/>
              </w:rPr>
              <w:t>——在T时间内j声源工作时间，s。</w:t>
            </w:r>
          </w:p>
          <w:p w14:paraId="074B71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240" w:firstLineChars="100"/>
              <w:textAlignment w:val="auto"/>
              <w:rPr>
                <w:rFonts w:hint="default" w:ascii="Times New Roman" w:hAnsi="Times New Roman" w:eastAsia="Times New Roman" w:cs="Times New Roman"/>
                <w:b/>
                <w:bCs/>
                <w:color w:val="000000" w:themeColor="text1"/>
                <w:sz w:val="24"/>
                <w:highlight w:val="none"/>
                <w:lang w:val="en-US" w:eastAsia="zh-CN"/>
                <w14:textFill>
                  <w14:solidFill>
                    <w14:schemeClr w14:val="tx1"/>
                  </w14:solidFill>
                </w14:textFill>
              </w:rPr>
            </w:pPr>
            <w:r>
              <w:rPr>
                <w:rFonts w:hint="default" w:ascii="Times New Roman" w:hAnsi="Times New Roman" w:eastAsia="Times New Roman" w:cs="Times New Roman"/>
                <w:b/>
                <w:bCs/>
                <w:color w:val="000000" w:themeColor="text1"/>
                <w:sz w:val="24"/>
                <w:highlight w:val="none"/>
                <w:lang w:val="en-US" w:eastAsia="zh-CN"/>
                <w14:textFill>
                  <w14:solidFill>
                    <w14:schemeClr w14:val="tx1"/>
                  </w14:solidFill>
                </w14:textFill>
              </w:rPr>
              <w:t>3.3达标分析</w:t>
            </w:r>
          </w:p>
          <w:p w14:paraId="4D0198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240" w:firstLineChars="100"/>
              <w:jc w:val="center"/>
              <w:textAlignment w:val="auto"/>
              <w:rPr>
                <w:rFonts w:hint="default" w:ascii="Times New Roman" w:hAnsi="Times New Roman" w:eastAsia="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eastAsia="Times New Roman" w:cs="Times New Roman"/>
                <w:b/>
                <w:bCs/>
                <w:color w:val="000000" w:themeColor="text1"/>
                <w:sz w:val="24"/>
                <w:szCs w:val="24"/>
                <w:lang w:eastAsia="zh-CN"/>
                <w14:textFill>
                  <w14:solidFill>
                    <w14:schemeClr w14:val="tx1"/>
                  </w14:solidFill>
                </w14:textFill>
              </w:rPr>
              <w:t>表</w:t>
            </w:r>
            <w:r>
              <w:rPr>
                <w:rFonts w:hint="eastAsia" w:eastAsia="Times New Roman" w:cs="Times New Roman"/>
                <w:b/>
                <w:bCs/>
                <w:color w:val="000000" w:themeColor="text1"/>
                <w:sz w:val="24"/>
                <w:szCs w:val="24"/>
                <w:lang w:val="en-US" w:eastAsia="zh-CN"/>
                <w14:textFill>
                  <w14:solidFill>
                    <w14:schemeClr w14:val="tx1"/>
                  </w14:solidFill>
                </w14:textFill>
              </w:rPr>
              <w:t>29</w:t>
            </w:r>
            <w:r>
              <w:rPr>
                <w:rFonts w:hint="default" w:ascii="Times New Roman" w:hAnsi="Times New Roman" w:eastAsia="Times New Roman" w:cs="Times New Roman"/>
                <w:b/>
                <w:bCs/>
                <w:color w:val="000000" w:themeColor="text1"/>
                <w:sz w:val="24"/>
                <w:szCs w:val="24"/>
                <w:lang w:val="en-US" w:eastAsia="zh-CN"/>
                <w14:textFill>
                  <w14:solidFill>
                    <w14:schemeClr w14:val="tx1"/>
                  </w14:solidFill>
                </w14:textFill>
              </w:rPr>
              <w:t xml:space="preserve">  噪声预测结果一览表</w:t>
            </w:r>
            <w:r>
              <w:rPr>
                <w:rFonts w:hint="default" w:ascii="Times New Roman" w:hAnsi="Times New Roman" w:eastAsia="宋体" w:cs="Times New Roman"/>
                <w:b/>
                <w:bCs/>
                <w:color w:val="000000" w:themeColor="text1"/>
                <w:kern w:val="2"/>
                <w:sz w:val="21"/>
                <w:szCs w:val="21"/>
                <w:lang w:eastAsia="zh-CN"/>
                <w14:textFill>
                  <w14:solidFill>
                    <w14:schemeClr w14:val="tx1"/>
                  </w14:solidFill>
                </w14:textFill>
              </w:rPr>
              <w:t>/dB(A)</w:t>
            </w:r>
          </w:p>
          <w:tbl>
            <w:tblPr>
              <w:tblStyle w:val="29"/>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46"/>
              <w:gridCol w:w="2003"/>
              <w:gridCol w:w="2670"/>
              <w:gridCol w:w="1748"/>
            </w:tblGrid>
            <w:tr w14:paraId="07F445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162" w:type="pct"/>
                  <w:tcBorders>
                    <w:tl2br w:val="nil"/>
                    <w:tr2bl w:val="nil"/>
                  </w:tcBorders>
                  <w:noWrap w:val="0"/>
                  <w:vAlign w:val="center"/>
                </w:tcPr>
                <w:p w14:paraId="50FBC70C">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厂界</w:t>
                  </w:r>
                </w:p>
              </w:tc>
              <w:tc>
                <w:tcPr>
                  <w:tcW w:w="1197" w:type="pct"/>
                  <w:tcBorders>
                    <w:tl2br w:val="nil"/>
                    <w:tr2bl w:val="nil"/>
                  </w:tcBorders>
                  <w:noWrap w:val="0"/>
                  <w:vAlign w:val="center"/>
                </w:tcPr>
                <w:p w14:paraId="40405A20">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贡献值</w:t>
                  </w:r>
                </w:p>
              </w:tc>
              <w:tc>
                <w:tcPr>
                  <w:tcW w:w="1595" w:type="pct"/>
                  <w:tcBorders>
                    <w:tl2br w:val="nil"/>
                    <w:tr2bl w:val="nil"/>
                  </w:tcBorders>
                  <w:noWrap w:val="0"/>
                  <w:vAlign w:val="center"/>
                </w:tcPr>
                <w:p w14:paraId="0BAAA759">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评价标准</w:t>
                  </w:r>
                </w:p>
              </w:tc>
              <w:tc>
                <w:tcPr>
                  <w:tcW w:w="1044" w:type="pct"/>
                  <w:tcBorders>
                    <w:tl2br w:val="nil"/>
                    <w:tr2bl w:val="nil"/>
                  </w:tcBorders>
                  <w:noWrap w:val="0"/>
                  <w:vAlign w:val="center"/>
                </w:tcPr>
                <w:p w14:paraId="0A6D5679">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kern w:val="2"/>
                      <w:sz w:val="21"/>
                      <w:szCs w:val="21"/>
                      <w14:textFill>
                        <w14:solidFill>
                          <w14:schemeClr w14:val="tx1"/>
                        </w14:solidFill>
                      </w14:textFill>
                    </w:rPr>
                  </w:pPr>
                  <w:r>
                    <w:rPr>
                      <w:rFonts w:hint="default" w:ascii="Times New Roman" w:hAnsi="Times New Roman" w:eastAsia="宋体" w:cs="Times New Roman"/>
                      <w:b/>
                      <w:bCs w:val="0"/>
                      <w:color w:val="000000" w:themeColor="text1"/>
                      <w:kern w:val="2"/>
                      <w:sz w:val="21"/>
                      <w:szCs w:val="21"/>
                      <w:lang w:val="en-US" w:eastAsia="zh-CN" w:bidi="ar"/>
                      <w14:textFill>
                        <w14:solidFill>
                          <w14:schemeClr w14:val="tx1"/>
                        </w14:solidFill>
                      </w14:textFill>
                    </w:rPr>
                    <w:t>达标情况</w:t>
                  </w:r>
                </w:p>
              </w:tc>
            </w:tr>
            <w:tr w14:paraId="4D3BEF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62" w:type="pct"/>
                  <w:tcBorders>
                    <w:tl2br w:val="nil"/>
                    <w:tr2bl w:val="nil"/>
                  </w:tcBorders>
                  <w:shd w:val="clear" w:color="auto" w:fill="auto"/>
                  <w:noWrap w:val="0"/>
                  <w:vAlign w:val="center"/>
                </w:tcPr>
                <w:p w14:paraId="0C1B9169">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东厂界</w:t>
                  </w:r>
                </w:p>
              </w:tc>
              <w:tc>
                <w:tcPr>
                  <w:tcW w:w="1197" w:type="pct"/>
                  <w:tcBorders>
                    <w:tl2br w:val="nil"/>
                    <w:tr2bl w:val="nil"/>
                  </w:tcBorders>
                  <w:shd w:val="clear" w:color="auto" w:fill="auto"/>
                  <w:noWrap w:val="0"/>
                  <w:vAlign w:val="center"/>
                </w:tcPr>
                <w:p w14:paraId="59DADEF2">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eastAsia" w:cs="Times New Roman"/>
                      <w:color w:val="000000" w:themeColor="text1"/>
                      <w:kern w:val="2"/>
                      <w:sz w:val="21"/>
                      <w:szCs w:val="21"/>
                      <w:highlight w:val="none"/>
                      <w:lang w:val="en-US" w:eastAsia="zh-CN"/>
                      <w14:textFill>
                        <w14:solidFill>
                          <w14:schemeClr w14:val="tx1"/>
                        </w14:solidFill>
                      </w14:textFill>
                    </w:rPr>
                    <w:t>44.33</w:t>
                  </w:r>
                </w:p>
              </w:tc>
              <w:tc>
                <w:tcPr>
                  <w:tcW w:w="1595" w:type="pct"/>
                  <w:vMerge w:val="restart"/>
                  <w:tcBorders>
                    <w:tl2br w:val="nil"/>
                    <w:tr2bl w:val="nil"/>
                  </w:tcBorders>
                  <w:noWrap w:val="0"/>
                  <w:vAlign w:val="center"/>
                </w:tcPr>
                <w:p w14:paraId="30A11EF8">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14:textFill>
                        <w14:solidFill>
                          <w14:schemeClr w14:val="tx1"/>
                        </w14:solidFill>
                      </w14:textFill>
                    </w:rPr>
                  </w:pPr>
                  <w:r>
                    <w:rPr>
                      <w:rFonts w:hint="default" w:ascii="Times New Roman" w:hAnsi="Times New Roman" w:eastAsia="宋体" w:cs="Times New Roman"/>
                      <w:b w:val="0"/>
                      <w:bCs/>
                      <w:color w:val="000000" w:themeColor="text1"/>
                      <w:kern w:val="2"/>
                      <w:sz w:val="21"/>
                      <w:szCs w:val="21"/>
                      <w:lang w:val="en-US" w:eastAsia="zh-CN" w:bidi="ar"/>
                      <w14:textFill>
                        <w14:solidFill>
                          <w14:schemeClr w14:val="tx1"/>
                        </w14:solidFill>
                      </w14:textFill>
                    </w:rPr>
                    <w:t>（昼6</w:t>
                  </w:r>
                  <w:r>
                    <w:rPr>
                      <w:rFonts w:hint="eastAsia" w:cs="Times New Roman"/>
                      <w:b w:val="0"/>
                      <w:bCs/>
                      <w:color w:val="000000" w:themeColor="text1"/>
                      <w:kern w:val="2"/>
                      <w:sz w:val="21"/>
                      <w:szCs w:val="21"/>
                      <w:lang w:val="en-US" w:eastAsia="zh-CN" w:bidi="ar"/>
                      <w14:textFill>
                        <w14:solidFill>
                          <w14:schemeClr w14:val="tx1"/>
                        </w14:solidFill>
                      </w14:textFill>
                    </w:rPr>
                    <w:t>5/夜55</w:t>
                  </w:r>
                  <w:r>
                    <w:rPr>
                      <w:rFonts w:hint="default" w:ascii="Times New Roman" w:hAnsi="Times New Roman" w:eastAsia="宋体" w:cs="Times New Roman"/>
                      <w:b w:val="0"/>
                      <w:bCs/>
                      <w:color w:val="000000" w:themeColor="text1"/>
                      <w:kern w:val="2"/>
                      <w:sz w:val="21"/>
                      <w:szCs w:val="21"/>
                      <w:lang w:val="en-US" w:eastAsia="zh-CN" w:bidi="ar"/>
                      <w14:textFill>
                        <w14:solidFill>
                          <w14:schemeClr w14:val="tx1"/>
                        </w14:solidFill>
                      </w14:textFill>
                    </w:rPr>
                    <w:t>）</w:t>
                  </w:r>
                </w:p>
              </w:tc>
              <w:tc>
                <w:tcPr>
                  <w:tcW w:w="1044" w:type="pct"/>
                  <w:tcBorders>
                    <w:tl2br w:val="nil"/>
                    <w:tr2bl w:val="nil"/>
                  </w:tcBorders>
                  <w:noWrap w:val="0"/>
                  <w:vAlign w:val="center"/>
                </w:tcPr>
                <w:p w14:paraId="5FDF1EFD">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达标</w:t>
                  </w:r>
                </w:p>
              </w:tc>
            </w:tr>
            <w:tr w14:paraId="144210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62" w:type="pct"/>
                  <w:tcBorders>
                    <w:tl2br w:val="nil"/>
                    <w:tr2bl w:val="nil"/>
                  </w:tcBorders>
                  <w:shd w:val="clear" w:color="auto" w:fill="auto"/>
                  <w:noWrap w:val="0"/>
                  <w:vAlign w:val="center"/>
                </w:tcPr>
                <w:p w14:paraId="17C1E86D">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南厂界</w:t>
                  </w:r>
                </w:p>
              </w:tc>
              <w:tc>
                <w:tcPr>
                  <w:tcW w:w="1197" w:type="pct"/>
                  <w:tcBorders>
                    <w:tl2br w:val="nil"/>
                    <w:tr2bl w:val="nil"/>
                  </w:tcBorders>
                  <w:shd w:val="clear" w:color="auto" w:fill="auto"/>
                  <w:noWrap w:val="0"/>
                  <w:vAlign w:val="center"/>
                </w:tcPr>
                <w:p w14:paraId="2728EAB2">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eastAsia" w:cs="Times New Roman"/>
                      <w:color w:val="000000" w:themeColor="text1"/>
                      <w:kern w:val="2"/>
                      <w:sz w:val="21"/>
                      <w:szCs w:val="21"/>
                      <w:highlight w:val="none"/>
                      <w:lang w:val="en-US" w:eastAsia="zh-CN"/>
                      <w14:textFill>
                        <w14:solidFill>
                          <w14:schemeClr w14:val="tx1"/>
                        </w14:solidFill>
                      </w14:textFill>
                    </w:rPr>
                    <w:t>45.95</w:t>
                  </w:r>
                </w:p>
              </w:tc>
              <w:tc>
                <w:tcPr>
                  <w:tcW w:w="1595" w:type="pct"/>
                  <w:vMerge w:val="continue"/>
                  <w:tcBorders>
                    <w:tl2br w:val="nil"/>
                    <w:tr2bl w:val="nil"/>
                  </w:tcBorders>
                  <w:noWrap w:val="0"/>
                  <w:vAlign w:val="center"/>
                </w:tcPr>
                <w:p w14:paraId="7E687822">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044" w:type="pct"/>
                  <w:tcBorders>
                    <w:tl2br w:val="nil"/>
                    <w:tr2bl w:val="nil"/>
                  </w:tcBorders>
                  <w:noWrap w:val="0"/>
                  <w:vAlign w:val="center"/>
                </w:tcPr>
                <w:p w14:paraId="7FD6E027">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达标</w:t>
                  </w:r>
                </w:p>
              </w:tc>
            </w:tr>
            <w:tr w14:paraId="737FDC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162" w:type="pct"/>
                  <w:tcBorders>
                    <w:tl2br w:val="nil"/>
                    <w:tr2bl w:val="nil"/>
                  </w:tcBorders>
                  <w:shd w:val="clear" w:color="auto" w:fill="auto"/>
                  <w:noWrap w:val="0"/>
                  <w:vAlign w:val="center"/>
                </w:tcPr>
                <w:p w14:paraId="2C4D71B1">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西厂界</w:t>
                  </w:r>
                </w:p>
              </w:tc>
              <w:tc>
                <w:tcPr>
                  <w:tcW w:w="1197" w:type="pct"/>
                  <w:tcBorders>
                    <w:tl2br w:val="nil"/>
                    <w:tr2bl w:val="nil"/>
                  </w:tcBorders>
                  <w:shd w:val="clear" w:color="auto" w:fill="auto"/>
                  <w:noWrap w:val="0"/>
                  <w:vAlign w:val="center"/>
                </w:tcPr>
                <w:p w14:paraId="3A933281">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pPr>
                  <w:r>
                    <w:rPr>
                      <w:rFonts w:hint="eastAsia" w:cs="Times New Roman"/>
                      <w:color w:val="000000" w:themeColor="text1"/>
                      <w:kern w:val="2"/>
                      <w:sz w:val="21"/>
                      <w:szCs w:val="21"/>
                      <w:highlight w:val="none"/>
                      <w:lang w:val="en-US" w:eastAsia="zh-CN"/>
                      <w14:textFill>
                        <w14:solidFill>
                          <w14:schemeClr w14:val="tx1"/>
                        </w14:solidFill>
                      </w14:textFill>
                    </w:rPr>
                    <w:t>51.32</w:t>
                  </w:r>
                </w:p>
              </w:tc>
              <w:tc>
                <w:tcPr>
                  <w:tcW w:w="1595" w:type="pct"/>
                  <w:vMerge w:val="continue"/>
                  <w:tcBorders>
                    <w:tl2br w:val="nil"/>
                    <w:tr2bl w:val="nil"/>
                  </w:tcBorders>
                  <w:noWrap w:val="0"/>
                  <w:vAlign w:val="center"/>
                </w:tcPr>
                <w:p w14:paraId="07CED701">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044" w:type="pct"/>
                  <w:tcBorders>
                    <w:tl2br w:val="nil"/>
                    <w:tr2bl w:val="nil"/>
                  </w:tcBorders>
                  <w:noWrap w:val="0"/>
                  <w:vAlign w:val="center"/>
                </w:tcPr>
                <w:p w14:paraId="0A944D17">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达标</w:t>
                  </w:r>
                </w:p>
              </w:tc>
            </w:tr>
            <w:tr w14:paraId="613DBE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62" w:type="pct"/>
                  <w:tcBorders>
                    <w:tl2br w:val="nil"/>
                    <w:tr2bl w:val="nil"/>
                  </w:tcBorders>
                  <w:noWrap w:val="0"/>
                  <w:vAlign w:val="center"/>
                </w:tcPr>
                <w:p w14:paraId="1628F2EF">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北厂界</w:t>
                  </w:r>
                </w:p>
              </w:tc>
              <w:tc>
                <w:tcPr>
                  <w:tcW w:w="1197" w:type="pct"/>
                  <w:tcBorders>
                    <w:tl2br w:val="nil"/>
                    <w:tr2bl w:val="nil"/>
                  </w:tcBorders>
                  <w:noWrap w:val="0"/>
                  <w:vAlign w:val="center"/>
                </w:tcPr>
                <w:p w14:paraId="62F9381E">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lang w:val="en-US" w:eastAsia="zh-CN"/>
                      <w14:textFill>
                        <w14:solidFill>
                          <w14:schemeClr w14:val="tx1"/>
                        </w14:solidFill>
                      </w14:textFill>
                    </w:rPr>
                  </w:pPr>
                  <w:r>
                    <w:rPr>
                      <w:rFonts w:hint="eastAsia" w:cs="Times New Roman"/>
                      <w:color w:val="000000" w:themeColor="text1"/>
                      <w:kern w:val="2"/>
                      <w:sz w:val="21"/>
                      <w:szCs w:val="21"/>
                      <w:lang w:val="en-US" w:eastAsia="zh-CN"/>
                      <w14:textFill>
                        <w14:solidFill>
                          <w14:schemeClr w14:val="tx1"/>
                        </w14:solidFill>
                      </w14:textFill>
                    </w:rPr>
                    <w:t>44.03</w:t>
                  </w:r>
                </w:p>
              </w:tc>
              <w:tc>
                <w:tcPr>
                  <w:tcW w:w="1595" w:type="pct"/>
                  <w:vMerge w:val="continue"/>
                  <w:tcBorders>
                    <w:tl2br w:val="nil"/>
                    <w:tr2bl w:val="nil"/>
                  </w:tcBorders>
                  <w:noWrap w:val="0"/>
                  <w:vAlign w:val="center"/>
                </w:tcPr>
                <w:p w14:paraId="67AFE15D">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p>
              </w:tc>
              <w:tc>
                <w:tcPr>
                  <w:tcW w:w="1044" w:type="pct"/>
                  <w:tcBorders>
                    <w:tl2br w:val="nil"/>
                    <w:tr2bl w:val="nil"/>
                  </w:tcBorders>
                  <w:noWrap w:val="0"/>
                  <w:vAlign w:val="center"/>
                </w:tcPr>
                <w:p w14:paraId="1F86E401">
                  <w:pPr>
                    <w:keepNext w:val="0"/>
                    <w:keepLines w:val="0"/>
                    <w:pageBreakBefore w:val="0"/>
                    <w:widowControl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达标</w:t>
                  </w:r>
                </w:p>
              </w:tc>
            </w:tr>
          </w:tbl>
          <w:p w14:paraId="35FBE964">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504" w:firstLineChars="200"/>
              <w:rPr>
                <w:rFonts w:hint="default" w:ascii="Times New Roman" w:hAnsi="Times New Roman" w:eastAsia="Times New Roman" w:cs="Times New Roman"/>
                <w:bCs/>
                <w:color w:val="000000" w:themeColor="text1"/>
                <w:sz w:val="24"/>
                <w:highlight w:val="none"/>
                <w14:textFill>
                  <w14:solidFill>
                    <w14:schemeClr w14:val="tx1"/>
                  </w14:solidFill>
                </w14:textFill>
              </w:rPr>
            </w:pPr>
            <w:r>
              <w:rPr>
                <w:rFonts w:hint="default" w:ascii="Times New Roman" w:hAnsi="Times New Roman" w:eastAsia="Times New Roman" w:cs="Times New Roman"/>
                <w:bCs/>
                <w:color w:val="000000" w:themeColor="text1"/>
                <w:spacing w:val="6"/>
                <w:sz w:val="24"/>
                <w:highlight w:val="none"/>
                <w14:textFill>
                  <w14:solidFill>
                    <w14:schemeClr w14:val="tx1"/>
                  </w14:solidFill>
                </w14:textFill>
              </w:rPr>
              <w:t>由上表可知，本项目建成后，各厂界噪声</w:t>
            </w:r>
            <w:r>
              <w:rPr>
                <w:rFonts w:hint="eastAsia" w:eastAsia="宋体" w:cs="Times New Roman"/>
                <w:bCs/>
                <w:color w:val="000000" w:themeColor="text1"/>
                <w:spacing w:val="6"/>
                <w:sz w:val="24"/>
                <w:highlight w:val="none"/>
                <w:lang w:eastAsia="zh-CN"/>
                <w14:textFill>
                  <w14:solidFill>
                    <w14:schemeClr w14:val="tx1"/>
                  </w14:solidFill>
                </w14:textFill>
              </w:rPr>
              <w:t>贡献值</w:t>
            </w:r>
            <w:r>
              <w:rPr>
                <w:rFonts w:hint="default" w:ascii="Times New Roman" w:hAnsi="Times New Roman" w:eastAsia="Times New Roman" w:cs="Times New Roman"/>
                <w:bCs/>
                <w:color w:val="000000" w:themeColor="text1"/>
                <w:spacing w:val="6"/>
                <w:sz w:val="24"/>
                <w:highlight w:val="none"/>
                <w14:textFill>
                  <w14:solidFill>
                    <w14:schemeClr w14:val="tx1"/>
                  </w14:solidFill>
                </w14:textFill>
              </w:rPr>
              <w:t>均能满足《工业企业厂界环境噪声排放标准》</w:t>
            </w:r>
            <w:r>
              <w:rPr>
                <w:rFonts w:hint="default" w:ascii="Times New Roman" w:hAnsi="Times New Roman" w:eastAsia="Times New Roman" w:cs="Times New Roman"/>
                <w:color w:val="000000" w:themeColor="text1"/>
                <w:kern w:val="0"/>
                <w:sz w:val="24"/>
                <w:highlight w:val="none"/>
                <w14:textFill>
                  <w14:solidFill>
                    <w14:schemeClr w14:val="tx1"/>
                  </w14:solidFill>
                </w14:textFill>
              </w:rPr>
              <w:t>（</w:t>
            </w:r>
            <w:r>
              <w:rPr>
                <w:rFonts w:hint="default" w:ascii="Times New Roman" w:hAnsi="Times New Roman" w:eastAsia="Times New Roman" w:cs="Times New Roman"/>
                <w:color w:val="000000" w:themeColor="text1"/>
                <w:sz w:val="24"/>
                <w:highlight w:val="none"/>
                <w14:textFill>
                  <w14:solidFill>
                    <w14:schemeClr w14:val="tx1"/>
                  </w14:solidFill>
                </w14:textFill>
              </w:rPr>
              <w:t>GB12348-2008）中</w:t>
            </w:r>
            <w:r>
              <w:rPr>
                <w:rFonts w:hint="eastAsia" w:eastAsia="宋体" w:cs="Times New Roman"/>
                <w:color w:val="000000" w:themeColor="text1"/>
                <w:sz w:val="24"/>
                <w:highlight w:val="none"/>
                <w:lang w:val="en-US" w:eastAsia="zh-CN"/>
                <w14:textFill>
                  <w14:solidFill>
                    <w14:schemeClr w14:val="tx1"/>
                  </w14:solidFill>
                </w14:textFill>
              </w:rPr>
              <w:t>3</w:t>
            </w:r>
            <w:r>
              <w:rPr>
                <w:rFonts w:hint="default" w:ascii="Times New Roman" w:hAnsi="Times New Roman" w:eastAsia="Times New Roman" w:cs="Times New Roman"/>
                <w:bCs/>
                <w:color w:val="000000" w:themeColor="text1"/>
                <w:spacing w:val="6"/>
                <w:sz w:val="24"/>
                <w:highlight w:val="none"/>
                <w14:textFill>
                  <w14:solidFill>
                    <w14:schemeClr w14:val="tx1"/>
                  </w14:solidFill>
                </w14:textFill>
              </w:rPr>
              <w:t>类标准限值：昼间</w:t>
            </w:r>
            <w:r>
              <w:rPr>
                <w:rFonts w:hint="default" w:ascii="Times New Roman" w:hAnsi="Times New Roman" w:eastAsia="Times New Roman" w:cs="Times New Roman"/>
                <w:color w:val="000000" w:themeColor="text1"/>
                <w:highlight w:val="none"/>
                <w14:textFill>
                  <w14:solidFill>
                    <w14:schemeClr w14:val="tx1"/>
                  </w14:solidFill>
                </w14:textFill>
              </w:rPr>
              <w:t>≤</w:t>
            </w:r>
            <w:r>
              <w:rPr>
                <w:rFonts w:hint="default" w:ascii="Times New Roman" w:hAnsi="Times New Roman" w:eastAsia="Times New Roman" w:cs="Times New Roman"/>
                <w:color w:val="000000" w:themeColor="text1"/>
                <w:kern w:val="0"/>
                <w:sz w:val="24"/>
                <w:highlight w:val="none"/>
                <w14:textFill>
                  <w14:solidFill>
                    <w14:schemeClr w14:val="tx1"/>
                  </w14:solidFill>
                </w14:textFill>
              </w:rPr>
              <w:t>6</w:t>
            </w:r>
            <w:r>
              <w:rPr>
                <w:rFonts w:hint="eastAsia" w:eastAsia="宋体" w:cs="Times New Roman"/>
                <w:color w:val="000000" w:themeColor="text1"/>
                <w:kern w:val="0"/>
                <w:sz w:val="24"/>
                <w:highlight w:val="none"/>
                <w:lang w:val="en-US" w:eastAsia="zh-CN"/>
                <w14:textFill>
                  <w14:solidFill>
                    <w14:schemeClr w14:val="tx1"/>
                  </w14:solidFill>
                </w14:textFill>
              </w:rPr>
              <w:t>5</w:t>
            </w:r>
            <w:r>
              <w:rPr>
                <w:rFonts w:hint="default" w:ascii="Times New Roman" w:hAnsi="Times New Roman" w:eastAsia="Times New Roman" w:cs="Times New Roman"/>
                <w:color w:val="000000" w:themeColor="text1"/>
                <w:sz w:val="24"/>
                <w:highlight w:val="none"/>
                <w14:textFill>
                  <w14:solidFill>
                    <w14:schemeClr w14:val="tx1"/>
                  </w14:solidFill>
                </w14:textFill>
              </w:rPr>
              <w:t>dB(A)</w:t>
            </w:r>
            <w:r>
              <w:rPr>
                <w:rFonts w:hint="default" w:ascii="Times New Roman" w:hAnsi="Times New Roman" w:eastAsia="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eastAsia="Times New Roman" w:cs="Times New Roman"/>
                <w:color w:val="000000" w:themeColor="text1"/>
                <w:kern w:val="0"/>
                <w:sz w:val="24"/>
                <w:highlight w:val="none"/>
                <w:lang w:eastAsia="zh-CN"/>
                <w14:textFill>
                  <w14:solidFill>
                    <w14:schemeClr w14:val="tx1"/>
                  </w14:solidFill>
                </w14:textFill>
              </w:rPr>
              <w:t>夜间≤</w:t>
            </w:r>
            <w:r>
              <w:rPr>
                <w:rFonts w:hint="default" w:ascii="Times New Roman" w:hAnsi="Times New Roman" w:eastAsia="Times New Roman" w:cs="Times New Roman"/>
                <w:color w:val="000000" w:themeColor="text1"/>
                <w:kern w:val="0"/>
                <w:sz w:val="24"/>
                <w:highlight w:val="none"/>
                <w:lang w:val="en-US" w:eastAsia="zh-CN"/>
                <w14:textFill>
                  <w14:solidFill>
                    <w14:schemeClr w14:val="tx1"/>
                  </w14:solidFill>
                </w14:textFill>
              </w:rPr>
              <w:t>5</w:t>
            </w:r>
            <w:r>
              <w:rPr>
                <w:rFonts w:hint="eastAsia" w:eastAsia="Times New Roman" w:cs="Times New Roman"/>
                <w:color w:val="000000" w:themeColor="text1"/>
                <w:kern w:val="0"/>
                <w:sz w:val="24"/>
                <w:highlight w:val="none"/>
                <w:lang w:val="en-US" w:eastAsia="zh-CN"/>
                <w14:textFill>
                  <w14:solidFill>
                    <w14:schemeClr w14:val="tx1"/>
                  </w14:solidFill>
                </w14:textFill>
              </w:rPr>
              <w:t>5</w:t>
            </w:r>
            <w:r>
              <w:rPr>
                <w:rFonts w:hint="default" w:ascii="Times New Roman" w:hAnsi="Times New Roman" w:eastAsia="Times New Roman" w:cs="Times New Roman"/>
                <w:color w:val="000000" w:themeColor="text1"/>
                <w:kern w:val="0"/>
                <w:sz w:val="24"/>
                <w:highlight w:val="none"/>
                <w:lang w:eastAsia="zh-CN"/>
                <w14:textFill>
                  <w14:solidFill>
                    <w14:schemeClr w14:val="tx1"/>
                  </w14:solidFill>
                </w14:textFill>
              </w:rPr>
              <w:t>dB(A)</w:t>
            </w:r>
            <w:r>
              <w:rPr>
                <w:rFonts w:hint="default" w:ascii="Times New Roman" w:hAnsi="Times New Roman" w:eastAsia="Times New Roman" w:cs="Times New Roman"/>
                <w:color w:val="000000" w:themeColor="text1"/>
                <w:kern w:val="0"/>
                <w:sz w:val="24"/>
                <w:highlight w:val="none"/>
                <w14:textFill>
                  <w14:solidFill>
                    <w14:schemeClr w14:val="tx1"/>
                  </w14:solidFill>
                </w14:textFill>
              </w:rPr>
              <w:t>，对外环境</w:t>
            </w:r>
            <w:r>
              <w:rPr>
                <w:rFonts w:hint="default" w:ascii="Times New Roman" w:hAnsi="Times New Roman" w:eastAsia="Times New Roman" w:cs="Times New Roman"/>
                <w:bCs/>
                <w:color w:val="000000" w:themeColor="text1"/>
                <w:sz w:val="24"/>
                <w:highlight w:val="none"/>
                <w14:textFill>
                  <w14:solidFill>
                    <w14:schemeClr w14:val="tx1"/>
                  </w14:solidFill>
                </w14:textFill>
              </w:rPr>
              <w:t>影响很小。</w:t>
            </w:r>
          </w:p>
          <w:p w14:paraId="6F91B1F3">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240" w:firstLineChars="100"/>
              <w:rPr>
                <w:rFonts w:hint="default" w:ascii="Times New Roman" w:hAnsi="Times New Roman" w:eastAsia="Times New Roman" w:cs="Times New Roman"/>
                <w:b/>
                <w:color w:val="000000" w:themeColor="text1"/>
                <w:kern w:val="0"/>
                <w:sz w:val="24"/>
                <w:highlight w:val="none"/>
                <w14:textFill>
                  <w14:solidFill>
                    <w14:schemeClr w14:val="tx1"/>
                  </w14:solidFill>
                </w14:textFill>
              </w:rPr>
            </w:pPr>
            <w:r>
              <w:rPr>
                <w:rFonts w:hint="default" w:ascii="Times New Roman" w:hAnsi="Times New Roman" w:eastAsia="Times New Roman" w:cs="Times New Roman"/>
                <w:b/>
                <w:color w:val="000000" w:themeColor="text1"/>
                <w:kern w:val="0"/>
                <w:sz w:val="24"/>
                <w:highlight w:val="none"/>
                <w:lang w:val="en-US" w:eastAsia="zh-CN"/>
                <w14:textFill>
                  <w14:solidFill>
                    <w14:schemeClr w14:val="tx1"/>
                  </w14:solidFill>
                </w14:textFill>
              </w:rPr>
              <w:t>3.4</w:t>
            </w:r>
            <w:r>
              <w:rPr>
                <w:rFonts w:hint="default" w:ascii="Times New Roman" w:hAnsi="Times New Roman" w:eastAsia="Times New Roman" w:cs="Times New Roman"/>
                <w:b/>
                <w:color w:val="000000" w:themeColor="text1"/>
                <w:kern w:val="0"/>
                <w:sz w:val="24"/>
                <w:highlight w:val="none"/>
                <w14:textFill>
                  <w14:solidFill>
                    <w14:schemeClr w14:val="tx1"/>
                  </w14:solidFill>
                </w14:textFill>
              </w:rPr>
              <w:t>监测要求</w:t>
            </w:r>
          </w:p>
          <w:p w14:paraId="2C94FD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Times New Roman" w:cs="Times New Roman"/>
                <w:color w:val="000000" w:themeColor="text1"/>
                <w:sz w:val="24"/>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1"/>
                <w:highlight w:val="none"/>
                <w:lang w:val="en-US" w:eastAsia="zh-CN"/>
                <w14:textFill>
                  <w14:solidFill>
                    <w14:schemeClr w14:val="tx1"/>
                  </w14:solidFill>
                </w14:textFill>
              </w:rPr>
              <w:t>依据《排污许可证申请与核发技术规范</w:t>
            </w:r>
            <w:r>
              <w:rPr>
                <w:rFonts w:hint="eastAsia" w:eastAsia="Times New Roman" w:cs="Times New Roman"/>
                <w:color w:val="000000" w:themeColor="text1"/>
                <w:sz w:val="24"/>
                <w:szCs w:val="21"/>
                <w:highlight w:val="none"/>
                <w:lang w:val="en-US" w:eastAsia="zh-CN"/>
                <w14:textFill>
                  <w14:solidFill>
                    <w14:schemeClr w14:val="tx1"/>
                  </w14:solidFill>
                </w14:textFill>
              </w:rPr>
              <w:t xml:space="preserve"> </w:t>
            </w:r>
            <w:r>
              <w:rPr>
                <w:rFonts w:hint="default" w:ascii="Times New Roman" w:hAnsi="Times New Roman" w:eastAsia="Times New Roman" w:cs="Times New Roman"/>
                <w:color w:val="000000" w:themeColor="text1"/>
                <w:sz w:val="24"/>
                <w:szCs w:val="21"/>
                <w:highlight w:val="none"/>
                <w:lang w:val="en-US" w:eastAsia="zh-CN"/>
                <w14:textFill>
                  <w14:solidFill>
                    <w14:schemeClr w14:val="tx1"/>
                  </w14:solidFill>
                </w14:textFill>
              </w:rPr>
              <w:t>工业噪声》（HJ1301-2023）要求，本项目运营期自行监测计划见下表。</w:t>
            </w:r>
          </w:p>
          <w:p w14:paraId="090F5523">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color w:val="000000" w:themeColor="text1"/>
                <w:sz w:val="24"/>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14:textFill>
                  <w14:solidFill>
                    <w14:schemeClr w14:val="tx1"/>
                  </w14:solidFill>
                </w14:textFill>
              </w:rPr>
              <w:t>噪声自行监测计划</w:t>
            </w:r>
          </w:p>
          <w:tbl>
            <w:tblPr>
              <w:tblStyle w:val="29"/>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1247"/>
              <w:gridCol w:w="1862"/>
              <w:gridCol w:w="1276"/>
              <w:gridCol w:w="2629"/>
            </w:tblGrid>
            <w:tr w14:paraId="5A7B33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08" w:type="pct"/>
                  <w:noWrap w:val="0"/>
                  <w:vAlign w:val="center"/>
                </w:tcPr>
                <w:p w14:paraId="5F8798C3">
                  <w:pPr>
                    <w:keepNext w:val="0"/>
                    <w:keepLines w:val="0"/>
                    <w:suppressLineNumbers w:val="0"/>
                    <w:adjustRightInd w:val="0"/>
                    <w:snapToGrid w:val="0"/>
                    <w:spacing w:before="0" w:beforeAutospacing="0" w:after="0" w:afterAutospacing="0"/>
                    <w:ind w:left="0" w:right="0"/>
                    <w:jc w:val="center"/>
                    <w:rPr>
                      <w:rFonts w:hint="default"/>
                      <w:b/>
                      <w:color w:val="000000" w:themeColor="text1"/>
                      <w:szCs w:val="21"/>
                      <w14:textFill>
                        <w14:solidFill>
                          <w14:schemeClr w14:val="tx1"/>
                        </w14:solidFill>
                      </w14:textFill>
                    </w:rPr>
                  </w:pPr>
                  <w:r>
                    <w:rPr>
                      <w:rFonts w:hint="default"/>
                      <w:b/>
                      <w:color w:val="000000" w:themeColor="text1"/>
                      <w:szCs w:val="21"/>
                      <w14:textFill>
                        <w14:solidFill>
                          <w14:schemeClr w14:val="tx1"/>
                        </w14:solidFill>
                      </w14:textFill>
                    </w:rPr>
                    <w:t>噪声监测点位</w:t>
                  </w:r>
                </w:p>
              </w:tc>
              <w:tc>
                <w:tcPr>
                  <w:tcW w:w="745" w:type="pct"/>
                  <w:noWrap w:val="0"/>
                  <w:vAlign w:val="center"/>
                </w:tcPr>
                <w:p w14:paraId="7C0EEF64">
                  <w:pPr>
                    <w:keepNext w:val="0"/>
                    <w:keepLines w:val="0"/>
                    <w:suppressLineNumbers w:val="0"/>
                    <w:adjustRightInd w:val="0"/>
                    <w:snapToGrid w:val="0"/>
                    <w:spacing w:before="0" w:beforeAutospacing="0" w:after="0" w:afterAutospacing="0"/>
                    <w:ind w:left="0" w:right="0"/>
                    <w:jc w:val="center"/>
                    <w:rPr>
                      <w:rFonts w:hint="default"/>
                      <w:b/>
                      <w:color w:val="000000" w:themeColor="text1"/>
                      <w:szCs w:val="21"/>
                      <w14:textFill>
                        <w14:solidFill>
                          <w14:schemeClr w14:val="tx1"/>
                        </w14:solidFill>
                      </w14:textFill>
                    </w:rPr>
                  </w:pPr>
                  <w:r>
                    <w:rPr>
                      <w:rFonts w:hint="default"/>
                      <w:b/>
                      <w:color w:val="000000" w:themeColor="text1"/>
                      <w:szCs w:val="21"/>
                      <w14:textFill>
                        <w14:solidFill>
                          <w14:schemeClr w14:val="tx1"/>
                        </w14:solidFill>
                      </w14:textFill>
                    </w:rPr>
                    <w:t>监测内容</w:t>
                  </w:r>
                </w:p>
              </w:tc>
              <w:tc>
                <w:tcPr>
                  <w:tcW w:w="1112" w:type="pct"/>
                  <w:noWrap w:val="0"/>
                  <w:vAlign w:val="center"/>
                </w:tcPr>
                <w:p w14:paraId="06B1B8A3">
                  <w:pPr>
                    <w:keepNext w:val="0"/>
                    <w:keepLines w:val="0"/>
                    <w:suppressLineNumbers w:val="0"/>
                    <w:adjustRightInd w:val="0"/>
                    <w:snapToGrid w:val="0"/>
                    <w:spacing w:before="0" w:beforeAutospacing="0" w:after="0" w:afterAutospacing="0"/>
                    <w:ind w:left="0" w:right="0"/>
                    <w:jc w:val="center"/>
                    <w:rPr>
                      <w:rFonts w:hint="default"/>
                      <w:b/>
                      <w:color w:val="000000" w:themeColor="text1"/>
                      <w:szCs w:val="21"/>
                      <w14:textFill>
                        <w14:solidFill>
                          <w14:schemeClr w14:val="tx1"/>
                        </w14:solidFill>
                      </w14:textFill>
                    </w:rPr>
                  </w:pPr>
                  <w:r>
                    <w:rPr>
                      <w:rFonts w:hint="default"/>
                      <w:b/>
                      <w:color w:val="000000" w:themeColor="text1"/>
                      <w:szCs w:val="21"/>
                      <w14:textFill>
                        <w14:solidFill>
                          <w14:schemeClr w14:val="tx1"/>
                        </w14:solidFill>
                      </w14:textFill>
                    </w:rPr>
                    <w:t>监测周期</w:t>
                  </w:r>
                </w:p>
              </w:tc>
              <w:tc>
                <w:tcPr>
                  <w:tcW w:w="762" w:type="pct"/>
                  <w:noWrap w:val="0"/>
                  <w:vAlign w:val="center"/>
                </w:tcPr>
                <w:p w14:paraId="5C3F9C67">
                  <w:pPr>
                    <w:keepNext w:val="0"/>
                    <w:keepLines w:val="0"/>
                    <w:suppressLineNumbers w:val="0"/>
                    <w:adjustRightInd w:val="0"/>
                    <w:snapToGrid w:val="0"/>
                    <w:spacing w:before="0" w:beforeAutospacing="0" w:after="0" w:afterAutospacing="0"/>
                    <w:ind w:left="0" w:right="0"/>
                    <w:jc w:val="center"/>
                    <w:rPr>
                      <w:rFonts w:hint="default"/>
                      <w:b/>
                      <w:color w:val="000000" w:themeColor="text1"/>
                      <w:szCs w:val="21"/>
                      <w14:textFill>
                        <w14:solidFill>
                          <w14:schemeClr w14:val="tx1"/>
                        </w14:solidFill>
                      </w14:textFill>
                    </w:rPr>
                  </w:pPr>
                  <w:r>
                    <w:rPr>
                      <w:rFonts w:hint="default"/>
                      <w:b/>
                      <w:color w:val="000000" w:themeColor="text1"/>
                      <w:szCs w:val="21"/>
                      <w14:textFill>
                        <w14:solidFill>
                          <w14:schemeClr w14:val="tx1"/>
                        </w14:solidFill>
                      </w14:textFill>
                    </w:rPr>
                    <w:t>监测频次</w:t>
                  </w:r>
                </w:p>
              </w:tc>
              <w:tc>
                <w:tcPr>
                  <w:tcW w:w="1570" w:type="pct"/>
                  <w:noWrap w:val="0"/>
                  <w:vAlign w:val="center"/>
                </w:tcPr>
                <w:p w14:paraId="45BEF031">
                  <w:pPr>
                    <w:keepNext w:val="0"/>
                    <w:keepLines w:val="0"/>
                    <w:suppressLineNumbers w:val="0"/>
                    <w:adjustRightInd w:val="0"/>
                    <w:snapToGrid w:val="0"/>
                    <w:spacing w:before="0" w:beforeAutospacing="0" w:after="0" w:afterAutospacing="0"/>
                    <w:ind w:left="0" w:right="0"/>
                    <w:jc w:val="center"/>
                    <w:rPr>
                      <w:rFonts w:hint="default"/>
                      <w:b/>
                      <w:color w:val="000000" w:themeColor="text1"/>
                      <w:szCs w:val="21"/>
                      <w14:textFill>
                        <w14:solidFill>
                          <w14:schemeClr w14:val="tx1"/>
                        </w14:solidFill>
                      </w14:textFill>
                    </w:rPr>
                  </w:pPr>
                  <w:r>
                    <w:rPr>
                      <w:rFonts w:hint="default"/>
                      <w:b/>
                      <w:color w:val="000000" w:themeColor="text1"/>
                      <w:szCs w:val="21"/>
                      <w14:textFill>
                        <w14:solidFill>
                          <w14:schemeClr w14:val="tx1"/>
                        </w14:solidFill>
                      </w14:textFill>
                    </w:rPr>
                    <w:t>执行标准</w:t>
                  </w:r>
                </w:p>
              </w:tc>
            </w:tr>
            <w:tr w14:paraId="247525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8" w:type="pct"/>
                  <w:vMerge w:val="restart"/>
                  <w:noWrap w:val="0"/>
                  <w:vAlign w:val="center"/>
                </w:tcPr>
                <w:p w14:paraId="1807D11E">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厂</w:t>
                  </w:r>
                  <w:r>
                    <w:rPr>
                      <w:rFonts w:hint="default"/>
                      <w:color w:val="000000" w:themeColor="text1"/>
                      <w:szCs w:val="21"/>
                      <w14:textFill>
                        <w14:solidFill>
                          <w14:schemeClr w14:val="tx1"/>
                        </w14:solidFill>
                      </w14:textFill>
                    </w:rPr>
                    <w:t>界四周外1m</w:t>
                  </w:r>
                </w:p>
              </w:tc>
              <w:tc>
                <w:tcPr>
                  <w:tcW w:w="745" w:type="pct"/>
                  <w:noWrap w:val="0"/>
                  <w:vAlign w:val="center"/>
                </w:tcPr>
                <w:p w14:paraId="2BB863D3">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等效连续A声级</w:t>
                  </w:r>
                </w:p>
              </w:tc>
              <w:tc>
                <w:tcPr>
                  <w:tcW w:w="1112" w:type="pct"/>
                  <w:noWrap w:val="0"/>
                  <w:vAlign w:val="center"/>
                </w:tcPr>
                <w:p w14:paraId="389BB101">
                  <w:pPr>
                    <w:keepNext w:val="0"/>
                    <w:keepLines w:val="0"/>
                    <w:suppressLineNumbers w:val="0"/>
                    <w:adjustRightInd w:val="0"/>
                    <w:snapToGrid w:val="0"/>
                    <w:spacing w:before="0" w:beforeAutospacing="0" w:after="0" w:afterAutospacing="0"/>
                    <w:ind w:left="0" w:right="0"/>
                    <w:jc w:val="center"/>
                    <w:rPr>
                      <w:rFonts w:hint="eastAsia" w:eastAsia="宋体"/>
                      <w:color w:val="000000" w:themeColor="text1"/>
                      <w:szCs w:val="21"/>
                      <w:lang w:eastAsia="zh-CN"/>
                      <w14:textFill>
                        <w14:solidFill>
                          <w14:schemeClr w14:val="tx1"/>
                        </w14:solidFill>
                      </w14:textFill>
                    </w:rPr>
                  </w:pPr>
                  <w:r>
                    <w:rPr>
                      <w:rFonts w:hint="default"/>
                      <w:color w:val="000000" w:themeColor="text1"/>
                      <w:szCs w:val="21"/>
                      <w14:textFill>
                        <w14:solidFill>
                          <w14:schemeClr w14:val="tx1"/>
                        </w14:solidFill>
                      </w14:textFill>
                    </w:rPr>
                    <w:t>1天</w:t>
                  </w:r>
                  <w:r>
                    <w:rPr>
                      <w:rFonts w:hint="eastAsia"/>
                      <w:color w:val="000000" w:themeColor="text1"/>
                      <w:szCs w:val="21"/>
                      <w:lang w:eastAsia="zh-CN"/>
                      <w14:textFill>
                        <w14:solidFill>
                          <w14:schemeClr w14:val="tx1"/>
                        </w14:solidFill>
                      </w14:textFill>
                    </w:rPr>
                    <w:t>（昼、夜间各一次）</w:t>
                  </w:r>
                </w:p>
              </w:tc>
              <w:tc>
                <w:tcPr>
                  <w:tcW w:w="762" w:type="pct"/>
                  <w:noWrap w:val="0"/>
                  <w:vAlign w:val="center"/>
                </w:tcPr>
                <w:p w14:paraId="69D4F1B9">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14:textFill>
                        <w14:solidFill>
                          <w14:schemeClr w14:val="tx1"/>
                        </w14:solidFill>
                      </w14:textFill>
                    </w:rPr>
                  </w:pPr>
                  <w:r>
                    <w:rPr>
                      <w:rFonts w:hint="default"/>
                      <w:color w:val="000000" w:themeColor="text1"/>
                      <w:szCs w:val="21"/>
                      <w14:textFill>
                        <w14:solidFill>
                          <w14:schemeClr w14:val="tx1"/>
                        </w14:solidFill>
                      </w14:textFill>
                    </w:rPr>
                    <w:t>1次/季度</w:t>
                  </w:r>
                </w:p>
              </w:tc>
              <w:tc>
                <w:tcPr>
                  <w:tcW w:w="1570" w:type="pct"/>
                  <w:vMerge w:val="restart"/>
                  <w:noWrap w:val="0"/>
                  <w:vAlign w:val="center"/>
                </w:tcPr>
                <w:p w14:paraId="66D6A795">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14:textFill>
                        <w14:solidFill>
                          <w14:schemeClr w14:val="tx1"/>
                        </w14:solidFill>
                      </w14:textFill>
                    </w:rPr>
                  </w:pPr>
                  <w:r>
                    <w:rPr>
                      <w:rFonts w:hint="default"/>
                      <w:color w:val="000000" w:themeColor="text1"/>
                      <w:szCs w:val="21"/>
                      <w14:textFill>
                        <w14:solidFill>
                          <w14:schemeClr w14:val="tx1"/>
                        </w14:solidFill>
                      </w14:textFill>
                    </w:rPr>
                    <w:t>《工业企业厂界环境噪声排放标准》（GB12348-2008）</w:t>
                  </w:r>
                  <w:r>
                    <w:rPr>
                      <w:rFonts w:hint="eastAsia"/>
                      <w:color w:val="000000" w:themeColor="text1"/>
                      <w:szCs w:val="21"/>
                      <w:lang w:val="en-US" w:eastAsia="zh-CN"/>
                      <w14:textFill>
                        <w14:solidFill>
                          <w14:schemeClr w14:val="tx1"/>
                        </w14:solidFill>
                      </w14:textFill>
                    </w:rPr>
                    <w:t>3</w:t>
                  </w:r>
                  <w:r>
                    <w:rPr>
                      <w:rFonts w:hint="default"/>
                      <w:color w:val="000000" w:themeColor="text1"/>
                      <w:szCs w:val="21"/>
                      <w14:textFill>
                        <w14:solidFill>
                          <w14:schemeClr w14:val="tx1"/>
                        </w14:solidFill>
                      </w14:textFill>
                    </w:rPr>
                    <w:t>类</w:t>
                  </w:r>
                </w:p>
              </w:tc>
            </w:tr>
            <w:tr w14:paraId="1724D1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8" w:type="pct"/>
                  <w:vMerge w:val="continue"/>
                  <w:noWrap w:val="0"/>
                  <w:vAlign w:val="center"/>
                </w:tcPr>
                <w:p w14:paraId="6374E411">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745" w:type="pct"/>
                  <w:noWrap w:val="0"/>
                  <w:vAlign w:val="center"/>
                </w:tcPr>
                <w:p w14:paraId="7F94E55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最大A声级</w:t>
                  </w:r>
                </w:p>
              </w:tc>
              <w:tc>
                <w:tcPr>
                  <w:tcW w:w="1112" w:type="pct"/>
                  <w:noWrap w:val="0"/>
                  <w:vAlign w:val="center"/>
                </w:tcPr>
                <w:p w14:paraId="070E42CA">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1天</w:t>
                  </w:r>
                  <w:r>
                    <w:rPr>
                      <w:rFonts w:hint="eastAsia" w:ascii="Times New Roman" w:hAnsi="Times New Roman" w:eastAsia="宋体" w:cs="Times New Roman"/>
                      <w:color w:val="000000" w:themeColor="text1"/>
                      <w:szCs w:val="21"/>
                      <w:lang w:eastAsia="zh-CN"/>
                      <w14:textFill>
                        <w14:solidFill>
                          <w14:schemeClr w14:val="tx1"/>
                        </w14:solidFill>
                      </w14:textFill>
                    </w:rPr>
                    <w:t>（夜间频发噪声、偶发噪声在发生时进行监测）</w:t>
                  </w:r>
                </w:p>
              </w:tc>
              <w:tc>
                <w:tcPr>
                  <w:tcW w:w="762" w:type="pct"/>
                  <w:noWrap w:val="0"/>
                  <w:vAlign w:val="center"/>
                </w:tcPr>
                <w:p w14:paraId="673AD069">
                  <w:pPr>
                    <w:keepNext w:val="0"/>
                    <w:keepLines w:val="0"/>
                    <w:suppressLineNumbers w:val="0"/>
                    <w:adjustRightInd w:val="0"/>
                    <w:snapToGrid w:val="0"/>
                    <w:spacing w:before="0" w:beforeAutospacing="0" w:after="0" w:afterAutospacing="0"/>
                    <w:ind w:left="0" w:right="0"/>
                    <w:jc w:val="center"/>
                    <w:rPr>
                      <w:rFonts w:hint="default"/>
                      <w:color w:val="000000" w:themeColor="text1"/>
                      <w:kern w:val="2"/>
                      <w:sz w:val="21"/>
                      <w:szCs w:val="21"/>
                      <w:lang w:val="en-US" w:eastAsia="zh-CN" w:bidi="ar-SA"/>
                      <w14:textFill>
                        <w14:solidFill>
                          <w14:schemeClr w14:val="tx1"/>
                        </w14:solidFill>
                      </w14:textFill>
                    </w:rPr>
                  </w:pPr>
                  <w:r>
                    <w:rPr>
                      <w:rFonts w:hint="default"/>
                      <w:color w:val="000000" w:themeColor="text1"/>
                      <w:szCs w:val="21"/>
                      <w14:textFill>
                        <w14:solidFill>
                          <w14:schemeClr w14:val="tx1"/>
                        </w14:solidFill>
                      </w14:textFill>
                    </w:rPr>
                    <w:t>1次/季度</w:t>
                  </w:r>
                </w:p>
              </w:tc>
              <w:tc>
                <w:tcPr>
                  <w:tcW w:w="1570" w:type="pct"/>
                  <w:vMerge w:val="continue"/>
                  <w:noWrap w:val="0"/>
                  <w:vAlign w:val="center"/>
                </w:tcPr>
                <w:p w14:paraId="4B4B0451">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14:textFill>
                        <w14:solidFill>
                          <w14:schemeClr w14:val="tx1"/>
                        </w14:solidFill>
                      </w14:textFill>
                    </w:rPr>
                  </w:pPr>
                </w:p>
              </w:tc>
            </w:tr>
          </w:tbl>
          <w:p w14:paraId="0253FC82">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rPr>
                <w:rFonts w:hint="default" w:ascii="Times New Roman" w:hAnsi="Times New Roman" w:eastAsia="Times New Roman" w:cs="Times New Roman"/>
                <w:b/>
                <w:color w:val="000000" w:themeColor="text1"/>
                <w:sz w:val="24"/>
                <w:szCs w:val="21"/>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t>4.</w:t>
            </w:r>
            <w:r>
              <w:rPr>
                <w:rFonts w:hint="default" w:ascii="Times New Roman" w:hAnsi="Times New Roman" w:eastAsia="Times New Roman" w:cs="Times New Roman"/>
                <w:b/>
                <w:color w:val="000000" w:themeColor="text1"/>
                <w:sz w:val="24"/>
                <w:highlight w:val="none"/>
                <w14:textFill>
                  <w14:solidFill>
                    <w14:schemeClr w14:val="tx1"/>
                  </w14:solidFill>
                </w14:textFill>
              </w:rPr>
              <w:t>固体废物</w:t>
            </w:r>
          </w:p>
          <w:p w14:paraId="789DCD8D">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eastAsia" w:asciiTheme="majorEastAsia" w:hAnsiTheme="majorEastAsia" w:eastAsiaTheme="majorEastAsia" w:cstheme="majorEastAsia"/>
                <w:color w:val="000000" w:themeColor="text1"/>
                <w:sz w:val="24"/>
                <w:highlight w:val="none"/>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项目</w:t>
            </w:r>
            <w:r>
              <w:rPr>
                <w:rFonts w:hint="eastAsia" w:asciiTheme="majorEastAsia" w:hAnsiTheme="majorEastAsia" w:eastAsiaTheme="majorEastAsia" w:cstheme="majorEastAsia"/>
                <w:color w:val="000000" w:themeColor="text1"/>
                <w:sz w:val="24"/>
                <w:highlight w:val="none"/>
                <w14:textFill>
                  <w14:solidFill>
                    <w14:schemeClr w14:val="tx1"/>
                  </w14:solidFill>
                </w14:textFill>
              </w:rPr>
              <w:t>固废</w:t>
            </w:r>
            <w:r>
              <w:rPr>
                <w:rFonts w:hint="eastAsia" w:asciiTheme="majorEastAsia" w:hAnsiTheme="majorEastAsia" w:eastAsiaTheme="majorEastAsia" w:cstheme="majorEastAsia"/>
                <w:color w:val="000000" w:themeColor="text1"/>
                <w:sz w:val="24"/>
                <w:highlight w:val="none"/>
                <w:lang w:val="en-US" w:eastAsia="zh-CN"/>
                <w14:textFill>
                  <w14:solidFill>
                    <w14:schemeClr w14:val="tx1"/>
                  </w14:solidFill>
                </w14:textFill>
              </w:rPr>
              <w:t>主要为</w:t>
            </w:r>
            <w:r>
              <w:rPr>
                <w:rFonts w:hint="eastAsia" w:asciiTheme="majorEastAsia" w:hAnsiTheme="majorEastAsia" w:eastAsiaTheme="majorEastAsia" w:cstheme="majorEastAsia"/>
                <w:color w:val="000000" w:themeColor="text1"/>
                <w:kern w:val="0"/>
                <w:sz w:val="24"/>
                <w:highlight w:val="none"/>
                <w:lang w:val="en-US" w:eastAsia="zh-CN"/>
                <w14:textFill>
                  <w14:solidFill>
                    <w14:schemeClr w14:val="tx1"/>
                  </w14:solidFill>
                </w14:textFill>
              </w:rPr>
              <w:t>废包装、边角料、不合格产品、生活垃圾、废油脂、废过滤器、废润滑油桶、废活性炭、废催化剂</w:t>
            </w:r>
            <w:r>
              <w:rPr>
                <w:rFonts w:hint="eastAsia" w:asciiTheme="majorEastAsia" w:hAnsiTheme="majorEastAsia" w:eastAsiaTheme="majorEastAsia" w:cstheme="majorEastAsia"/>
                <w:color w:val="000000" w:themeColor="text1"/>
                <w:sz w:val="24"/>
                <w:highlight w:val="none"/>
                <w14:textFill>
                  <w14:solidFill>
                    <w14:schemeClr w14:val="tx1"/>
                  </w14:solidFill>
                </w14:textFill>
              </w:rPr>
              <w:t>。其中</w:t>
            </w:r>
            <w:r>
              <w:rPr>
                <w:rFonts w:hint="eastAsia" w:asciiTheme="majorEastAsia" w:hAnsiTheme="majorEastAsia" w:eastAsiaTheme="majorEastAsia" w:cstheme="majorEastAsia"/>
                <w:color w:val="000000" w:themeColor="text1"/>
                <w:kern w:val="0"/>
                <w:sz w:val="24"/>
                <w:highlight w:val="none"/>
                <w:lang w:val="en-US" w:eastAsia="zh-CN"/>
                <w14:textFill>
                  <w14:solidFill>
                    <w14:schemeClr w14:val="tx1"/>
                  </w14:solidFill>
                </w14:textFill>
              </w:rPr>
              <w:t>废润滑油、废润滑油桶、废活性炭、废催化剂</w:t>
            </w:r>
            <w:r>
              <w:rPr>
                <w:rFonts w:hint="eastAsia" w:asciiTheme="majorEastAsia" w:hAnsiTheme="majorEastAsia" w:eastAsiaTheme="majorEastAsia" w:cstheme="majorEastAsia"/>
                <w:color w:val="000000" w:themeColor="text1"/>
                <w:sz w:val="24"/>
                <w:highlight w:val="none"/>
                <w14:textFill>
                  <w14:solidFill>
                    <w14:schemeClr w14:val="tx1"/>
                  </w14:solidFill>
                </w14:textFill>
              </w:rPr>
              <w:t>为危险废物，其他均为一般固废。</w:t>
            </w:r>
          </w:p>
          <w:p w14:paraId="009D75B1">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t>4.1</w:t>
            </w:r>
            <w:r>
              <w:rPr>
                <w:rFonts w:hint="default" w:ascii="Times New Roman" w:hAnsi="Times New Roman" w:eastAsia="Times New Roman" w:cs="Times New Roman"/>
                <w:b/>
                <w:color w:val="000000" w:themeColor="text1"/>
                <w:sz w:val="24"/>
                <w:highlight w:val="none"/>
                <w14:textFill>
                  <w14:solidFill>
                    <w14:schemeClr w14:val="tx1"/>
                  </w14:solidFill>
                </w14:textFill>
              </w:rPr>
              <w:t>一般固废</w:t>
            </w:r>
          </w:p>
          <w:p w14:paraId="32F38621">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b/>
                <w:bCs/>
                <w:color w:val="000000" w:themeColor="text1"/>
                <w:kern w:val="0"/>
                <w:sz w:val="24"/>
                <w:highlight w:val="none"/>
                <w:lang w:val="en-US" w:eastAsia="zh-CN"/>
                <w14:textFill>
                  <w14:solidFill>
                    <w14:schemeClr w14:val="tx1"/>
                  </w14:solidFill>
                </w14:textFill>
              </w:rPr>
            </w:pPr>
            <w:r>
              <w:rPr>
                <w:rFonts w:hint="eastAsia" w:eastAsia="Times New Roman" w:cs="Times New Roman"/>
                <w:b/>
                <w:bCs/>
                <w:color w:val="000000" w:themeColor="text1"/>
                <w:kern w:val="0"/>
                <w:sz w:val="24"/>
                <w:highlight w:val="none"/>
                <w:lang w:val="en-US" w:eastAsia="zh-CN"/>
                <w14:textFill>
                  <w14:solidFill>
                    <w14:schemeClr w14:val="tx1"/>
                  </w14:solidFill>
                </w14:textFill>
              </w:rPr>
              <w:t>（1）</w:t>
            </w:r>
            <w:r>
              <w:rPr>
                <w:rFonts w:hint="default" w:ascii="Times New Roman" w:hAnsi="Times New Roman" w:eastAsia="Times New Roman" w:cs="Times New Roman"/>
                <w:b/>
                <w:bCs/>
                <w:color w:val="000000" w:themeColor="text1"/>
                <w:kern w:val="0"/>
                <w:sz w:val="24"/>
                <w:highlight w:val="none"/>
                <w:lang w:val="en-US" w:eastAsia="zh-CN"/>
                <w14:textFill>
                  <w14:solidFill>
                    <w14:schemeClr w14:val="tx1"/>
                  </w14:solidFill>
                </w14:textFill>
              </w:rPr>
              <w:t>废包装</w:t>
            </w:r>
          </w:p>
          <w:p w14:paraId="22DCD8EE">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auto"/>
                <w:sz w:val="24"/>
                <w:highlight w:val="none"/>
              </w:rPr>
            </w:pPr>
            <w:r>
              <w:rPr>
                <w:rFonts w:hint="eastAsia" w:eastAsia="Times New Roman" w:cs="Times New Roman"/>
                <w:b w:val="0"/>
                <w:bCs/>
                <w:color w:val="auto"/>
                <w:sz w:val="24"/>
                <w:highlight w:val="none"/>
                <w:lang w:val="en-US" w:eastAsia="zh-CN"/>
              </w:rPr>
              <w:t>聚乙烯颗粒、热熔胶颗粒、聚乙烯丝、丙纶丝</w:t>
            </w:r>
            <w:r>
              <w:rPr>
                <w:rFonts w:hint="default" w:ascii="Times New Roman" w:hAnsi="Times New Roman" w:eastAsia="Times New Roman" w:cs="Times New Roman"/>
                <w:b w:val="0"/>
                <w:bCs/>
                <w:color w:val="auto"/>
                <w:sz w:val="24"/>
                <w:highlight w:val="none"/>
                <w:lang w:val="en-US" w:eastAsia="zh-CN"/>
              </w:rPr>
              <w:t>均为25kg袋装，</w:t>
            </w:r>
            <w:r>
              <w:rPr>
                <w:rFonts w:hint="eastAsia" w:eastAsia="Times New Roman" w:cs="Times New Roman"/>
                <w:b w:val="0"/>
                <w:bCs/>
                <w:color w:val="auto"/>
                <w:sz w:val="24"/>
                <w:highlight w:val="none"/>
                <w:lang w:val="en-US" w:eastAsia="zh-CN"/>
              </w:rPr>
              <w:t>使用量为690.725t/a，</w:t>
            </w:r>
            <w:r>
              <w:rPr>
                <w:rFonts w:hint="default" w:ascii="Times New Roman" w:hAnsi="Times New Roman" w:eastAsia="Times New Roman" w:cs="Times New Roman"/>
                <w:b w:val="0"/>
                <w:bCs/>
                <w:color w:val="auto"/>
                <w:sz w:val="24"/>
                <w:highlight w:val="none"/>
                <w:lang w:val="en-US" w:eastAsia="zh-CN"/>
              </w:rPr>
              <w:t>使用后产生废包装</w:t>
            </w:r>
            <w:r>
              <w:rPr>
                <w:rFonts w:hint="eastAsia" w:eastAsia="Times New Roman" w:cs="Times New Roman"/>
                <w:b w:val="0"/>
                <w:bCs/>
                <w:color w:val="auto"/>
                <w:sz w:val="24"/>
                <w:highlight w:val="none"/>
                <w:lang w:val="en-US" w:eastAsia="zh-CN"/>
              </w:rPr>
              <w:t>27629</w:t>
            </w:r>
            <w:r>
              <w:rPr>
                <w:rFonts w:hint="default" w:ascii="Times New Roman" w:hAnsi="Times New Roman" w:eastAsia="Times New Roman" w:cs="Times New Roman"/>
                <w:b w:val="0"/>
                <w:bCs/>
                <w:color w:val="auto"/>
                <w:sz w:val="24"/>
                <w:highlight w:val="none"/>
                <w:lang w:val="en-US" w:eastAsia="zh-CN"/>
              </w:rPr>
              <w:t>个/a。单个塑料袋重量约50g，产生的废包装</w:t>
            </w:r>
            <w:r>
              <w:rPr>
                <w:rFonts w:hint="eastAsia" w:eastAsia="Times New Roman" w:cs="Times New Roman"/>
                <w:b w:val="0"/>
                <w:bCs/>
                <w:color w:val="auto"/>
                <w:sz w:val="24"/>
                <w:highlight w:val="none"/>
                <w:lang w:val="en-US" w:eastAsia="zh-CN"/>
              </w:rPr>
              <w:t>袋1.3815</w:t>
            </w:r>
            <w:r>
              <w:rPr>
                <w:rFonts w:hint="default" w:ascii="Times New Roman" w:hAnsi="Times New Roman" w:eastAsia="Times New Roman" w:cs="Times New Roman"/>
                <w:b w:val="0"/>
                <w:bCs/>
                <w:color w:val="auto"/>
                <w:sz w:val="24"/>
                <w:highlight w:val="none"/>
                <w:lang w:val="en-US" w:eastAsia="zh-CN"/>
              </w:rPr>
              <w:t>t/a。</w:t>
            </w:r>
            <w:r>
              <w:rPr>
                <w:rFonts w:hint="eastAsia" w:eastAsia="Times New Roman" w:cs="Times New Roman"/>
                <w:b w:val="0"/>
                <w:bCs/>
                <w:color w:val="auto"/>
                <w:sz w:val="24"/>
                <w:highlight w:val="none"/>
                <w:lang w:val="en-US" w:eastAsia="zh-CN"/>
              </w:rPr>
              <w:t>水性油墨的使用量为10kg/a，总计10桶，包装桶重为0.1kg，则废水性油墨包装桶的产生量1kg，则废包装的产生量为1.3825t/a，</w:t>
            </w:r>
            <w:r>
              <w:rPr>
                <w:rFonts w:hint="default" w:ascii="Times New Roman" w:hAnsi="Times New Roman" w:eastAsia="Times New Roman" w:cs="Times New Roman"/>
                <w:b w:val="0"/>
                <w:bCs/>
                <w:color w:val="auto"/>
                <w:sz w:val="24"/>
                <w:highlight w:val="none"/>
                <w:lang w:val="en-US" w:eastAsia="zh-CN"/>
              </w:rPr>
              <w:t>收集后在一般</w:t>
            </w:r>
            <w:r>
              <w:rPr>
                <w:rFonts w:hint="default" w:ascii="Times New Roman" w:hAnsi="Times New Roman" w:eastAsia="Times New Roman" w:cs="Times New Roman"/>
                <w:color w:val="auto"/>
                <w:sz w:val="24"/>
                <w:highlight w:val="none"/>
                <w:lang w:val="en-US" w:eastAsia="zh-CN"/>
              </w:rPr>
              <w:t>固废间暂存，定期外售废旧物资回收部门</w:t>
            </w:r>
            <w:r>
              <w:rPr>
                <w:rFonts w:hint="default" w:ascii="Times New Roman" w:hAnsi="Times New Roman" w:eastAsia="Times New Roman" w:cs="Times New Roman"/>
                <w:color w:val="auto"/>
                <w:sz w:val="24"/>
                <w:highlight w:val="none"/>
              </w:rPr>
              <w:t>。</w:t>
            </w:r>
          </w:p>
          <w:p w14:paraId="2D2E6754">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2" w:firstLineChars="200"/>
              <w:rPr>
                <w:rFonts w:hint="default" w:ascii="Times New Roman" w:hAnsi="Times New Roman" w:eastAsia="Times New Roman" w:cs="Times New Roman"/>
                <w:b/>
                <w:color w:val="000000" w:themeColor="text1"/>
                <w:kern w:val="0"/>
                <w:sz w:val="24"/>
                <w:highlight w:val="none"/>
                <w14:textFill>
                  <w14:solidFill>
                    <w14:schemeClr w14:val="tx1"/>
                  </w14:solidFill>
                </w14:textFill>
              </w:rPr>
            </w:pPr>
            <w:r>
              <w:rPr>
                <w:rFonts w:hint="eastAsia" w:eastAsia="宋体" w:cs="Times New Roman"/>
                <w:b/>
                <w:color w:val="000000" w:themeColor="text1"/>
                <w:kern w:val="0"/>
                <w:sz w:val="24"/>
                <w:highlight w:val="none"/>
                <w:lang w:eastAsia="zh-CN"/>
                <w14:textFill>
                  <w14:solidFill>
                    <w14:schemeClr w14:val="tx1"/>
                  </w14:solidFill>
                </w14:textFill>
              </w:rPr>
              <w:t>（</w:t>
            </w:r>
            <w:r>
              <w:rPr>
                <w:rFonts w:hint="eastAsia" w:eastAsia="宋体" w:cs="Times New Roman"/>
                <w:b/>
                <w:color w:val="000000" w:themeColor="text1"/>
                <w:kern w:val="0"/>
                <w:sz w:val="24"/>
                <w:highlight w:val="none"/>
                <w:lang w:val="en-US" w:eastAsia="zh-CN"/>
                <w14:textFill>
                  <w14:solidFill>
                    <w14:schemeClr w14:val="tx1"/>
                  </w14:solidFill>
                </w14:textFill>
              </w:rPr>
              <w:t>2</w:t>
            </w:r>
            <w:r>
              <w:rPr>
                <w:rFonts w:hint="eastAsia" w:eastAsia="宋体" w:cs="Times New Roman"/>
                <w:b/>
                <w:color w:val="000000" w:themeColor="text1"/>
                <w:kern w:val="0"/>
                <w:sz w:val="24"/>
                <w:highlight w:val="none"/>
                <w:lang w:eastAsia="zh-CN"/>
                <w14:textFill>
                  <w14:solidFill>
                    <w14:schemeClr w14:val="tx1"/>
                  </w14:solidFill>
                </w14:textFill>
              </w:rPr>
              <w:t>）</w:t>
            </w:r>
            <w:r>
              <w:rPr>
                <w:rFonts w:hint="default" w:ascii="Times New Roman" w:hAnsi="Times New Roman" w:eastAsia="Times New Roman" w:cs="Times New Roman"/>
                <w:b/>
                <w:color w:val="000000" w:themeColor="text1"/>
                <w:kern w:val="0"/>
                <w:sz w:val="24"/>
                <w:highlight w:val="none"/>
                <w14:textFill>
                  <w14:solidFill>
                    <w14:schemeClr w14:val="tx1"/>
                  </w14:solidFill>
                </w14:textFill>
              </w:rPr>
              <w:t>边角料、不合格产品</w:t>
            </w:r>
          </w:p>
          <w:p w14:paraId="66030928">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b w:val="0"/>
                <w:bCs/>
                <w:color w:val="auto"/>
                <w:kern w:val="0"/>
                <w:sz w:val="24"/>
                <w:highlight w:val="none"/>
                <w:lang w:val="en-US" w:eastAsia="zh-CN"/>
              </w:rPr>
            </w:pPr>
            <w:r>
              <w:rPr>
                <w:rFonts w:hint="eastAsia" w:eastAsia="Times New Roman" w:cs="Times New Roman"/>
                <w:bCs/>
                <w:color w:val="auto"/>
                <w:sz w:val="24"/>
                <w:highlight w:val="none"/>
                <w:lang w:val="en-US" w:eastAsia="zh-CN"/>
              </w:rPr>
              <w:t>参考</w:t>
            </w:r>
            <w:r>
              <w:rPr>
                <w:rFonts w:hint="default" w:ascii="Times New Roman" w:hAnsi="Times New Roman" w:eastAsia="Times New Roman" w:cs="Times New Roman"/>
                <w:bCs/>
                <w:color w:val="auto"/>
                <w:sz w:val="24"/>
                <w:highlight w:val="none"/>
                <w:lang w:val="en-US" w:eastAsia="zh-CN"/>
              </w:rPr>
              <w:t>《排放源统计调查产排污核算方法和系数手册》（即二污普）中&lt;292塑料制品行业系数手册&gt;</w:t>
            </w:r>
            <w:r>
              <w:rPr>
                <w:rFonts w:hint="eastAsia" w:eastAsia="Times New Roman" w:cs="Times New Roman"/>
                <w:bCs/>
                <w:color w:val="auto"/>
                <w:sz w:val="24"/>
                <w:highlight w:val="none"/>
                <w:lang w:val="en-US" w:eastAsia="zh-CN"/>
              </w:rPr>
              <w:t>“</w:t>
            </w:r>
            <w:r>
              <w:rPr>
                <w:rFonts w:hint="default" w:ascii="Times New Roman" w:hAnsi="Times New Roman" w:eastAsia="Times New Roman" w:cs="Times New Roman"/>
                <w:bCs/>
                <w:color w:val="auto"/>
                <w:sz w:val="24"/>
                <w:highlight w:val="none"/>
                <w:lang w:val="en-US" w:eastAsia="zh-CN"/>
              </w:rPr>
              <w:t>2921 塑料薄膜制造行业系数表”，一般固废产生系数</w:t>
            </w:r>
            <w:r>
              <w:rPr>
                <w:rFonts w:hint="eastAsia" w:eastAsia="Times New Roman" w:cs="Times New Roman"/>
                <w:bCs/>
                <w:color w:val="auto"/>
                <w:sz w:val="24"/>
                <w:highlight w:val="none"/>
                <w:lang w:val="en-US" w:eastAsia="zh-CN"/>
              </w:rPr>
              <w:t>3</w:t>
            </w:r>
            <w:r>
              <w:rPr>
                <w:rFonts w:hint="default" w:ascii="Times New Roman" w:hAnsi="Times New Roman" w:eastAsia="Times New Roman" w:cs="Times New Roman"/>
                <w:bCs/>
                <w:color w:val="auto"/>
                <w:sz w:val="24"/>
                <w:highlight w:val="none"/>
                <w:lang w:val="en-US" w:eastAsia="zh-CN"/>
              </w:rPr>
              <w:t>.5kg/t-产品。产品产量</w:t>
            </w:r>
            <w:r>
              <w:rPr>
                <w:rFonts w:hint="eastAsia" w:eastAsia="Times New Roman" w:cs="Times New Roman"/>
                <w:bCs/>
                <w:color w:val="auto"/>
                <w:sz w:val="24"/>
                <w:highlight w:val="none"/>
                <w:lang w:val="en-US" w:eastAsia="zh-CN"/>
              </w:rPr>
              <w:t>为690.01</w:t>
            </w:r>
            <w:r>
              <w:rPr>
                <w:rFonts w:hint="default" w:ascii="Times New Roman" w:hAnsi="Times New Roman" w:eastAsia="Times New Roman" w:cs="Times New Roman"/>
                <w:bCs/>
                <w:color w:val="auto"/>
                <w:sz w:val="24"/>
                <w:highlight w:val="none"/>
                <w:lang w:val="en-US" w:eastAsia="zh-CN"/>
              </w:rPr>
              <w:t>t/a，产生的边角料、不合格产品合计为</w:t>
            </w:r>
            <w:r>
              <w:rPr>
                <w:rFonts w:hint="eastAsia" w:eastAsia="Times New Roman" w:cs="Times New Roman"/>
                <w:bCs/>
                <w:color w:val="auto"/>
                <w:sz w:val="24"/>
                <w:highlight w:val="none"/>
                <w:lang w:val="en-US" w:eastAsia="zh-CN"/>
              </w:rPr>
              <w:t>2.415</w:t>
            </w:r>
            <w:r>
              <w:rPr>
                <w:rFonts w:hint="default" w:ascii="Times New Roman" w:hAnsi="Times New Roman" w:eastAsia="Times New Roman" w:cs="Times New Roman"/>
                <w:bCs/>
                <w:color w:val="auto"/>
                <w:sz w:val="24"/>
                <w:highlight w:val="none"/>
                <w:lang w:val="en-US" w:eastAsia="zh-CN"/>
              </w:rPr>
              <w:t>t/a</w:t>
            </w:r>
            <w:r>
              <w:rPr>
                <w:rFonts w:hint="eastAsia" w:eastAsia="Times New Roman" w:cs="Times New Roman"/>
                <w:bCs/>
                <w:color w:val="auto"/>
                <w:sz w:val="24"/>
                <w:highlight w:val="none"/>
                <w:lang w:val="en-US" w:eastAsia="zh-CN"/>
              </w:rPr>
              <w:t>，</w:t>
            </w:r>
            <w:r>
              <w:rPr>
                <w:rFonts w:hint="default" w:ascii="Times New Roman" w:hAnsi="Times New Roman" w:eastAsia="Times New Roman" w:cs="Times New Roman"/>
                <w:bCs/>
                <w:color w:val="auto"/>
                <w:sz w:val="24"/>
                <w:highlight w:val="none"/>
                <w:lang w:val="en-US" w:eastAsia="zh-CN"/>
              </w:rPr>
              <w:t>收集后</w:t>
            </w:r>
            <w:r>
              <w:rPr>
                <w:rFonts w:hint="eastAsia" w:eastAsia="Times New Roman" w:cs="Times New Roman"/>
                <w:bCs/>
                <w:color w:val="auto"/>
                <w:sz w:val="24"/>
                <w:highlight w:val="none"/>
                <w:lang w:val="en-US" w:eastAsia="zh-CN"/>
              </w:rPr>
              <w:t>回用于生产</w:t>
            </w:r>
            <w:r>
              <w:rPr>
                <w:rFonts w:hint="default" w:ascii="Times New Roman" w:hAnsi="Times New Roman" w:eastAsia="宋体" w:cs="Times New Roman"/>
                <w:bCs/>
                <w:color w:val="auto"/>
                <w:sz w:val="24"/>
                <w:highlight w:val="none"/>
                <w:lang w:val="en-US" w:eastAsia="zh-CN"/>
              </w:rPr>
              <w:t>。</w:t>
            </w:r>
          </w:p>
          <w:p w14:paraId="2F1B6035">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eastAsia" w:ascii="Times New Roman" w:hAnsi="Times New Roman" w:eastAsia="Times New Roman" w:cs="Times New Roman"/>
                <w:b/>
                <w:color w:val="000000" w:themeColor="text1"/>
                <w:sz w:val="24"/>
                <w:highlight w:val="none"/>
                <w:lang w:eastAsia="zh-CN"/>
                <w14:textFill>
                  <w14:solidFill>
                    <w14:schemeClr w14:val="tx1"/>
                  </w14:solidFill>
                </w14:textFill>
              </w:rPr>
            </w:pPr>
            <w:r>
              <w:rPr>
                <w:rFonts w:hint="eastAsia" w:ascii="Times New Roman" w:hAnsi="Times New Roman" w:eastAsia="Times New Roman" w:cs="Times New Roman"/>
                <w:b/>
                <w:color w:val="000000" w:themeColor="text1"/>
                <w:sz w:val="24"/>
                <w:highlight w:val="none"/>
                <w:lang w:val="en-US" w:eastAsia="zh-CN"/>
                <w14:textFill>
                  <w14:solidFill>
                    <w14:schemeClr w14:val="tx1"/>
                  </w14:solidFill>
                </w14:textFill>
              </w:rPr>
              <w:t>（3）废油脂</w:t>
            </w:r>
          </w:p>
          <w:p w14:paraId="2B57F816">
            <w:pPr>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contextualSpacing/>
              <w:rPr>
                <w:rFonts w:hint="eastAsia"/>
                <w:color w:val="auto"/>
                <w:sz w:val="24"/>
                <w:lang w:val="en-US" w:eastAsia="zh-CN"/>
              </w:rPr>
            </w:pPr>
            <w:r>
              <w:rPr>
                <w:rFonts w:hint="eastAsia"/>
                <w:color w:val="auto"/>
                <w:sz w:val="24"/>
                <w:lang w:eastAsia="zh-CN"/>
              </w:rPr>
              <w:t>本项目废油脂主要是食堂废水隔油处理以及静电油烟净化器中存储的油脂，油烟中油脂的产生量为</w:t>
            </w:r>
            <w:r>
              <w:rPr>
                <w:rFonts w:hint="eastAsia"/>
                <w:color w:val="auto"/>
                <w:sz w:val="24"/>
                <w:lang w:val="en-US" w:eastAsia="zh-CN"/>
              </w:rPr>
              <w:t>0.0016t/a，隔油池的去除效率以90%计，经计算，隔油池中油脂的产生量为0.0006t/a，总计0.0022t/a</w:t>
            </w:r>
            <w:r>
              <w:rPr>
                <w:rFonts w:hint="eastAsia"/>
                <w:color w:val="auto"/>
                <w:sz w:val="24"/>
                <w:lang w:eastAsia="zh-CN"/>
              </w:rPr>
              <w:t>。废油脂在一般固废间暂存，</w:t>
            </w:r>
            <w:r>
              <w:rPr>
                <w:rFonts w:hint="eastAsia"/>
                <w:color w:val="auto"/>
                <w:sz w:val="24"/>
                <w:lang w:val="en-US" w:eastAsia="zh-CN"/>
              </w:rPr>
              <w:t>定期由市政部门收运处置。</w:t>
            </w:r>
          </w:p>
          <w:p w14:paraId="5183A2DB">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eastAsia" w:ascii="Times New Roman" w:hAnsi="Times New Roman" w:eastAsia="Times New Roman" w:cs="Times New Roman"/>
                <w:b/>
                <w:color w:val="auto"/>
                <w:sz w:val="24"/>
                <w:highlight w:val="none"/>
                <w:lang w:val="en-US" w:eastAsia="zh-CN"/>
              </w:rPr>
            </w:pPr>
            <w:r>
              <w:rPr>
                <w:rFonts w:hint="eastAsia" w:ascii="Times New Roman" w:hAnsi="Times New Roman" w:eastAsia="Times New Roman" w:cs="Times New Roman"/>
                <w:b/>
                <w:color w:val="auto"/>
                <w:sz w:val="24"/>
                <w:highlight w:val="none"/>
                <w:lang w:val="en-US" w:eastAsia="zh-CN"/>
              </w:rPr>
              <w:t>（4）废过滤器</w:t>
            </w:r>
          </w:p>
          <w:p w14:paraId="46CA4930">
            <w:pPr>
              <w:keepNext w:val="0"/>
              <w:keepLines w:val="0"/>
              <w:numPr>
                <w:ilvl w:val="0"/>
                <w:numId w:val="0"/>
              </w:numPr>
              <w:suppressLineNumbers w:val="0"/>
              <w:adjustRightInd w:val="0"/>
              <w:snapToGrid w:val="0"/>
              <w:spacing w:before="0" w:beforeAutospacing="0" w:after="0" w:afterAutospacing="0" w:line="360" w:lineRule="auto"/>
              <w:ind w:left="0" w:right="0" w:firstLine="480" w:firstLineChars="200"/>
              <w:contextualSpacing/>
              <w:rPr>
                <w:rFonts w:hint="eastAsia"/>
                <w:color w:val="auto"/>
                <w:sz w:val="24"/>
                <w:lang w:val="en-US" w:eastAsia="zh-CN"/>
              </w:rPr>
            </w:pPr>
            <w:r>
              <w:rPr>
                <w:rFonts w:hint="eastAsia"/>
                <w:color w:val="auto"/>
                <w:sz w:val="24"/>
                <w:lang w:val="en-US" w:eastAsia="zh-CN"/>
              </w:rPr>
              <w:t>本项目静电油烟净化器的过滤器需要定期更换，过滤器的数量为1个，单个重10kg，企业每年更换一次，则废过滤器的产生量为10kg/a。废过滤器在一般固废间暂存，外售相关物资回收部门。</w:t>
            </w:r>
          </w:p>
          <w:p w14:paraId="66D1C24B">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2" w:firstLineChars="200"/>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eastAsia" w:eastAsia="宋体" w:cs="Times New Roman"/>
                <w:b/>
                <w:color w:val="000000" w:themeColor="text1"/>
                <w:sz w:val="24"/>
                <w:highlight w:val="none"/>
                <w:lang w:eastAsia="zh-CN"/>
                <w14:textFill>
                  <w14:solidFill>
                    <w14:schemeClr w14:val="tx1"/>
                  </w14:solidFill>
                </w14:textFill>
              </w:rPr>
              <w:t>（</w:t>
            </w:r>
            <w:r>
              <w:rPr>
                <w:rFonts w:hint="eastAsia" w:eastAsia="宋体" w:cs="Times New Roman"/>
                <w:b/>
                <w:color w:val="000000" w:themeColor="text1"/>
                <w:sz w:val="24"/>
                <w:highlight w:val="none"/>
                <w:lang w:val="en-US" w:eastAsia="zh-CN"/>
                <w14:textFill>
                  <w14:solidFill>
                    <w14:schemeClr w14:val="tx1"/>
                  </w14:solidFill>
                </w14:textFill>
              </w:rPr>
              <w:t>5</w:t>
            </w:r>
            <w:r>
              <w:rPr>
                <w:rFonts w:hint="eastAsia" w:eastAsia="宋体" w:cs="Times New Roman"/>
                <w:b/>
                <w:color w:val="000000" w:themeColor="text1"/>
                <w:sz w:val="24"/>
                <w:highlight w:val="none"/>
                <w:lang w:eastAsia="zh-CN"/>
                <w14:textFill>
                  <w14:solidFill>
                    <w14:schemeClr w14:val="tx1"/>
                  </w14:solidFill>
                </w14:textFill>
              </w:rPr>
              <w:t>）</w:t>
            </w:r>
            <w:r>
              <w:rPr>
                <w:rFonts w:hint="default" w:ascii="Times New Roman" w:hAnsi="Times New Roman" w:eastAsia="Times New Roman" w:cs="Times New Roman"/>
                <w:b/>
                <w:color w:val="000000" w:themeColor="text1"/>
                <w:sz w:val="24"/>
                <w:highlight w:val="none"/>
                <w14:textFill>
                  <w14:solidFill>
                    <w14:schemeClr w14:val="tx1"/>
                  </w14:solidFill>
                </w14:textFill>
              </w:rPr>
              <w:t>生活垃圾</w:t>
            </w:r>
          </w:p>
          <w:p w14:paraId="0D342F20">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lang w:val="en-US" w:eastAsia="zh-CN"/>
              </w:rPr>
            </w:pPr>
            <w:r>
              <w:rPr>
                <w:rFonts w:hint="default" w:ascii="Times New Roman" w:hAnsi="Times New Roman" w:eastAsia="Times New Roman" w:cs="Times New Roman"/>
                <w:color w:val="000000" w:themeColor="text1"/>
                <w:sz w:val="24"/>
                <w:highlight w:val="none"/>
                <w14:textFill>
                  <w14:solidFill>
                    <w14:schemeClr w14:val="tx1"/>
                  </w14:solidFill>
                </w14:textFill>
              </w:rPr>
              <w:t>项目职工</w:t>
            </w:r>
            <w:r>
              <w:rPr>
                <w:rFonts w:hint="eastAsia" w:eastAsia="宋体" w:cs="Times New Roman"/>
                <w:color w:val="000000" w:themeColor="text1"/>
                <w:sz w:val="24"/>
                <w:highlight w:val="none"/>
                <w:lang w:val="en-US" w:eastAsia="zh-CN"/>
                <w14:textFill>
                  <w14:solidFill>
                    <w14:schemeClr w14:val="tx1"/>
                  </w14:solidFill>
                </w14:textFill>
              </w:rPr>
              <w:t>2</w:t>
            </w:r>
            <w:r>
              <w:rPr>
                <w:rFonts w:hint="eastAsia" w:cs="Times New Roman"/>
                <w:color w:val="000000" w:themeColor="text1"/>
                <w:sz w:val="24"/>
                <w:highlight w:val="none"/>
                <w:lang w:val="en-US" w:eastAsia="zh-CN"/>
                <w14:textFill>
                  <w14:solidFill>
                    <w14:schemeClr w14:val="tx1"/>
                  </w14:solidFill>
                </w14:textFill>
              </w:rPr>
              <w:t>7</w:t>
            </w:r>
            <w:r>
              <w:rPr>
                <w:rFonts w:hint="default" w:ascii="Times New Roman" w:hAnsi="Times New Roman" w:eastAsia="Times New Roman" w:cs="Times New Roman"/>
                <w:color w:val="000000" w:themeColor="text1"/>
                <w:sz w:val="24"/>
                <w:highlight w:val="none"/>
                <w14:textFill>
                  <w14:solidFill>
                    <w14:schemeClr w14:val="tx1"/>
                  </w14:solidFill>
                </w14:textFill>
              </w:rPr>
              <w:t>人，</w:t>
            </w:r>
            <w:r>
              <w:rPr>
                <w:rFonts w:hint="default" w:ascii="Times New Roman" w:hAnsi="Times New Roman" w:eastAsia="Times New Roman" w:cs="Times New Roman"/>
                <w:bCs/>
                <w:color w:val="000000" w:themeColor="text1"/>
                <w:spacing w:val="6"/>
                <w:sz w:val="24"/>
                <w:highlight w:val="none"/>
                <w14:textFill>
                  <w14:solidFill>
                    <w14:schemeClr w14:val="tx1"/>
                  </w14:solidFill>
                </w14:textFill>
              </w:rPr>
              <w:t>年工作时间</w:t>
            </w:r>
            <w:r>
              <w:rPr>
                <w:rFonts w:hint="eastAsia" w:eastAsia="宋体" w:cs="Times New Roman"/>
                <w:bCs/>
                <w:color w:val="000000" w:themeColor="text1"/>
                <w:spacing w:val="6"/>
                <w:sz w:val="24"/>
                <w:highlight w:val="none"/>
                <w:lang w:val="en-US" w:eastAsia="zh-CN"/>
                <w14:textFill>
                  <w14:solidFill>
                    <w14:schemeClr w14:val="tx1"/>
                  </w14:solidFill>
                </w14:textFill>
              </w:rPr>
              <w:t>3</w:t>
            </w:r>
            <w:r>
              <w:rPr>
                <w:rFonts w:hint="eastAsia" w:cs="Times New Roman"/>
                <w:bCs/>
                <w:color w:val="000000" w:themeColor="text1"/>
                <w:spacing w:val="6"/>
                <w:sz w:val="24"/>
                <w:highlight w:val="none"/>
                <w:lang w:val="en-US" w:eastAsia="zh-CN"/>
                <w14:textFill>
                  <w14:solidFill>
                    <w14:schemeClr w14:val="tx1"/>
                  </w14:solidFill>
                </w14:textFill>
              </w:rPr>
              <w:t>00天</w:t>
            </w:r>
            <w:r>
              <w:rPr>
                <w:rFonts w:hint="default" w:ascii="Times New Roman" w:hAnsi="Times New Roman" w:eastAsia="Times New Roman" w:cs="Times New Roman"/>
                <w:bCs/>
                <w:color w:val="000000" w:themeColor="text1"/>
                <w:spacing w:val="6"/>
                <w:sz w:val="24"/>
                <w:highlight w:val="none"/>
                <w14:textFill>
                  <w14:solidFill>
                    <w14:schemeClr w14:val="tx1"/>
                  </w14:solidFill>
                </w14:textFill>
              </w:rPr>
              <w:t>，生活垃圾产生量按0.5kg/（人·d）计，则生活垃圾产生量为</w:t>
            </w:r>
            <w:r>
              <w:rPr>
                <w:rFonts w:hint="eastAsia" w:eastAsia="宋体" w:cs="Times New Roman"/>
                <w:bCs/>
                <w:color w:val="000000" w:themeColor="text1"/>
                <w:spacing w:val="6"/>
                <w:sz w:val="24"/>
                <w:highlight w:val="none"/>
                <w:lang w:val="en-US" w:eastAsia="zh-CN"/>
                <w14:textFill>
                  <w14:solidFill>
                    <w14:schemeClr w14:val="tx1"/>
                  </w14:solidFill>
                </w14:textFill>
              </w:rPr>
              <w:t>4.05</w:t>
            </w:r>
            <w:r>
              <w:rPr>
                <w:rFonts w:hint="default" w:ascii="Times New Roman" w:hAnsi="Times New Roman" w:eastAsia="Times New Roman" w:cs="Times New Roman"/>
                <w:bCs/>
                <w:color w:val="000000" w:themeColor="text1"/>
                <w:spacing w:val="6"/>
                <w:sz w:val="24"/>
                <w:highlight w:val="none"/>
                <w14:textFill>
                  <w14:solidFill>
                    <w14:schemeClr w14:val="tx1"/>
                  </w14:solidFill>
                </w14:textFill>
              </w:rPr>
              <w:t>t/a。经垃圾箱</w:t>
            </w:r>
            <w:r>
              <w:rPr>
                <w:rFonts w:hint="default" w:ascii="Times New Roman" w:hAnsi="Times New Roman" w:eastAsia="Times New Roman" w:cs="Times New Roman"/>
                <w:color w:val="000000" w:themeColor="text1"/>
                <w:sz w:val="24"/>
                <w:highlight w:val="none"/>
                <w14:textFill>
                  <w14:solidFill>
                    <w14:schemeClr w14:val="tx1"/>
                  </w14:solidFill>
                </w14:textFill>
              </w:rPr>
              <w:t>收集后，由环卫部门定期清运。</w:t>
            </w:r>
          </w:p>
          <w:p w14:paraId="0740EFAA">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240" w:firstLineChars="100"/>
              <w:rPr>
                <w:rFonts w:hint="default" w:ascii="Times New Roman" w:hAnsi="Times New Roman" w:eastAsia="Times New Roman" w:cs="Times New Roman"/>
                <w:b/>
                <w:color w:val="000000" w:themeColor="text1"/>
                <w:kern w:val="0"/>
                <w:sz w:val="24"/>
                <w:highlight w:val="none"/>
                <w14:textFill>
                  <w14:solidFill>
                    <w14:schemeClr w14:val="tx1"/>
                  </w14:solidFill>
                </w14:textFill>
              </w:rPr>
            </w:pPr>
            <w:r>
              <w:rPr>
                <w:rFonts w:hint="default" w:ascii="Times New Roman" w:hAnsi="Times New Roman" w:eastAsia="Times New Roman" w:cs="Times New Roman"/>
                <w:b/>
                <w:color w:val="000000" w:themeColor="text1"/>
                <w:kern w:val="0"/>
                <w:sz w:val="24"/>
                <w:highlight w:val="none"/>
                <w:lang w:val="en-US" w:eastAsia="zh-CN"/>
                <w14:textFill>
                  <w14:solidFill>
                    <w14:schemeClr w14:val="tx1"/>
                  </w14:solidFill>
                </w14:textFill>
              </w:rPr>
              <w:t>4.2</w:t>
            </w:r>
            <w:r>
              <w:rPr>
                <w:rFonts w:hint="default" w:ascii="Times New Roman" w:hAnsi="Times New Roman" w:eastAsia="Times New Roman" w:cs="Times New Roman"/>
                <w:b/>
                <w:color w:val="000000" w:themeColor="text1"/>
                <w:kern w:val="0"/>
                <w:sz w:val="24"/>
                <w:highlight w:val="none"/>
                <w14:textFill>
                  <w14:solidFill>
                    <w14:schemeClr w14:val="tx1"/>
                  </w14:solidFill>
                </w14:textFill>
              </w:rPr>
              <w:t>危险废物</w:t>
            </w:r>
          </w:p>
          <w:p w14:paraId="45A76696">
            <w:pPr>
              <w:keepNext w:val="0"/>
              <w:keepLines w:val="0"/>
              <w:pageBreakBefore w:val="0"/>
              <w:suppressLineNumbers w:val="0"/>
              <w:kinsoku/>
              <w:wordWrap/>
              <w:topLinePunct w:val="0"/>
              <w:bidi w:val="0"/>
              <w:adjustRightInd w:val="0"/>
              <w:snapToGrid w:val="0"/>
              <w:spacing w:before="0" w:beforeAutospacing="0" w:after="0" w:afterAutospacing="0" w:line="348" w:lineRule="auto"/>
              <w:ind w:left="0" w:right="0" w:firstLine="480" w:firstLineChars="200"/>
              <w:rPr>
                <w:rFonts w:hint="default" w:ascii="Times New Roman" w:hAnsi="Times New Roman" w:eastAsia="Times New Roman" w:cs="Times New Roman"/>
                <w:b/>
                <w:bCs/>
                <w:color w:val="000000" w:themeColor="text1"/>
                <w:kern w:val="0"/>
                <w:sz w:val="24"/>
                <w:highlight w:val="none"/>
                <w:shd w:val="clear" w:color="auto" w:fill="auto"/>
                <w:lang w:val="en-US" w:eastAsia="zh-CN"/>
                <w14:textFill>
                  <w14:solidFill>
                    <w14:schemeClr w14:val="tx1"/>
                  </w14:solidFill>
                </w14:textFill>
              </w:rPr>
            </w:pPr>
            <w:r>
              <w:rPr>
                <w:rFonts w:hint="eastAsia" w:eastAsia="Times New Roman" w:cs="Times New Roman"/>
                <w:b/>
                <w:bCs/>
                <w:color w:val="000000" w:themeColor="text1"/>
                <w:kern w:val="0"/>
                <w:sz w:val="24"/>
                <w:highlight w:val="none"/>
                <w:shd w:val="clear" w:color="auto" w:fill="auto"/>
                <w:lang w:val="en-US" w:eastAsia="zh-CN"/>
                <w14:textFill>
                  <w14:solidFill>
                    <w14:schemeClr w14:val="tx1"/>
                  </w14:solidFill>
                </w14:textFill>
              </w:rPr>
              <w:t>（1）</w:t>
            </w:r>
            <w:r>
              <w:rPr>
                <w:rFonts w:hint="default" w:ascii="Times New Roman" w:hAnsi="Times New Roman" w:eastAsia="Times New Roman" w:cs="Times New Roman"/>
                <w:b/>
                <w:bCs/>
                <w:color w:val="000000" w:themeColor="text1"/>
                <w:kern w:val="0"/>
                <w:sz w:val="24"/>
                <w:highlight w:val="none"/>
                <w:shd w:val="clear" w:color="auto" w:fill="auto"/>
                <w:lang w:val="en-US" w:eastAsia="zh-CN"/>
                <w14:textFill>
                  <w14:solidFill>
                    <w14:schemeClr w14:val="tx1"/>
                  </w14:solidFill>
                </w14:textFill>
              </w:rPr>
              <w:t>废润滑油</w:t>
            </w:r>
            <w:r>
              <w:rPr>
                <w:rFonts w:hint="eastAsia" w:eastAsia="Times New Roman" w:cs="Times New Roman"/>
                <w:b/>
                <w:bCs/>
                <w:color w:val="000000" w:themeColor="text1"/>
                <w:kern w:val="0"/>
                <w:sz w:val="24"/>
                <w:highlight w:val="none"/>
                <w:shd w:val="clear" w:color="auto" w:fill="auto"/>
                <w:lang w:val="en-US" w:eastAsia="zh-CN"/>
                <w14:textFill>
                  <w14:solidFill>
                    <w14:schemeClr w14:val="tx1"/>
                  </w14:solidFill>
                </w14:textFill>
              </w:rPr>
              <w:t>桶</w:t>
            </w:r>
          </w:p>
          <w:p w14:paraId="065567BB">
            <w:pPr>
              <w:pStyle w:val="2"/>
              <w:keepNext/>
              <w:keepLines w:val="0"/>
              <w:pageBreakBefore w:val="0"/>
              <w:widowControl w:val="0"/>
              <w:suppressLineNumbers w:val="0"/>
              <w:kinsoku/>
              <w:wordWrap/>
              <w:overflowPunct w:val="0"/>
              <w:topLinePunct w:val="0"/>
              <w:autoSpaceDE/>
              <w:autoSpaceDN/>
              <w:bidi w:val="0"/>
              <w:adjustRightInd/>
              <w:snapToGrid w:val="0"/>
              <w:spacing w:before="0" w:beforeAutospacing="0" w:after="0" w:afterAutospacing="0" w:line="360" w:lineRule="auto"/>
              <w:ind w:left="0" w:leftChars="0" w:right="0" w:firstLine="504" w:firstLineChars="200"/>
              <w:textAlignment w:val="auto"/>
              <w:rPr>
                <w:rFonts w:hint="default" w:ascii="Times New Roman" w:hAnsi="Times New Roman" w:eastAsia="Times New Roman" w:cs="Times New Roman"/>
                <w:bCs/>
                <w:color w:val="000000" w:themeColor="text1"/>
                <w:spacing w:val="6"/>
                <w:sz w:val="24"/>
                <w:highlight w:val="none"/>
                <w14:textFill>
                  <w14:solidFill>
                    <w14:schemeClr w14:val="tx1"/>
                  </w14:solidFill>
                </w14:textFill>
              </w:rPr>
            </w:pPr>
            <w:r>
              <w:rPr>
                <w:rFonts w:hint="default" w:ascii="Times New Roman" w:hAnsi="Times New Roman" w:eastAsia="Times New Roman" w:cs="Times New Roman"/>
                <w:b w:val="0"/>
                <w:bCs/>
                <w:color w:val="000000" w:themeColor="text1"/>
                <w:spacing w:val="6"/>
                <w:kern w:val="2"/>
                <w:sz w:val="24"/>
                <w:szCs w:val="21"/>
                <w:highlight w:val="none"/>
                <w:lang w:val="en-US" w:eastAsia="zh-CN" w:bidi="ar-SA"/>
                <w14:textFill>
                  <w14:solidFill>
                    <w14:schemeClr w14:val="tx1"/>
                  </w14:solidFill>
                </w14:textFill>
              </w:rPr>
              <w:t>润滑油用完之后桶中会有些许润滑油挂壁残留，</w:t>
            </w:r>
            <w:r>
              <w:rPr>
                <w:rFonts w:hint="eastAsia" w:ascii="Times New Roman" w:hAnsi="Times New Roman" w:eastAsia="Times New Roman" w:cs="Times New Roman"/>
                <w:b w:val="0"/>
                <w:bCs/>
                <w:color w:val="000000" w:themeColor="text1"/>
                <w:spacing w:val="6"/>
                <w:kern w:val="2"/>
                <w:sz w:val="24"/>
                <w:szCs w:val="21"/>
                <w:highlight w:val="none"/>
                <w:lang w:val="en-US" w:eastAsia="zh-CN" w:bidi="ar-SA"/>
                <w14:textFill>
                  <w14:solidFill>
                    <w14:schemeClr w14:val="tx1"/>
                  </w14:solidFill>
                </w14:textFill>
              </w:rPr>
              <w:t>废物代码：900-2</w:t>
            </w:r>
            <w:r>
              <w:rPr>
                <w:rFonts w:hint="eastAsia" w:eastAsia="Times New Roman" w:cs="Times New Roman"/>
                <w:b w:val="0"/>
                <w:bCs/>
                <w:color w:val="000000" w:themeColor="text1"/>
                <w:spacing w:val="6"/>
                <w:kern w:val="2"/>
                <w:sz w:val="24"/>
                <w:szCs w:val="21"/>
                <w:highlight w:val="none"/>
                <w:lang w:val="en-US" w:eastAsia="zh-CN" w:bidi="ar-SA"/>
                <w14:textFill>
                  <w14:solidFill>
                    <w14:schemeClr w14:val="tx1"/>
                  </w14:solidFill>
                </w14:textFill>
              </w:rPr>
              <w:t>1</w:t>
            </w:r>
            <w:r>
              <w:rPr>
                <w:rFonts w:hint="eastAsia" w:ascii="Times New Roman" w:hAnsi="Times New Roman" w:eastAsia="Times New Roman" w:cs="Times New Roman"/>
                <w:b w:val="0"/>
                <w:bCs/>
                <w:color w:val="000000" w:themeColor="text1"/>
                <w:spacing w:val="6"/>
                <w:kern w:val="2"/>
                <w:sz w:val="24"/>
                <w:szCs w:val="21"/>
                <w:highlight w:val="none"/>
                <w:lang w:val="en-US" w:eastAsia="zh-CN" w:bidi="ar-SA"/>
                <w14:textFill>
                  <w14:solidFill>
                    <w14:schemeClr w14:val="tx1"/>
                  </w14:solidFill>
                </w14:textFill>
              </w:rPr>
              <w:t>4-08“使用工业齿轮油进行机械设备润滑过程中产生的废润滑油”</w:t>
            </w:r>
            <w:r>
              <w:rPr>
                <w:rFonts w:hint="default" w:ascii="Times New Roman" w:hAnsi="Times New Roman" w:eastAsia="Times New Roman" w:cs="Times New Roman"/>
                <w:b w:val="0"/>
                <w:bCs w:val="0"/>
                <w:color w:val="000000" w:themeColor="text1"/>
                <w:kern w:val="0"/>
                <w:sz w:val="24"/>
                <w:highlight w:val="none"/>
                <w:shd w:val="clear" w:color="auto" w:fill="auto"/>
                <w:lang w:val="en-US" w:eastAsia="zh-CN"/>
                <w14:textFill>
                  <w14:solidFill>
                    <w14:schemeClr w14:val="tx1"/>
                  </w14:solidFill>
                </w14:textFill>
              </w:rPr>
              <w:t>由于残余量很小且没有泄</w:t>
            </w:r>
            <w:r>
              <w:rPr>
                <w:rFonts w:hint="eastAsia" w:eastAsia="Times New Roman" w:cs="Times New Roman"/>
                <w:b w:val="0"/>
                <w:bCs w:val="0"/>
                <w:color w:val="000000" w:themeColor="text1"/>
                <w:kern w:val="0"/>
                <w:sz w:val="24"/>
                <w:highlight w:val="none"/>
                <w:shd w:val="clear" w:color="auto" w:fill="auto"/>
                <w:lang w:val="en-US" w:eastAsia="zh-CN"/>
                <w14:textFill>
                  <w14:solidFill>
                    <w14:schemeClr w14:val="tx1"/>
                  </w14:solidFill>
                </w14:textFill>
              </w:rPr>
              <w:t>漏</w:t>
            </w:r>
            <w:r>
              <w:rPr>
                <w:rFonts w:hint="default" w:ascii="Times New Roman" w:hAnsi="Times New Roman" w:eastAsia="Times New Roman" w:cs="Times New Roman"/>
                <w:b w:val="0"/>
                <w:bCs w:val="0"/>
                <w:color w:val="000000" w:themeColor="text1"/>
                <w:kern w:val="0"/>
                <w:sz w:val="24"/>
                <w:highlight w:val="none"/>
                <w:shd w:val="clear" w:color="auto" w:fill="auto"/>
                <w:lang w:val="en-US" w:eastAsia="zh-CN"/>
                <w14:textFill>
                  <w14:solidFill>
                    <w14:schemeClr w14:val="tx1"/>
                  </w14:solidFill>
                </w14:textFill>
              </w:rPr>
              <w:t>风险，故不再分析。润滑油单桶10kg，项目用量约0.</w:t>
            </w:r>
            <w:r>
              <w:rPr>
                <w:rFonts w:hint="eastAsia" w:eastAsia="Times New Roman" w:cs="Times New Roman"/>
                <w:b w:val="0"/>
                <w:bCs w:val="0"/>
                <w:color w:val="000000" w:themeColor="text1"/>
                <w:kern w:val="0"/>
                <w:sz w:val="24"/>
                <w:highlight w:val="none"/>
                <w:shd w:val="clear" w:color="auto" w:fill="auto"/>
                <w:lang w:val="en-US" w:eastAsia="zh-CN"/>
                <w14:textFill>
                  <w14:solidFill>
                    <w14:schemeClr w14:val="tx1"/>
                  </w14:solidFill>
                </w14:textFill>
              </w:rPr>
              <w:t>3</w:t>
            </w:r>
            <w:r>
              <w:rPr>
                <w:rFonts w:hint="default" w:ascii="Times New Roman" w:hAnsi="Times New Roman" w:eastAsia="Times New Roman" w:cs="Times New Roman"/>
                <w:b w:val="0"/>
                <w:bCs w:val="0"/>
                <w:color w:val="000000" w:themeColor="text1"/>
                <w:kern w:val="0"/>
                <w:sz w:val="24"/>
                <w:highlight w:val="none"/>
                <w:shd w:val="clear" w:color="auto" w:fill="auto"/>
                <w:lang w:val="en-US" w:eastAsia="zh-CN"/>
                <w14:textFill>
                  <w14:solidFill>
                    <w14:schemeClr w14:val="tx1"/>
                  </w14:solidFill>
                </w14:textFill>
              </w:rPr>
              <w:t>t/a，约</w:t>
            </w:r>
            <w:r>
              <w:rPr>
                <w:rFonts w:hint="eastAsia" w:eastAsia="Times New Roman" w:cs="Times New Roman"/>
                <w:b w:val="0"/>
                <w:bCs w:val="0"/>
                <w:color w:val="000000" w:themeColor="text1"/>
                <w:kern w:val="0"/>
                <w:sz w:val="24"/>
                <w:highlight w:val="none"/>
                <w:shd w:val="clear" w:color="auto" w:fill="auto"/>
                <w:lang w:val="en-US" w:eastAsia="zh-CN"/>
                <w14:textFill>
                  <w14:solidFill>
                    <w14:schemeClr w14:val="tx1"/>
                  </w14:solidFill>
                </w14:textFill>
              </w:rPr>
              <w:t>30</w:t>
            </w:r>
            <w:r>
              <w:rPr>
                <w:rFonts w:hint="default" w:ascii="Times New Roman" w:hAnsi="Times New Roman" w:eastAsia="Times New Roman" w:cs="Times New Roman"/>
                <w:b w:val="0"/>
                <w:bCs w:val="0"/>
                <w:color w:val="000000" w:themeColor="text1"/>
                <w:kern w:val="0"/>
                <w:sz w:val="24"/>
                <w:highlight w:val="none"/>
                <w:shd w:val="clear" w:color="auto" w:fill="auto"/>
                <w:lang w:val="en-US" w:eastAsia="zh-CN"/>
                <w14:textFill>
                  <w14:solidFill>
                    <w14:schemeClr w14:val="tx1"/>
                  </w14:solidFill>
                </w14:textFill>
              </w:rPr>
              <w:t>桶。润滑油单个空桶重量约1kg，则废润滑油桶产生量0.0</w:t>
            </w:r>
            <w:r>
              <w:rPr>
                <w:rFonts w:hint="eastAsia" w:eastAsia="Times New Roman" w:cs="Times New Roman"/>
                <w:b w:val="0"/>
                <w:bCs w:val="0"/>
                <w:color w:val="000000" w:themeColor="text1"/>
                <w:kern w:val="0"/>
                <w:sz w:val="24"/>
                <w:highlight w:val="none"/>
                <w:shd w:val="clear" w:color="auto" w:fill="auto"/>
                <w:lang w:val="en-US" w:eastAsia="zh-CN"/>
                <w14:textFill>
                  <w14:solidFill>
                    <w14:schemeClr w14:val="tx1"/>
                  </w14:solidFill>
                </w14:textFill>
              </w:rPr>
              <w:t>3</w:t>
            </w:r>
            <w:r>
              <w:rPr>
                <w:rFonts w:hint="default" w:ascii="Times New Roman" w:hAnsi="Times New Roman" w:eastAsia="Times New Roman" w:cs="Times New Roman"/>
                <w:b w:val="0"/>
                <w:bCs w:val="0"/>
                <w:color w:val="000000" w:themeColor="text1"/>
                <w:kern w:val="0"/>
                <w:sz w:val="24"/>
                <w:highlight w:val="none"/>
                <w:shd w:val="clear" w:color="auto" w:fill="auto"/>
                <w:lang w:val="en-US" w:eastAsia="zh-CN"/>
                <w14:textFill>
                  <w14:solidFill>
                    <w14:schemeClr w14:val="tx1"/>
                  </w14:solidFill>
                </w14:textFill>
              </w:rPr>
              <w:t>t/a。</w:t>
            </w:r>
            <w:r>
              <w:rPr>
                <w:rFonts w:hint="default" w:ascii="Times New Roman" w:hAnsi="Times New Roman" w:eastAsia="Times New Roman" w:cs="Times New Roman"/>
                <w:b w:val="0"/>
                <w:bCs w:val="0"/>
                <w:color w:val="000000" w:themeColor="text1"/>
                <w:sz w:val="24"/>
                <w:szCs w:val="24"/>
                <w:highlight w:val="none"/>
                <w:lang w:val="en-US" w:eastAsia="zh-CN"/>
                <w14:textFill>
                  <w14:solidFill>
                    <w14:schemeClr w14:val="tx1"/>
                  </w14:solidFill>
                </w14:textFill>
              </w:rPr>
              <w:t>根据《国家危险废物名录》（2025年版），</w:t>
            </w:r>
            <w:r>
              <w:rPr>
                <w:rFonts w:hint="default" w:ascii="Times New Roman" w:hAnsi="Times New Roman" w:eastAsia="Times New Roman" w:cs="Times New Roman"/>
                <w:b w:val="0"/>
                <w:bCs w:val="0"/>
                <w:color w:val="000000" w:themeColor="text1"/>
                <w:kern w:val="0"/>
                <w:sz w:val="24"/>
                <w:highlight w:val="none"/>
                <w:shd w:val="clear" w:color="auto" w:fill="auto"/>
                <w:lang w:val="en-US" w:eastAsia="zh-CN"/>
                <w14:textFill>
                  <w14:solidFill>
                    <w14:schemeClr w14:val="tx1"/>
                  </w14:solidFill>
                </w14:textFill>
              </w:rPr>
              <w:t>废润滑油桶</w:t>
            </w:r>
            <w:r>
              <w:rPr>
                <w:rFonts w:hint="default" w:ascii="Times New Roman" w:hAnsi="Times New Roman" w:eastAsia="Times New Roman" w:cs="Times New Roman"/>
                <w:b w:val="0"/>
                <w:bCs w:val="0"/>
                <w:color w:val="000000" w:themeColor="text1"/>
                <w:sz w:val="24"/>
                <w:szCs w:val="24"/>
                <w:highlight w:val="none"/>
                <w:lang w:val="en-US" w:eastAsia="zh-CN"/>
                <w14:textFill>
                  <w14:solidFill>
                    <w14:schemeClr w14:val="tx1"/>
                  </w14:solidFill>
                </w14:textFill>
              </w:rPr>
              <w:t>属于HW08废矿物油与含矿物油废物</w:t>
            </w:r>
            <w:r>
              <w:rPr>
                <w:rFonts w:hint="default" w:ascii="Times New Roman" w:hAnsi="Times New Roman" w:eastAsia="Times New Roman" w:cs="Times New Roman"/>
                <w:b w:val="0"/>
                <w:bCs w:val="0"/>
                <w:color w:val="000000" w:themeColor="text1"/>
                <w:spacing w:val="6"/>
                <w:sz w:val="24"/>
                <w:highlight w:val="none"/>
                <w:lang w:val="en-US" w:eastAsia="zh-CN"/>
                <w14:textFill>
                  <w14:solidFill>
                    <w14:schemeClr w14:val="tx1"/>
                  </w14:solidFill>
                </w14:textFill>
              </w:rPr>
              <w:t>，废物代码：900-249-08“其他生产、销售、使用过程中产生的废矿物油及沾染矿物油的废弃包装物”</w:t>
            </w:r>
            <w:r>
              <w:rPr>
                <w:rFonts w:hint="default" w:ascii="Times New Roman" w:hAnsi="Times New Roman" w:eastAsia="Times New Roman" w:cs="Times New Roman"/>
                <w:b w:val="0"/>
                <w:bCs w:val="0"/>
                <w:color w:val="000000" w:themeColor="text1"/>
                <w:spacing w:val="6"/>
                <w:sz w:val="24"/>
                <w:highlight w:val="none"/>
                <w14:textFill>
                  <w14:solidFill>
                    <w14:schemeClr w14:val="tx1"/>
                  </w14:solidFill>
                </w14:textFill>
              </w:rPr>
              <w:t>。</w:t>
            </w:r>
          </w:p>
          <w:p w14:paraId="7F814FA7">
            <w:pPr>
              <w:keepNext w:val="0"/>
              <w:keepLines w:val="0"/>
              <w:pageBreakBefore w:val="0"/>
              <w:suppressLineNumbers w:val="0"/>
              <w:kinsoku/>
              <w:wordWrap/>
              <w:topLinePunct w:val="0"/>
              <w:bidi w:val="0"/>
              <w:adjustRightInd w:val="0"/>
              <w:snapToGrid w:val="0"/>
              <w:spacing w:before="0" w:beforeAutospacing="0" w:after="0" w:afterAutospacing="0" w:line="348" w:lineRule="auto"/>
              <w:ind w:left="0" w:right="0" w:firstLine="480" w:firstLineChars="200"/>
              <w:rPr>
                <w:rFonts w:hint="default" w:ascii="Times New Roman" w:hAnsi="Times New Roman" w:eastAsia="Times New Roman" w:cs="Times New Roman"/>
                <w:b/>
                <w:bCs/>
                <w:color w:val="000000" w:themeColor="text1"/>
                <w:kern w:val="0"/>
                <w:sz w:val="24"/>
                <w:highlight w:val="none"/>
                <w:shd w:val="clear" w:color="auto" w:fill="auto"/>
                <w:lang w:val="en-US" w:eastAsia="zh-CN"/>
                <w14:textFill>
                  <w14:solidFill>
                    <w14:schemeClr w14:val="tx1"/>
                  </w14:solidFill>
                </w14:textFill>
              </w:rPr>
            </w:pPr>
            <w:r>
              <w:rPr>
                <w:rFonts w:hint="eastAsia" w:eastAsia="Times New Roman" w:cs="Times New Roman"/>
                <w:b/>
                <w:bCs/>
                <w:color w:val="000000" w:themeColor="text1"/>
                <w:kern w:val="0"/>
                <w:sz w:val="24"/>
                <w:highlight w:val="none"/>
                <w:shd w:val="clear" w:color="auto" w:fill="auto"/>
                <w:lang w:val="en-US" w:eastAsia="zh-CN"/>
                <w14:textFill>
                  <w14:solidFill>
                    <w14:schemeClr w14:val="tx1"/>
                  </w14:solidFill>
                </w14:textFill>
              </w:rPr>
              <w:t>（2）</w:t>
            </w:r>
            <w:r>
              <w:rPr>
                <w:rFonts w:hint="default" w:ascii="Times New Roman" w:hAnsi="Times New Roman" w:eastAsia="Times New Roman" w:cs="Times New Roman"/>
                <w:b/>
                <w:bCs/>
                <w:color w:val="000000" w:themeColor="text1"/>
                <w:kern w:val="0"/>
                <w:sz w:val="24"/>
                <w:highlight w:val="none"/>
                <w:shd w:val="clear" w:color="auto" w:fill="auto"/>
                <w:lang w:val="en-US" w:eastAsia="zh-CN"/>
                <w14:textFill>
                  <w14:solidFill>
                    <w14:schemeClr w14:val="tx1"/>
                  </w14:solidFill>
                </w14:textFill>
              </w:rPr>
              <w:t>废活性炭</w:t>
            </w:r>
            <w:r>
              <w:rPr>
                <w:rFonts w:hint="eastAsia" w:eastAsia="Times New Roman" w:cs="Times New Roman"/>
                <w:b/>
                <w:bCs/>
                <w:color w:val="000000" w:themeColor="text1"/>
                <w:kern w:val="0"/>
                <w:sz w:val="24"/>
                <w:highlight w:val="none"/>
                <w:shd w:val="clear" w:color="auto" w:fill="auto"/>
                <w:lang w:val="en-US" w:eastAsia="zh-CN"/>
                <w14:textFill>
                  <w14:solidFill>
                    <w14:schemeClr w14:val="tx1"/>
                  </w14:solidFill>
                </w14:textFill>
              </w:rPr>
              <w:t>：</w:t>
            </w:r>
          </w:p>
          <w:p w14:paraId="3758243F">
            <w:pPr>
              <w:keepNext w:val="0"/>
              <w:keepLines w:val="0"/>
              <w:pageBreakBefore w:val="0"/>
              <w:suppressLineNumbers w:val="0"/>
              <w:kinsoku/>
              <w:wordWrap/>
              <w:topLinePunct w:val="0"/>
              <w:bidi w:val="0"/>
              <w:adjustRightInd w:val="0"/>
              <w:snapToGrid w:val="0"/>
              <w:spacing w:before="0" w:beforeAutospacing="0" w:after="0" w:afterAutospacing="0" w:line="348" w:lineRule="auto"/>
              <w:ind w:left="0" w:right="0" w:firstLine="480" w:firstLineChars="200"/>
              <w:rPr>
                <w:rFonts w:hint="default" w:ascii="Times New Roman" w:hAnsi="Times New Roman" w:eastAsia="宋体" w:cs="Times New Roman"/>
                <w:bCs/>
                <w:color w:val="auto"/>
                <w:sz w:val="24"/>
                <w:szCs w:val="24"/>
                <w:highlight w:val="none"/>
                <w:vertAlign w:val="baseline"/>
                <w:lang w:val="en-US" w:eastAsia="zh-CN"/>
              </w:rPr>
            </w:pPr>
            <w:r>
              <w:rPr>
                <w:rFonts w:hint="eastAsia" w:eastAsia="宋体" w:cs="Times New Roman"/>
                <w:bCs/>
                <w:color w:val="000000" w:themeColor="text1"/>
                <w:sz w:val="24"/>
                <w:szCs w:val="24"/>
                <w:highlight w:val="none"/>
                <w:lang w:eastAsia="zh-CN"/>
                <w14:textFill>
                  <w14:solidFill>
                    <w14:schemeClr w14:val="tx1"/>
                  </w14:solidFill>
                </w14:textFill>
              </w:rPr>
              <w:t>参照</w:t>
            </w:r>
            <w:r>
              <w:rPr>
                <w:rFonts w:hint="default" w:ascii="Times New Roman" w:hAnsi="Times New Roman" w:eastAsia="Times New Roman" w:cs="Times New Roman"/>
                <w:bCs/>
                <w:color w:val="000000" w:themeColor="text1"/>
                <w:sz w:val="24"/>
                <w:szCs w:val="24"/>
                <w:highlight w:val="none"/>
                <w14:textFill>
                  <w14:solidFill>
                    <w14:schemeClr w14:val="tx1"/>
                  </w14:solidFill>
                </w14:textFill>
              </w:rPr>
              <w:t>《河南省重污染天气</w:t>
            </w: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重点</w:t>
            </w:r>
            <w:r>
              <w:rPr>
                <w:rFonts w:hint="default" w:ascii="Times New Roman" w:hAnsi="Times New Roman" w:eastAsia="Times New Roman" w:cs="Times New Roman"/>
                <w:bCs/>
                <w:color w:val="000000" w:themeColor="text1"/>
                <w:sz w:val="24"/>
                <w:szCs w:val="24"/>
                <w:highlight w:val="none"/>
                <w14:textFill>
                  <w14:solidFill>
                    <w14:schemeClr w14:val="tx1"/>
                  </w14:solidFill>
                </w14:textFill>
              </w:rPr>
              <w:t>行业应急减排措施制定技术指南（202</w:t>
            </w: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4</w:t>
            </w:r>
            <w:r>
              <w:rPr>
                <w:rFonts w:hint="default" w:ascii="Times New Roman" w:hAnsi="Times New Roman" w:eastAsia="Times New Roman" w:cs="Times New Roman"/>
                <w:bCs/>
                <w:color w:val="000000" w:themeColor="text1"/>
                <w:sz w:val="24"/>
                <w:szCs w:val="24"/>
                <w:highlight w:val="none"/>
                <w14:textFill>
                  <w14:solidFill>
                    <w14:schemeClr w14:val="tx1"/>
                  </w14:solidFill>
                </w14:textFill>
              </w:rPr>
              <w:t>年版）》</w:t>
            </w: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中塑料制品行业企业A级指标</w:t>
            </w:r>
            <w:r>
              <w:rPr>
                <w:rFonts w:hint="default" w:ascii="Times New Roman" w:hAnsi="Times New Roman" w:eastAsia="Times New Roman" w:cs="Times New Roman"/>
                <w:bCs/>
                <w:color w:val="000000" w:themeColor="text1"/>
                <w:sz w:val="24"/>
                <w:szCs w:val="24"/>
                <w:highlight w:val="none"/>
                <w14:textFill>
                  <w14:solidFill>
                    <w14:schemeClr w14:val="tx1"/>
                  </w14:solidFill>
                </w14:textFill>
              </w:rPr>
              <w:t>要求</w:t>
            </w:r>
            <w:r>
              <w:rPr>
                <w:rFonts w:hint="eastAsia" w:eastAsia="宋体" w:cs="Times New Roman"/>
                <w:bCs/>
                <w:color w:val="000000" w:themeColor="text1"/>
                <w:sz w:val="24"/>
                <w:szCs w:val="24"/>
                <w:highlight w:val="none"/>
                <w:lang w:eastAsia="zh-CN"/>
                <w14:textFill>
                  <w14:solidFill>
                    <w14:schemeClr w14:val="tx1"/>
                  </w14:solidFill>
                </w14:textFill>
              </w:rPr>
              <w:t>，活性炭填充量与每小时处理废气量体积之比满足</w:t>
            </w:r>
            <w:r>
              <w:rPr>
                <w:rFonts w:hint="eastAsia" w:eastAsia="宋体" w:cs="Times New Roman"/>
                <w:bCs/>
                <w:color w:val="000000" w:themeColor="text1"/>
                <w:sz w:val="24"/>
                <w:szCs w:val="24"/>
                <w:highlight w:val="none"/>
                <w:lang w:val="en-US" w:eastAsia="zh-CN"/>
                <w14:textFill>
                  <w14:solidFill>
                    <w14:schemeClr w14:val="tx1"/>
                  </w14:solidFill>
                </w14:textFill>
              </w:rPr>
              <w:t>1:7000的要求，</w:t>
            </w:r>
            <w:r>
              <w:rPr>
                <w:rFonts w:hint="eastAsia" w:eastAsia="宋体" w:cs="Times New Roman"/>
                <w:bCs/>
                <w:color w:val="auto"/>
                <w:sz w:val="24"/>
                <w:szCs w:val="24"/>
                <w:highlight w:val="none"/>
                <w:lang w:val="en-US" w:eastAsia="zh-CN"/>
              </w:rPr>
              <w:t>本项目风量为</w:t>
            </w:r>
            <w:r>
              <w:rPr>
                <w:rFonts w:hint="eastAsia" w:cs="Times New Roman"/>
                <w:bCs/>
                <w:color w:val="auto"/>
                <w:sz w:val="24"/>
                <w:szCs w:val="24"/>
                <w:highlight w:val="none"/>
                <w:lang w:val="en-US" w:eastAsia="zh-CN"/>
              </w:rPr>
              <w:t>6000</w:t>
            </w:r>
            <w:r>
              <w:rPr>
                <w:rFonts w:hint="eastAsia" w:eastAsia="宋体" w:cs="Times New Roman"/>
                <w:bCs/>
                <w:color w:val="auto"/>
                <w:sz w:val="24"/>
                <w:szCs w:val="24"/>
                <w:highlight w:val="none"/>
                <w:lang w:val="en-US" w:eastAsia="zh-CN"/>
              </w:rPr>
              <w:t>m</w:t>
            </w:r>
            <w:r>
              <w:rPr>
                <w:rFonts w:hint="eastAsia" w:eastAsia="宋体" w:cs="Times New Roman"/>
                <w:bCs/>
                <w:color w:val="auto"/>
                <w:sz w:val="24"/>
                <w:szCs w:val="24"/>
                <w:highlight w:val="none"/>
                <w:vertAlign w:val="superscript"/>
                <w:lang w:val="en-US" w:eastAsia="zh-CN"/>
              </w:rPr>
              <w:t>3</w:t>
            </w:r>
            <w:r>
              <w:rPr>
                <w:rFonts w:hint="eastAsia" w:eastAsia="宋体" w:cs="Times New Roman"/>
                <w:bCs/>
                <w:color w:val="auto"/>
                <w:sz w:val="24"/>
                <w:szCs w:val="24"/>
                <w:highlight w:val="none"/>
                <w:lang w:val="en-US" w:eastAsia="zh-CN"/>
              </w:rPr>
              <w:t>/</w:t>
            </w:r>
            <w:r>
              <w:rPr>
                <w:rFonts w:hint="eastAsia" w:cs="Times New Roman"/>
                <w:bCs/>
                <w:color w:val="auto"/>
                <w:sz w:val="24"/>
                <w:szCs w:val="24"/>
                <w:highlight w:val="none"/>
                <w:lang w:val="en-US" w:eastAsia="zh-CN"/>
              </w:rPr>
              <w:t>h</w:t>
            </w:r>
            <w:r>
              <w:rPr>
                <w:rFonts w:hint="eastAsia" w:eastAsia="宋体" w:cs="Times New Roman"/>
                <w:bCs/>
                <w:color w:val="auto"/>
                <w:sz w:val="24"/>
                <w:szCs w:val="24"/>
                <w:highlight w:val="none"/>
                <w:lang w:val="en-US" w:eastAsia="zh-CN"/>
              </w:rPr>
              <w:t>，则</w:t>
            </w:r>
            <w:r>
              <w:rPr>
                <w:rFonts w:hint="eastAsia" w:cs="Times New Roman"/>
                <w:bCs/>
                <w:color w:val="auto"/>
                <w:sz w:val="24"/>
                <w:szCs w:val="24"/>
                <w:highlight w:val="none"/>
                <w:lang w:val="en-US" w:eastAsia="zh-CN"/>
              </w:rPr>
              <w:t>活性炭填充量</w:t>
            </w:r>
            <w:r>
              <w:rPr>
                <w:rFonts w:hint="eastAsia" w:eastAsia="宋体" w:cs="Times New Roman"/>
                <w:bCs/>
                <w:color w:val="auto"/>
                <w:sz w:val="24"/>
                <w:szCs w:val="24"/>
                <w:highlight w:val="none"/>
                <w:lang w:val="en-US" w:eastAsia="zh-CN"/>
              </w:rPr>
              <w:t>最少为</w:t>
            </w:r>
            <w:r>
              <w:rPr>
                <w:rFonts w:hint="eastAsia" w:cs="Times New Roman"/>
                <w:bCs/>
                <w:color w:val="auto"/>
                <w:sz w:val="24"/>
                <w:szCs w:val="24"/>
                <w:highlight w:val="none"/>
                <w:lang w:val="en-US" w:eastAsia="zh-CN"/>
              </w:rPr>
              <w:t>0.8571</w:t>
            </w:r>
            <w:r>
              <w:rPr>
                <w:rFonts w:hint="eastAsia" w:eastAsia="宋体" w:cs="Times New Roman"/>
                <w:bCs/>
                <w:color w:val="auto"/>
                <w:sz w:val="24"/>
                <w:szCs w:val="24"/>
                <w:highlight w:val="none"/>
                <w:lang w:val="en-US" w:eastAsia="zh-CN"/>
              </w:rPr>
              <w:t>m</w:t>
            </w:r>
            <w:r>
              <w:rPr>
                <w:rFonts w:hint="eastAsia" w:eastAsia="宋体" w:cs="Times New Roman"/>
                <w:bCs/>
                <w:color w:val="auto"/>
                <w:sz w:val="24"/>
                <w:szCs w:val="24"/>
                <w:highlight w:val="none"/>
                <w:vertAlign w:val="superscript"/>
                <w:lang w:val="en-US" w:eastAsia="zh-CN"/>
              </w:rPr>
              <w:t>3</w:t>
            </w:r>
            <w:r>
              <w:rPr>
                <w:rFonts w:hint="eastAsia" w:eastAsia="宋体" w:cs="Times New Roman"/>
                <w:bCs/>
                <w:color w:val="auto"/>
                <w:sz w:val="24"/>
                <w:szCs w:val="24"/>
                <w:highlight w:val="none"/>
                <w:vertAlign w:val="baseline"/>
                <w:lang w:val="en-US" w:eastAsia="zh-CN"/>
              </w:rPr>
              <w:t>。</w:t>
            </w:r>
            <w:r>
              <w:rPr>
                <w:rFonts w:hint="eastAsia" w:cs="Times New Roman"/>
                <w:bCs/>
                <w:color w:val="auto"/>
                <w:sz w:val="24"/>
                <w:szCs w:val="24"/>
                <w:highlight w:val="none"/>
                <w:vertAlign w:val="baseline"/>
                <w:lang w:val="en-US" w:eastAsia="zh-CN"/>
              </w:rPr>
              <w:t>本项目活性炭为蜂窝活性炭，蜂窝活性炭的密度一般在0.35-0.6t/</w:t>
            </w:r>
            <w:r>
              <w:rPr>
                <w:rFonts w:hint="eastAsia" w:eastAsia="宋体" w:cs="Times New Roman"/>
                <w:bCs/>
                <w:color w:val="auto"/>
                <w:sz w:val="24"/>
                <w:szCs w:val="24"/>
                <w:highlight w:val="none"/>
                <w:lang w:val="en-US" w:eastAsia="zh-CN"/>
              </w:rPr>
              <w:t>m</w:t>
            </w:r>
            <w:r>
              <w:rPr>
                <w:rFonts w:hint="eastAsia" w:eastAsia="宋体" w:cs="Times New Roman"/>
                <w:bCs/>
                <w:color w:val="auto"/>
                <w:sz w:val="24"/>
                <w:szCs w:val="24"/>
                <w:highlight w:val="none"/>
                <w:vertAlign w:val="superscript"/>
                <w:lang w:val="en-US" w:eastAsia="zh-CN"/>
              </w:rPr>
              <w:t>3</w:t>
            </w:r>
            <w:r>
              <w:rPr>
                <w:rFonts w:hint="eastAsia" w:cs="Times New Roman"/>
                <w:bCs/>
                <w:color w:val="auto"/>
                <w:sz w:val="24"/>
                <w:szCs w:val="24"/>
                <w:highlight w:val="none"/>
                <w:vertAlign w:val="baseline"/>
                <w:lang w:val="en-US" w:eastAsia="zh-CN"/>
              </w:rPr>
              <w:t>之间，本次取0.6t/</w:t>
            </w:r>
            <w:r>
              <w:rPr>
                <w:rFonts w:hint="eastAsia" w:eastAsia="宋体" w:cs="Times New Roman"/>
                <w:bCs/>
                <w:color w:val="auto"/>
                <w:sz w:val="24"/>
                <w:szCs w:val="24"/>
                <w:highlight w:val="none"/>
                <w:lang w:val="en-US" w:eastAsia="zh-CN"/>
              </w:rPr>
              <w:t>m</w:t>
            </w:r>
            <w:r>
              <w:rPr>
                <w:rFonts w:hint="eastAsia" w:eastAsia="宋体" w:cs="Times New Roman"/>
                <w:bCs/>
                <w:color w:val="auto"/>
                <w:sz w:val="24"/>
                <w:szCs w:val="24"/>
                <w:highlight w:val="none"/>
                <w:vertAlign w:val="superscript"/>
                <w:lang w:val="en-US" w:eastAsia="zh-CN"/>
              </w:rPr>
              <w:t>3</w:t>
            </w:r>
            <w:r>
              <w:rPr>
                <w:rFonts w:hint="eastAsia" w:cs="Times New Roman"/>
                <w:bCs/>
                <w:color w:val="auto"/>
                <w:sz w:val="24"/>
                <w:szCs w:val="24"/>
                <w:highlight w:val="none"/>
                <w:vertAlign w:val="baseline"/>
                <w:lang w:val="en-US" w:eastAsia="zh-CN"/>
              </w:rPr>
              <w:t>，则活性炭的填充量为0.5143t。</w:t>
            </w:r>
          </w:p>
          <w:p w14:paraId="6DB019CB">
            <w:pPr>
              <w:keepNext w:val="0"/>
              <w:keepLines w:val="0"/>
              <w:pageBreakBefore w:val="0"/>
              <w:suppressLineNumbers w:val="0"/>
              <w:kinsoku/>
              <w:wordWrap/>
              <w:topLinePunct w:val="0"/>
              <w:bidi w:val="0"/>
              <w:adjustRightInd w:val="0"/>
              <w:snapToGrid w:val="0"/>
              <w:spacing w:before="0" w:beforeAutospacing="0" w:after="0" w:afterAutospacing="0" w:line="348" w:lineRule="auto"/>
              <w:ind w:left="0" w:right="0" w:firstLine="482" w:firstLineChars="200"/>
              <w:rPr>
                <w:rFonts w:hint="eastAsia" w:eastAsia="宋体" w:cs="Times New Roman"/>
                <w:b/>
                <w:bCs/>
                <w:color w:val="auto"/>
                <w:sz w:val="24"/>
                <w:szCs w:val="24"/>
                <w:highlight w:val="none"/>
                <w:shd w:val="clear" w:color="auto" w:fill="auto"/>
                <w:lang w:val="en-US" w:eastAsia="zh-CN"/>
              </w:rPr>
            </w:pPr>
            <w:r>
              <w:rPr>
                <w:rFonts w:hint="eastAsia" w:cs="Times New Roman"/>
                <w:b/>
                <w:bCs/>
                <w:color w:val="auto"/>
                <w:sz w:val="24"/>
                <w:szCs w:val="24"/>
                <w:highlight w:val="none"/>
                <w:shd w:val="clear" w:color="auto" w:fill="auto"/>
                <w:lang w:val="en-US" w:eastAsia="zh-CN"/>
              </w:rPr>
              <w:t>再生周期：</w:t>
            </w:r>
          </w:p>
          <w:p w14:paraId="4E70CE7E">
            <w:pPr>
              <w:keepNext w:val="0"/>
              <w:keepLines w:val="0"/>
              <w:pageBreakBefore w:val="0"/>
              <w:suppressLineNumbers w:val="0"/>
              <w:kinsoku/>
              <w:wordWrap/>
              <w:topLinePunct w:val="0"/>
              <w:bidi w:val="0"/>
              <w:adjustRightInd w:val="0"/>
              <w:snapToGrid w:val="0"/>
              <w:spacing w:before="0" w:beforeAutospacing="0" w:after="0" w:afterAutospacing="0" w:line="348" w:lineRule="auto"/>
              <w:ind w:left="0" w:right="0" w:firstLine="480" w:firstLineChars="200"/>
              <w:rPr>
                <w:rFonts w:hint="default" w:cs="Times New Roman"/>
                <w:color w:val="auto"/>
                <w:sz w:val="24"/>
                <w:szCs w:val="24"/>
                <w:highlight w:val="none"/>
                <w:shd w:val="clear" w:color="auto" w:fill="auto"/>
                <w:lang w:eastAsia="zh-CN"/>
              </w:rPr>
            </w:pPr>
            <w:r>
              <w:rPr>
                <w:rFonts w:hint="eastAsia" w:eastAsia="宋体" w:cs="Times New Roman"/>
                <w:color w:val="auto"/>
                <w:sz w:val="24"/>
                <w:szCs w:val="24"/>
                <w:highlight w:val="none"/>
                <w:shd w:val="clear" w:color="auto" w:fill="auto"/>
                <w:lang w:val="en-US" w:eastAsia="zh-CN"/>
              </w:rPr>
              <w:t>根据安阳市生态环境局《关于加快低效挥发性有机物治理设施淘汰整治的通知》</w:t>
            </w:r>
            <w:r>
              <w:rPr>
                <w:rFonts w:hint="eastAsia" w:cs="Times New Roman"/>
                <w:color w:val="auto"/>
                <w:sz w:val="24"/>
                <w:szCs w:val="24"/>
                <w:highlight w:val="none"/>
                <w:shd w:val="clear" w:color="auto" w:fill="auto"/>
                <w:lang w:val="en-US" w:eastAsia="zh-CN"/>
              </w:rPr>
              <w:t>附件2中</w:t>
            </w:r>
            <w:r>
              <w:rPr>
                <w:rFonts w:hint="eastAsia" w:eastAsia="宋体" w:cs="Times New Roman"/>
                <w:color w:val="auto"/>
                <w:sz w:val="24"/>
                <w:szCs w:val="24"/>
                <w:highlight w:val="none"/>
                <w:shd w:val="clear" w:color="auto" w:fill="auto"/>
                <w:lang w:val="en-US" w:eastAsia="zh-CN"/>
              </w:rPr>
              <w:t>废气收集参数和最少活性炭装填量参考表</w:t>
            </w:r>
            <w:r>
              <w:rPr>
                <w:rFonts w:hint="eastAsia" w:cs="Times New Roman"/>
                <w:color w:val="auto"/>
                <w:sz w:val="24"/>
                <w:szCs w:val="24"/>
                <w:highlight w:val="none"/>
                <w:shd w:val="clear" w:color="auto" w:fill="auto"/>
                <w:lang w:val="en-US" w:eastAsia="zh-CN"/>
              </w:rPr>
              <w:t>，</w:t>
            </w:r>
            <w:r>
              <w:rPr>
                <w:rFonts w:hint="eastAsia" w:eastAsia="宋体" w:cs="Times New Roman"/>
                <w:color w:val="auto"/>
                <w:sz w:val="24"/>
                <w:szCs w:val="24"/>
                <w:highlight w:val="none"/>
                <w:shd w:val="clear" w:color="auto" w:fill="auto"/>
                <w:lang w:val="en-US" w:eastAsia="zh-CN"/>
              </w:rPr>
              <w:t>本项目活性炭吸附、脱附+催化燃烧装置风量为</w:t>
            </w:r>
            <w:r>
              <w:rPr>
                <w:rFonts w:hint="eastAsia" w:cs="Times New Roman"/>
                <w:color w:val="auto"/>
                <w:sz w:val="24"/>
                <w:szCs w:val="24"/>
                <w:highlight w:val="none"/>
                <w:shd w:val="clear" w:color="auto" w:fill="auto"/>
                <w:lang w:val="en-US" w:eastAsia="zh-CN"/>
              </w:rPr>
              <w:t>6000</w:t>
            </w:r>
            <w:r>
              <w:rPr>
                <w:rFonts w:hint="eastAsia" w:eastAsia="宋体" w:cs="Times New Roman"/>
                <w:color w:val="auto"/>
                <w:sz w:val="24"/>
                <w:szCs w:val="24"/>
                <w:highlight w:val="none"/>
                <w:shd w:val="clear" w:color="auto" w:fill="auto"/>
                <w:lang w:val="en-US" w:eastAsia="zh-CN"/>
              </w:rPr>
              <w:t>m</w:t>
            </w:r>
            <w:r>
              <w:rPr>
                <w:rFonts w:hint="eastAsia" w:eastAsia="宋体" w:cs="Times New Roman"/>
                <w:color w:val="auto"/>
                <w:sz w:val="24"/>
                <w:szCs w:val="24"/>
                <w:highlight w:val="none"/>
                <w:shd w:val="clear" w:color="auto" w:fill="auto"/>
                <w:vertAlign w:val="superscript"/>
                <w:lang w:val="en-US" w:eastAsia="zh-CN"/>
              </w:rPr>
              <w:t>3</w:t>
            </w:r>
            <w:r>
              <w:rPr>
                <w:rFonts w:hint="eastAsia" w:eastAsia="宋体" w:cs="Times New Roman"/>
                <w:color w:val="auto"/>
                <w:sz w:val="24"/>
                <w:szCs w:val="24"/>
                <w:highlight w:val="none"/>
                <w:shd w:val="clear" w:color="auto" w:fill="auto"/>
                <w:lang w:val="en-US" w:eastAsia="zh-CN"/>
              </w:rPr>
              <w:t>/h</w:t>
            </w:r>
            <w:r>
              <w:rPr>
                <w:rFonts w:hint="eastAsia" w:cs="Times New Roman"/>
                <w:color w:val="auto"/>
                <w:sz w:val="24"/>
                <w:szCs w:val="24"/>
                <w:highlight w:val="none"/>
                <w:shd w:val="clear" w:color="auto" w:fill="auto"/>
                <w:lang w:val="en-US" w:eastAsia="zh-CN"/>
              </w:rPr>
              <w:t>，</w:t>
            </w:r>
            <w:r>
              <w:rPr>
                <w:rFonts w:hint="eastAsia" w:eastAsia="宋体" w:cs="Times New Roman"/>
                <w:color w:val="auto"/>
                <w:sz w:val="24"/>
                <w:szCs w:val="24"/>
                <w:highlight w:val="none"/>
                <w:shd w:val="clear" w:color="auto" w:fill="auto"/>
                <w:lang w:val="en-US" w:eastAsia="zh-CN"/>
              </w:rPr>
              <w:t>VOCs初始浓度为</w:t>
            </w:r>
            <w:r>
              <w:rPr>
                <w:rFonts w:hint="eastAsia" w:cs="Times New Roman"/>
                <w:color w:val="auto"/>
                <w:sz w:val="24"/>
                <w:szCs w:val="24"/>
                <w:highlight w:val="none"/>
                <w:shd w:val="clear" w:color="auto" w:fill="auto"/>
                <w:lang w:val="en-US" w:eastAsia="zh-CN"/>
              </w:rPr>
              <w:t>20.1</w:t>
            </w:r>
            <w:r>
              <w:rPr>
                <w:rFonts w:hint="eastAsia" w:eastAsia="宋体" w:cs="Times New Roman"/>
                <w:color w:val="auto"/>
                <w:sz w:val="24"/>
                <w:szCs w:val="24"/>
                <w:highlight w:val="none"/>
                <w:shd w:val="clear" w:color="auto" w:fill="auto"/>
                <w:lang w:val="en-US" w:eastAsia="zh-CN"/>
              </w:rPr>
              <w:t>mg/m</w:t>
            </w:r>
            <w:r>
              <w:rPr>
                <w:rFonts w:hint="eastAsia" w:eastAsia="宋体" w:cs="Times New Roman"/>
                <w:color w:val="auto"/>
                <w:sz w:val="24"/>
                <w:szCs w:val="24"/>
                <w:highlight w:val="none"/>
                <w:shd w:val="clear" w:color="auto" w:fill="auto"/>
                <w:vertAlign w:val="superscript"/>
                <w:lang w:val="en-US" w:eastAsia="zh-CN"/>
              </w:rPr>
              <w:t>3</w:t>
            </w:r>
            <w:r>
              <w:rPr>
                <w:rFonts w:hint="eastAsia" w:eastAsia="宋体" w:cs="Times New Roman"/>
                <w:color w:val="auto"/>
                <w:sz w:val="24"/>
                <w:szCs w:val="24"/>
                <w:highlight w:val="none"/>
                <w:shd w:val="clear" w:color="auto" w:fill="auto"/>
                <w:lang w:val="en-US" w:eastAsia="zh-CN"/>
              </w:rPr>
              <w:t>，</w:t>
            </w:r>
            <w:r>
              <w:rPr>
                <w:rFonts w:hint="eastAsia" w:cs="Times New Roman"/>
                <w:color w:val="auto"/>
                <w:sz w:val="24"/>
                <w:szCs w:val="24"/>
                <w:highlight w:val="none"/>
                <w:shd w:val="clear" w:color="auto" w:fill="auto"/>
                <w:lang w:val="en-US" w:eastAsia="zh-CN"/>
              </w:rPr>
              <w:t>排放浓度为1.2</w:t>
            </w:r>
            <w:r>
              <w:rPr>
                <w:rFonts w:hint="eastAsia" w:eastAsia="宋体" w:cs="Times New Roman"/>
                <w:color w:val="auto"/>
                <w:sz w:val="24"/>
                <w:szCs w:val="24"/>
                <w:highlight w:val="none"/>
                <w:shd w:val="clear" w:color="auto" w:fill="auto"/>
                <w:lang w:val="en-US" w:eastAsia="zh-CN"/>
              </w:rPr>
              <w:t>mg/m</w:t>
            </w:r>
            <w:r>
              <w:rPr>
                <w:rFonts w:hint="eastAsia" w:eastAsia="宋体" w:cs="Times New Roman"/>
                <w:color w:val="auto"/>
                <w:sz w:val="24"/>
                <w:szCs w:val="24"/>
                <w:highlight w:val="none"/>
                <w:shd w:val="clear" w:color="auto" w:fill="auto"/>
                <w:vertAlign w:val="superscript"/>
                <w:lang w:val="en-US" w:eastAsia="zh-CN"/>
              </w:rPr>
              <w:t>3</w:t>
            </w:r>
            <w:r>
              <w:rPr>
                <w:rFonts w:hint="eastAsia" w:eastAsia="宋体" w:cs="Times New Roman"/>
                <w:color w:val="auto"/>
                <w:sz w:val="24"/>
                <w:szCs w:val="24"/>
                <w:highlight w:val="none"/>
                <w:shd w:val="clear" w:color="auto" w:fill="auto"/>
                <w:lang w:val="en-US" w:eastAsia="zh-CN"/>
              </w:rPr>
              <w:t>，活性炭吸附装置活性炭装填量为</w:t>
            </w:r>
            <w:r>
              <w:rPr>
                <w:rFonts w:hint="eastAsia" w:cs="Times New Roman"/>
                <w:color w:val="auto"/>
                <w:sz w:val="24"/>
                <w:szCs w:val="24"/>
                <w:highlight w:val="none"/>
                <w:shd w:val="clear" w:color="auto" w:fill="auto"/>
                <w:lang w:val="en-US" w:eastAsia="zh-CN"/>
              </w:rPr>
              <w:t>0.5143t</w:t>
            </w:r>
            <w:r>
              <w:rPr>
                <w:rFonts w:hint="default" w:cs="Times New Roman"/>
                <w:color w:val="auto"/>
                <w:sz w:val="24"/>
                <w:szCs w:val="24"/>
                <w:highlight w:val="none"/>
                <w:shd w:val="clear" w:color="auto" w:fill="auto"/>
                <w:lang w:eastAsia="zh-CN"/>
              </w:rPr>
              <w:t>。</w:t>
            </w:r>
          </w:p>
          <w:p w14:paraId="6A624E6F">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根据安阳市生态环境局文件《安阳市生态环境局关于规范挥发性有机物活性炭吸附处理设施建设和运行管理的通知》（安环文〔2022〕130号），活性炭</w:t>
            </w:r>
            <w:r>
              <w:rPr>
                <w:rFonts w:hint="eastAsia" w:eastAsia="Times New Roman" w:cs="Times New Roman"/>
                <w:color w:val="000000" w:themeColor="text1"/>
                <w:sz w:val="24"/>
                <w:szCs w:val="24"/>
                <w:highlight w:val="none"/>
                <w:lang w:val="en-US" w:eastAsia="zh-CN"/>
                <w14:textFill>
                  <w14:solidFill>
                    <w14:schemeClr w14:val="tx1"/>
                  </w14:solidFill>
                </w14:textFill>
              </w:rPr>
              <w:t>脱附</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周期计算如下：</w:t>
            </w:r>
          </w:p>
          <w:p w14:paraId="2A6A28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T=m×s÷（c×10</w:t>
            </w:r>
            <w:r>
              <w:rPr>
                <w:rFonts w:hint="default" w:ascii="Times New Roman" w:hAnsi="Times New Roman" w:eastAsia="宋体" w:cs="Times New Roman"/>
                <w:b w:val="0"/>
                <w:bCs w:val="0"/>
                <w:color w:val="000000" w:themeColor="text1"/>
                <w:sz w:val="24"/>
                <w:szCs w:val="24"/>
                <w:highlight w:val="none"/>
                <w:u w:val="none" w:color="auto"/>
                <w:vertAlign w:val="superscript"/>
                <w:lang w:val="en-US" w:eastAsia="zh-CN"/>
                <w14:textFill>
                  <w14:solidFill>
                    <w14:schemeClr w14:val="tx1"/>
                  </w14:solidFill>
                </w14:textFill>
              </w:rPr>
              <w:t>-6</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×Q×t）</w:t>
            </w:r>
          </w:p>
          <w:p w14:paraId="538EBF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式中：</w:t>
            </w:r>
          </w:p>
          <w:p w14:paraId="2C4D80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T—</w:t>
            </w:r>
            <w:r>
              <w:rPr>
                <w:rFonts w:hint="eastAsia" w:cs="Times New Roman"/>
                <w:b w:val="0"/>
                <w:bCs w:val="0"/>
                <w:color w:val="000000" w:themeColor="text1"/>
                <w:sz w:val="24"/>
                <w:szCs w:val="24"/>
                <w:highlight w:val="none"/>
                <w:u w:val="none" w:color="auto"/>
                <w:lang w:val="en-US" w:eastAsia="zh-CN"/>
                <w14:textFill>
                  <w14:solidFill>
                    <w14:schemeClr w14:val="tx1"/>
                  </w14:solidFill>
                </w14:textFill>
              </w:rPr>
              <w:t>脱附</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周期，天；</w:t>
            </w:r>
          </w:p>
          <w:p w14:paraId="5EA9E6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m—活性炭的用量，kg，按</w:t>
            </w:r>
            <w:r>
              <w:rPr>
                <w:rFonts w:hint="eastAsia" w:cs="Times New Roman"/>
                <w:b w:val="0"/>
                <w:bCs w:val="0"/>
                <w:color w:val="000000" w:themeColor="text1"/>
                <w:sz w:val="24"/>
                <w:szCs w:val="24"/>
                <w:highlight w:val="none"/>
                <w:u w:val="none" w:color="auto"/>
                <w:lang w:val="en-US" w:eastAsia="zh-CN"/>
                <w14:textFill>
                  <w14:solidFill>
                    <w14:schemeClr w14:val="tx1"/>
                  </w14:solidFill>
                </w14:textFill>
              </w:rPr>
              <w:t>514.3kg</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计算；</w:t>
            </w:r>
          </w:p>
          <w:p w14:paraId="18CE11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s—动态吸附量，%；（一般取值15%）</w:t>
            </w:r>
          </w:p>
          <w:p w14:paraId="0C2DE3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c—活性炭削减的VOCs浓度，mg/m</w:t>
            </w:r>
            <w:r>
              <w:rPr>
                <w:rFonts w:hint="default" w:ascii="Times New Roman" w:hAnsi="Times New Roman" w:eastAsia="宋体" w:cs="Times New Roman"/>
                <w:b w:val="0"/>
                <w:bCs w:val="0"/>
                <w:color w:val="000000" w:themeColor="text1"/>
                <w:sz w:val="24"/>
                <w:szCs w:val="24"/>
                <w:highlight w:val="none"/>
                <w:u w:val="none" w:color="auto"/>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，根据废气源强，活性炭吸附装置VOCs（以非甲烷总烃计）削减浓度为</w:t>
            </w:r>
            <w:bookmarkStart w:id="29" w:name="OLE_LINK45"/>
            <w:r>
              <w:rPr>
                <w:rFonts w:hint="eastAsia" w:cs="Times New Roman"/>
                <w:b w:val="0"/>
                <w:bCs w:val="0"/>
                <w:color w:val="000000" w:themeColor="text1"/>
                <w:sz w:val="24"/>
                <w:szCs w:val="24"/>
                <w:highlight w:val="none"/>
                <w:u w:val="none" w:color="auto"/>
                <w:lang w:val="en-US" w:eastAsia="zh-CN"/>
                <w14:textFill>
                  <w14:solidFill>
                    <w14:schemeClr w14:val="tx1"/>
                  </w14:solidFill>
                </w14:textFill>
              </w:rPr>
              <w:t>18.9</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mg/m</w:t>
            </w:r>
            <w:r>
              <w:rPr>
                <w:rFonts w:hint="default" w:ascii="Times New Roman" w:hAnsi="Times New Roman" w:eastAsia="宋体" w:cs="Times New Roman"/>
                <w:b w:val="0"/>
                <w:bCs w:val="0"/>
                <w:color w:val="000000" w:themeColor="text1"/>
                <w:sz w:val="24"/>
                <w:szCs w:val="24"/>
                <w:highlight w:val="none"/>
                <w:u w:val="none" w:color="auto"/>
                <w:vertAlign w:val="superscript"/>
                <w:lang w:val="en-US" w:eastAsia="zh-CN"/>
                <w14:textFill>
                  <w14:solidFill>
                    <w14:schemeClr w14:val="tx1"/>
                  </w14:solidFill>
                </w14:textFill>
              </w:rPr>
              <w:t>3</w:t>
            </w:r>
            <w:bookmarkEnd w:id="29"/>
            <w:r>
              <w:rPr>
                <w:rFonts w:hint="eastAsia"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w:t>
            </w:r>
          </w:p>
          <w:p w14:paraId="4797A3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Q—风量，单位m</w:t>
            </w:r>
            <w:r>
              <w:rPr>
                <w:rFonts w:hint="default" w:ascii="Times New Roman" w:hAnsi="Times New Roman" w:eastAsia="宋体" w:cs="Times New Roman"/>
                <w:b w:val="0"/>
                <w:bCs w:val="0"/>
                <w:color w:val="000000" w:themeColor="text1"/>
                <w:sz w:val="24"/>
                <w:szCs w:val="24"/>
                <w:highlight w:val="none"/>
                <w:u w:val="none" w:color="auto"/>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/h；</w:t>
            </w:r>
          </w:p>
          <w:p w14:paraId="134632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t—运行时间，单位h/d，项目取值</w:t>
            </w:r>
            <w:r>
              <w:rPr>
                <w:rFonts w:hint="eastAsia" w:cs="Times New Roman"/>
                <w:b w:val="0"/>
                <w:bCs w:val="0"/>
                <w:color w:val="000000" w:themeColor="text1"/>
                <w:sz w:val="24"/>
                <w:szCs w:val="24"/>
                <w:highlight w:val="none"/>
                <w:u w:val="none" w:color="auto"/>
                <w:lang w:val="en-US" w:eastAsia="zh-CN"/>
                <w14:textFill>
                  <w14:solidFill>
                    <w14:schemeClr w14:val="tx1"/>
                  </w14:solidFill>
                </w14:textFill>
              </w:rPr>
              <w:t>16</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h/d。</w:t>
            </w:r>
          </w:p>
          <w:p w14:paraId="4FDC0B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outlineLvl w:val="9"/>
              <w:rPr>
                <w:rFonts w:hint="eastAsia" w:cs="Times New Roman"/>
                <w:b w:val="0"/>
                <w:bCs w:val="0"/>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经计算，活性炭吸附装置</w:t>
            </w:r>
            <w:r>
              <w:rPr>
                <w:rFonts w:hint="eastAsia" w:cs="Times New Roman"/>
                <w:b w:val="0"/>
                <w:bCs w:val="0"/>
                <w:color w:val="000000" w:themeColor="text1"/>
                <w:sz w:val="24"/>
                <w:szCs w:val="24"/>
                <w:highlight w:val="none"/>
                <w:u w:val="none" w:color="auto"/>
                <w:lang w:val="en-US" w:eastAsia="zh-CN"/>
                <w14:textFill>
                  <w14:solidFill>
                    <w14:schemeClr w14:val="tx1"/>
                  </w14:solidFill>
                </w14:textFill>
              </w:rPr>
              <w:t>脱附</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周期约为</w:t>
            </w:r>
            <w:r>
              <w:rPr>
                <w:rFonts w:hint="eastAsia" w:cs="Times New Roman"/>
                <w:b w:val="0"/>
                <w:bCs w:val="0"/>
                <w:color w:val="000000" w:themeColor="text1"/>
                <w:sz w:val="24"/>
                <w:szCs w:val="24"/>
                <w:highlight w:val="none"/>
                <w:u w:val="none" w:color="auto"/>
                <w:lang w:val="en-US" w:eastAsia="zh-CN"/>
                <w14:textFill>
                  <w14:solidFill>
                    <w14:schemeClr w14:val="tx1"/>
                  </w14:solidFill>
                </w14:textFill>
              </w:rPr>
              <w:t>42.5</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天</w:t>
            </w:r>
            <w:r>
              <w:rPr>
                <w:rFonts w:hint="eastAsia" w:cs="Times New Roman"/>
                <w:b w:val="0"/>
                <w:bCs w:val="0"/>
                <w:color w:val="000000" w:themeColor="text1"/>
                <w:sz w:val="24"/>
                <w:szCs w:val="24"/>
                <w:highlight w:val="none"/>
                <w:u w:val="none" w:color="auto"/>
                <w:lang w:val="en-US" w:eastAsia="zh-CN"/>
                <w14:textFill>
                  <w14:solidFill>
                    <w14:schemeClr w14:val="tx1"/>
                  </w14:solidFill>
                </w14:textFill>
              </w:rPr>
              <w:t>。</w:t>
            </w:r>
          </w:p>
          <w:p w14:paraId="590D77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outlineLvl w:val="9"/>
              <w:rPr>
                <w:rFonts w:hint="default" w:ascii="Times New Roman" w:hAnsi="Times New Roman" w:eastAsia="宋体" w:cs="Times New Roman"/>
                <w:b/>
                <w:bCs/>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u w:val="none" w:color="auto"/>
                <w:lang w:val="en-US" w:eastAsia="zh-CN"/>
                <w14:textFill>
                  <w14:solidFill>
                    <w14:schemeClr w14:val="tx1"/>
                  </w14:solidFill>
                </w14:textFill>
              </w:rPr>
              <w:t>更换周期</w:t>
            </w:r>
            <w:r>
              <w:rPr>
                <w:rFonts w:hint="eastAsia" w:cs="Times New Roman"/>
                <w:b/>
                <w:bCs/>
                <w:color w:val="000000" w:themeColor="text1"/>
                <w:sz w:val="24"/>
                <w:szCs w:val="24"/>
                <w:highlight w:val="none"/>
                <w:u w:val="none" w:color="auto"/>
                <w:lang w:val="en-US" w:eastAsia="zh-CN"/>
                <w14:textFill>
                  <w14:solidFill>
                    <w14:schemeClr w14:val="tx1"/>
                  </w14:solidFill>
                </w14:textFill>
              </w:rPr>
              <w:t>：</w:t>
            </w:r>
          </w:p>
          <w:p w14:paraId="3A4AA3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outlineLvl w:val="9"/>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pPr>
            <w:r>
              <w:rPr>
                <w:rFonts w:hint="eastAsia" w:cs="Times New Roman"/>
                <w:b w:val="0"/>
                <w:bCs w:val="0"/>
                <w:color w:val="000000" w:themeColor="text1"/>
                <w:sz w:val="24"/>
                <w:szCs w:val="24"/>
                <w:highlight w:val="none"/>
                <w:u w:val="none" w:color="auto"/>
                <w:lang w:val="en-US" w:eastAsia="zh-CN"/>
                <w14:textFill>
                  <w14:solidFill>
                    <w14:schemeClr w14:val="tx1"/>
                  </w14:solidFill>
                </w14:textFill>
              </w:rPr>
              <w:t>参考《安阳市生态环境局关于加快低效挥发性有机物治理设施淘汰整治的通知》，“原则上活性炭更换周期一般不应超过累计运行500小时或3个月”。本次项目活性炭按照3个月更换一次，活性炭吸附的</w:t>
            </w:r>
            <w:r>
              <w:rPr>
                <w:rFonts w:hint="default" w:ascii="Times New Roman" w:hAnsi="Times New Roman" w:eastAsia="Times New Roman" w:cs="Times New Roman"/>
                <w:bCs/>
                <w:color w:val="000000" w:themeColor="text1"/>
                <w:spacing w:val="6"/>
                <w:sz w:val="24"/>
                <w:highlight w:val="none"/>
                <w:lang w:val="en-US" w:eastAsia="zh-CN"/>
                <w14:textFill>
                  <w14:solidFill>
                    <w14:schemeClr w14:val="tx1"/>
                  </w14:solidFill>
                </w14:textFill>
              </w:rPr>
              <w:t>VOCs</w:t>
            </w:r>
            <w:r>
              <w:rPr>
                <w:rFonts w:hint="eastAsia" w:ascii="Times New Roman" w:hAnsi="Times New Roman" w:eastAsia="Times New Roman" w:cs="Times New Roman"/>
                <w:bCs/>
                <w:color w:val="000000" w:themeColor="text1"/>
                <w:spacing w:val="6"/>
                <w:sz w:val="24"/>
                <w:highlight w:val="none"/>
                <w:lang w:val="en-US" w:eastAsia="zh-CN"/>
                <w14:textFill>
                  <w14:solidFill>
                    <w14:schemeClr w14:val="tx1"/>
                  </w14:solidFill>
                </w14:textFill>
              </w:rPr>
              <w:t>经催化燃烧处理，残留量很少，则</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有机废气治理过程产生的废活性炭更换量约</w:t>
            </w:r>
            <w:r>
              <w:rPr>
                <w:rFonts w:hint="eastAsia" w:cs="Times New Roman"/>
                <w:b w:val="0"/>
                <w:bCs w:val="0"/>
                <w:color w:val="000000" w:themeColor="text1"/>
                <w:sz w:val="24"/>
                <w:szCs w:val="24"/>
                <w:highlight w:val="none"/>
                <w:u w:val="none" w:color="auto"/>
                <w:lang w:val="en-US" w:eastAsia="zh-CN"/>
                <w14:textFill>
                  <w14:solidFill>
                    <w14:schemeClr w14:val="tx1"/>
                  </w14:solidFill>
                </w14:textFill>
              </w:rPr>
              <w:t>2.0572</w:t>
            </w: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t/a。</w:t>
            </w:r>
          </w:p>
          <w:p w14:paraId="4C147C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outlineLvl w:val="9"/>
              <w:rPr>
                <w:rFonts w:hint="default" w:ascii="Times New Roman" w:hAnsi="Times New Roman" w:eastAsia="宋体" w:cs="Times New Roman"/>
                <w:b/>
                <w:bCs/>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none" w:color="auto"/>
                <w:lang w:val="en-US" w:eastAsia="zh-CN"/>
                <w14:textFill>
                  <w14:solidFill>
                    <w14:schemeClr w14:val="tx1"/>
                  </w14:solidFill>
                </w14:textFill>
              </w:rPr>
              <w:t>环评要求企业有机废气处理时采用的活性炭碘值不低于800毫克/克，并按设计要求足量添加、及时更换。</w:t>
            </w:r>
          </w:p>
          <w:p w14:paraId="13D548E9">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kern w:val="0"/>
                <w:sz w:val="24"/>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4"/>
                <w:szCs w:val="24"/>
                <w:highlight w:val="none"/>
                <w14:textFill>
                  <w14:solidFill>
                    <w14:schemeClr w14:val="tx1"/>
                  </w14:solidFill>
                </w14:textFill>
              </w:rPr>
              <w:t>废活性炭</w:t>
            </w:r>
            <w:r>
              <w:rPr>
                <w:rFonts w:hint="default" w:ascii="Times New Roman" w:hAnsi="Times New Roman" w:eastAsia="Times New Roman" w:cs="Times New Roman"/>
                <w:color w:val="000000" w:themeColor="text1"/>
                <w:sz w:val="24"/>
                <w:szCs w:val="24"/>
                <w:highlight w:val="none"/>
                <w:lang w:val="en-US" w:eastAsia="zh-CN"/>
                <w14:textFill>
                  <w14:solidFill>
                    <w14:schemeClr w14:val="tx1"/>
                  </w14:solidFill>
                </w14:textFill>
              </w:rPr>
              <w:t>属于</w:t>
            </w:r>
            <w:r>
              <w:rPr>
                <w:rFonts w:hint="default" w:ascii="Times New Roman" w:hAnsi="Times New Roman" w:eastAsia="Times New Roman" w:cs="Times New Roman"/>
                <w:bCs/>
                <w:color w:val="000000" w:themeColor="text1"/>
                <w:spacing w:val="6"/>
                <w:sz w:val="24"/>
                <w:highlight w:val="none"/>
                <w14:textFill>
                  <w14:solidFill>
                    <w14:schemeClr w14:val="tx1"/>
                  </w14:solidFill>
                </w14:textFill>
              </w:rPr>
              <w:t>HW</w:t>
            </w:r>
            <w:r>
              <w:rPr>
                <w:rFonts w:hint="default" w:ascii="Times New Roman" w:hAnsi="Times New Roman" w:eastAsia="Times New Roman" w:cs="Times New Roman"/>
                <w:bCs/>
                <w:color w:val="000000" w:themeColor="text1"/>
                <w:spacing w:val="6"/>
                <w:sz w:val="24"/>
                <w:highlight w:val="none"/>
                <w:lang w:val="en-US" w:eastAsia="zh-CN"/>
                <w14:textFill>
                  <w14:solidFill>
                    <w14:schemeClr w14:val="tx1"/>
                  </w14:solidFill>
                </w14:textFill>
              </w:rPr>
              <w:t>49其他废物，废物代码：900-039-49“烟气、VOCs治理过程（不包括餐饮行业油烟治理过程）产生的废活性炭，化学原料和化学制品脱色（不包括有机合成食品添加剂脱色）、除杂、净化过程产生的废活性炭（不包括900-405-06、772-005-18、261-053-29、265-002-29、384-003-29、387-001-29类废物）”</w:t>
            </w:r>
            <w:r>
              <w:rPr>
                <w:rFonts w:hint="default" w:ascii="Times New Roman" w:hAnsi="Times New Roman" w:eastAsia="Times New Roman" w:cs="Times New Roman"/>
                <w:bCs/>
                <w:color w:val="000000" w:themeColor="text1"/>
                <w:spacing w:val="6"/>
                <w:sz w:val="24"/>
                <w:highlight w:val="none"/>
                <w14:textFill>
                  <w14:solidFill>
                    <w14:schemeClr w14:val="tx1"/>
                  </w14:solidFill>
                </w14:textFill>
              </w:rPr>
              <w:t>。</w:t>
            </w:r>
          </w:p>
          <w:p w14:paraId="5682BCC3">
            <w:pPr>
              <w:keepNext w:val="0"/>
              <w:keepLines w:val="0"/>
              <w:pageBreakBefore w:val="0"/>
              <w:suppressLineNumbers w:val="0"/>
              <w:kinsoku/>
              <w:wordWrap/>
              <w:topLinePunct w:val="0"/>
              <w:bidi w:val="0"/>
              <w:adjustRightInd w:val="0"/>
              <w:snapToGrid w:val="0"/>
              <w:spacing w:before="0" w:beforeAutospacing="0" w:after="0" w:afterAutospacing="0" w:line="348" w:lineRule="auto"/>
              <w:ind w:left="0" w:right="0" w:firstLine="480" w:firstLineChars="200"/>
              <w:rPr>
                <w:rFonts w:hint="default" w:ascii="Times New Roman" w:hAnsi="Times New Roman" w:eastAsia="Times New Roman" w:cs="Times New Roman"/>
                <w:b/>
                <w:bCs w:val="0"/>
                <w:color w:val="000000" w:themeColor="text1"/>
                <w:sz w:val="24"/>
                <w:szCs w:val="24"/>
                <w:highlight w:val="none"/>
                <w:lang w:val="en-US" w:eastAsia="zh-CN"/>
                <w14:textFill>
                  <w14:solidFill>
                    <w14:schemeClr w14:val="tx1"/>
                  </w14:solidFill>
                </w14:textFill>
              </w:rPr>
            </w:pPr>
            <w:r>
              <w:rPr>
                <w:rFonts w:hint="eastAsia" w:eastAsia="Times New Roman" w:cs="Times New Roman"/>
                <w:b/>
                <w:bCs w:val="0"/>
                <w:color w:val="000000" w:themeColor="text1"/>
                <w:sz w:val="24"/>
                <w:szCs w:val="24"/>
                <w:highlight w:val="none"/>
                <w:lang w:val="en-US" w:eastAsia="zh-CN"/>
                <w14:textFill>
                  <w14:solidFill>
                    <w14:schemeClr w14:val="tx1"/>
                  </w14:solidFill>
                </w14:textFill>
              </w:rPr>
              <w:t>（3）</w:t>
            </w:r>
            <w:r>
              <w:rPr>
                <w:rFonts w:hint="default" w:ascii="Times New Roman" w:hAnsi="Times New Roman" w:eastAsia="Times New Roman" w:cs="Times New Roman"/>
                <w:b/>
                <w:bCs w:val="0"/>
                <w:color w:val="000000" w:themeColor="text1"/>
                <w:sz w:val="24"/>
                <w:szCs w:val="24"/>
                <w:highlight w:val="none"/>
                <w:lang w:val="en-US" w:eastAsia="zh-CN"/>
                <w14:textFill>
                  <w14:solidFill>
                    <w14:schemeClr w14:val="tx1"/>
                  </w14:solidFill>
                </w14:textFill>
              </w:rPr>
              <w:t>废催化剂</w:t>
            </w:r>
          </w:p>
          <w:p w14:paraId="2B3D6628">
            <w:pPr>
              <w:keepNext w:val="0"/>
              <w:keepLines w:val="0"/>
              <w:pageBreakBefore w:val="0"/>
              <w:suppressLineNumbers w:val="0"/>
              <w:tabs>
                <w:tab w:val="left" w:pos="2310"/>
              </w:tabs>
              <w:kinsoku/>
              <w:wordWrap/>
              <w:topLinePunct w:val="0"/>
              <w:bidi w:val="0"/>
              <w:adjustRightInd w:val="0"/>
              <w:snapToGrid w:val="0"/>
              <w:spacing w:before="0" w:beforeAutospacing="0" w:after="0" w:afterAutospacing="0" w:line="348" w:lineRule="auto"/>
              <w:ind w:left="0" w:right="0" w:firstLine="480" w:firstLineChars="200"/>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本项目</w:t>
            </w:r>
            <w:r>
              <w:rPr>
                <w:rFonts w:hint="eastAsia" w:eastAsia="Times New Roman" w:cs="Times New Roman"/>
                <w:bCs/>
                <w:color w:val="000000" w:themeColor="text1"/>
                <w:sz w:val="24"/>
                <w:szCs w:val="24"/>
                <w:highlight w:val="none"/>
                <w:lang w:val="en-US" w:eastAsia="zh-CN"/>
                <w14:textFill>
                  <w14:solidFill>
                    <w14:schemeClr w14:val="tx1"/>
                  </w14:solidFill>
                </w14:textFill>
              </w:rPr>
              <w:t>使用铂钯</w:t>
            </w: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催化剂，使用量为</w:t>
            </w:r>
            <w:r>
              <w:rPr>
                <w:rFonts w:hint="eastAsia" w:eastAsia="Times New Roman" w:cs="Times New Roman"/>
                <w:bCs/>
                <w:color w:val="000000" w:themeColor="text1"/>
                <w:sz w:val="24"/>
                <w:szCs w:val="24"/>
                <w:highlight w:val="none"/>
                <w:lang w:val="en-US" w:eastAsia="zh-CN"/>
                <w14:textFill>
                  <w14:solidFill>
                    <w14:schemeClr w14:val="tx1"/>
                  </w14:solidFill>
                </w14:textFill>
              </w:rPr>
              <w:t>0.04</w:t>
            </w: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t/a，催化剂使用寿命约2年，则平均每年废催化剂的产生量为</w:t>
            </w:r>
            <w:r>
              <w:rPr>
                <w:rFonts w:hint="eastAsia" w:eastAsia="Times New Roman" w:cs="Times New Roman"/>
                <w:bCs/>
                <w:color w:val="000000" w:themeColor="text1"/>
                <w:sz w:val="24"/>
                <w:szCs w:val="24"/>
                <w:highlight w:val="none"/>
                <w:lang w:val="en-US" w:eastAsia="zh-CN"/>
                <w14:textFill>
                  <w14:solidFill>
                    <w14:schemeClr w14:val="tx1"/>
                  </w14:solidFill>
                </w14:textFill>
              </w:rPr>
              <w:t>0.02</w:t>
            </w: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t/a。</w:t>
            </w:r>
            <w:r>
              <w:rPr>
                <w:rFonts w:hint="eastAsia" w:eastAsia="Times New Roman" w:cs="Times New Roman"/>
                <w:bCs/>
                <w:color w:val="000000" w:themeColor="text1"/>
                <w:sz w:val="24"/>
                <w:szCs w:val="24"/>
                <w:highlight w:val="none"/>
                <w:lang w:val="en-US" w:eastAsia="zh-CN"/>
                <w14:textFill>
                  <w14:solidFill>
                    <w14:schemeClr w14:val="tx1"/>
                  </w14:solidFill>
                </w14:textFill>
              </w:rPr>
              <w:t>该催化剂未列入</w:t>
            </w: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《国家危险废物名录》（2025年版），</w:t>
            </w:r>
            <w:r>
              <w:rPr>
                <w:rFonts w:hint="eastAsia" w:eastAsia="Times New Roman" w:cs="Times New Roman"/>
                <w:bCs/>
                <w:color w:val="000000" w:themeColor="text1"/>
                <w:sz w:val="24"/>
                <w:szCs w:val="24"/>
                <w:highlight w:val="none"/>
                <w:lang w:val="en-US" w:eastAsia="zh-CN"/>
                <w14:textFill>
                  <w14:solidFill>
                    <w14:schemeClr w14:val="tx1"/>
                  </w14:solidFill>
                </w14:textFill>
              </w:rPr>
              <w:t>参考安徽省生态环境厅关于CO催化剂（催化燃烧催化剂）是否属于危废的问题的答复，废弃的催化燃烧催化剂（主要活性成分为铂钯）属于危废，危废代码参照HW50 900-049-50。</w:t>
            </w:r>
          </w:p>
          <w:p w14:paraId="59BB2F64">
            <w:pPr>
              <w:keepNext w:val="0"/>
              <w:keepLines w:val="0"/>
              <w:pageBreakBefore w:val="0"/>
              <w:suppressLineNumbers w:val="0"/>
              <w:tabs>
                <w:tab w:val="left" w:pos="2310"/>
              </w:tabs>
              <w:kinsoku/>
              <w:wordWrap/>
              <w:topLinePunct w:val="0"/>
              <w:bidi w:val="0"/>
              <w:adjustRightInd w:val="0"/>
              <w:snapToGrid w:val="0"/>
              <w:spacing w:before="0" w:beforeAutospacing="0" w:after="0" w:afterAutospacing="0" w:line="348" w:lineRule="auto"/>
              <w:ind w:left="0" w:right="0" w:firstLine="480" w:firstLineChars="200"/>
              <w:rPr>
                <w:rFonts w:hint="default" w:ascii="Times New Roman" w:hAnsi="Times New Roman" w:eastAsia="Times New Roman" w:cs="Times New Roman"/>
                <w:bCs/>
                <w:color w:val="000000" w:themeColor="text1"/>
                <w:sz w:val="24"/>
                <w:szCs w:val="24"/>
                <w:highlight w:val="none"/>
                <w14:textFill>
                  <w14:solidFill>
                    <w14:schemeClr w14:val="tx1"/>
                  </w14:solidFill>
                </w14:textFill>
              </w:rPr>
            </w:pP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危险废物经</w:t>
            </w:r>
            <w:r>
              <w:rPr>
                <w:rFonts w:hint="eastAsia" w:eastAsia="Times New Roman" w:cs="Times New Roman"/>
                <w:bCs/>
                <w:color w:val="000000" w:themeColor="text1"/>
                <w:sz w:val="24"/>
                <w:szCs w:val="24"/>
                <w:highlight w:val="none"/>
                <w:lang w:val="en-US" w:eastAsia="zh-CN"/>
                <w14:textFill>
                  <w14:solidFill>
                    <w14:schemeClr w14:val="tx1"/>
                  </w14:solidFill>
                </w14:textFill>
              </w:rPr>
              <w:t>5</w:t>
            </w: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Times New Roman" w:cs="Times New Roman"/>
                <w:bCs/>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eastAsia="Times New Roman" w:cs="Times New Roman"/>
                <w:bCs/>
                <w:color w:val="000000" w:themeColor="text1"/>
                <w:sz w:val="24"/>
                <w:szCs w:val="24"/>
                <w:highlight w:val="none"/>
                <w:lang w:val="en-US" w:eastAsia="zh-CN"/>
                <w14:textFill>
                  <w14:solidFill>
                    <w14:schemeClr w14:val="tx1"/>
                  </w14:solidFill>
                </w14:textFill>
              </w:rPr>
              <w:t>危险废物暂存间暂存后，交由有资质的公司进行处理</w:t>
            </w:r>
            <w:r>
              <w:rPr>
                <w:rFonts w:hint="default" w:ascii="Times New Roman" w:hAnsi="Times New Roman" w:eastAsia="Times New Roman" w:cs="Times New Roman"/>
                <w:bCs/>
                <w:color w:val="000000" w:themeColor="text1"/>
                <w:sz w:val="24"/>
                <w:szCs w:val="24"/>
                <w:highlight w:val="none"/>
                <w14:textFill>
                  <w14:solidFill>
                    <w14:schemeClr w14:val="tx1"/>
                  </w14:solidFill>
                </w14:textFill>
              </w:rPr>
              <w:t>。</w:t>
            </w:r>
          </w:p>
          <w:p w14:paraId="54A7A313">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right="0"/>
              <w:jc w:val="center"/>
              <w:rPr>
                <w:rFonts w:hint="default" w:ascii="Times New Roman" w:hAnsi="Times New Roman" w:eastAsia="Times New Roman" w:cs="Times New Roman"/>
                <w:b/>
                <w:bCs/>
                <w:color w:val="000000" w:themeColor="text1"/>
                <w:spacing w:val="6"/>
                <w:sz w:val="24"/>
                <w:szCs w:val="21"/>
                <w:highlight w:val="none"/>
                <w14:textFill>
                  <w14:solidFill>
                    <w14:schemeClr w14:val="tx1"/>
                  </w14:solidFill>
                </w14:textFill>
              </w:rPr>
            </w:pPr>
            <w:r>
              <w:rPr>
                <w:rFonts w:hint="default" w:ascii="Times New Roman" w:hAnsi="Times New Roman" w:eastAsia="Times New Roman" w:cs="Times New Roman"/>
                <w:b/>
                <w:bCs/>
                <w:color w:val="000000" w:themeColor="text1"/>
                <w:spacing w:val="6"/>
                <w:sz w:val="24"/>
                <w:highlight w:val="none"/>
                <w14:textFill>
                  <w14:solidFill>
                    <w14:schemeClr w14:val="tx1"/>
                  </w14:solidFill>
                </w14:textFill>
              </w:rPr>
              <w:t>危险废物汇总表</w:t>
            </w:r>
          </w:p>
          <w:tbl>
            <w:tblPr>
              <w:tblStyle w:val="29"/>
              <w:tblW w:w="4996"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1254"/>
              <w:gridCol w:w="1548"/>
              <w:gridCol w:w="1286"/>
              <w:gridCol w:w="1093"/>
              <w:gridCol w:w="586"/>
              <w:gridCol w:w="792"/>
              <w:gridCol w:w="792"/>
            </w:tblGrid>
            <w:tr w14:paraId="089560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605" w:type="pct"/>
                  <w:tcBorders>
                    <w:tl2br w:val="nil"/>
                    <w:tr2bl w:val="nil"/>
                  </w:tcBorders>
                  <w:noWrap w:val="0"/>
                  <w:vAlign w:val="center"/>
                </w:tcPr>
                <w:p w14:paraId="1A4507B9">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t>危险废物名称</w:t>
                  </w:r>
                </w:p>
              </w:tc>
              <w:tc>
                <w:tcPr>
                  <w:tcW w:w="749" w:type="pct"/>
                  <w:tcBorders>
                    <w:tl2br w:val="nil"/>
                    <w:tr2bl w:val="nil"/>
                  </w:tcBorders>
                  <w:noWrap w:val="0"/>
                  <w:vAlign w:val="center"/>
                </w:tcPr>
                <w:p w14:paraId="037C0C3B">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t>危险废物类别</w:t>
                  </w:r>
                </w:p>
              </w:tc>
              <w:tc>
                <w:tcPr>
                  <w:tcW w:w="925" w:type="pct"/>
                  <w:tcBorders>
                    <w:tl2br w:val="nil"/>
                    <w:tr2bl w:val="nil"/>
                  </w:tcBorders>
                  <w:noWrap w:val="0"/>
                  <w:vAlign w:val="center"/>
                </w:tcPr>
                <w:p w14:paraId="6DEF546C">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t>危险废物代码</w:t>
                  </w:r>
                </w:p>
              </w:tc>
              <w:tc>
                <w:tcPr>
                  <w:tcW w:w="768" w:type="pct"/>
                  <w:tcBorders>
                    <w:tl2br w:val="nil"/>
                    <w:tr2bl w:val="nil"/>
                  </w:tcBorders>
                  <w:noWrap w:val="0"/>
                  <w:vAlign w:val="center"/>
                </w:tcPr>
                <w:p w14:paraId="7143A35D">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t>产生量</w:t>
                  </w:r>
                </w:p>
              </w:tc>
              <w:tc>
                <w:tcPr>
                  <w:tcW w:w="653" w:type="pct"/>
                  <w:tcBorders>
                    <w:tl2br w:val="nil"/>
                    <w:tr2bl w:val="nil"/>
                  </w:tcBorders>
                  <w:noWrap w:val="0"/>
                  <w:vAlign w:val="center"/>
                </w:tcPr>
                <w:p w14:paraId="7B397DE6">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t>产生工序及装置</w:t>
                  </w:r>
                </w:p>
              </w:tc>
              <w:tc>
                <w:tcPr>
                  <w:tcW w:w="350" w:type="pct"/>
                  <w:tcBorders>
                    <w:tl2br w:val="nil"/>
                    <w:tr2bl w:val="nil"/>
                  </w:tcBorders>
                  <w:noWrap w:val="0"/>
                  <w:vAlign w:val="center"/>
                </w:tcPr>
                <w:p w14:paraId="79E8490E">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t>形态</w:t>
                  </w:r>
                </w:p>
              </w:tc>
              <w:tc>
                <w:tcPr>
                  <w:tcW w:w="473" w:type="pct"/>
                  <w:tcBorders>
                    <w:tl2br w:val="nil"/>
                    <w:tr2bl w:val="nil"/>
                  </w:tcBorders>
                  <w:noWrap w:val="0"/>
                  <w:vAlign w:val="center"/>
                </w:tcPr>
                <w:p w14:paraId="40092DB1">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t>有害成分</w:t>
                  </w:r>
                </w:p>
              </w:tc>
              <w:tc>
                <w:tcPr>
                  <w:tcW w:w="473" w:type="pct"/>
                  <w:tcBorders>
                    <w:tl2br w:val="nil"/>
                    <w:tr2bl w:val="nil"/>
                  </w:tcBorders>
                  <w:noWrap w:val="0"/>
                  <w:vAlign w:val="center"/>
                </w:tcPr>
                <w:p w14:paraId="40B98963">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t>危险特性</w:t>
                  </w:r>
                </w:p>
              </w:tc>
            </w:tr>
            <w:tr w14:paraId="4CD3A6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605" w:type="pct"/>
                  <w:tcBorders>
                    <w:tl2br w:val="nil"/>
                    <w:tr2bl w:val="nil"/>
                  </w:tcBorders>
                  <w:noWrap w:val="0"/>
                  <w:vAlign w:val="center"/>
                </w:tcPr>
                <w:p w14:paraId="52511EDD">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Times New Roman" w:cs="Times New Roman"/>
                      <w:b w:val="0"/>
                      <w:bCs w:val="0"/>
                      <w:color w:val="000000" w:themeColor="text1"/>
                      <w:sz w:val="21"/>
                      <w:szCs w:val="21"/>
                      <w:highlight w:val="none"/>
                      <w14:textFill>
                        <w14:solidFill>
                          <w14:schemeClr w14:val="tx1"/>
                        </w14:solidFill>
                      </w14:textFill>
                    </w:rPr>
                    <w:t>废润滑油桶</w:t>
                  </w:r>
                </w:p>
              </w:tc>
              <w:tc>
                <w:tcPr>
                  <w:tcW w:w="749" w:type="pct"/>
                  <w:tcBorders>
                    <w:tl2br w:val="nil"/>
                    <w:tr2bl w:val="nil"/>
                  </w:tcBorders>
                  <w:noWrap w:val="0"/>
                  <w:vAlign w:val="center"/>
                </w:tcPr>
                <w:p w14:paraId="58881E8F">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14:textFill>
                        <w14:solidFill>
                          <w14:schemeClr w14:val="tx1"/>
                        </w14:solidFill>
                      </w14:textFill>
                    </w:rPr>
                    <w:t>HW</w:t>
                  </w:r>
                  <w:r>
                    <w:rPr>
                      <w:rFonts w:hint="default" w:ascii="Times New Roman" w:hAnsi="Times New Roman" w:eastAsia="Times New Roman" w:cs="Times New Roman"/>
                      <w:bCs/>
                      <w:color w:val="000000" w:themeColor="text1"/>
                      <w:sz w:val="21"/>
                      <w:szCs w:val="21"/>
                      <w:highlight w:val="none"/>
                      <w:lang w:val="en-US" w:eastAsia="zh-CN"/>
                      <w14:textFill>
                        <w14:solidFill>
                          <w14:schemeClr w14:val="tx1"/>
                        </w14:solidFill>
                      </w14:textFill>
                    </w:rPr>
                    <w:t>08</w:t>
                  </w:r>
                </w:p>
              </w:tc>
              <w:tc>
                <w:tcPr>
                  <w:tcW w:w="925" w:type="pct"/>
                  <w:tcBorders>
                    <w:tl2br w:val="nil"/>
                    <w:tr2bl w:val="nil"/>
                  </w:tcBorders>
                  <w:noWrap w:val="0"/>
                  <w:vAlign w:val="center"/>
                </w:tcPr>
                <w:p w14:paraId="08E98F72">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val="0"/>
                      <w:bCs w:val="0"/>
                      <w:color w:val="000000" w:themeColor="text1"/>
                      <w:sz w:val="21"/>
                      <w:szCs w:val="21"/>
                      <w:highlight w:val="none"/>
                      <w14:textFill>
                        <w14:solidFill>
                          <w14:schemeClr w14:val="tx1"/>
                        </w14:solidFill>
                      </w14:textFill>
                    </w:rPr>
                    <w:t>900-249-08</w:t>
                  </w:r>
                </w:p>
              </w:tc>
              <w:tc>
                <w:tcPr>
                  <w:tcW w:w="768" w:type="pct"/>
                  <w:tcBorders>
                    <w:tl2br w:val="nil"/>
                    <w:tr2bl w:val="nil"/>
                  </w:tcBorders>
                  <w:noWrap w:val="0"/>
                  <w:vAlign w:val="center"/>
                </w:tcPr>
                <w:p w14:paraId="4E09BBE6">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b w:val="0"/>
                      <w:bCs w:val="0"/>
                      <w:color w:val="000000" w:themeColor="text1"/>
                      <w:sz w:val="21"/>
                      <w:szCs w:val="21"/>
                      <w:highlight w:val="none"/>
                      <w:lang w:val="en-US" w:eastAsia="zh-CN"/>
                      <w14:textFill>
                        <w14:solidFill>
                          <w14:schemeClr w14:val="tx1"/>
                        </w14:solidFill>
                      </w14:textFill>
                    </w:rPr>
                    <w:t>0.0</w:t>
                  </w:r>
                  <w:r>
                    <w:rPr>
                      <w:rFonts w:hint="eastAsia" w:eastAsia="Times New Roman" w:cs="Times New Roman"/>
                      <w:b w:val="0"/>
                      <w:bCs w:val="0"/>
                      <w:color w:val="000000" w:themeColor="text1"/>
                      <w:sz w:val="21"/>
                      <w:szCs w:val="21"/>
                      <w:highlight w:val="none"/>
                      <w:lang w:val="en-US" w:eastAsia="zh-CN"/>
                      <w14:textFill>
                        <w14:solidFill>
                          <w14:schemeClr w14:val="tx1"/>
                        </w14:solidFill>
                      </w14:textFill>
                    </w:rPr>
                    <w:t>3</w:t>
                  </w:r>
                  <w:r>
                    <w:rPr>
                      <w:rFonts w:hint="default" w:ascii="Times New Roman" w:hAnsi="Times New Roman" w:eastAsia="Times New Roman" w:cs="Times New Roman"/>
                      <w:b w:val="0"/>
                      <w:bCs w:val="0"/>
                      <w:color w:val="000000" w:themeColor="text1"/>
                      <w:sz w:val="21"/>
                      <w:szCs w:val="21"/>
                      <w:highlight w:val="none"/>
                      <w:lang w:val="en-US" w:eastAsia="zh-CN"/>
                      <w14:textFill>
                        <w14:solidFill>
                          <w14:schemeClr w14:val="tx1"/>
                        </w14:solidFill>
                      </w14:textFill>
                    </w:rPr>
                    <w:t>t/a</w:t>
                  </w:r>
                </w:p>
              </w:tc>
              <w:tc>
                <w:tcPr>
                  <w:tcW w:w="653" w:type="pct"/>
                  <w:tcBorders>
                    <w:tl2br w:val="nil"/>
                    <w:tr2bl w:val="nil"/>
                  </w:tcBorders>
                  <w:noWrap w:val="0"/>
                  <w:vAlign w:val="center"/>
                </w:tcPr>
                <w:p w14:paraId="68AA26E0">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生产设备运行</w:t>
                  </w:r>
                </w:p>
              </w:tc>
              <w:tc>
                <w:tcPr>
                  <w:tcW w:w="350" w:type="pct"/>
                  <w:tcBorders>
                    <w:tl2br w:val="nil"/>
                    <w:tr2bl w:val="nil"/>
                  </w:tcBorders>
                  <w:noWrap w:val="0"/>
                  <w:vAlign w:val="center"/>
                </w:tcPr>
                <w:p w14:paraId="2668E3A8">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b w:val="0"/>
                      <w:bCs w:val="0"/>
                      <w:color w:val="000000" w:themeColor="text1"/>
                      <w:sz w:val="21"/>
                      <w:szCs w:val="21"/>
                      <w:highlight w:val="none"/>
                      <w:lang w:val="en-US" w:eastAsia="zh-CN"/>
                      <w14:textFill>
                        <w14:solidFill>
                          <w14:schemeClr w14:val="tx1"/>
                        </w14:solidFill>
                      </w14:textFill>
                    </w:rPr>
                    <w:t>固态</w:t>
                  </w:r>
                </w:p>
              </w:tc>
              <w:tc>
                <w:tcPr>
                  <w:tcW w:w="473" w:type="pct"/>
                  <w:tcBorders>
                    <w:tl2br w:val="nil"/>
                    <w:tr2bl w:val="nil"/>
                  </w:tcBorders>
                  <w:noWrap w:val="0"/>
                  <w:vAlign w:val="center"/>
                </w:tcPr>
                <w:p w14:paraId="3D99F628">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val="0"/>
                      <w:bCs w:val="0"/>
                      <w:color w:val="000000" w:themeColor="text1"/>
                      <w:sz w:val="21"/>
                      <w:szCs w:val="21"/>
                      <w:highlight w:val="none"/>
                      <w:lang w:val="en-US" w:eastAsia="zh-CN"/>
                      <w14:textFill>
                        <w14:solidFill>
                          <w14:schemeClr w14:val="tx1"/>
                        </w14:solidFill>
                      </w14:textFill>
                    </w:rPr>
                    <w:t>废矿物油</w:t>
                  </w:r>
                </w:p>
              </w:tc>
              <w:tc>
                <w:tcPr>
                  <w:tcW w:w="473" w:type="pct"/>
                  <w:tcBorders>
                    <w:tl2br w:val="nil"/>
                    <w:tr2bl w:val="nil"/>
                  </w:tcBorders>
                  <w:noWrap w:val="0"/>
                  <w:vAlign w:val="center"/>
                </w:tcPr>
                <w:p w14:paraId="3286B744">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val="0"/>
                      <w:bCs w:val="0"/>
                      <w:color w:val="000000" w:themeColor="text1"/>
                      <w:sz w:val="21"/>
                      <w:szCs w:val="21"/>
                      <w:highlight w:val="none"/>
                      <w14:textFill>
                        <w14:solidFill>
                          <w14:schemeClr w14:val="tx1"/>
                        </w14:solidFill>
                      </w14:textFill>
                    </w:rPr>
                    <w:t>T，I</w:t>
                  </w:r>
                </w:p>
              </w:tc>
            </w:tr>
            <w:tr w14:paraId="709A58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605" w:type="pct"/>
                  <w:tcBorders>
                    <w:tl2br w:val="nil"/>
                    <w:tr2bl w:val="nil"/>
                  </w:tcBorders>
                  <w:noWrap w:val="0"/>
                  <w:vAlign w:val="center"/>
                </w:tcPr>
                <w:p w14:paraId="4A1B85E6">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14:textFill>
                        <w14:solidFill>
                          <w14:schemeClr w14:val="tx1"/>
                        </w14:solidFill>
                      </w14:textFill>
                    </w:rPr>
                    <w:t>废活性炭</w:t>
                  </w:r>
                </w:p>
              </w:tc>
              <w:tc>
                <w:tcPr>
                  <w:tcW w:w="749" w:type="pct"/>
                  <w:tcBorders>
                    <w:tl2br w:val="nil"/>
                    <w:tr2bl w:val="nil"/>
                  </w:tcBorders>
                  <w:noWrap w:val="0"/>
                  <w:vAlign w:val="center"/>
                </w:tcPr>
                <w:p w14:paraId="601BB4CB">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14:textFill>
                        <w14:solidFill>
                          <w14:schemeClr w14:val="tx1"/>
                        </w14:solidFill>
                      </w14:textFill>
                    </w:rPr>
                    <w:t>HW49</w:t>
                  </w:r>
                </w:p>
              </w:tc>
              <w:tc>
                <w:tcPr>
                  <w:tcW w:w="925" w:type="pct"/>
                  <w:tcBorders>
                    <w:tl2br w:val="nil"/>
                    <w:tr2bl w:val="nil"/>
                  </w:tcBorders>
                  <w:noWrap w:val="0"/>
                  <w:vAlign w:val="center"/>
                </w:tcPr>
                <w:p w14:paraId="126E6F2D">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Cs/>
                      <w:color w:val="000000" w:themeColor="text1"/>
                      <w:spacing w:val="6"/>
                      <w:sz w:val="21"/>
                      <w:szCs w:val="21"/>
                      <w:highlight w:val="none"/>
                      <w:lang w:val="en-US" w:eastAsia="zh-CN"/>
                      <w14:textFill>
                        <w14:solidFill>
                          <w14:schemeClr w14:val="tx1"/>
                        </w14:solidFill>
                      </w14:textFill>
                    </w:rPr>
                  </w:pPr>
                  <w:r>
                    <w:rPr>
                      <w:rFonts w:hint="default" w:ascii="Times New Roman" w:hAnsi="Times New Roman" w:eastAsia="Times New Roman" w:cs="Times New Roman"/>
                      <w:bCs/>
                      <w:color w:val="000000" w:themeColor="text1"/>
                      <w:spacing w:val="6"/>
                      <w:sz w:val="21"/>
                      <w:szCs w:val="21"/>
                      <w:highlight w:val="none"/>
                      <w:lang w:val="en-US" w:eastAsia="zh-CN"/>
                      <w14:textFill>
                        <w14:solidFill>
                          <w14:schemeClr w14:val="tx1"/>
                        </w14:solidFill>
                      </w14:textFill>
                    </w:rPr>
                    <w:t>900-039-49</w:t>
                  </w:r>
                </w:p>
              </w:tc>
              <w:tc>
                <w:tcPr>
                  <w:tcW w:w="768" w:type="pct"/>
                  <w:tcBorders>
                    <w:tl2br w:val="nil"/>
                    <w:tr2bl w:val="nil"/>
                  </w:tcBorders>
                  <w:noWrap w:val="0"/>
                  <w:vAlign w:val="center"/>
                </w:tcPr>
                <w:p w14:paraId="385FE042">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Cs/>
                      <w:color w:val="000000" w:themeColor="text1"/>
                      <w:sz w:val="21"/>
                      <w:szCs w:val="21"/>
                      <w:highlight w:val="none"/>
                      <w:lang w:eastAsia="zh-CN"/>
                      <w14:textFill>
                        <w14:solidFill>
                          <w14:schemeClr w14:val="tx1"/>
                        </w14:solidFill>
                      </w14:textFill>
                    </w:rPr>
                  </w:pPr>
                  <w:r>
                    <w:rPr>
                      <w:rFonts w:hint="eastAsia" w:eastAsia="Times New Roman" w:cs="Times New Roman"/>
                      <w:bCs/>
                      <w:color w:val="000000" w:themeColor="text1"/>
                      <w:sz w:val="21"/>
                      <w:szCs w:val="21"/>
                      <w:highlight w:val="none"/>
                      <w:lang w:val="en-US" w:eastAsia="zh-CN"/>
                      <w14:textFill>
                        <w14:solidFill>
                          <w14:schemeClr w14:val="tx1"/>
                        </w14:solidFill>
                      </w14:textFill>
                    </w:rPr>
                    <w:t>2.0572t</w:t>
                  </w:r>
                  <w:r>
                    <w:rPr>
                      <w:rFonts w:hint="default" w:ascii="Times New Roman" w:hAnsi="Times New Roman" w:eastAsia="Times New Roman" w:cs="Times New Roman"/>
                      <w:bCs/>
                      <w:color w:val="000000" w:themeColor="text1"/>
                      <w:sz w:val="21"/>
                      <w:szCs w:val="21"/>
                      <w:highlight w:val="none"/>
                      <w:lang w:eastAsia="zh-CN"/>
                      <w14:textFill>
                        <w14:solidFill>
                          <w14:schemeClr w14:val="tx1"/>
                        </w14:solidFill>
                      </w14:textFill>
                    </w:rPr>
                    <w:t>/a</w:t>
                  </w:r>
                </w:p>
              </w:tc>
              <w:tc>
                <w:tcPr>
                  <w:tcW w:w="653" w:type="pct"/>
                  <w:vMerge w:val="restart"/>
                  <w:tcBorders>
                    <w:tl2br w:val="nil"/>
                    <w:tr2bl w:val="nil"/>
                  </w:tcBorders>
                  <w:noWrap w:val="0"/>
                  <w:vAlign w:val="center"/>
                </w:tcPr>
                <w:p w14:paraId="61710731">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lang w:val="en-US" w:eastAsia="zh-CN"/>
                      <w14:textFill>
                        <w14:solidFill>
                          <w14:schemeClr w14:val="tx1"/>
                        </w14:solidFill>
                      </w14:textFill>
                    </w:rPr>
                    <w:t>环保设施运行</w:t>
                  </w:r>
                </w:p>
              </w:tc>
              <w:tc>
                <w:tcPr>
                  <w:tcW w:w="350" w:type="pct"/>
                  <w:tcBorders>
                    <w:tl2br w:val="nil"/>
                    <w:tr2bl w:val="nil"/>
                  </w:tcBorders>
                  <w:noWrap w:val="0"/>
                  <w:vAlign w:val="center"/>
                </w:tcPr>
                <w:p w14:paraId="003257AC">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14:textFill>
                        <w14:solidFill>
                          <w14:schemeClr w14:val="tx1"/>
                        </w14:solidFill>
                      </w14:textFill>
                    </w:rPr>
                    <w:t>固态</w:t>
                  </w:r>
                </w:p>
              </w:tc>
              <w:tc>
                <w:tcPr>
                  <w:tcW w:w="473" w:type="pct"/>
                  <w:tcBorders>
                    <w:tl2br w:val="nil"/>
                    <w:tr2bl w:val="nil"/>
                  </w:tcBorders>
                  <w:noWrap w:val="0"/>
                  <w:vAlign w:val="center"/>
                </w:tcPr>
                <w:p w14:paraId="6024B9FA">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14:textFill>
                        <w14:solidFill>
                          <w14:schemeClr w14:val="tx1"/>
                        </w14:solidFill>
                      </w14:textFill>
                    </w:rPr>
                    <w:t>有机物</w:t>
                  </w:r>
                </w:p>
              </w:tc>
              <w:tc>
                <w:tcPr>
                  <w:tcW w:w="473" w:type="pct"/>
                  <w:tcBorders>
                    <w:tl2br w:val="nil"/>
                    <w:tr2bl w:val="nil"/>
                  </w:tcBorders>
                  <w:noWrap w:val="0"/>
                  <w:vAlign w:val="center"/>
                </w:tcPr>
                <w:p w14:paraId="21E55A27">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14:textFill>
                        <w14:solidFill>
                          <w14:schemeClr w14:val="tx1"/>
                        </w14:solidFill>
                      </w14:textFill>
                    </w:rPr>
                    <w:t>T</w:t>
                  </w:r>
                </w:p>
              </w:tc>
            </w:tr>
            <w:tr w14:paraId="5177D8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5" w:type="pct"/>
                  <w:tcBorders>
                    <w:tl2br w:val="nil"/>
                    <w:tr2bl w:val="nil"/>
                  </w:tcBorders>
                  <w:noWrap w:val="0"/>
                  <w:vAlign w:val="center"/>
                </w:tcPr>
                <w:p w14:paraId="5D8CB878">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lang w:eastAsia="zh-CN"/>
                      <w14:textFill>
                        <w14:solidFill>
                          <w14:schemeClr w14:val="tx1"/>
                        </w14:solidFill>
                      </w14:textFill>
                    </w:rPr>
                    <w:t>废催化剂</w:t>
                  </w:r>
                </w:p>
              </w:tc>
              <w:tc>
                <w:tcPr>
                  <w:tcW w:w="749" w:type="pct"/>
                  <w:tcBorders>
                    <w:tl2br w:val="nil"/>
                    <w:tr2bl w:val="nil"/>
                  </w:tcBorders>
                  <w:noWrap w:val="0"/>
                  <w:vAlign w:val="center"/>
                </w:tcPr>
                <w:p w14:paraId="28263FCE">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Cs/>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14:textFill>
                        <w14:solidFill>
                          <w14:schemeClr w14:val="tx1"/>
                        </w14:solidFill>
                      </w14:textFill>
                    </w:rPr>
                    <w:t>HW50</w:t>
                  </w:r>
                </w:p>
              </w:tc>
              <w:tc>
                <w:tcPr>
                  <w:tcW w:w="925" w:type="pct"/>
                  <w:tcBorders>
                    <w:tl2br w:val="nil"/>
                    <w:tr2bl w:val="nil"/>
                  </w:tcBorders>
                  <w:noWrap w:val="0"/>
                  <w:vAlign w:val="center"/>
                </w:tcPr>
                <w:p w14:paraId="120E8BD1">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Cs/>
                      <w:color w:val="000000" w:themeColor="text1"/>
                      <w:spacing w:val="6"/>
                      <w:sz w:val="21"/>
                      <w:szCs w:val="21"/>
                      <w:highlight w:val="none"/>
                      <w:lang w:val="en-US" w:eastAsia="zh-CN"/>
                      <w14:textFill>
                        <w14:solidFill>
                          <w14:schemeClr w14:val="tx1"/>
                        </w14:solidFill>
                      </w14:textFill>
                    </w:rPr>
                  </w:pPr>
                  <w:r>
                    <w:rPr>
                      <w:rFonts w:hint="eastAsia" w:eastAsia="Times New Roman" w:cs="Times New Roman"/>
                      <w:bCs/>
                      <w:color w:val="000000" w:themeColor="text1"/>
                      <w:sz w:val="21"/>
                      <w:szCs w:val="21"/>
                      <w:highlight w:val="none"/>
                      <w:lang w:val="en-US" w:eastAsia="zh-CN"/>
                      <w14:textFill>
                        <w14:solidFill>
                          <w14:schemeClr w14:val="tx1"/>
                        </w14:solidFill>
                      </w14:textFill>
                    </w:rPr>
                    <w:t>900-049-50</w:t>
                  </w:r>
                </w:p>
              </w:tc>
              <w:tc>
                <w:tcPr>
                  <w:tcW w:w="768" w:type="pct"/>
                  <w:tcBorders>
                    <w:tl2br w:val="nil"/>
                    <w:tr2bl w:val="nil"/>
                  </w:tcBorders>
                  <w:noWrap w:val="0"/>
                  <w:vAlign w:val="center"/>
                </w:tcPr>
                <w:p w14:paraId="30216B39">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Cs/>
                      <w:color w:val="000000" w:themeColor="text1"/>
                      <w:sz w:val="21"/>
                      <w:szCs w:val="21"/>
                      <w:highlight w:val="none"/>
                      <w:lang w:eastAsia="zh-CN"/>
                      <w14:textFill>
                        <w14:solidFill>
                          <w14:schemeClr w14:val="tx1"/>
                        </w14:solidFill>
                      </w14:textFill>
                    </w:rPr>
                  </w:pPr>
                  <w:r>
                    <w:rPr>
                      <w:rFonts w:hint="eastAsia" w:eastAsia="Times New Roman" w:cs="Times New Roman"/>
                      <w:bCs/>
                      <w:color w:val="000000" w:themeColor="text1"/>
                      <w:sz w:val="21"/>
                      <w:szCs w:val="21"/>
                      <w:highlight w:val="none"/>
                      <w:lang w:val="en-US" w:eastAsia="zh-CN"/>
                      <w14:textFill>
                        <w14:solidFill>
                          <w14:schemeClr w14:val="tx1"/>
                        </w14:solidFill>
                      </w14:textFill>
                    </w:rPr>
                    <w:t>0.02</w:t>
                  </w:r>
                  <w:r>
                    <w:rPr>
                      <w:rFonts w:hint="default" w:ascii="Times New Roman" w:hAnsi="Times New Roman" w:eastAsia="Times New Roman" w:cs="Times New Roman"/>
                      <w:bCs/>
                      <w:color w:val="000000" w:themeColor="text1"/>
                      <w:sz w:val="21"/>
                      <w:szCs w:val="21"/>
                      <w:highlight w:val="none"/>
                      <w:lang w:eastAsia="zh-CN"/>
                      <w14:textFill>
                        <w14:solidFill>
                          <w14:schemeClr w14:val="tx1"/>
                        </w14:solidFill>
                      </w14:textFill>
                    </w:rPr>
                    <w:t>t/a</w:t>
                  </w:r>
                </w:p>
              </w:tc>
              <w:tc>
                <w:tcPr>
                  <w:tcW w:w="653" w:type="pct"/>
                  <w:vMerge w:val="continue"/>
                  <w:tcBorders>
                    <w:tl2br w:val="nil"/>
                    <w:tr2bl w:val="nil"/>
                  </w:tcBorders>
                  <w:noWrap w:val="0"/>
                  <w:vAlign w:val="center"/>
                </w:tcPr>
                <w:p w14:paraId="2F02C625">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Times New Roman" w:cs="Times New Roman"/>
                      <w:bCs/>
                      <w:color w:val="000000" w:themeColor="text1"/>
                      <w:sz w:val="21"/>
                      <w:szCs w:val="21"/>
                      <w:highlight w:val="none"/>
                      <w14:textFill>
                        <w14:solidFill>
                          <w14:schemeClr w14:val="tx1"/>
                        </w14:solidFill>
                      </w14:textFill>
                    </w:rPr>
                  </w:pPr>
                </w:p>
              </w:tc>
              <w:tc>
                <w:tcPr>
                  <w:tcW w:w="350" w:type="pct"/>
                  <w:tcBorders>
                    <w:tl2br w:val="nil"/>
                    <w:tr2bl w:val="nil"/>
                  </w:tcBorders>
                  <w:noWrap w:val="0"/>
                  <w:vAlign w:val="center"/>
                </w:tcPr>
                <w:p w14:paraId="20087A5A">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lang w:eastAsia="zh-CN"/>
                      <w14:textFill>
                        <w14:solidFill>
                          <w14:schemeClr w14:val="tx1"/>
                        </w14:solidFill>
                      </w14:textFill>
                    </w:rPr>
                    <w:t>固态</w:t>
                  </w:r>
                </w:p>
              </w:tc>
              <w:tc>
                <w:tcPr>
                  <w:tcW w:w="792" w:type="dxa"/>
                  <w:tcBorders>
                    <w:tl2br w:val="nil"/>
                    <w:tr2bl w:val="nil"/>
                  </w:tcBorders>
                  <w:noWrap w:val="0"/>
                  <w:vAlign w:val="center"/>
                </w:tcPr>
                <w:p w14:paraId="745021F1">
                  <w:pPr>
                    <w:keepNext w:val="0"/>
                    <w:keepLines w:val="0"/>
                    <w:pageBreakBefore w:val="0"/>
                    <w:suppressLineNumbers w:val="0"/>
                    <w:kinsoku/>
                    <w:wordWrap/>
                    <w:topLinePunct w:val="0"/>
                    <w:bidi w:val="0"/>
                    <w:adjustRightInd w:val="0"/>
                    <w:snapToGrid w:val="0"/>
                    <w:spacing w:before="0" w:beforeAutospacing="0" w:after="0" w:afterAutospacing="0"/>
                    <w:ind w:left="0" w:leftChars="0" w:right="0" w:rightChars="0"/>
                    <w:jc w:val="center"/>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14:textFill>
                        <w14:solidFill>
                          <w14:schemeClr w14:val="tx1"/>
                        </w14:solidFill>
                      </w14:textFill>
                    </w:rPr>
                    <w:t>有机物</w:t>
                  </w:r>
                </w:p>
              </w:tc>
              <w:tc>
                <w:tcPr>
                  <w:tcW w:w="792" w:type="dxa"/>
                  <w:tcBorders>
                    <w:tl2br w:val="nil"/>
                    <w:tr2bl w:val="nil"/>
                  </w:tcBorders>
                  <w:noWrap w:val="0"/>
                  <w:vAlign w:val="center"/>
                </w:tcPr>
                <w:p w14:paraId="0406ED90">
                  <w:pPr>
                    <w:keepNext w:val="0"/>
                    <w:keepLines w:val="0"/>
                    <w:pageBreakBefore w:val="0"/>
                    <w:suppressLineNumbers w:val="0"/>
                    <w:kinsoku/>
                    <w:wordWrap/>
                    <w:topLinePunct w:val="0"/>
                    <w:bidi w:val="0"/>
                    <w:adjustRightInd w:val="0"/>
                    <w:snapToGrid w:val="0"/>
                    <w:spacing w:before="0" w:beforeAutospacing="0" w:after="0" w:afterAutospacing="0"/>
                    <w:ind w:left="0" w:leftChars="0" w:right="0" w:rightChars="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bCs/>
                      <w:color w:val="000000" w:themeColor="text1"/>
                      <w:sz w:val="21"/>
                      <w:szCs w:val="21"/>
                      <w:highlight w:val="none"/>
                      <w14:textFill>
                        <w14:solidFill>
                          <w14:schemeClr w14:val="tx1"/>
                        </w14:solidFill>
                      </w14:textFill>
                    </w:rPr>
                    <w:t>T</w:t>
                  </w:r>
                </w:p>
              </w:tc>
            </w:tr>
          </w:tbl>
          <w:p w14:paraId="42E7DD58">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textAlignment w:val="auto"/>
              <w:rPr>
                <w:rFonts w:hint="default" w:ascii="Times New Roman" w:hAnsi="Times New Roman" w:eastAsia="Times New Roman" w:cs="Times New Roman"/>
                <w:color w:val="000000" w:themeColor="text1"/>
                <w:sz w:val="24"/>
                <w:highlight w:val="none"/>
                <w14:textFill>
                  <w14:solidFill>
                    <w14:schemeClr w14:val="tx1"/>
                  </w14:solidFill>
                </w14:textFill>
              </w:rPr>
            </w:pPr>
            <w:r>
              <w:rPr>
                <w:rFonts w:hint="default" w:ascii="Times New Roman" w:hAnsi="Times New Roman" w:eastAsia="Times New Roman" w:cs="Times New Roman"/>
                <w:color w:val="000000" w:themeColor="text1"/>
                <w:sz w:val="24"/>
                <w:highlight w:val="none"/>
                <w14:textFill>
                  <w14:solidFill>
                    <w14:schemeClr w14:val="tx1"/>
                  </w14:solidFill>
                </w14:textFill>
              </w:rPr>
              <w:t>项目固废均合理处置或综合利用，对周围环境造成的影响很小。</w:t>
            </w:r>
          </w:p>
          <w:p w14:paraId="3F3FF464">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240" w:firstLineChars="100"/>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pPr>
            <w: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t>4.3</w:t>
            </w:r>
            <w:r>
              <w:rPr>
                <w:rFonts w:hint="default" w:ascii="Times New Roman" w:hAnsi="Times New Roman" w:eastAsia="Times New Roman" w:cs="Times New Roman"/>
                <w:b/>
                <w:color w:val="000000" w:themeColor="text1"/>
                <w:sz w:val="24"/>
                <w:highlight w:val="none"/>
                <w14:textFill>
                  <w14:solidFill>
                    <w14:schemeClr w14:val="tx1"/>
                  </w14:solidFill>
                </w14:textFill>
              </w:rPr>
              <w:t>固废暂存措施</w:t>
            </w:r>
            <w: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t>分析</w:t>
            </w:r>
          </w:p>
          <w:p w14:paraId="42A0DB5C">
            <w:pPr>
              <w:keepNext w:val="0"/>
              <w:keepLines w:val="0"/>
              <w:suppressLineNumbers w:val="0"/>
              <w:adjustRightInd w:val="0"/>
              <w:snapToGrid w:val="0"/>
              <w:spacing w:before="0" w:beforeAutospacing="0" w:after="0" w:afterAutospacing="0" w:line="360" w:lineRule="auto"/>
              <w:ind w:left="0" w:right="0" w:firstLine="482" w:firstLineChars="200"/>
              <w:rPr>
                <w:rFonts w:hint="default"/>
                <w:b/>
                <w:bCs/>
                <w:color w:val="auto"/>
                <w:sz w:val="24"/>
              </w:rPr>
            </w:pPr>
            <w:r>
              <w:rPr>
                <w:rFonts w:hint="eastAsia"/>
                <w:b/>
                <w:bCs/>
                <w:color w:val="auto"/>
                <w:sz w:val="24"/>
              </w:rPr>
              <w:t>（1）包装要求</w:t>
            </w:r>
          </w:p>
          <w:p w14:paraId="3DC6ED4B">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rPr>
            </w:pPr>
            <w:r>
              <w:rPr>
                <w:rFonts w:hint="eastAsia"/>
                <w:color w:val="auto"/>
                <w:sz w:val="24"/>
                <w:lang w:eastAsia="zh-CN"/>
              </w:rPr>
              <w:t>根据</w:t>
            </w:r>
            <w:r>
              <w:rPr>
                <w:rFonts w:hint="eastAsia"/>
                <w:color w:val="auto"/>
                <w:sz w:val="24"/>
              </w:rPr>
              <w:t>《危险废物贮存污染控制标准》（</w:t>
            </w:r>
            <w:r>
              <w:rPr>
                <w:rFonts w:hint="default"/>
                <w:color w:val="auto"/>
                <w:sz w:val="24"/>
              </w:rPr>
              <w:t>GB18597-20</w:t>
            </w:r>
            <w:r>
              <w:rPr>
                <w:rFonts w:hint="eastAsia"/>
                <w:color w:val="auto"/>
                <w:sz w:val="24"/>
              </w:rPr>
              <w:t>23），危废容器和包装物要求如下：</w:t>
            </w:r>
          </w:p>
          <w:p w14:paraId="65B7E0D2">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rPr>
            </w:pPr>
            <w:r>
              <w:rPr>
                <w:rFonts w:hint="eastAsia"/>
                <w:color w:val="auto"/>
                <w:sz w:val="24"/>
              </w:rPr>
              <w:t>①容器和包装物材质、内衬与盛装的危险废物兼容。</w:t>
            </w:r>
          </w:p>
          <w:p w14:paraId="213E3E38">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rPr>
            </w:pPr>
            <w:r>
              <w:rPr>
                <w:rFonts w:hint="eastAsia"/>
                <w:color w:val="auto"/>
                <w:sz w:val="24"/>
              </w:rPr>
              <w:t>②容器和包装物应满足相应的防渗、防漏、防腐和强度等要求。</w:t>
            </w:r>
          </w:p>
          <w:p w14:paraId="7232A11C">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rPr>
            </w:pPr>
            <w:r>
              <w:rPr>
                <w:rFonts w:hint="eastAsia"/>
                <w:color w:val="auto"/>
                <w:sz w:val="24"/>
              </w:rPr>
              <w:t>③硬质容器和包装物及其支护结构堆叠码放时不应有明显变形，无破损泄漏。</w:t>
            </w:r>
          </w:p>
          <w:p w14:paraId="5E45B20C">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rPr>
            </w:pPr>
            <w:r>
              <w:rPr>
                <w:rFonts w:hint="eastAsia"/>
                <w:color w:val="auto"/>
                <w:sz w:val="24"/>
              </w:rPr>
              <w:t>④柔性容器和包装物堆叠码放时应封口严密，无破损泄漏。</w:t>
            </w:r>
          </w:p>
          <w:p w14:paraId="57BB21A3">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rPr>
            </w:pPr>
            <w:r>
              <w:rPr>
                <w:rFonts w:hint="eastAsia"/>
                <w:color w:val="auto"/>
                <w:sz w:val="24"/>
              </w:rPr>
              <w:t>⑤容器和包装物外表面应保持清洁。</w:t>
            </w:r>
          </w:p>
          <w:p w14:paraId="5E8807B8">
            <w:pPr>
              <w:keepNext w:val="0"/>
              <w:keepLines w:val="0"/>
              <w:suppressLineNumbers w:val="0"/>
              <w:adjustRightInd w:val="0"/>
              <w:snapToGrid w:val="0"/>
              <w:spacing w:before="0" w:beforeAutospacing="0" w:after="0" w:afterAutospacing="0" w:line="360" w:lineRule="auto"/>
              <w:ind w:left="0" w:right="0" w:firstLine="482" w:firstLineChars="200"/>
              <w:rPr>
                <w:rFonts w:hint="default"/>
                <w:b/>
                <w:bCs/>
                <w:color w:val="auto"/>
                <w:sz w:val="24"/>
              </w:rPr>
            </w:pPr>
            <w:r>
              <w:rPr>
                <w:rFonts w:hint="eastAsia"/>
                <w:b/>
                <w:bCs/>
                <w:color w:val="auto"/>
                <w:sz w:val="24"/>
              </w:rPr>
              <w:t>（2）危废间设置要求</w:t>
            </w:r>
          </w:p>
          <w:p w14:paraId="4BF5A3FE">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sz w:val="24"/>
              </w:rPr>
            </w:pPr>
            <w:r>
              <w:rPr>
                <w:rFonts w:hint="eastAsia"/>
                <w:color w:val="auto"/>
                <w:sz w:val="24"/>
              </w:rPr>
              <w:t>危废间应按照《危险废物贮存污染控制标准》（</w:t>
            </w:r>
            <w:r>
              <w:rPr>
                <w:rFonts w:hint="default"/>
                <w:color w:val="auto"/>
                <w:sz w:val="24"/>
              </w:rPr>
              <w:t>GB18597-20</w:t>
            </w:r>
            <w:r>
              <w:rPr>
                <w:rFonts w:hint="eastAsia"/>
                <w:color w:val="auto"/>
                <w:sz w:val="24"/>
              </w:rPr>
              <w:t>23）中相关要求规范设置，采取必要的防风、防晒、防雨、防漏、防渗、防腐以及其他环境污染防治措施。结合本项目，危废暂存间设置要求如下：</w:t>
            </w:r>
          </w:p>
          <w:p w14:paraId="0501017C">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rPr>
            </w:pPr>
            <w:r>
              <w:rPr>
                <w:rFonts w:hint="eastAsia"/>
                <w:color w:val="auto"/>
                <w:sz w:val="24"/>
              </w:rPr>
              <w:t>①暂存间内地面、墙面裙脚、堵截泄漏的围堰、接触危险废物的隔板和墙体等应采用坚固的材料建造，表面无裂缝；</w:t>
            </w:r>
          </w:p>
          <w:p w14:paraId="2A51401C">
            <w:pPr>
              <w:keepNext w:val="0"/>
              <w:keepLines w:val="0"/>
              <w:suppressLineNumbers w:val="0"/>
              <w:autoSpaceDE w:val="0"/>
              <w:autoSpaceDN w:val="0"/>
              <w:spacing w:before="0" w:beforeAutospacing="0" w:after="0" w:afterAutospacing="0" w:line="360" w:lineRule="auto"/>
              <w:ind w:left="0" w:right="0" w:firstLine="480" w:firstLineChars="200"/>
              <w:rPr>
                <w:rFonts w:hint="eastAsia"/>
                <w:color w:val="auto"/>
                <w:sz w:val="24"/>
              </w:rPr>
            </w:pPr>
            <w:r>
              <w:rPr>
                <w:rFonts w:hint="eastAsia"/>
                <w:color w:val="auto"/>
                <w:sz w:val="24"/>
              </w:rPr>
              <w:t>②暂存间地面与裙脚应采取表面防渗措施；</w:t>
            </w:r>
          </w:p>
          <w:p w14:paraId="429A95A1">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sz w:val="24"/>
              </w:rPr>
            </w:pPr>
            <w:r>
              <w:rPr>
                <w:rFonts w:hint="eastAsia"/>
                <w:color w:val="auto"/>
                <w:sz w:val="24"/>
              </w:rPr>
              <w:t>③设有安全照明设施和观察窗口，暂存间配有防护服及工具；</w:t>
            </w:r>
          </w:p>
          <w:p w14:paraId="2F9F8205">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sz w:val="24"/>
              </w:rPr>
            </w:pPr>
            <w:r>
              <w:rPr>
                <w:rFonts w:hint="eastAsia"/>
                <w:color w:val="auto"/>
                <w:sz w:val="24"/>
              </w:rPr>
              <w:t>④危险废物贮存设施设置警示标志，暂存区周围设置围堰；</w:t>
            </w:r>
          </w:p>
          <w:p w14:paraId="2C081A88">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sz w:val="24"/>
              </w:rPr>
            </w:pPr>
            <w:r>
              <w:rPr>
                <w:rFonts w:hint="eastAsia"/>
                <w:color w:val="auto"/>
                <w:sz w:val="24"/>
              </w:rPr>
              <w:t>⑤危险暂存间安排专人进行管理，禁止无关人员进入；</w:t>
            </w:r>
          </w:p>
          <w:p w14:paraId="4FB5A6B7">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rPr>
            </w:pPr>
            <w:r>
              <w:rPr>
                <w:rFonts w:hint="eastAsia"/>
                <w:color w:val="auto"/>
                <w:sz w:val="24"/>
              </w:rPr>
              <w:t>⑥做好危险废物情况的记录，记录上须注明危险废物的名称、来源、数量、特性和包装容器的类别、入库日期、出库日期及接收单位名称，危险废物的记录和货单在危险废物回取后应继续保留三年。</w:t>
            </w:r>
          </w:p>
          <w:p w14:paraId="602587B7">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sz w:val="24"/>
              </w:rPr>
            </w:pPr>
            <w:r>
              <w:rPr>
                <w:rFonts w:hint="eastAsia"/>
                <w:color w:val="auto"/>
                <w:sz w:val="24"/>
              </w:rPr>
              <w:t>⑦危废间设置导流沟和收集池，用于事故废</w:t>
            </w:r>
            <w:r>
              <w:rPr>
                <w:rFonts w:hint="eastAsia"/>
                <w:color w:val="auto"/>
                <w:sz w:val="24"/>
                <w:lang w:eastAsia="zh-CN"/>
              </w:rPr>
              <w:t>液</w:t>
            </w:r>
            <w:r>
              <w:rPr>
                <w:rFonts w:hint="eastAsia"/>
                <w:color w:val="auto"/>
                <w:sz w:val="24"/>
              </w:rPr>
              <w:t>收集。</w:t>
            </w:r>
          </w:p>
          <w:p w14:paraId="23CDB614">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rPr>
            </w:pPr>
            <w:r>
              <w:rPr>
                <w:rFonts w:hint="eastAsia"/>
                <w:color w:val="auto"/>
                <w:sz w:val="24"/>
              </w:rPr>
              <w:t>项目</w:t>
            </w:r>
            <w:r>
              <w:rPr>
                <w:rFonts w:hint="eastAsia"/>
                <w:color w:val="auto"/>
                <w:sz w:val="24"/>
                <w:lang w:eastAsia="zh-CN"/>
              </w:rPr>
              <w:t>危废间位于厂区中部</w:t>
            </w:r>
            <w:r>
              <w:rPr>
                <w:rFonts w:hint="eastAsia"/>
                <w:color w:val="auto"/>
                <w:sz w:val="24"/>
              </w:rPr>
              <w:t>。</w:t>
            </w:r>
            <w:r>
              <w:rPr>
                <w:rFonts w:hint="eastAsia"/>
                <w:color w:val="auto"/>
                <w:sz w:val="24"/>
                <w:lang w:val="en-US" w:eastAsia="zh-CN"/>
              </w:rPr>
              <w:t>项目</w:t>
            </w:r>
            <w:r>
              <w:rPr>
                <w:rFonts w:hint="eastAsia"/>
                <w:color w:val="auto"/>
                <w:sz w:val="24"/>
                <w:lang w:eastAsia="zh-CN"/>
              </w:rPr>
              <w:t>危废间</w:t>
            </w:r>
            <w:r>
              <w:rPr>
                <w:rFonts w:hint="eastAsia"/>
                <w:color w:val="auto"/>
                <w:sz w:val="24"/>
              </w:rPr>
              <w:t>内的危废最长暂存周期不超过12个月</w:t>
            </w:r>
            <w:r>
              <w:rPr>
                <w:rFonts w:hint="eastAsia"/>
                <w:lang w:eastAsia="zh-CN"/>
              </w:rPr>
              <w:t>，</w:t>
            </w:r>
            <w:r>
              <w:rPr>
                <w:rFonts w:hint="eastAsia"/>
                <w:color w:val="auto"/>
                <w:sz w:val="24"/>
                <w:lang w:eastAsia="zh-CN"/>
              </w:rPr>
              <w:t>一般活性炭更换后及时进行转运。</w:t>
            </w:r>
            <w:r>
              <w:rPr>
                <w:rFonts w:hint="eastAsia"/>
                <w:color w:val="auto"/>
                <w:sz w:val="24"/>
              </w:rPr>
              <w:t>本项目</w:t>
            </w:r>
            <w:r>
              <w:rPr>
                <w:rFonts w:hint="eastAsia"/>
                <w:color w:val="auto"/>
                <w:sz w:val="24"/>
                <w:lang w:eastAsia="zh-CN"/>
              </w:rPr>
              <w:t>危废间</w:t>
            </w:r>
            <w:r>
              <w:rPr>
                <w:rFonts w:hint="eastAsia"/>
                <w:color w:val="auto"/>
                <w:sz w:val="24"/>
                <w:lang w:val="en-US" w:eastAsia="zh-CN"/>
              </w:rPr>
              <w:t>占地</w:t>
            </w:r>
            <w:r>
              <w:rPr>
                <w:rFonts w:hint="eastAsia"/>
                <w:color w:val="auto"/>
                <w:sz w:val="24"/>
              </w:rPr>
              <w:t>为</w:t>
            </w:r>
            <w:r>
              <w:rPr>
                <w:rFonts w:hint="eastAsia"/>
                <w:color w:val="auto"/>
                <w:sz w:val="24"/>
                <w:lang w:val="en-US" w:eastAsia="zh-CN"/>
              </w:rPr>
              <w:t>5m</w:t>
            </w:r>
            <w:r>
              <w:rPr>
                <w:rFonts w:hint="eastAsia"/>
                <w:color w:val="auto"/>
                <w:sz w:val="24"/>
                <w:vertAlign w:val="superscript"/>
                <w:lang w:val="en-US" w:eastAsia="zh-CN"/>
              </w:rPr>
              <w:t>2</w:t>
            </w:r>
            <w:r>
              <w:rPr>
                <w:rFonts w:hint="eastAsia"/>
                <w:color w:val="auto"/>
                <w:sz w:val="24"/>
              </w:rPr>
              <w:t>，</w:t>
            </w:r>
            <w:r>
              <w:rPr>
                <w:rFonts w:hint="eastAsia"/>
                <w:color w:val="auto"/>
                <w:sz w:val="24"/>
                <w:lang w:eastAsia="zh-CN"/>
              </w:rPr>
              <w:t>储存量以</w:t>
            </w:r>
            <w:r>
              <w:rPr>
                <w:rFonts w:hint="eastAsia"/>
                <w:color w:val="auto"/>
                <w:sz w:val="24"/>
                <w:lang w:val="en-US" w:eastAsia="zh-CN"/>
              </w:rPr>
              <w:t>5m</w:t>
            </w:r>
            <w:r>
              <w:rPr>
                <w:rFonts w:hint="eastAsia"/>
                <w:color w:val="auto"/>
                <w:sz w:val="24"/>
                <w:vertAlign w:val="superscript"/>
                <w:lang w:val="en-US" w:eastAsia="zh-CN"/>
              </w:rPr>
              <w:t>3</w:t>
            </w:r>
            <w:r>
              <w:rPr>
                <w:rFonts w:hint="eastAsia"/>
                <w:color w:val="auto"/>
                <w:sz w:val="24"/>
                <w:lang w:val="en-US" w:eastAsia="zh-CN"/>
              </w:rPr>
              <w:t>计算，</w:t>
            </w:r>
            <w:r>
              <w:rPr>
                <w:rFonts w:hint="eastAsia"/>
                <w:color w:val="auto"/>
                <w:sz w:val="24"/>
                <w:lang w:eastAsia="zh-CN"/>
              </w:rPr>
              <w:t>活性炭产生量为</w:t>
            </w:r>
            <w:r>
              <w:rPr>
                <w:rFonts w:hint="eastAsia"/>
                <w:color w:val="auto"/>
                <w:sz w:val="24"/>
                <w:lang w:val="en-US" w:eastAsia="zh-CN"/>
              </w:rPr>
              <w:t>2.0572t/a，按照</w:t>
            </w:r>
            <w:r>
              <w:rPr>
                <w:rFonts w:hint="eastAsia"/>
                <w:color w:val="auto"/>
                <w:sz w:val="24"/>
              </w:rPr>
              <w:t>0.</w:t>
            </w:r>
            <w:r>
              <w:rPr>
                <w:rFonts w:hint="eastAsia"/>
                <w:color w:val="auto"/>
                <w:sz w:val="24"/>
                <w:lang w:val="en-US" w:eastAsia="zh-CN"/>
              </w:rPr>
              <w:t>6</w:t>
            </w:r>
            <w:r>
              <w:rPr>
                <w:rFonts w:hint="eastAsia"/>
                <w:color w:val="auto"/>
                <w:sz w:val="24"/>
              </w:rPr>
              <w:t>g/cm</w:t>
            </w:r>
            <w:r>
              <w:rPr>
                <w:rFonts w:hint="eastAsia"/>
                <w:color w:val="auto"/>
                <w:sz w:val="24"/>
                <w:vertAlign w:val="superscript"/>
              </w:rPr>
              <w:t>3</w:t>
            </w:r>
            <w:r>
              <w:rPr>
                <w:rFonts w:hint="eastAsia"/>
                <w:color w:val="auto"/>
                <w:sz w:val="24"/>
                <w:lang w:eastAsia="zh-CN"/>
              </w:rPr>
              <w:t>计算，活性炭产生量为</w:t>
            </w:r>
            <w:r>
              <w:rPr>
                <w:rFonts w:hint="eastAsia"/>
                <w:color w:val="auto"/>
                <w:sz w:val="24"/>
                <w:lang w:val="en-US" w:eastAsia="zh-CN"/>
              </w:rPr>
              <w:t>3.4287m</w:t>
            </w:r>
            <w:r>
              <w:rPr>
                <w:rFonts w:hint="eastAsia"/>
                <w:color w:val="auto"/>
                <w:sz w:val="24"/>
                <w:vertAlign w:val="superscript"/>
                <w:lang w:val="en-US" w:eastAsia="zh-CN"/>
              </w:rPr>
              <w:t>3</w:t>
            </w:r>
            <w:r>
              <w:rPr>
                <w:rFonts w:hint="eastAsia"/>
                <w:color w:val="auto"/>
                <w:sz w:val="24"/>
                <w:lang w:eastAsia="zh-CN"/>
              </w:rPr>
              <w:t>，其余危废占有空间较小，危废间</w:t>
            </w:r>
            <w:r>
              <w:rPr>
                <w:rFonts w:hint="eastAsia"/>
                <w:color w:val="auto"/>
                <w:sz w:val="24"/>
              </w:rPr>
              <w:t>有能力暂存本项目产生的</w:t>
            </w:r>
            <w:r>
              <w:rPr>
                <w:rFonts w:hint="eastAsia"/>
                <w:color w:val="auto"/>
                <w:sz w:val="24"/>
                <w:lang w:val="en-US" w:eastAsia="zh-CN"/>
              </w:rPr>
              <w:t>全部</w:t>
            </w:r>
            <w:r>
              <w:rPr>
                <w:rFonts w:hint="eastAsia"/>
                <w:color w:val="auto"/>
                <w:sz w:val="24"/>
              </w:rPr>
              <w:t>危险废物。</w:t>
            </w:r>
            <w:r>
              <w:rPr>
                <w:rFonts w:hint="eastAsia"/>
                <w:color w:val="auto"/>
                <w:sz w:val="24"/>
                <w:lang w:eastAsia="zh-CN"/>
              </w:rPr>
              <w:t>活性炭</w:t>
            </w:r>
            <w:r>
              <w:rPr>
                <w:rFonts w:hint="eastAsia"/>
                <w:color w:val="auto"/>
                <w:sz w:val="24"/>
              </w:rPr>
              <w:t>项目建成后，危废间满足《危险废物贮存污染控制标准》（</w:t>
            </w:r>
            <w:r>
              <w:rPr>
                <w:rFonts w:hint="default"/>
                <w:color w:val="auto"/>
                <w:sz w:val="24"/>
              </w:rPr>
              <w:t>GB18597-20</w:t>
            </w:r>
            <w:r>
              <w:rPr>
                <w:rFonts w:hint="eastAsia"/>
                <w:color w:val="auto"/>
                <w:sz w:val="24"/>
              </w:rPr>
              <w:t>23）中相关要求。</w:t>
            </w:r>
          </w:p>
          <w:p w14:paraId="1FB1D083">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eastAsia="zh-CN"/>
              </w:rPr>
              <w:t>（</w:t>
            </w:r>
            <w:r>
              <w:rPr>
                <w:rFonts w:hint="eastAsia"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危险废物转移管理办法</w:t>
            </w:r>
          </w:p>
          <w:p w14:paraId="45DA607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运营后产生的危险废物按要求填写危险废物转移联单和签订委托处置合同。根据《危险废物转移管理办法》（部令第23号</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，转移危险废物的，应当通过国家危险废物信息管理系统（以下简称信息系统）填写、运行危险废物电子转移联单，并依照国家有关规定公开危险废物转移相关污染环境防治信息。</w:t>
            </w:r>
          </w:p>
          <w:p w14:paraId="113F7BDA">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危险废物移出人、危险废物承运人、危险废物接受人</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以下分别简称移出人、承运人和接受人</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在危险废物转移过程中应当采取防扬散、防流失防渗漏或者其他防止污染环境的措施，不得擅自倾倒、堆放、丢弃、遗撒危险废物，并对所造成的环境污染及生态破坏依法承担责任。</w:t>
            </w:r>
          </w:p>
          <w:p w14:paraId="44C8DB44">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移出人、承运人、接受人应当依法制定突发环境事件的防范措施和应急预案，并报有关部门备案：发生危险废物突发环境事件时，应当立即采取有效措施消除或者减轻对环境的污染危害，并按相关规定向事故发生地有关部门报告，接受调查处理。</w:t>
            </w:r>
          </w:p>
          <w:p w14:paraId="5837ACBF">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eastAsia="zh-CN"/>
              </w:rPr>
              <w:t>（</w:t>
            </w:r>
            <w:r>
              <w:rPr>
                <w:rFonts w:hint="eastAsia"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危险废物转移联单的运行和管理</w:t>
            </w:r>
          </w:p>
          <w:p w14:paraId="1E69A0E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危险废物转移联单应当根据危险废物管理计划中填报的危险废物转移等备案信息填写、运行。</w:t>
            </w:r>
          </w:p>
          <w:p w14:paraId="483C51D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危险废物转移联单实行全国统一编号，编号由十四位阿拉伯数字组成。第一至四位数字为年份代码；第五、六位数字为移出地省级行政区划代码；第七、八位数字为移出地设区的市级行政区划代码；其余六位数字以移出地设区的市级行政区域为单位进行流水编号。</w:t>
            </w:r>
          </w:p>
          <w:p w14:paraId="7D40FDED">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移出人每转移一车（船或者其他运输工具）次同类危险废物，应当填写、运行一份危险废物转移联单：每车（船或者其他运输工具）次转移多类危险废物的，可以填写、运行一份危险废物转移联单，也可以每一类危险废物填写、运行一份危险废物转移联单。</w:t>
            </w:r>
          </w:p>
          <w:p w14:paraId="013BDEE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使用同一车（船或者其他运输工具）一次为多个移出人转移危险废物的，每个移出人应当分别填写、运行危险废物转移联单。</w:t>
            </w:r>
          </w:p>
          <w:p w14:paraId="03ED511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采用联运方式转移危险废物的，前一承运人和后一承运人应当明确运输交接的时间和地点。后一承运人应当核实危险废物转移联单确定的移出人信息、前一承运人信息及危险废物相关信息。</w:t>
            </w:r>
          </w:p>
          <w:p w14:paraId="1D7F152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危废运输由危废资质单位负责运输和处理。项目危险废物采用专门的车辆，密闭运输，严格禁止抛洒滴漏，杜绝在运输过程中造成环境的二次污染。在危险废物的运输中执行《危险废物转移联单管理办法》中有关的规定和要求。同时对运输路线的选择要尽量避开敏感点，减少对敏感点产生影响的风险。</w:t>
            </w:r>
          </w:p>
          <w:p w14:paraId="40347A73">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2" w:firstLineChars="200"/>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eastAsia" w:eastAsia="宋体" w:cs="Times New Roman"/>
                <w:b/>
                <w:color w:val="000000" w:themeColor="text1"/>
                <w:sz w:val="24"/>
                <w:highlight w:val="none"/>
                <w:lang w:eastAsia="zh-CN"/>
                <w14:textFill>
                  <w14:solidFill>
                    <w14:schemeClr w14:val="tx1"/>
                  </w14:solidFill>
                </w14:textFill>
              </w:rPr>
              <w:t>（</w:t>
            </w:r>
            <w:r>
              <w:rPr>
                <w:rFonts w:hint="eastAsia" w:eastAsia="宋体" w:cs="Times New Roman"/>
                <w:b/>
                <w:color w:val="000000" w:themeColor="text1"/>
                <w:sz w:val="24"/>
                <w:highlight w:val="none"/>
                <w:lang w:val="en-US" w:eastAsia="zh-CN"/>
                <w14:textFill>
                  <w14:solidFill>
                    <w14:schemeClr w14:val="tx1"/>
                  </w14:solidFill>
                </w14:textFill>
              </w:rPr>
              <w:t>5</w:t>
            </w:r>
            <w:r>
              <w:rPr>
                <w:rFonts w:hint="eastAsia" w:eastAsia="宋体" w:cs="Times New Roman"/>
                <w:b/>
                <w:color w:val="000000" w:themeColor="text1"/>
                <w:sz w:val="24"/>
                <w:highlight w:val="none"/>
                <w:lang w:eastAsia="zh-CN"/>
                <w14:textFill>
                  <w14:solidFill>
                    <w14:schemeClr w14:val="tx1"/>
                  </w14:solidFill>
                </w14:textFill>
              </w:rPr>
              <w:t>）</w:t>
            </w:r>
            <w:r>
              <w:rPr>
                <w:rFonts w:hint="default" w:ascii="Times New Roman" w:hAnsi="Times New Roman" w:eastAsia="Times New Roman" w:cs="Times New Roman"/>
                <w:b/>
                <w:color w:val="000000" w:themeColor="text1"/>
                <w:sz w:val="24"/>
                <w:highlight w:val="none"/>
                <w14:textFill>
                  <w14:solidFill>
                    <w14:schemeClr w14:val="tx1"/>
                  </w14:solidFill>
                </w14:textFill>
              </w:rPr>
              <w:t>一般固废暂存</w:t>
            </w:r>
          </w:p>
          <w:p w14:paraId="38ECF775">
            <w:pPr>
              <w:keepNext w:val="0"/>
              <w:keepLines w:val="0"/>
              <w:pageBreakBefore w:val="0"/>
              <w:suppressLineNumbers w:val="0"/>
              <w:tabs>
                <w:tab w:val="left" w:pos="3052"/>
              </w:tabs>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color w:val="000000" w:themeColor="text1"/>
                <w:sz w:val="24"/>
                <w:highlight w:val="none"/>
                <w14:textFill>
                  <w14:solidFill>
                    <w14:schemeClr w14:val="tx1"/>
                  </w14:solidFill>
                </w14:textFill>
              </w:rPr>
            </w:pPr>
            <w:r>
              <w:rPr>
                <w:rFonts w:hint="default" w:ascii="Times New Roman" w:hAnsi="Times New Roman" w:eastAsia="Times New Roman" w:cs="Times New Roman"/>
                <w:color w:val="000000" w:themeColor="text1"/>
                <w:sz w:val="24"/>
                <w:highlight w:val="none"/>
                <w14:textFill>
                  <w14:solidFill>
                    <w14:schemeClr w14:val="tx1"/>
                  </w14:solidFill>
                </w14:textFill>
              </w:rPr>
              <w:t>各类一般固体废物分类有序堆存，同时设置一般固体废物标识牌，一般固废暂存处应满足《一般工业固体废物贮存和填埋污染控制标准》（GB18599-2020）相关要求。</w:t>
            </w:r>
          </w:p>
          <w:p w14:paraId="3697D8C1">
            <w:pPr>
              <w:keepNext w:val="0"/>
              <w:keepLines w:val="0"/>
              <w:pageBreakBefore w:val="0"/>
              <w:suppressLineNumbers w:val="0"/>
              <w:tabs>
                <w:tab w:val="left" w:pos="3052"/>
              </w:tabs>
              <w:kinsoku/>
              <w:wordWrap/>
              <w:topLinePunct w:val="0"/>
              <w:bidi w:val="0"/>
              <w:adjustRightInd w:val="0"/>
              <w:snapToGrid w:val="0"/>
              <w:spacing w:before="0" w:beforeAutospacing="0" w:after="0" w:afterAutospacing="0" w:line="360" w:lineRule="auto"/>
              <w:ind w:left="0" w:right="0" w:firstLine="482" w:firstLineChars="200"/>
              <w:rPr>
                <w:rFonts w:hint="default" w:ascii="Times New Roman" w:hAnsi="Times New Roman" w:eastAsia="Times New Roman" w:cs="Times New Roman"/>
                <w:b/>
                <w:color w:val="000000" w:themeColor="text1"/>
                <w:sz w:val="24"/>
                <w:highlight w:val="none"/>
                <w14:textFill>
                  <w14:solidFill>
                    <w14:schemeClr w14:val="tx1"/>
                  </w14:solidFill>
                </w14:textFill>
              </w:rPr>
            </w:pPr>
            <w:r>
              <w:rPr>
                <w:rFonts w:hint="eastAsia" w:eastAsia="宋体" w:cs="Times New Roman"/>
                <w:b/>
                <w:color w:val="000000" w:themeColor="text1"/>
                <w:sz w:val="24"/>
                <w:highlight w:val="none"/>
                <w:lang w:eastAsia="zh-CN"/>
                <w14:textFill>
                  <w14:solidFill>
                    <w14:schemeClr w14:val="tx1"/>
                  </w14:solidFill>
                </w14:textFill>
              </w:rPr>
              <w:t>（</w:t>
            </w:r>
            <w:r>
              <w:rPr>
                <w:rFonts w:hint="eastAsia" w:eastAsia="宋体" w:cs="Times New Roman"/>
                <w:b/>
                <w:color w:val="000000" w:themeColor="text1"/>
                <w:sz w:val="24"/>
                <w:highlight w:val="none"/>
                <w:lang w:val="en-US" w:eastAsia="zh-CN"/>
                <w14:textFill>
                  <w14:solidFill>
                    <w14:schemeClr w14:val="tx1"/>
                  </w14:solidFill>
                </w14:textFill>
              </w:rPr>
              <w:t>6</w:t>
            </w:r>
            <w:r>
              <w:rPr>
                <w:rFonts w:hint="eastAsia" w:eastAsia="宋体" w:cs="Times New Roman"/>
                <w:b/>
                <w:color w:val="000000" w:themeColor="text1"/>
                <w:sz w:val="24"/>
                <w:highlight w:val="none"/>
                <w:lang w:eastAsia="zh-CN"/>
                <w14:textFill>
                  <w14:solidFill>
                    <w14:schemeClr w14:val="tx1"/>
                  </w14:solidFill>
                </w14:textFill>
              </w:rPr>
              <w:t>）</w:t>
            </w:r>
            <w:r>
              <w:rPr>
                <w:rFonts w:hint="default" w:ascii="Times New Roman" w:hAnsi="Times New Roman" w:eastAsia="Times New Roman" w:cs="Times New Roman"/>
                <w:b/>
                <w:color w:val="000000" w:themeColor="text1"/>
                <w:sz w:val="24"/>
                <w:highlight w:val="none"/>
                <w14:textFill>
                  <w14:solidFill>
                    <w14:schemeClr w14:val="tx1"/>
                  </w14:solidFill>
                </w14:textFill>
              </w:rPr>
              <w:t>其他要求</w:t>
            </w:r>
          </w:p>
          <w:p w14:paraId="543D72CC">
            <w:pPr>
              <w:keepNext w:val="0"/>
              <w:keepLines w:val="0"/>
              <w:suppressLineNumbers w:val="0"/>
              <w:tabs>
                <w:tab w:val="left" w:pos="3052"/>
              </w:tabs>
              <w:adjustRightInd w:val="0"/>
              <w:snapToGrid w:val="0"/>
              <w:spacing w:before="0" w:beforeAutospacing="0" w:after="0" w:afterAutospacing="0" w:line="360" w:lineRule="auto"/>
              <w:ind w:left="0" w:right="0" w:firstLine="480" w:firstLineChars="200"/>
              <w:rPr>
                <w:rFonts w:hint="eastAsia"/>
                <w:color w:val="auto"/>
                <w:sz w:val="24"/>
              </w:rPr>
            </w:pPr>
            <w:r>
              <w:rPr>
                <w:rFonts w:hint="eastAsia"/>
                <w:color w:val="auto"/>
                <w:sz w:val="24"/>
              </w:rPr>
              <w:t>按照《中华人民共和国生态环境法典》、《排污许可证申请与核发技术规范 工业固体废物（试行）》（HJ1200-2021）相关要求，评价要求企业应做到以下几点要求：</w:t>
            </w:r>
          </w:p>
          <w:p w14:paraId="125D5C0A">
            <w:pPr>
              <w:keepNext w:val="0"/>
              <w:keepLines w:val="0"/>
              <w:suppressLineNumbers w:val="0"/>
              <w:tabs>
                <w:tab w:val="left" w:pos="3052"/>
              </w:tabs>
              <w:adjustRightInd w:val="0"/>
              <w:snapToGrid w:val="0"/>
              <w:spacing w:before="0" w:beforeAutospacing="0" w:after="0" w:afterAutospacing="0" w:line="360" w:lineRule="auto"/>
              <w:ind w:left="0" w:right="0" w:firstLine="480" w:firstLineChars="200"/>
              <w:rPr>
                <w:rFonts w:hint="eastAsia"/>
                <w:color w:val="auto"/>
                <w:sz w:val="24"/>
              </w:rPr>
            </w:pPr>
            <w:r>
              <w:rPr>
                <w:rFonts w:hint="eastAsia"/>
                <w:color w:val="auto"/>
                <w:sz w:val="24"/>
              </w:rPr>
              <w:t>①对工业固体废物采取防扬散、防流失、防渗漏或者其他防止污染环境的措施，不得擅自倾倒、堆放、丢弃、遗撒工业固体废物。</w:t>
            </w:r>
          </w:p>
          <w:p w14:paraId="15D62FD1">
            <w:pPr>
              <w:keepNext w:val="0"/>
              <w:keepLines w:val="0"/>
              <w:suppressLineNumbers w:val="0"/>
              <w:tabs>
                <w:tab w:val="left" w:pos="3052"/>
              </w:tabs>
              <w:adjustRightInd w:val="0"/>
              <w:snapToGrid w:val="0"/>
              <w:spacing w:before="0" w:beforeAutospacing="0" w:after="0" w:afterAutospacing="0" w:line="360" w:lineRule="auto"/>
              <w:ind w:left="0" w:right="0" w:firstLine="480" w:firstLineChars="200"/>
              <w:rPr>
                <w:rFonts w:hint="eastAsia"/>
                <w:color w:val="auto"/>
                <w:sz w:val="24"/>
              </w:rPr>
            </w:pPr>
            <w:r>
              <w:rPr>
                <w:rFonts w:hint="eastAsia"/>
                <w:color w:val="auto"/>
                <w:sz w:val="24"/>
              </w:rPr>
              <w:t>②</w:t>
            </w:r>
            <w:r>
              <w:rPr>
                <w:rFonts w:hint="default"/>
                <w:color w:val="auto"/>
                <w:sz w:val="24"/>
              </w:rPr>
              <w:t>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w:t>
            </w:r>
          </w:p>
          <w:p w14:paraId="6C65A24B">
            <w:pPr>
              <w:keepNext w:val="0"/>
              <w:keepLines w:val="0"/>
              <w:suppressLineNumbers w:val="0"/>
              <w:tabs>
                <w:tab w:val="left" w:pos="3052"/>
              </w:tabs>
              <w:adjustRightInd w:val="0"/>
              <w:snapToGrid w:val="0"/>
              <w:spacing w:before="0" w:beforeAutospacing="0" w:after="0" w:afterAutospacing="0" w:line="360" w:lineRule="auto"/>
              <w:ind w:left="0" w:right="0" w:firstLine="480" w:firstLineChars="200"/>
              <w:rPr>
                <w:rFonts w:hint="eastAsia"/>
                <w:color w:val="auto"/>
                <w:sz w:val="24"/>
              </w:rPr>
            </w:pPr>
            <w:r>
              <w:rPr>
                <w:rFonts w:hint="eastAsia"/>
                <w:color w:val="auto"/>
                <w:sz w:val="24"/>
              </w:rPr>
              <w:t>③</w:t>
            </w:r>
            <w:r>
              <w:rPr>
                <w:rFonts w:hint="default"/>
                <w:color w:val="auto"/>
                <w:sz w:val="24"/>
              </w:rPr>
              <w:t>禁止向生活垃圾收集设施中投放工业固体废物。</w:t>
            </w:r>
          </w:p>
          <w:p w14:paraId="77C25A32">
            <w:pPr>
              <w:keepNext w:val="0"/>
              <w:keepLines w:val="0"/>
              <w:suppressLineNumbers w:val="0"/>
              <w:tabs>
                <w:tab w:val="left" w:pos="3052"/>
              </w:tabs>
              <w:adjustRightInd w:val="0"/>
              <w:snapToGrid w:val="0"/>
              <w:spacing w:before="0" w:beforeAutospacing="0" w:after="0" w:afterAutospacing="0" w:line="360" w:lineRule="auto"/>
              <w:ind w:left="0" w:right="0" w:firstLine="480" w:firstLineChars="200"/>
              <w:rPr>
                <w:rFonts w:hint="default"/>
                <w:color w:val="auto"/>
                <w:sz w:val="24"/>
              </w:rPr>
            </w:pPr>
            <w:r>
              <w:rPr>
                <w:rFonts w:hint="eastAsia"/>
                <w:color w:val="auto"/>
                <w:sz w:val="24"/>
              </w:rPr>
              <w:t>④</w:t>
            </w:r>
            <w:r>
              <w:rPr>
                <w:rFonts w:hint="default"/>
                <w:color w:val="auto"/>
                <w:sz w:val="24"/>
              </w:rPr>
              <w:t>应当向所在地生态环境主管部门提供工业固体废物的种类、数量、流向、贮存、利用、处置等有关资料，以及减少工业固体废物产生、促进综合利用的具体措施，并执行排污许可管理制度的相关规定。</w:t>
            </w:r>
          </w:p>
          <w:p w14:paraId="27719AE6">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eastAsia"/>
                <w:color w:val="auto"/>
                <w:sz w:val="24"/>
              </w:rPr>
              <w:t>⑤</w:t>
            </w:r>
            <w:r>
              <w:rPr>
                <w:rFonts w:hint="eastAsia" w:hAnsi="宋体"/>
                <w:bCs/>
                <w:color w:val="auto"/>
                <w:sz w:val="24"/>
              </w:rPr>
              <w:t>企业固体废物涉及危险废物，依据</w:t>
            </w:r>
            <w:r>
              <w:rPr>
                <w:rFonts w:hint="eastAsia"/>
                <w:color w:val="auto"/>
                <w:sz w:val="24"/>
              </w:rPr>
              <w:t>《中华人民共和国生态环境法典》</w:t>
            </w:r>
            <w:r>
              <w:rPr>
                <w:rFonts w:hint="eastAsia" w:hAnsi="宋体"/>
                <w:bCs/>
                <w:color w:val="auto"/>
                <w:sz w:val="24"/>
              </w:rPr>
              <w:t>要求，需制定危险废物意外事故防范措施和应急预案。</w:t>
            </w:r>
          </w:p>
          <w:p w14:paraId="432A171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企业不涉及危险废物的运输，均由有相应危废处置资质的单位拉运处理。</w:t>
            </w:r>
          </w:p>
          <w:p w14:paraId="311115A1">
            <w:pPr>
              <w:keepNext w:val="0"/>
              <w:keepLines w:val="0"/>
              <w:pageBreakBefore w:val="0"/>
              <w:widowControl w:val="0"/>
              <w:suppressLineNumbers w:val="0"/>
              <w:tabs>
                <w:tab w:val="left" w:pos="3052"/>
              </w:tabs>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color w:val="auto"/>
                <w:sz w:val="24"/>
                <w:szCs w:val="24"/>
                <w:highlight w:val="none"/>
              </w:rPr>
              <w:t>综上所述，本项目在采取上述治理措施的情况下，固废均得到综合利用或妥善处置，不会产生二次污染，对周边环境影响较小。</w:t>
            </w:r>
          </w:p>
          <w:p w14:paraId="19D7CAA5">
            <w:pPr>
              <w:keepNext w:val="0"/>
              <w:keepLines w:val="0"/>
              <w:pageBreakBefore w:val="0"/>
              <w:suppressLineNumbers w:val="0"/>
              <w:tabs>
                <w:tab w:val="left" w:pos="8841"/>
              </w:tabs>
              <w:kinsoku/>
              <w:wordWrap/>
              <w:topLinePunct w:val="0"/>
              <w:bidi w:val="0"/>
              <w:adjustRightInd w:val="0"/>
              <w:snapToGrid w:val="0"/>
              <w:spacing w:before="0" w:beforeAutospacing="0" w:after="0" w:afterAutospacing="0" w:line="360" w:lineRule="auto"/>
              <w:ind w:left="0" w:right="0"/>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Times New Roman" w:cs="Times New Roman"/>
                <w:b/>
                <w:color w:val="000000" w:themeColor="text1"/>
                <w:sz w:val="24"/>
                <w:highlight w:val="none"/>
                <w:lang w:val="en-US" w:eastAsia="zh-CN"/>
                <w14:textFill>
                  <w14:solidFill>
                    <w14:schemeClr w14:val="tx1"/>
                  </w14:solidFill>
                </w14:textFill>
              </w:rPr>
              <w:t>5.</w:t>
            </w:r>
            <w:r>
              <w:rPr>
                <w:rFonts w:hint="default" w:ascii="Times New Roman" w:hAnsi="Times New Roman" w:eastAsia="Times New Roman" w:cs="Times New Roman"/>
                <w:b/>
                <w:bCs/>
                <w:color w:val="000000" w:themeColor="text1"/>
                <w:sz w:val="24"/>
                <w:szCs w:val="24"/>
                <w:highlight w:val="none"/>
                <w14:textFill>
                  <w14:solidFill>
                    <w14:schemeClr w14:val="tx1"/>
                  </w14:solidFill>
                </w14:textFill>
              </w:rPr>
              <w:t>土壤</w:t>
            </w:r>
            <w:r>
              <w:rPr>
                <w:rFonts w:hint="default" w:ascii="Times New Roman" w:hAnsi="Times New Roman" w:eastAsia="Times New Roman" w:cs="Times New Roman"/>
                <w:b/>
                <w:bCs/>
                <w:color w:val="000000" w:themeColor="text1"/>
                <w:sz w:val="24"/>
                <w:szCs w:val="24"/>
                <w:highlight w:val="none"/>
                <w:lang w:eastAsia="zh-CN"/>
                <w14:textFill>
                  <w14:solidFill>
                    <w14:schemeClr w14:val="tx1"/>
                  </w14:solidFill>
                </w14:textFill>
              </w:rPr>
              <w:t>评价</w:t>
            </w:r>
          </w:p>
          <w:p w14:paraId="5E334B5E">
            <w:pPr>
              <w:keepNext w:val="0"/>
              <w:keepLines w:val="0"/>
              <w:suppressLineNumbers w:val="0"/>
              <w:tabs>
                <w:tab w:val="left" w:pos="720"/>
              </w:tabs>
              <w:adjustRightInd w:val="0"/>
              <w:snapToGrid w:val="0"/>
              <w:spacing w:before="0" w:beforeAutospacing="0" w:after="0" w:afterAutospacing="0" w:line="360" w:lineRule="auto"/>
              <w:ind w:left="0" w:right="0" w:firstLine="482"/>
              <w:rPr>
                <w:rFonts w:hint="default"/>
                <w:color w:val="auto"/>
                <w:sz w:val="24"/>
                <w:szCs w:val="24"/>
              </w:rPr>
            </w:pPr>
            <w:r>
              <w:rPr>
                <w:rFonts w:hint="default"/>
                <w:color w:val="auto"/>
                <w:sz w:val="24"/>
                <w:szCs w:val="24"/>
              </w:rPr>
              <w:t>本项目生产过程无废水产生，</w:t>
            </w:r>
            <w:r>
              <w:rPr>
                <w:rFonts w:hint="default"/>
                <w:color w:val="auto"/>
                <w:sz w:val="24"/>
                <w:szCs w:val="24"/>
                <w:lang w:val="en-US" w:eastAsia="zh-CN"/>
              </w:rPr>
              <w:t>本项目食堂废水经隔油池预处理后与经化粪池处理后的其他生活污水一同排入汤阴天雨污水净化有限公司进一步处理</w:t>
            </w:r>
            <w:r>
              <w:rPr>
                <w:rFonts w:hint="default"/>
                <w:color w:val="auto"/>
                <w:sz w:val="24"/>
                <w:szCs w:val="24"/>
              </w:rPr>
              <w:t>。</w:t>
            </w:r>
            <w:r>
              <w:rPr>
                <w:rFonts w:hint="eastAsia"/>
                <w:color w:val="auto"/>
                <w:sz w:val="24"/>
                <w:szCs w:val="24"/>
                <w:lang w:eastAsia="zh-CN"/>
              </w:rPr>
              <w:t>隔油池、</w:t>
            </w:r>
            <w:r>
              <w:rPr>
                <w:rFonts w:hint="default"/>
                <w:color w:val="auto"/>
                <w:sz w:val="24"/>
                <w:szCs w:val="24"/>
              </w:rPr>
              <w:t>化粪池做好防渗后基本不会产生废水污染地下水和土壤的现象。</w:t>
            </w:r>
          </w:p>
          <w:p w14:paraId="0244337A">
            <w:pPr>
              <w:keepNext w:val="0"/>
              <w:keepLines w:val="0"/>
              <w:suppressLineNumbers w:val="0"/>
              <w:tabs>
                <w:tab w:val="left" w:pos="720"/>
              </w:tabs>
              <w:adjustRightInd w:val="0"/>
              <w:snapToGrid w:val="0"/>
              <w:spacing w:before="0" w:beforeAutospacing="0" w:after="0" w:afterAutospacing="0" w:line="360" w:lineRule="auto"/>
              <w:ind w:left="0" w:right="0" w:firstLine="482"/>
              <w:rPr>
                <w:rFonts w:hint="default"/>
                <w:color w:val="auto"/>
                <w:sz w:val="24"/>
                <w:szCs w:val="24"/>
              </w:rPr>
            </w:pPr>
            <w:r>
              <w:rPr>
                <w:rFonts w:hint="default"/>
                <w:color w:val="auto"/>
                <w:sz w:val="24"/>
                <w:szCs w:val="24"/>
              </w:rPr>
              <w:t>项目营运期对地下水、土壤的污染主要为</w:t>
            </w:r>
            <w:r>
              <w:rPr>
                <w:rFonts w:hint="eastAsia"/>
                <w:color w:val="auto"/>
                <w:sz w:val="24"/>
                <w:szCs w:val="24"/>
              </w:rPr>
              <w:t>钙基润滑脂（黄油）</w:t>
            </w:r>
            <w:r>
              <w:rPr>
                <w:rFonts w:hint="eastAsia"/>
                <w:color w:val="auto"/>
                <w:sz w:val="24"/>
                <w:szCs w:val="24"/>
                <w:lang w:eastAsia="zh-CN"/>
              </w:rPr>
              <w:t>、水性油墨</w:t>
            </w:r>
            <w:r>
              <w:rPr>
                <w:rFonts w:hint="eastAsia"/>
                <w:color w:val="auto"/>
                <w:sz w:val="24"/>
                <w:szCs w:val="24"/>
              </w:rPr>
              <w:t>等</w:t>
            </w:r>
            <w:r>
              <w:rPr>
                <w:rFonts w:hint="default"/>
                <w:color w:val="auto"/>
                <w:sz w:val="24"/>
                <w:szCs w:val="24"/>
              </w:rPr>
              <w:t>暂存、使用不当会对地下水、土壤造成污染。可能发生渗漏的区域包括危废暂存间及生产车间，建设单位采取分区防控措施，危废暂存间作为重点防渗区，生产车间作为一般防渗区，采取相应的防渗措施，防渗措施满足相关规定的防渗要求，阻断各污染物污染土壤的途径。加强对设备的维护、检修，杜绝“跑、冒、滴、漏”现象发生，同时定期检查，即使发现事故隐患，采取有效的应对措施以防事故的发生，从而有效防止项目运营过程对地下水或通过下渗作用对土壤造成影响。</w:t>
            </w:r>
          </w:p>
          <w:p w14:paraId="087951A7">
            <w:pPr>
              <w:pStyle w:val="13"/>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rPr>
                <w:rFonts w:hint="default" w:ascii="Times New Roman" w:hAnsi="Times New Roman" w:eastAsia="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b/>
                <w:bCs/>
                <w:color w:val="000000" w:themeColor="text1"/>
                <w:sz w:val="24"/>
                <w:szCs w:val="24"/>
                <w:highlight w:val="none"/>
                <w:lang w:val="en-US" w:eastAsia="zh-CN"/>
                <w14:textFill>
                  <w14:solidFill>
                    <w14:schemeClr w14:val="tx1"/>
                  </w14:solidFill>
                </w14:textFill>
              </w:rPr>
              <w:t>6.地下水环境影响分析</w:t>
            </w:r>
          </w:p>
          <w:p w14:paraId="492569AC">
            <w:pPr>
              <w:keepNext w:val="0"/>
              <w:keepLines w:val="0"/>
              <w:widowControl w:val="0"/>
              <w:suppressLineNumbers w:val="0"/>
              <w:autoSpaceDE w:val="0"/>
              <w:autoSpaceDN/>
              <w:adjustRightInd w:val="0"/>
              <w:snapToGrid w:val="0"/>
              <w:spacing w:before="0" w:beforeAutospacing="0" w:after="0" w:afterAutospacing="0" w:line="360" w:lineRule="auto"/>
              <w:ind w:left="0" w:right="0" w:firstLine="480" w:firstLineChars="200"/>
              <w:jc w:val="both"/>
              <w:rPr>
                <w:rFonts w:hint="default" w:ascii="Times New Roman" w:hAnsi="Times New Roman" w:eastAsia="Times New Roman"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4"/>
                <w:szCs w:val="24"/>
                <w:lang w:val="en-US" w:eastAsia="zh-CN" w:bidi="ar"/>
                <w14:textFill>
                  <w14:solidFill>
                    <w14:schemeClr w14:val="tx1"/>
                  </w14:solidFill>
                </w14:textFill>
              </w:rPr>
              <w:t>本项目不涉及地下水与土壤污染源，根据《建设项目环境影响报告表编制技术指南》（污染影响类）（试行），本工程不开展地下水、土壤环境影响分析。</w:t>
            </w:r>
          </w:p>
          <w:p w14:paraId="33AC1A4C">
            <w:pPr>
              <w:pStyle w:val="13"/>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rPr>
                <w:rFonts w:hint="default" w:ascii="Times New Roman" w:hAnsi="Times New Roman" w:eastAsia="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b/>
                <w:bCs/>
                <w:color w:val="000000" w:themeColor="text1"/>
                <w:sz w:val="24"/>
                <w:szCs w:val="24"/>
                <w:highlight w:val="none"/>
                <w:lang w:val="en-US" w:eastAsia="zh-CN"/>
                <w14:textFill>
                  <w14:solidFill>
                    <w14:schemeClr w14:val="tx1"/>
                  </w14:solidFill>
                </w14:textFill>
              </w:rPr>
              <w:t>7.环境风险影响分析</w:t>
            </w:r>
          </w:p>
          <w:p w14:paraId="6A73C608">
            <w:pPr>
              <w:pStyle w:val="13"/>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b/>
                <w:bCs/>
                <w:color w:val="000000" w:themeColor="text1"/>
                <w:sz w:val="24"/>
                <w:szCs w:val="24"/>
                <w:highlight w:val="none"/>
                <w:lang w:val="en-US" w:eastAsia="zh-CN"/>
                <w14:textFill>
                  <w14:solidFill>
                    <w14:schemeClr w14:val="tx1"/>
                  </w14:solidFill>
                </w14:textFill>
              </w:rPr>
              <w:t>7.1物质危险性识别</w:t>
            </w:r>
          </w:p>
          <w:p w14:paraId="1C5963BB">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根据《</w:t>
            </w:r>
            <w:r>
              <w:rPr>
                <w:rFonts w:hint="default" w:ascii="Times New Roman" w:hAnsi="Times New Roman" w:eastAsia="Times New Roman" w:cs="Times New Roman"/>
                <w:color w:val="000000" w:themeColor="text1"/>
                <w:sz w:val="24"/>
                <w:szCs w:val="24"/>
                <w:highlight w:val="none"/>
                <w:lang w:val="zh-CN"/>
                <w14:textFill>
                  <w14:solidFill>
                    <w14:schemeClr w14:val="tx1"/>
                  </w14:solidFill>
                </w14:textFill>
              </w:rPr>
              <w:t>企业突发环境事件风险分级方法</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》（HJ941-2018）、</w:t>
            </w:r>
            <w:r>
              <w:rPr>
                <w:rFonts w:hint="default" w:ascii="Times New Roman" w:hAnsi="Times New Roman" w:eastAsia="宋体" w:cs="Times New Roman"/>
                <w:color w:val="000000" w:themeColor="text1"/>
                <w:sz w:val="24"/>
                <w:highlight w:val="none"/>
                <w14:textFill>
                  <w14:solidFill>
                    <w14:schemeClr w14:val="tx1"/>
                  </w14:solidFill>
                </w14:textFill>
              </w:rPr>
              <w:t>《建设项目环境风险评价技术导则》（HJ/T 169-2018）</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等文件，对比</w:t>
            </w:r>
            <w:r>
              <w:rPr>
                <w:rFonts w:hint="default" w:ascii="Times New Roman" w:hAnsi="Times New Roman" w:eastAsia="宋体" w:cs="Times New Roman"/>
                <w:color w:val="000000" w:themeColor="text1"/>
                <w:sz w:val="24"/>
                <w:highlight w:val="none"/>
                <w14:textFill>
                  <w14:solidFill>
                    <w14:schemeClr w14:val="tx1"/>
                  </w14:solidFill>
                </w14:textFill>
              </w:rPr>
              <w:t>项目原辅料、产品及三废污染物。</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企业涉及风险物质主要包括非甲烷总烃、润滑油、</w:t>
            </w:r>
            <w:r>
              <w:rPr>
                <w:rFonts w:hint="eastAsia" w:cs="Times New Roman"/>
                <w:color w:val="000000" w:themeColor="text1"/>
                <w:sz w:val="24"/>
                <w:highlight w:val="none"/>
                <w:lang w:val="en-US" w:eastAsia="zh-CN"/>
                <w14:textFill>
                  <w14:solidFill>
                    <w14:schemeClr w14:val="tx1"/>
                  </w14:solidFill>
                </w14:textFill>
              </w:rPr>
              <w:t>水性油墨、</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危险废物及火灾爆炸次生废物等。</w:t>
            </w:r>
          </w:p>
          <w:p w14:paraId="3045C154">
            <w:pPr>
              <w:keepNext w:val="0"/>
              <w:keepLines w:val="0"/>
              <w:suppressLineNumbers w:val="0"/>
              <w:spacing w:before="0" w:beforeAutospacing="0" w:after="0" w:afterAutospacing="0" w:line="360" w:lineRule="auto"/>
              <w:ind w:left="0" w:right="0" w:firstLine="480" w:firstLineChars="200"/>
              <w:rPr>
                <w:rFonts w:hint="eastAsia"/>
                <w:b/>
                <w:color w:val="auto"/>
                <w:sz w:val="24"/>
                <w:szCs w:val="24"/>
              </w:rPr>
            </w:pPr>
            <w:r>
              <w:rPr>
                <w:rFonts w:hint="eastAsia"/>
                <w:color w:val="auto"/>
                <w:sz w:val="24"/>
                <w:szCs w:val="24"/>
              </w:rPr>
              <w:t>根据《建设项目环境风险评价技术导则》（HJ169-2018）中附录B.1突发环境事件风险物质及临界量表，以及《化学品分类和标签规范 第18部分</w:t>
            </w:r>
            <w:r>
              <w:rPr>
                <w:rFonts w:hint="eastAsia"/>
                <w:color w:val="auto"/>
                <w:sz w:val="24"/>
                <w:szCs w:val="24"/>
                <w:lang w:eastAsia="zh-CN"/>
              </w:rPr>
              <w:t>：</w:t>
            </w:r>
            <w:r>
              <w:rPr>
                <w:rFonts w:hint="eastAsia"/>
                <w:color w:val="auto"/>
                <w:sz w:val="24"/>
                <w:szCs w:val="24"/>
              </w:rPr>
              <w:t>急性毒性》（GB30000.18-2013）、《化学品分类和标签规范 第28部分：对水生环境的危害》（GB30000.28-2013）等文件进行，对原辅料、三废、产品等进行风险物质识别。</w:t>
            </w:r>
          </w:p>
          <w:p w14:paraId="182D258B">
            <w:pPr>
              <w:keepNext w:val="0"/>
              <w:keepLines w:val="0"/>
              <w:suppressLineNumbers w:val="0"/>
              <w:tabs>
                <w:tab w:val="left" w:pos="2325"/>
              </w:tabs>
              <w:adjustRightInd w:val="0"/>
              <w:snapToGrid w:val="0"/>
              <w:spacing w:before="0" w:beforeAutospacing="0" w:after="0" w:afterAutospacing="0"/>
              <w:ind w:left="0" w:right="0"/>
              <w:jc w:val="center"/>
              <w:textAlignment w:val="baseline"/>
              <w:rPr>
                <w:rFonts w:hint="default"/>
                <w:b/>
                <w:color w:val="auto"/>
                <w:sz w:val="24"/>
                <w:szCs w:val="24"/>
              </w:rPr>
            </w:pPr>
            <w:r>
              <w:rPr>
                <w:rFonts w:hint="eastAsia"/>
                <w:b/>
                <w:color w:val="auto"/>
                <w:sz w:val="24"/>
                <w:szCs w:val="24"/>
              </w:rPr>
              <w:t>风险物质</w:t>
            </w:r>
            <w:r>
              <w:rPr>
                <w:rFonts w:hint="default"/>
                <w:b/>
                <w:color w:val="auto"/>
                <w:sz w:val="24"/>
                <w:szCs w:val="24"/>
              </w:rPr>
              <w:t>识别</w:t>
            </w:r>
          </w:p>
          <w:tbl>
            <w:tblPr>
              <w:tblStyle w:val="29"/>
              <w:tblW w:w="498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265"/>
              <w:gridCol w:w="294"/>
              <w:gridCol w:w="1202"/>
              <w:gridCol w:w="1616"/>
              <w:gridCol w:w="1916"/>
              <w:gridCol w:w="988"/>
              <w:gridCol w:w="571"/>
              <w:gridCol w:w="1497"/>
            </w:tblGrid>
            <w:tr w14:paraId="11F363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45" w:hRule="atLeast"/>
                <w:jc w:val="center"/>
              </w:trPr>
              <w:tc>
                <w:tcPr>
                  <w:tcW w:w="335" w:type="pct"/>
                  <w:gridSpan w:val="2"/>
                  <w:noWrap w:val="0"/>
                  <w:vAlign w:val="center"/>
                </w:tcPr>
                <w:p w14:paraId="3555306D">
                  <w:pPr>
                    <w:keepNext w:val="0"/>
                    <w:keepLines w:val="0"/>
                    <w:suppressLineNumbers w:val="0"/>
                    <w:adjustRightInd w:val="0"/>
                    <w:snapToGrid w:val="0"/>
                    <w:spacing w:before="0" w:beforeAutospacing="0" w:after="0" w:afterAutospacing="0"/>
                    <w:ind w:left="0" w:right="0"/>
                    <w:jc w:val="center"/>
                    <w:rPr>
                      <w:rFonts w:hint="default"/>
                      <w:b/>
                      <w:bCs/>
                      <w:color w:val="auto"/>
                      <w:sz w:val="21"/>
                      <w:szCs w:val="21"/>
                      <w:lang w:bidi="ar"/>
                    </w:rPr>
                  </w:pPr>
                  <w:r>
                    <w:rPr>
                      <w:rFonts w:hint="eastAsia"/>
                      <w:b/>
                      <w:bCs/>
                      <w:color w:val="auto"/>
                      <w:sz w:val="21"/>
                      <w:szCs w:val="21"/>
                      <w:lang w:bidi="ar"/>
                    </w:rPr>
                    <w:t>项目</w:t>
                  </w:r>
                </w:p>
              </w:tc>
              <w:tc>
                <w:tcPr>
                  <w:tcW w:w="720" w:type="pct"/>
                  <w:noWrap w:val="0"/>
                  <w:vAlign w:val="center"/>
                </w:tcPr>
                <w:p w14:paraId="08725A58">
                  <w:pPr>
                    <w:keepNext w:val="0"/>
                    <w:keepLines w:val="0"/>
                    <w:suppressLineNumbers w:val="0"/>
                    <w:adjustRightInd w:val="0"/>
                    <w:snapToGrid w:val="0"/>
                    <w:spacing w:before="0" w:beforeAutospacing="0" w:after="0" w:afterAutospacing="0"/>
                    <w:ind w:left="0" w:right="0"/>
                    <w:jc w:val="center"/>
                    <w:rPr>
                      <w:rFonts w:hint="default"/>
                      <w:b/>
                      <w:bCs/>
                      <w:color w:val="auto"/>
                      <w:sz w:val="21"/>
                      <w:szCs w:val="21"/>
                      <w:lang w:bidi="ar"/>
                    </w:rPr>
                  </w:pPr>
                  <w:r>
                    <w:rPr>
                      <w:rFonts w:hint="default"/>
                      <w:b/>
                      <w:bCs/>
                      <w:color w:val="auto"/>
                      <w:sz w:val="21"/>
                      <w:szCs w:val="21"/>
                      <w:lang w:bidi="ar"/>
                    </w:rPr>
                    <w:t>危险物品名称</w:t>
                  </w:r>
                </w:p>
              </w:tc>
              <w:tc>
                <w:tcPr>
                  <w:tcW w:w="967" w:type="pct"/>
                  <w:noWrap w:val="0"/>
                  <w:vAlign w:val="center"/>
                </w:tcPr>
                <w:p w14:paraId="6DC0DF26">
                  <w:pPr>
                    <w:keepNext w:val="0"/>
                    <w:keepLines w:val="0"/>
                    <w:suppressLineNumbers w:val="0"/>
                    <w:adjustRightInd w:val="0"/>
                    <w:snapToGrid w:val="0"/>
                    <w:spacing w:before="0" w:beforeAutospacing="0" w:after="0" w:afterAutospacing="0"/>
                    <w:ind w:left="0" w:right="0"/>
                    <w:jc w:val="center"/>
                    <w:rPr>
                      <w:rFonts w:hint="default"/>
                      <w:b/>
                      <w:bCs/>
                      <w:color w:val="auto"/>
                      <w:sz w:val="21"/>
                      <w:szCs w:val="21"/>
                      <w:lang w:bidi="ar"/>
                    </w:rPr>
                  </w:pPr>
                  <w:r>
                    <w:rPr>
                      <w:rFonts w:hint="eastAsia"/>
                      <w:b/>
                      <w:bCs/>
                      <w:color w:val="auto"/>
                      <w:sz w:val="21"/>
                      <w:szCs w:val="21"/>
                      <w:lang w:bidi="ar"/>
                    </w:rPr>
                    <w:t>主要成分</w:t>
                  </w:r>
                </w:p>
              </w:tc>
              <w:tc>
                <w:tcPr>
                  <w:tcW w:w="1147" w:type="pct"/>
                  <w:noWrap w:val="0"/>
                  <w:vAlign w:val="center"/>
                </w:tcPr>
                <w:p w14:paraId="10895538">
                  <w:pPr>
                    <w:keepNext w:val="0"/>
                    <w:keepLines w:val="0"/>
                    <w:suppressLineNumbers w:val="0"/>
                    <w:adjustRightInd w:val="0"/>
                    <w:snapToGrid w:val="0"/>
                    <w:spacing w:before="0" w:beforeAutospacing="0" w:after="0" w:afterAutospacing="0"/>
                    <w:ind w:left="0" w:right="0"/>
                    <w:jc w:val="center"/>
                    <w:rPr>
                      <w:rFonts w:hint="default"/>
                      <w:b/>
                      <w:bCs/>
                      <w:color w:val="auto"/>
                      <w:sz w:val="21"/>
                      <w:szCs w:val="21"/>
                      <w:lang w:bidi="ar"/>
                    </w:rPr>
                  </w:pPr>
                  <w:r>
                    <w:rPr>
                      <w:rFonts w:hint="eastAsia"/>
                      <w:b/>
                      <w:bCs/>
                      <w:color w:val="auto"/>
                      <w:sz w:val="21"/>
                      <w:szCs w:val="21"/>
                      <w:lang w:bidi="ar"/>
                    </w:rPr>
                    <w:t>CAS号</w:t>
                  </w:r>
                </w:p>
              </w:tc>
              <w:tc>
                <w:tcPr>
                  <w:tcW w:w="591" w:type="pct"/>
                  <w:noWrap w:val="0"/>
                  <w:vAlign w:val="center"/>
                </w:tcPr>
                <w:p w14:paraId="596922A1">
                  <w:pPr>
                    <w:keepNext w:val="0"/>
                    <w:keepLines w:val="0"/>
                    <w:suppressLineNumbers w:val="0"/>
                    <w:adjustRightInd w:val="0"/>
                    <w:snapToGrid w:val="0"/>
                    <w:spacing w:before="0" w:beforeAutospacing="0" w:after="0" w:afterAutospacing="0"/>
                    <w:ind w:left="0" w:right="0"/>
                    <w:jc w:val="center"/>
                    <w:rPr>
                      <w:rFonts w:hint="default"/>
                      <w:b/>
                      <w:bCs/>
                      <w:color w:val="auto"/>
                      <w:sz w:val="21"/>
                      <w:szCs w:val="21"/>
                      <w:lang w:bidi="ar"/>
                    </w:rPr>
                  </w:pPr>
                  <w:r>
                    <w:rPr>
                      <w:rFonts w:hint="eastAsia"/>
                      <w:b/>
                      <w:bCs/>
                      <w:color w:val="auto"/>
                      <w:sz w:val="21"/>
                      <w:szCs w:val="21"/>
                      <w:lang w:bidi="ar"/>
                    </w:rPr>
                    <w:t>GHS危害性类别</w:t>
                  </w:r>
                </w:p>
              </w:tc>
              <w:tc>
                <w:tcPr>
                  <w:tcW w:w="342" w:type="pct"/>
                  <w:noWrap w:val="0"/>
                  <w:vAlign w:val="center"/>
                </w:tcPr>
                <w:p w14:paraId="02006151">
                  <w:pPr>
                    <w:keepNext w:val="0"/>
                    <w:keepLines w:val="0"/>
                    <w:suppressLineNumbers w:val="0"/>
                    <w:adjustRightInd w:val="0"/>
                    <w:snapToGrid w:val="0"/>
                    <w:spacing w:before="0" w:beforeAutospacing="0" w:after="0" w:afterAutospacing="0"/>
                    <w:ind w:left="0" w:right="0"/>
                    <w:jc w:val="center"/>
                    <w:rPr>
                      <w:rFonts w:hint="default"/>
                      <w:b/>
                      <w:bCs/>
                      <w:color w:val="auto"/>
                      <w:sz w:val="21"/>
                      <w:szCs w:val="21"/>
                      <w:lang w:bidi="ar"/>
                    </w:rPr>
                  </w:pPr>
                  <w:r>
                    <w:rPr>
                      <w:rFonts w:hint="eastAsia"/>
                      <w:b/>
                      <w:bCs/>
                      <w:color w:val="auto"/>
                      <w:sz w:val="21"/>
                      <w:szCs w:val="21"/>
                      <w:lang w:bidi="ar"/>
                    </w:rPr>
                    <w:t>是否风险物质</w:t>
                  </w:r>
                </w:p>
              </w:tc>
              <w:tc>
                <w:tcPr>
                  <w:tcW w:w="896" w:type="pct"/>
                  <w:noWrap w:val="0"/>
                  <w:vAlign w:val="center"/>
                </w:tcPr>
                <w:p w14:paraId="70685CB4">
                  <w:pPr>
                    <w:keepNext w:val="0"/>
                    <w:keepLines w:val="0"/>
                    <w:suppressLineNumbers w:val="0"/>
                    <w:adjustRightInd w:val="0"/>
                    <w:snapToGrid w:val="0"/>
                    <w:spacing w:before="0" w:beforeAutospacing="0" w:after="0" w:afterAutospacing="0"/>
                    <w:ind w:left="0" w:right="0"/>
                    <w:jc w:val="center"/>
                    <w:rPr>
                      <w:rFonts w:hint="default"/>
                      <w:b/>
                      <w:bCs/>
                      <w:color w:val="auto"/>
                      <w:sz w:val="21"/>
                      <w:szCs w:val="21"/>
                      <w:lang w:bidi="ar"/>
                    </w:rPr>
                  </w:pPr>
                  <w:r>
                    <w:rPr>
                      <w:rFonts w:hint="eastAsia"/>
                      <w:b/>
                      <w:bCs/>
                      <w:color w:val="auto"/>
                      <w:sz w:val="21"/>
                      <w:szCs w:val="21"/>
                      <w:lang w:bidi="ar"/>
                    </w:rPr>
                    <w:t>类别</w:t>
                  </w:r>
                </w:p>
              </w:tc>
            </w:tr>
            <w:tr w14:paraId="7421A3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68" w:hRule="atLeast"/>
                <w:jc w:val="center"/>
              </w:trPr>
              <w:tc>
                <w:tcPr>
                  <w:tcW w:w="335" w:type="pct"/>
                  <w:gridSpan w:val="2"/>
                  <w:vMerge w:val="restart"/>
                  <w:noWrap w:val="0"/>
                  <w:vAlign w:val="center"/>
                </w:tcPr>
                <w:p w14:paraId="2676BC1C">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eastAsia="zh-CN" w:bidi="ar"/>
                    </w:rPr>
                  </w:pPr>
                  <w:r>
                    <w:rPr>
                      <w:rFonts w:hint="eastAsia"/>
                      <w:color w:val="auto"/>
                      <w:sz w:val="21"/>
                      <w:szCs w:val="21"/>
                      <w:lang w:eastAsia="zh-CN" w:bidi="ar"/>
                    </w:rPr>
                    <w:t>原辅材料</w:t>
                  </w:r>
                </w:p>
              </w:tc>
              <w:tc>
                <w:tcPr>
                  <w:tcW w:w="720" w:type="pct"/>
                  <w:noWrap w:val="0"/>
                  <w:vAlign w:val="center"/>
                </w:tcPr>
                <w:p w14:paraId="40D4E5DD">
                  <w:pPr>
                    <w:keepNext w:val="0"/>
                    <w:keepLines w:val="0"/>
                    <w:suppressLineNumbers w:val="0"/>
                    <w:adjustRightInd w:val="0"/>
                    <w:snapToGrid w:val="0"/>
                    <w:spacing w:before="0" w:beforeAutospacing="0" w:after="0" w:afterAutospacing="0"/>
                    <w:ind w:left="0" w:right="0"/>
                    <w:jc w:val="center"/>
                    <w:rPr>
                      <w:rFonts w:hint="default"/>
                      <w:color w:val="auto"/>
                      <w:sz w:val="21"/>
                      <w:szCs w:val="21"/>
                      <w:lang w:bidi="ar"/>
                    </w:rPr>
                  </w:pPr>
                  <w:r>
                    <w:rPr>
                      <w:rFonts w:hint="default" w:ascii="Times New Roman" w:hAnsi="Times New Roman" w:cs="Times New Roman"/>
                      <w:color w:val="auto"/>
                      <w:sz w:val="21"/>
                      <w:szCs w:val="21"/>
                    </w:rPr>
                    <w:t>钙基润滑脂（黄油）</w:t>
                  </w:r>
                </w:p>
              </w:tc>
              <w:tc>
                <w:tcPr>
                  <w:tcW w:w="967" w:type="pct"/>
                  <w:noWrap w:val="0"/>
                  <w:vAlign w:val="center"/>
                </w:tcPr>
                <w:p w14:paraId="03422CAF">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eastAsia="zh-CN" w:bidi="ar"/>
                    </w:rPr>
                  </w:pPr>
                  <w:r>
                    <w:rPr>
                      <w:rFonts w:hint="eastAsia"/>
                      <w:color w:val="auto"/>
                      <w:sz w:val="21"/>
                      <w:szCs w:val="21"/>
                      <w:lang w:eastAsia="zh-CN" w:bidi="ar"/>
                    </w:rPr>
                    <w:t>润滑油</w:t>
                  </w:r>
                </w:p>
              </w:tc>
              <w:tc>
                <w:tcPr>
                  <w:tcW w:w="1147" w:type="pct"/>
                  <w:noWrap w:val="0"/>
                  <w:vAlign w:val="center"/>
                </w:tcPr>
                <w:p w14:paraId="22E346ED">
                  <w:pPr>
                    <w:keepNext w:val="0"/>
                    <w:keepLines w:val="0"/>
                    <w:suppressLineNumbers w:val="0"/>
                    <w:adjustRightInd w:val="0"/>
                    <w:snapToGrid w:val="0"/>
                    <w:spacing w:before="0" w:beforeAutospacing="0" w:after="0" w:afterAutospacing="0"/>
                    <w:ind w:left="0" w:right="0"/>
                    <w:jc w:val="center"/>
                    <w:rPr>
                      <w:rFonts w:hint="default"/>
                      <w:color w:val="auto"/>
                      <w:sz w:val="21"/>
                      <w:szCs w:val="21"/>
                      <w:lang w:bidi="ar"/>
                    </w:rPr>
                  </w:pPr>
                  <w:r>
                    <w:rPr>
                      <w:rFonts w:hint="default"/>
                      <w:color w:val="auto"/>
                      <w:sz w:val="21"/>
                      <w:szCs w:val="21"/>
                      <w:lang w:bidi="ar"/>
                    </w:rPr>
                    <w:t>74869-22-0</w:t>
                  </w:r>
                </w:p>
              </w:tc>
              <w:tc>
                <w:tcPr>
                  <w:tcW w:w="591" w:type="pct"/>
                  <w:noWrap w:val="0"/>
                  <w:vAlign w:val="center"/>
                </w:tcPr>
                <w:p w14:paraId="04C5C20B">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r>
                    <w:rPr>
                      <w:rFonts w:hint="eastAsia"/>
                      <w:color w:val="auto"/>
                      <w:sz w:val="21"/>
                      <w:szCs w:val="21"/>
                      <w:lang w:bidi="ar"/>
                    </w:rPr>
                    <w:t>/</w:t>
                  </w:r>
                </w:p>
              </w:tc>
              <w:tc>
                <w:tcPr>
                  <w:tcW w:w="342" w:type="pct"/>
                  <w:noWrap w:val="0"/>
                  <w:vAlign w:val="center"/>
                </w:tcPr>
                <w:p w14:paraId="59DFFB8E">
                  <w:pPr>
                    <w:keepNext w:val="0"/>
                    <w:keepLines w:val="0"/>
                    <w:suppressLineNumbers w:val="0"/>
                    <w:adjustRightInd w:val="0"/>
                    <w:snapToGrid w:val="0"/>
                    <w:spacing w:before="0" w:beforeAutospacing="0" w:after="0" w:afterAutospacing="0"/>
                    <w:ind w:left="0" w:right="0"/>
                    <w:jc w:val="center"/>
                    <w:rPr>
                      <w:rFonts w:hint="default"/>
                      <w:color w:val="auto"/>
                      <w:sz w:val="21"/>
                      <w:szCs w:val="21"/>
                      <w:lang w:bidi="ar"/>
                    </w:rPr>
                  </w:pPr>
                  <w:r>
                    <w:rPr>
                      <w:rFonts w:hint="eastAsia"/>
                      <w:color w:val="auto"/>
                      <w:sz w:val="21"/>
                      <w:szCs w:val="21"/>
                      <w:lang w:bidi="ar"/>
                    </w:rPr>
                    <w:t>是</w:t>
                  </w:r>
                </w:p>
              </w:tc>
              <w:tc>
                <w:tcPr>
                  <w:tcW w:w="896" w:type="pct"/>
                  <w:noWrap w:val="0"/>
                  <w:vAlign w:val="center"/>
                </w:tcPr>
                <w:p w14:paraId="42CFE0CA">
                  <w:pPr>
                    <w:keepNext w:val="0"/>
                    <w:keepLines w:val="0"/>
                    <w:suppressLineNumbers w:val="0"/>
                    <w:adjustRightInd w:val="0"/>
                    <w:snapToGrid w:val="0"/>
                    <w:spacing w:before="0" w:beforeAutospacing="0" w:after="0" w:afterAutospacing="0"/>
                    <w:ind w:left="0" w:right="0"/>
                    <w:jc w:val="center"/>
                    <w:rPr>
                      <w:rFonts w:hint="default"/>
                      <w:color w:val="auto"/>
                      <w:sz w:val="21"/>
                      <w:szCs w:val="21"/>
                      <w:lang w:bidi="ar"/>
                    </w:rPr>
                  </w:pPr>
                  <w:r>
                    <w:rPr>
                      <w:rFonts w:hint="eastAsia"/>
                      <w:color w:val="auto"/>
                      <w:sz w:val="21"/>
                      <w:szCs w:val="21"/>
                      <w:lang w:bidi="ar"/>
                    </w:rPr>
                    <w:t>HJ 169-2018，B.1序号381</w:t>
                  </w:r>
                </w:p>
              </w:tc>
            </w:tr>
            <w:tr w14:paraId="3FF2C0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07" w:hRule="atLeast"/>
                <w:jc w:val="center"/>
              </w:trPr>
              <w:tc>
                <w:tcPr>
                  <w:tcW w:w="335" w:type="pct"/>
                  <w:gridSpan w:val="2"/>
                  <w:vMerge w:val="continue"/>
                  <w:noWrap w:val="0"/>
                  <w:vAlign w:val="center"/>
                </w:tcPr>
                <w:p w14:paraId="633F1B71">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eastAsia="zh-CN" w:bidi="ar"/>
                    </w:rPr>
                  </w:pPr>
                </w:p>
              </w:tc>
              <w:tc>
                <w:tcPr>
                  <w:tcW w:w="720" w:type="pct"/>
                  <w:noWrap w:val="0"/>
                  <w:vAlign w:val="center"/>
                </w:tcPr>
                <w:p w14:paraId="36CAE287">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eastAsia="zh-CN" w:bidi="ar"/>
                    </w:rPr>
                  </w:pPr>
                  <w:r>
                    <w:rPr>
                      <w:rFonts w:hint="eastAsia"/>
                      <w:color w:val="auto"/>
                      <w:sz w:val="21"/>
                      <w:szCs w:val="21"/>
                      <w:lang w:eastAsia="zh-CN" w:bidi="ar"/>
                    </w:rPr>
                    <w:t>油墨</w:t>
                  </w:r>
                </w:p>
              </w:tc>
              <w:tc>
                <w:tcPr>
                  <w:tcW w:w="967" w:type="pct"/>
                  <w:noWrap w:val="0"/>
                  <w:vAlign w:val="center"/>
                </w:tcPr>
                <w:p w14:paraId="0D0C41D5">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eastAsia="zh-CN" w:bidi="ar"/>
                    </w:rPr>
                  </w:pPr>
                  <w:r>
                    <w:rPr>
                      <w:rFonts w:hint="eastAsia"/>
                      <w:color w:val="auto"/>
                      <w:sz w:val="21"/>
                      <w:szCs w:val="21"/>
                      <w:lang w:eastAsia="zh-CN" w:bidi="ar"/>
                    </w:rPr>
                    <w:t>丙烯酸树脂</w:t>
                  </w:r>
                </w:p>
              </w:tc>
              <w:tc>
                <w:tcPr>
                  <w:tcW w:w="1147" w:type="pct"/>
                  <w:noWrap w:val="0"/>
                  <w:vAlign w:val="center"/>
                </w:tcPr>
                <w:p w14:paraId="5FB10659">
                  <w:pPr>
                    <w:keepNext w:val="0"/>
                    <w:keepLines w:val="0"/>
                    <w:suppressLineNumbers w:val="0"/>
                    <w:adjustRightInd w:val="0"/>
                    <w:snapToGrid w:val="0"/>
                    <w:spacing w:before="0" w:beforeAutospacing="0" w:after="0" w:afterAutospacing="0"/>
                    <w:ind w:left="0" w:right="0"/>
                    <w:jc w:val="center"/>
                    <w:rPr>
                      <w:rFonts w:hint="default" w:eastAsia="宋体"/>
                      <w:color w:val="auto"/>
                      <w:sz w:val="21"/>
                      <w:szCs w:val="21"/>
                      <w:lang w:val="en-US" w:eastAsia="zh-CN" w:bidi="ar"/>
                    </w:rPr>
                  </w:pPr>
                  <w:r>
                    <w:rPr>
                      <w:rFonts w:hint="eastAsia"/>
                      <w:color w:val="auto"/>
                      <w:sz w:val="21"/>
                      <w:szCs w:val="21"/>
                      <w:lang w:val="en-US" w:eastAsia="zh-CN" w:bidi="ar"/>
                    </w:rPr>
                    <w:t>9003-01-4</w:t>
                  </w:r>
                </w:p>
              </w:tc>
              <w:tc>
                <w:tcPr>
                  <w:tcW w:w="591" w:type="pct"/>
                  <w:noWrap w:val="0"/>
                  <w:vAlign w:val="center"/>
                </w:tcPr>
                <w:p w14:paraId="2FD16081">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r>
                    <w:rPr>
                      <w:rFonts w:hint="eastAsia"/>
                      <w:color w:val="auto"/>
                      <w:sz w:val="21"/>
                      <w:szCs w:val="21"/>
                      <w:lang w:bidi="ar"/>
                    </w:rPr>
                    <w:t>/</w:t>
                  </w:r>
                </w:p>
              </w:tc>
              <w:tc>
                <w:tcPr>
                  <w:tcW w:w="342" w:type="pct"/>
                  <w:noWrap w:val="0"/>
                  <w:vAlign w:val="center"/>
                </w:tcPr>
                <w:p w14:paraId="2FF2C1E2">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r>
                    <w:rPr>
                      <w:rFonts w:hint="eastAsia"/>
                      <w:color w:val="auto"/>
                      <w:sz w:val="21"/>
                      <w:szCs w:val="21"/>
                      <w:lang w:bidi="ar"/>
                    </w:rPr>
                    <w:t>否</w:t>
                  </w:r>
                </w:p>
              </w:tc>
              <w:tc>
                <w:tcPr>
                  <w:tcW w:w="896" w:type="pct"/>
                  <w:noWrap w:val="0"/>
                  <w:vAlign w:val="center"/>
                </w:tcPr>
                <w:p w14:paraId="42EEE1A2">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val="en-US" w:eastAsia="zh-CN" w:bidi="ar"/>
                    </w:rPr>
                  </w:pPr>
                  <w:r>
                    <w:rPr>
                      <w:rFonts w:hint="eastAsia"/>
                      <w:color w:val="auto"/>
                      <w:sz w:val="21"/>
                      <w:szCs w:val="21"/>
                      <w:lang w:val="en-US" w:eastAsia="zh-CN" w:bidi="ar"/>
                    </w:rPr>
                    <w:t>/</w:t>
                  </w:r>
                </w:p>
              </w:tc>
            </w:tr>
            <w:tr w14:paraId="0578FB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68" w:hRule="atLeast"/>
                <w:jc w:val="center"/>
              </w:trPr>
              <w:tc>
                <w:tcPr>
                  <w:tcW w:w="335" w:type="pct"/>
                  <w:gridSpan w:val="2"/>
                  <w:vMerge w:val="continue"/>
                  <w:noWrap w:val="0"/>
                  <w:vAlign w:val="center"/>
                </w:tcPr>
                <w:p w14:paraId="1D310D7F">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eastAsia="zh-CN" w:bidi="ar"/>
                    </w:rPr>
                  </w:pPr>
                </w:p>
              </w:tc>
              <w:tc>
                <w:tcPr>
                  <w:tcW w:w="720" w:type="pct"/>
                  <w:noWrap w:val="0"/>
                  <w:vAlign w:val="center"/>
                </w:tcPr>
                <w:p w14:paraId="2BFF8363">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eastAsia="zh-CN" w:bidi="ar"/>
                    </w:rPr>
                  </w:pPr>
                  <w:r>
                    <w:rPr>
                      <w:rFonts w:hint="eastAsia"/>
                      <w:color w:val="auto"/>
                      <w:sz w:val="21"/>
                      <w:szCs w:val="21"/>
                      <w:lang w:eastAsia="zh-CN" w:bidi="ar"/>
                    </w:rPr>
                    <w:t>制冷剂</w:t>
                  </w:r>
                </w:p>
              </w:tc>
              <w:tc>
                <w:tcPr>
                  <w:tcW w:w="967" w:type="pct"/>
                  <w:noWrap w:val="0"/>
                  <w:vAlign w:val="center"/>
                </w:tcPr>
                <w:p w14:paraId="0C5C6603">
                  <w:pPr>
                    <w:keepNext w:val="0"/>
                    <w:keepLines w:val="0"/>
                    <w:suppressLineNumbers w:val="0"/>
                    <w:adjustRightInd w:val="0"/>
                    <w:snapToGrid w:val="0"/>
                    <w:spacing w:before="0" w:beforeAutospacing="0" w:after="0" w:afterAutospacing="0"/>
                    <w:ind w:left="0" w:right="0"/>
                    <w:jc w:val="center"/>
                    <w:rPr>
                      <w:rFonts w:hint="default"/>
                      <w:color w:val="auto"/>
                      <w:sz w:val="21"/>
                      <w:szCs w:val="21"/>
                      <w:lang w:val="en-US" w:eastAsia="zh-CN" w:bidi="ar"/>
                    </w:rPr>
                  </w:pPr>
                  <w:r>
                    <w:rPr>
                      <w:rFonts w:hint="eastAsia"/>
                      <w:color w:val="auto"/>
                      <w:sz w:val="21"/>
                      <w:szCs w:val="21"/>
                      <w:lang w:val="en-US" w:eastAsia="zh-CN" w:bidi="ar"/>
                    </w:rPr>
                    <w:t>CO</w:t>
                  </w:r>
                  <w:r>
                    <w:rPr>
                      <w:rFonts w:hint="eastAsia"/>
                      <w:color w:val="auto"/>
                      <w:sz w:val="21"/>
                      <w:szCs w:val="21"/>
                      <w:vertAlign w:val="subscript"/>
                      <w:lang w:val="en-US" w:eastAsia="zh-CN" w:bidi="ar"/>
                    </w:rPr>
                    <w:t>2</w:t>
                  </w:r>
                </w:p>
              </w:tc>
              <w:tc>
                <w:tcPr>
                  <w:tcW w:w="1147" w:type="pct"/>
                  <w:noWrap w:val="0"/>
                  <w:vAlign w:val="center"/>
                </w:tcPr>
                <w:p w14:paraId="13760BAA">
                  <w:pPr>
                    <w:keepNext w:val="0"/>
                    <w:keepLines w:val="0"/>
                    <w:suppressLineNumbers w:val="0"/>
                    <w:adjustRightInd w:val="0"/>
                    <w:snapToGrid w:val="0"/>
                    <w:spacing w:before="0" w:beforeAutospacing="0" w:after="0" w:afterAutospacing="0"/>
                    <w:ind w:left="0" w:right="0"/>
                    <w:jc w:val="center"/>
                    <w:rPr>
                      <w:rFonts w:hint="default"/>
                      <w:color w:val="auto"/>
                      <w:sz w:val="21"/>
                      <w:szCs w:val="21"/>
                      <w:lang w:bidi="ar"/>
                    </w:rPr>
                  </w:pPr>
                  <w:r>
                    <w:rPr>
                      <w:rFonts w:hint="default"/>
                      <w:color w:val="auto"/>
                      <w:sz w:val="21"/>
                      <w:szCs w:val="21"/>
                      <w:lang w:bidi="ar"/>
                    </w:rPr>
                    <w:t>124-38-9</w:t>
                  </w:r>
                </w:p>
              </w:tc>
              <w:tc>
                <w:tcPr>
                  <w:tcW w:w="591" w:type="pct"/>
                  <w:noWrap w:val="0"/>
                  <w:vAlign w:val="center"/>
                </w:tcPr>
                <w:p w14:paraId="73065CE4">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val="en-US" w:eastAsia="zh-CN" w:bidi="ar"/>
                    </w:rPr>
                  </w:pPr>
                  <w:r>
                    <w:rPr>
                      <w:rFonts w:hint="eastAsia"/>
                      <w:color w:val="auto"/>
                      <w:sz w:val="21"/>
                      <w:szCs w:val="21"/>
                      <w:lang w:val="en-US" w:eastAsia="zh-CN" w:bidi="ar"/>
                    </w:rPr>
                    <w:t>/</w:t>
                  </w:r>
                </w:p>
              </w:tc>
              <w:tc>
                <w:tcPr>
                  <w:tcW w:w="342" w:type="pct"/>
                  <w:noWrap w:val="0"/>
                  <w:vAlign w:val="center"/>
                </w:tcPr>
                <w:p w14:paraId="62CE36CE">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eastAsia="zh-CN" w:bidi="ar"/>
                    </w:rPr>
                  </w:pPr>
                  <w:r>
                    <w:rPr>
                      <w:rFonts w:hint="eastAsia"/>
                      <w:color w:val="auto"/>
                      <w:sz w:val="21"/>
                      <w:szCs w:val="21"/>
                      <w:lang w:eastAsia="zh-CN" w:bidi="ar"/>
                    </w:rPr>
                    <w:t>否</w:t>
                  </w:r>
                </w:p>
              </w:tc>
              <w:tc>
                <w:tcPr>
                  <w:tcW w:w="896" w:type="pct"/>
                  <w:noWrap w:val="0"/>
                  <w:vAlign w:val="center"/>
                </w:tcPr>
                <w:p w14:paraId="48521C86">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val="en-US" w:eastAsia="zh-CN" w:bidi="ar"/>
                    </w:rPr>
                  </w:pPr>
                  <w:r>
                    <w:rPr>
                      <w:rFonts w:hint="eastAsia"/>
                      <w:color w:val="auto"/>
                      <w:sz w:val="21"/>
                      <w:szCs w:val="21"/>
                      <w:lang w:val="en-US" w:eastAsia="zh-CN" w:bidi="ar"/>
                    </w:rPr>
                    <w:t>/</w:t>
                  </w:r>
                </w:p>
              </w:tc>
            </w:tr>
            <w:tr w14:paraId="00FC6C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33" w:hRule="atLeast"/>
                <w:jc w:val="center"/>
              </w:trPr>
              <w:tc>
                <w:tcPr>
                  <w:tcW w:w="159" w:type="pct"/>
                  <w:vMerge w:val="restart"/>
                  <w:noWrap w:val="0"/>
                  <w:vAlign w:val="center"/>
                </w:tcPr>
                <w:p w14:paraId="5FF415A6">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r>
                    <w:rPr>
                      <w:rFonts w:hint="eastAsia"/>
                      <w:color w:val="auto"/>
                      <w:sz w:val="21"/>
                      <w:szCs w:val="21"/>
                      <w:lang w:bidi="ar"/>
                    </w:rPr>
                    <w:t>三废</w:t>
                  </w:r>
                </w:p>
              </w:tc>
              <w:tc>
                <w:tcPr>
                  <w:tcW w:w="175" w:type="pct"/>
                  <w:noWrap w:val="0"/>
                  <w:vAlign w:val="center"/>
                </w:tcPr>
                <w:p w14:paraId="029585AF">
                  <w:pPr>
                    <w:keepNext w:val="0"/>
                    <w:keepLines w:val="0"/>
                    <w:suppressLineNumbers w:val="0"/>
                    <w:adjustRightInd w:val="0"/>
                    <w:snapToGrid w:val="0"/>
                    <w:spacing w:before="0" w:beforeAutospacing="0" w:after="0" w:afterAutospacing="0"/>
                    <w:ind w:left="0" w:right="0"/>
                    <w:jc w:val="center"/>
                    <w:rPr>
                      <w:rFonts w:hint="default" w:eastAsia="宋体"/>
                      <w:color w:val="auto"/>
                      <w:sz w:val="21"/>
                      <w:szCs w:val="21"/>
                      <w:lang w:val="en-US" w:eastAsia="zh-CN" w:bidi="ar"/>
                    </w:rPr>
                  </w:pPr>
                  <w:r>
                    <w:rPr>
                      <w:rFonts w:hint="eastAsia"/>
                      <w:color w:val="auto"/>
                      <w:sz w:val="21"/>
                      <w:szCs w:val="21"/>
                      <w:lang w:val="en-US" w:eastAsia="zh-CN" w:bidi="ar"/>
                    </w:rPr>
                    <w:t>废水</w:t>
                  </w:r>
                </w:p>
              </w:tc>
              <w:tc>
                <w:tcPr>
                  <w:tcW w:w="720" w:type="pct"/>
                  <w:noWrap w:val="0"/>
                  <w:vAlign w:val="center"/>
                </w:tcPr>
                <w:p w14:paraId="7CA0AF30">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eastAsia="zh-CN" w:bidi="ar"/>
                    </w:rPr>
                  </w:pPr>
                  <w:r>
                    <w:rPr>
                      <w:rFonts w:hint="eastAsia"/>
                      <w:color w:val="auto"/>
                      <w:sz w:val="21"/>
                      <w:szCs w:val="21"/>
                      <w:lang w:eastAsia="zh-CN" w:bidi="ar"/>
                    </w:rPr>
                    <w:t>生活污水</w:t>
                  </w:r>
                </w:p>
              </w:tc>
              <w:tc>
                <w:tcPr>
                  <w:tcW w:w="967" w:type="pct"/>
                  <w:noWrap w:val="0"/>
                  <w:vAlign w:val="center"/>
                </w:tcPr>
                <w:p w14:paraId="1C6B4480">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eastAsia="zh-CN" w:bidi="ar"/>
                    </w:rPr>
                  </w:pPr>
                  <w:r>
                    <w:rPr>
                      <w:rFonts w:hint="eastAsia"/>
                      <w:color w:val="auto"/>
                      <w:sz w:val="21"/>
                      <w:szCs w:val="21"/>
                      <w:lang w:bidi="ar"/>
                    </w:rPr>
                    <w:t>COD、</w:t>
                  </w:r>
                  <w:r>
                    <w:rPr>
                      <w:rFonts w:hint="eastAsia"/>
                      <w:color w:val="auto"/>
                      <w:sz w:val="21"/>
                      <w:szCs w:val="21"/>
                      <w:lang w:eastAsia="zh-CN" w:bidi="ar"/>
                    </w:rPr>
                    <w:t>总磷</w:t>
                  </w:r>
                </w:p>
              </w:tc>
              <w:tc>
                <w:tcPr>
                  <w:tcW w:w="1147" w:type="pct"/>
                  <w:noWrap w:val="0"/>
                  <w:vAlign w:val="center"/>
                </w:tcPr>
                <w:p w14:paraId="195842C0">
                  <w:pPr>
                    <w:keepNext w:val="0"/>
                    <w:keepLines w:val="0"/>
                    <w:suppressLineNumbers w:val="0"/>
                    <w:adjustRightInd w:val="0"/>
                    <w:snapToGrid w:val="0"/>
                    <w:spacing w:before="0" w:beforeAutospacing="0" w:after="0" w:afterAutospacing="0"/>
                    <w:ind w:left="0" w:right="0"/>
                    <w:jc w:val="center"/>
                    <w:rPr>
                      <w:rFonts w:hint="default"/>
                      <w:color w:val="auto"/>
                      <w:sz w:val="21"/>
                      <w:szCs w:val="21"/>
                      <w:lang w:bidi="ar"/>
                    </w:rPr>
                  </w:pPr>
                  <w:r>
                    <w:rPr>
                      <w:rFonts w:hint="eastAsia"/>
                      <w:color w:val="auto"/>
                      <w:sz w:val="21"/>
                      <w:szCs w:val="21"/>
                      <w:lang w:bidi="ar"/>
                    </w:rPr>
                    <w:t>/</w:t>
                  </w:r>
                </w:p>
              </w:tc>
              <w:tc>
                <w:tcPr>
                  <w:tcW w:w="591" w:type="pct"/>
                  <w:noWrap w:val="0"/>
                  <w:vAlign w:val="center"/>
                </w:tcPr>
                <w:p w14:paraId="2784B788">
                  <w:pPr>
                    <w:keepNext w:val="0"/>
                    <w:keepLines w:val="0"/>
                    <w:suppressLineNumbers w:val="0"/>
                    <w:adjustRightInd w:val="0"/>
                    <w:snapToGrid w:val="0"/>
                    <w:spacing w:before="0" w:beforeAutospacing="0" w:after="0" w:afterAutospacing="0"/>
                    <w:ind w:left="0" w:right="0"/>
                    <w:jc w:val="center"/>
                    <w:rPr>
                      <w:rFonts w:hint="default"/>
                      <w:color w:val="auto"/>
                      <w:sz w:val="21"/>
                      <w:szCs w:val="21"/>
                      <w:lang w:bidi="ar"/>
                    </w:rPr>
                  </w:pPr>
                  <w:r>
                    <w:rPr>
                      <w:rFonts w:hint="eastAsia"/>
                      <w:color w:val="auto"/>
                      <w:sz w:val="21"/>
                      <w:szCs w:val="21"/>
                      <w:lang w:bidi="ar"/>
                    </w:rPr>
                    <w:t>/</w:t>
                  </w:r>
                </w:p>
              </w:tc>
              <w:tc>
                <w:tcPr>
                  <w:tcW w:w="342" w:type="pct"/>
                  <w:noWrap w:val="0"/>
                  <w:vAlign w:val="center"/>
                </w:tcPr>
                <w:p w14:paraId="0B16050F">
                  <w:pPr>
                    <w:keepNext w:val="0"/>
                    <w:keepLines w:val="0"/>
                    <w:suppressLineNumbers w:val="0"/>
                    <w:adjustRightInd w:val="0"/>
                    <w:snapToGrid w:val="0"/>
                    <w:spacing w:before="0" w:beforeAutospacing="0" w:after="0" w:afterAutospacing="0"/>
                    <w:ind w:left="0" w:right="0"/>
                    <w:jc w:val="center"/>
                    <w:rPr>
                      <w:rFonts w:hint="default"/>
                      <w:color w:val="auto"/>
                      <w:sz w:val="21"/>
                      <w:szCs w:val="21"/>
                      <w:lang w:bidi="ar"/>
                    </w:rPr>
                  </w:pPr>
                  <w:r>
                    <w:rPr>
                      <w:rFonts w:hint="eastAsia"/>
                      <w:color w:val="auto"/>
                      <w:sz w:val="21"/>
                      <w:szCs w:val="21"/>
                      <w:lang w:bidi="ar"/>
                    </w:rPr>
                    <w:t>否</w:t>
                  </w:r>
                </w:p>
              </w:tc>
              <w:tc>
                <w:tcPr>
                  <w:tcW w:w="896" w:type="pct"/>
                  <w:noWrap w:val="0"/>
                  <w:vAlign w:val="center"/>
                </w:tcPr>
                <w:p w14:paraId="74EE6078">
                  <w:pPr>
                    <w:keepNext w:val="0"/>
                    <w:keepLines w:val="0"/>
                    <w:suppressLineNumbers w:val="0"/>
                    <w:adjustRightInd w:val="0"/>
                    <w:snapToGrid w:val="0"/>
                    <w:spacing w:before="0" w:beforeAutospacing="0" w:after="0" w:afterAutospacing="0"/>
                    <w:ind w:left="0" w:right="0"/>
                    <w:jc w:val="center"/>
                    <w:rPr>
                      <w:rFonts w:hint="default"/>
                      <w:color w:val="auto"/>
                      <w:sz w:val="21"/>
                      <w:szCs w:val="21"/>
                      <w:lang w:bidi="ar"/>
                    </w:rPr>
                  </w:pPr>
                  <w:r>
                    <w:rPr>
                      <w:rFonts w:hint="eastAsia"/>
                      <w:color w:val="auto"/>
                      <w:sz w:val="21"/>
                      <w:szCs w:val="21"/>
                      <w:lang w:bidi="ar"/>
                    </w:rPr>
                    <w:t>/</w:t>
                  </w:r>
                </w:p>
              </w:tc>
            </w:tr>
            <w:tr w14:paraId="2BA62C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33" w:hRule="atLeast"/>
                <w:jc w:val="center"/>
              </w:trPr>
              <w:tc>
                <w:tcPr>
                  <w:tcW w:w="159" w:type="pct"/>
                  <w:vMerge w:val="continue"/>
                  <w:noWrap w:val="0"/>
                  <w:vAlign w:val="center"/>
                </w:tcPr>
                <w:p w14:paraId="34649F8F">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p>
              </w:tc>
              <w:tc>
                <w:tcPr>
                  <w:tcW w:w="175" w:type="pct"/>
                  <w:noWrap w:val="0"/>
                  <w:vAlign w:val="center"/>
                </w:tcPr>
                <w:p w14:paraId="4CBF64D5">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val="en-US" w:eastAsia="zh-CN" w:bidi="ar"/>
                    </w:rPr>
                  </w:pPr>
                  <w:r>
                    <w:rPr>
                      <w:rFonts w:hint="eastAsia"/>
                      <w:color w:val="auto"/>
                      <w:sz w:val="21"/>
                      <w:szCs w:val="21"/>
                      <w:lang w:val="en-US" w:eastAsia="zh-CN" w:bidi="ar"/>
                    </w:rPr>
                    <w:t>废气</w:t>
                  </w:r>
                </w:p>
              </w:tc>
              <w:tc>
                <w:tcPr>
                  <w:tcW w:w="720" w:type="pct"/>
                  <w:noWrap w:val="0"/>
                  <w:vAlign w:val="center"/>
                </w:tcPr>
                <w:p w14:paraId="43A2CDA4">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eastAsia="zh-CN" w:bidi="ar"/>
                    </w:rPr>
                  </w:pPr>
                  <w:r>
                    <w:rPr>
                      <w:rFonts w:hint="eastAsia" w:eastAsia="宋体"/>
                      <w:color w:val="auto"/>
                      <w:sz w:val="21"/>
                      <w:szCs w:val="21"/>
                      <w:lang w:eastAsia="zh-CN" w:bidi="ar"/>
                    </w:rPr>
                    <w:t>非甲烷总烃</w:t>
                  </w:r>
                </w:p>
              </w:tc>
              <w:tc>
                <w:tcPr>
                  <w:tcW w:w="967" w:type="pct"/>
                  <w:noWrap w:val="0"/>
                  <w:vAlign w:val="center"/>
                </w:tcPr>
                <w:p w14:paraId="4D2F90A3">
                  <w:pPr>
                    <w:keepNext w:val="0"/>
                    <w:keepLines w:val="0"/>
                    <w:suppressLineNumbers w:val="0"/>
                    <w:adjustRightInd w:val="0"/>
                    <w:snapToGrid w:val="0"/>
                    <w:spacing w:before="0" w:beforeAutospacing="0" w:after="0" w:afterAutospacing="0"/>
                    <w:ind w:left="0" w:right="0"/>
                    <w:jc w:val="center"/>
                    <w:rPr>
                      <w:rFonts w:hint="default" w:eastAsia="宋体"/>
                      <w:color w:val="auto"/>
                      <w:sz w:val="21"/>
                      <w:szCs w:val="21"/>
                      <w:lang w:val="en-US" w:eastAsia="zh-CN" w:bidi="ar"/>
                    </w:rPr>
                  </w:pPr>
                  <w:r>
                    <w:rPr>
                      <w:rFonts w:hint="eastAsia" w:eastAsia="宋体"/>
                      <w:color w:val="auto"/>
                      <w:sz w:val="21"/>
                      <w:szCs w:val="21"/>
                      <w:lang w:eastAsia="zh-CN" w:bidi="ar"/>
                    </w:rPr>
                    <w:t>非甲烷总烃</w:t>
                  </w:r>
                </w:p>
              </w:tc>
              <w:tc>
                <w:tcPr>
                  <w:tcW w:w="1147" w:type="pct"/>
                  <w:noWrap w:val="0"/>
                  <w:vAlign w:val="center"/>
                </w:tcPr>
                <w:p w14:paraId="3DDBC65F">
                  <w:pPr>
                    <w:keepNext w:val="0"/>
                    <w:keepLines w:val="0"/>
                    <w:suppressLineNumbers w:val="0"/>
                    <w:adjustRightInd w:val="0"/>
                    <w:snapToGrid w:val="0"/>
                    <w:spacing w:before="0" w:beforeAutospacing="0" w:after="0" w:afterAutospacing="0"/>
                    <w:ind w:left="0" w:right="0"/>
                    <w:jc w:val="center"/>
                    <w:rPr>
                      <w:rFonts w:hint="default"/>
                      <w:color w:val="auto"/>
                      <w:sz w:val="21"/>
                      <w:szCs w:val="21"/>
                      <w:lang w:bidi="ar"/>
                    </w:rPr>
                  </w:pPr>
                  <w:r>
                    <w:rPr>
                      <w:rFonts w:hint="eastAsia"/>
                      <w:color w:val="auto"/>
                      <w:sz w:val="21"/>
                      <w:szCs w:val="21"/>
                      <w:lang w:bidi="ar"/>
                    </w:rPr>
                    <w:t>/</w:t>
                  </w:r>
                </w:p>
              </w:tc>
              <w:tc>
                <w:tcPr>
                  <w:tcW w:w="591" w:type="pct"/>
                  <w:noWrap w:val="0"/>
                  <w:vAlign w:val="center"/>
                </w:tcPr>
                <w:p w14:paraId="3B0B8503">
                  <w:pPr>
                    <w:keepNext w:val="0"/>
                    <w:keepLines w:val="0"/>
                    <w:suppressLineNumbers w:val="0"/>
                    <w:adjustRightInd w:val="0"/>
                    <w:snapToGrid w:val="0"/>
                    <w:spacing w:before="0" w:beforeAutospacing="0" w:after="0" w:afterAutospacing="0"/>
                    <w:ind w:left="0" w:right="0"/>
                    <w:jc w:val="center"/>
                    <w:rPr>
                      <w:rFonts w:hint="default"/>
                      <w:color w:val="auto"/>
                      <w:sz w:val="21"/>
                      <w:szCs w:val="21"/>
                      <w:lang w:bidi="ar"/>
                    </w:rPr>
                  </w:pPr>
                  <w:r>
                    <w:rPr>
                      <w:rFonts w:hint="eastAsia"/>
                      <w:color w:val="auto"/>
                      <w:sz w:val="21"/>
                      <w:szCs w:val="21"/>
                      <w:lang w:bidi="ar"/>
                    </w:rPr>
                    <w:t>/</w:t>
                  </w:r>
                </w:p>
              </w:tc>
              <w:tc>
                <w:tcPr>
                  <w:tcW w:w="342" w:type="pct"/>
                  <w:noWrap w:val="0"/>
                  <w:vAlign w:val="center"/>
                </w:tcPr>
                <w:p w14:paraId="79072890">
                  <w:pPr>
                    <w:keepNext w:val="0"/>
                    <w:keepLines w:val="0"/>
                    <w:suppressLineNumbers w:val="0"/>
                    <w:adjustRightInd w:val="0"/>
                    <w:snapToGrid w:val="0"/>
                    <w:spacing w:before="0" w:beforeAutospacing="0" w:after="0" w:afterAutospacing="0"/>
                    <w:ind w:left="0" w:right="0"/>
                    <w:jc w:val="center"/>
                    <w:rPr>
                      <w:rFonts w:hint="default"/>
                      <w:color w:val="auto"/>
                      <w:sz w:val="21"/>
                      <w:szCs w:val="21"/>
                      <w:lang w:bidi="ar"/>
                    </w:rPr>
                  </w:pPr>
                  <w:r>
                    <w:rPr>
                      <w:rFonts w:hint="eastAsia"/>
                      <w:color w:val="auto"/>
                      <w:sz w:val="21"/>
                      <w:szCs w:val="21"/>
                      <w:lang w:bidi="ar"/>
                    </w:rPr>
                    <w:t>否</w:t>
                  </w:r>
                </w:p>
              </w:tc>
              <w:tc>
                <w:tcPr>
                  <w:tcW w:w="896" w:type="pct"/>
                  <w:noWrap w:val="0"/>
                  <w:vAlign w:val="center"/>
                </w:tcPr>
                <w:p w14:paraId="3DCFF1F1">
                  <w:pPr>
                    <w:keepNext w:val="0"/>
                    <w:keepLines w:val="0"/>
                    <w:suppressLineNumbers w:val="0"/>
                    <w:adjustRightInd w:val="0"/>
                    <w:snapToGrid w:val="0"/>
                    <w:spacing w:before="0" w:beforeAutospacing="0" w:after="0" w:afterAutospacing="0"/>
                    <w:ind w:left="0" w:right="0"/>
                    <w:jc w:val="center"/>
                    <w:rPr>
                      <w:rFonts w:hint="default"/>
                      <w:color w:val="auto"/>
                      <w:sz w:val="21"/>
                      <w:szCs w:val="21"/>
                      <w:lang w:bidi="ar"/>
                    </w:rPr>
                  </w:pPr>
                  <w:r>
                    <w:rPr>
                      <w:rFonts w:hint="eastAsia"/>
                      <w:color w:val="auto"/>
                      <w:sz w:val="21"/>
                      <w:szCs w:val="21"/>
                      <w:lang w:bidi="ar"/>
                    </w:rPr>
                    <w:t>/</w:t>
                  </w:r>
                </w:p>
              </w:tc>
            </w:tr>
            <w:tr w14:paraId="36EC62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59" w:type="pct"/>
                  <w:vMerge w:val="continue"/>
                  <w:noWrap w:val="0"/>
                  <w:vAlign w:val="center"/>
                </w:tcPr>
                <w:p w14:paraId="57B1D7BA">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p>
              </w:tc>
              <w:tc>
                <w:tcPr>
                  <w:tcW w:w="175" w:type="pct"/>
                  <w:vMerge w:val="restart"/>
                  <w:noWrap w:val="0"/>
                  <w:vAlign w:val="center"/>
                </w:tcPr>
                <w:p w14:paraId="77A8B0EC">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val="en-US" w:eastAsia="zh-CN" w:bidi="ar"/>
                    </w:rPr>
                  </w:pPr>
                  <w:r>
                    <w:rPr>
                      <w:rFonts w:hint="eastAsia"/>
                      <w:color w:val="auto"/>
                      <w:sz w:val="21"/>
                      <w:szCs w:val="21"/>
                      <w:lang w:val="en-US" w:eastAsia="zh-CN" w:bidi="ar"/>
                    </w:rPr>
                    <w:t>一般固体废物</w:t>
                  </w:r>
                </w:p>
              </w:tc>
              <w:tc>
                <w:tcPr>
                  <w:tcW w:w="720" w:type="pct"/>
                  <w:noWrap w:val="0"/>
                  <w:vAlign w:val="center"/>
                </w:tcPr>
                <w:p w14:paraId="2B62739A">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eastAsia="zh-CN" w:bidi="ar"/>
                    </w:rPr>
                  </w:pPr>
                  <w:r>
                    <w:rPr>
                      <w:rFonts w:hint="eastAsia"/>
                      <w:color w:val="auto"/>
                      <w:sz w:val="21"/>
                      <w:szCs w:val="21"/>
                      <w:lang w:eastAsia="zh-CN" w:bidi="ar"/>
                    </w:rPr>
                    <w:t>废包装物</w:t>
                  </w:r>
                </w:p>
              </w:tc>
              <w:tc>
                <w:tcPr>
                  <w:tcW w:w="967" w:type="pct"/>
                  <w:noWrap w:val="0"/>
                  <w:vAlign w:val="center"/>
                </w:tcPr>
                <w:p w14:paraId="2F8DAFCE">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eastAsia="zh-CN" w:bidi="ar"/>
                    </w:rPr>
                  </w:pPr>
                  <w:r>
                    <w:rPr>
                      <w:rFonts w:hint="eastAsia"/>
                      <w:color w:val="auto"/>
                      <w:sz w:val="21"/>
                      <w:szCs w:val="21"/>
                      <w:lang w:eastAsia="zh-CN" w:bidi="ar"/>
                    </w:rPr>
                    <w:t>塑料</w:t>
                  </w:r>
                </w:p>
              </w:tc>
              <w:tc>
                <w:tcPr>
                  <w:tcW w:w="1147" w:type="pct"/>
                  <w:noWrap w:val="0"/>
                  <w:vAlign w:val="center"/>
                </w:tcPr>
                <w:p w14:paraId="046B9BD1">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val="en-US" w:eastAsia="zh-CN" w:bidi="ar"/>
                    </w:rPr>
                  </w:pPr>
                  <w:r>
                    <w:rPr>
                      <w:rFonts w:hint="eastAsia"/>
                      <w:color w:val="auto"/>
                      <w:sz w:val="21"/>
                      <w:szCs w:val="21"/>
                      <w:lang w:bidi="ar"/>
                    </w:rPr>
                    <w:t>/</w:t>
                  </w:r>
                </w:p>
              </w:tc>
              <w:tc>
                <w:tcPr>
                  <w:tcW w:w="591" w:type="pct"/>
                  <w:noWrap w:val="0"/>
                  <w:vAlign w:val="center"/>
                </w:tcPr>
                <w:p w14:paraId="3C0E8F16">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val="en-US" w:eastAsia="zh-CN" w:bidi="ar"/>
                    </w:rPr>
                  </w:pPr>
                  <w:r>
                    <w:rPr>
                      <w:rFonts w:hint="eastAsia"/>
                      <w:color w:val="auto"/>
                      <w:sz w:val="21"/>
                      <w:szCs w:val="21"/>
                      <w:lang w:bidi="ar"/>
                    </w:rPr>
                    <w:t>/</w:t>
                  </w:r>
                </w:p>
              </w:tc>
              <w:tc>
                <w:tcPr>
                  <w:tcW w:w="342" w:type="pct"/>
                  <w:noWrap w:val="0"/>
                  <w:vAlign w:val="center"/>
                </w:tcPr>
                <w:p w14:paraId="3D56C412">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r>
                    <w:rPr>
                      <w:rFonts w:hint="eastAsia"/>
                      <w:color w:val="auto"/>
                      <w:sz w:val="21"/>
                      <w:szCs w:val="21"/>
                      <w:lang w:bidi="ar"/>
                    </w:rPr>
                    <w:t>否</w:t>
                  </w:r>
                </w:p>
              </w:tc>
              <w:tc>
                <w:tcPr>
                  <w:tcW w:w="896" w:type="pct"/>
                  <w:noWrap w:val="0"/>
                  <w:vAlign w:val="center"/>
                </w:tcPr>
                <w:p w14:paraId="67A05E43">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val="en-US" w:eastAsia="zh-CN" w:bidi="ar"/>
                    </w:rPr>
                  </w:pPr>
                  <w:r>
                    <w:rPr>
                      <w:rFonts w:hint="eastAsia"/>
                      <w:color w:val="auto"/>
                      <w:sz w:val="21"/>
                      <w:szCs w:val="21"/>
                      <w:lang w:bidi="ar"/>
                    </w:rPr>
                    <w:t>/</w:t>
                  </w:r>
                </w:p>
              </w:tc>
            </w:tr>
            <w:tr w14:paraId="7A013E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59" w:type="pct"/>
                  <w:vMerge w:val="continue"/>
                  <w:noWrap w:val="0"/>
                  <w:vAlign w:val="center"/>
                </w:tcPr>
                <w:p w14:paraId="074C9F56">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p>
              </w:tc>
              <w:tc>
                <w:tcPr>
                  <w:tcW w:w="175" w:type="pct"/>
                  <w:vMerge w:val="continue"/>
                  <w:noWrap w:val="0"/>
                  <w:vAlign w:val="center"/>
                </w:tcPr>
                <w:p w14:paraId="6DE1BF1C">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val="en-US" w:eastAsia="zh-CN" w:bidi="ar"/>
                    </w:rPr>
                  </w:pPr>
                </w:p>
              </w:tc>
              <w:tc>
                <w:tcPr>
                  <w:tcW w:w="720" w:type="pct"/>
                  <w:noWrap w:val="0"/>
                  <w:vAlign w:val="center"/>
                </w:tcPr>
                <w:p w14:paraId="4A449895">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eastAsia="zh-CN" w:bidi="ar"/>
                    </w:rPr>
                  </w:pPr>
                  <w:r>
                    <w:rPr>
                      <w:rFonts w:hint="eastAsia" w:eastAsia="宋体"/>
                      <w:color w:val="auto"/>
                      <w:sz w:val="21"/>
                      <w:szCs w:val="21"/>
                      <w:lang w:eastAsia="zh-CN" w:bidi="ar"/>
                    </w:rPr>
                    <w:t>边角料、不合格产品</w:t>
                  </w:r>
                </w:p>
              </w:tc>
              <w:tc>
                <w:tcPr>
                  <w:tcW w:w="967" w:type="pct"/>
                  <w:noWrap w:val="0"/>
                  <w:vAlign w:val="center"/>
                </w:tcPr>
                <w:p w14:paraId="43316BB5">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eastAsia="zh-CN" w:bidi="ar"/>
                    </w:rPr>
                  </w:pPr>
                  <w:r>
                    <w:rPr>
                      <w:rFonts w:hint="eastAsia"/>
                      <w:color w:val="auto"/>
                      <w:sz w:val="21"/>
                      <w:szCs w:val="21"/>
                      <w:lang w:eastAsia="zh-CN" w:bidi="ar"/>
                    </w:rPr>
                    <w:t>聚丙烯、热熔胶、丙纶丝、聚乙烯丝</w:t>
                  </w:r>
                </w:p>
              </w:tc>
              <w:tc>
                <w:tcPr>
                  <w:tcW w:w="1147" w:type="pct"/>
                  <w:noWrap w:val="0"/>
                  <w:vAlign w:val="center"/>
                </w:tcPr>
                <w:p w14:paraId="78F7FE93">
                  <w:pPr>
                    <w:keepNext w:val="0"/>
                    <w:keepLines w:val="0"/>
                    <w:suppressLineNumbers w:val="0"/>
                    <w:adjustRightInd w:val="0"/>
                    <w:snapToGrid w:val="0"/>
                    <w:spacing w:before="0" w:beforeAutospacing="0" w:after="0" w:afterAutospacing="0"/>
                    <w:ind w:left="0" w:right="0"/>
                    <w:jc w:val="center"/>
                    <w:rPr>
                      <w:rFonts w:hint="default"/>
                      <w:color w:val="auto"/>
                      <w:sz w:val="21"/>
                      <w:szCs w:val="21"/>
                      <w:lang w:val="en-US" w:eastAsia="zh-CN" w:bidi="ar"/>
                    </w:rPr>
                  </w:pPr>
                  <w:r>
                    <w:rPr>
                      <w:rFonts w:hint="eastAsia"/>
                      <w:color w:val="auto"/>
                      <w:sz w:val="21"/>
                      <w:szCs w:val="21"/>
                      <w:lang w:val="en-US" w:eastAsia="zh-CN" w:bidi="ar"/>
                    </w:rPr>
                    <w:t>/</w:t>
                  </w:r>
                </w:p>
              </w:tc>
              <w:tc>
                <w:tcPr>
                  <w:tcW w:w="591" w:type="pct"/>
                  <w:noWrap w:val="0"/>
                  <w:vAlign w:val="center"/>
                </w:tcPr>
                <w:p w14:paraId="0F55FBED">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val="en-US" w:eastAsia="zh-CN" w:bidi="ar"/>
                    </w:rPr>
                  </w:pPr>
                  <w:r>
                    <w:rPr>
                      <w:rFonts w:hint="eastAsia"/>
                      <w:color w:val="auto"/>
                      <w:sz w:val="21"/>
                      <w:szCs w:val="21"/>
                      <w:lang w:val="en-US" w:eastAsia="zh-CN" w:bidi="ar"/>
                    </w:rPr>
                    <w:t>/</w:t>
                  </w:r>
                </w:p>
              </w:tc>
              <w:tc>
                <w:tcPr>
                  <w:tcW w:w="342" w:type="pct"/>
                  <w:noWrap w:val="0"/>
                  <w:vAlign w:val="center"/>
                </w:tcPr>
                <w:p w14:paraId="0552D67A">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r>
                    <w:rPr>
                      <w:rFonts w:hint="eastAsia"/>
                      <w:color w:val="auto"/>
                      <w:sz w:val="21"/>
                      <w:szCs w:val="21"/>
                      <w:lang w:bidi="ar"/>
                    </w:rPr>
                    <w:t>否</w:t>
                  </w:r>
                </w:p>
              </w:tc>
              <w:tc>
                <w:tcPr>
                  <w:tcW w:w="896" w:type="pct"/>
                  <w:noWrap w:val="0"/>
                  <w:vAlign w:val="center"/>
                </w:tcPr>
                <w:p w14:paraId="25619A62">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val="en-US" w:eastAsia="zh-CN" w:bidi="ar"/>
                    </w:rPr>
                  </w:pPr>
                  <w:r>
                    <w:rPr>
                      <w:rFonts w:hint="eastAsia"/>
                      <w:color w:val="auto"/>
                      <w:sz w:val="21"/>
                      <w:szCs w:val="21"/>
                      <w:lang w:val="en-US" w:eastAsia="zh-CN" w:bidi="ar"/>
                    </w:rPr>
                    <w:t>/</w:t>
                  </w:r>
                </w:p>
              </w:tc>
            </w:tr>
            <w:tr w14:paraId="71498F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59" w:type="pct"/>
                  <w:vMerge w:val="continue"/>
                  <w:noWrap w:val="0"/>
                  <w:vAlign w:val="center"/>
                </w:tcPr>
                <w:p w14:paraId="65B3B995">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p>
              </w:tc>
              <w:tc>
                <w:tcPr>
                  <w:tcW w:w="175" w:type="pct"/>
                  <w:vMerge w:val="continue"/>
                  <w:noWrap w:val="0"/>
                  <w:vAlign w:val="center"/>
                </w:tcPr>
                <w:p w14:paraId="05ADC89D">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val="en-US" w:eastAsia="zh-CN" w:bidi="ar"/>
                    </w:rPr>
                  </w:pPr>
                </w:p>
              </w:tc>
              <w:tc>
                <w:tcPr>
                  <w:tcW w:w="720" w:type="pct"/>
                  <w:noWrap w:val="0"/>
                  <w:vAlign w:val="center"/>
                </w:tcPr>
                <w:p w14:paraId="4D427B33">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eastAsia="zh-CN" w:bidi="ar"/>
                    </w:rPr>
                  </w:pPr>
                  <w:r>
                    <w:rPr>
                      <w:rFonts w:hint="eastAsia"/>
                      <w:color w:val="auto"/>
                      <w:sz w:val="21"/>
                      <w:szCs w:val="21"/>
                      <w:lang w:eastAsia="zh-CN" w:bidi="ar"/>
                    </w:rPr>
                    <w:t>废过滤器</w:t>
                  </w:r>
                </w:p>
              </w:tc>
              <w:tc>
                <w:tcPr>
                  <w:tcW w:w="967" w:type="pct"/>
                  <w:noWrap w:val="0"/>
                  <w:vAlign w:val="center"/>
                </w:tcPr>
                <w:p w14:paraId="697E1F2E">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eastAsia="zh-CN" w:bidi="ar"/>
                    </w:rPr>
                  </w:pPr>
                  <w:r>
                    <w:rPr>
                      <w:rFonts w:hint="eastAsia"/>
                      <w:color w:val="auto"/>
                      <w:sz w:val="21"/>
                      <w:szCs w:val="21"/>
                      <w:lang w:eastAsia="zh-CN" w:bidi="ar"/>
                    </w:rPr>
                    <w:t>油脂，过滤网</w:t>
                  </w:r>
                </w:p>
              </w:tc>
              <w:tc>
                <w:tcPr>
                  <w:tcW w:w="1147" w:type="pct"/>
                  <w:noWrap w:val="0"/>
                  <w:vAlign w:val="center"/>
                </w:tcPr>
                <w:p w14:paraId="06F96C5B">
                  <w:pPr>
                    <w:keepNext w:val="0"/>
                    <w:keepLines w:val="0"/>
                    <w:suppressLineNumbers w:val="0"/>
                    <w:adjustRightInd w:val="0"/>
                    <w:snapToGrid w:val="0"/>
                    <w:spacing w:before="0" w:beforeAutospacing="0" w:after="0" w:afterAutospacing="0"/>
                    <w:ind w:left="0" w:leftChars="0" w:right="0" w:rightChars="0"/>
                    <w:jc w:val="center"/>
                    <w:rPr>
                      <w:rFonts w:hint="eastAsia"/>
                      <w:color w:val="auto"/>
                      <w:sz w:val="21"/>
                      <w:szCs w:val="21"/>
                      <w:lang w:val="en-US" w:eastAsia="zh-CN" w:bidi="ar"/>
                    </w:rPr>
                  </w:pPr>
                  <w:r>
                    <w:rPr>
                      <w:rFonts w:hint="eastAsia"/>
                      <w:color w:val="auto"/>
                      <w:sz w:val="21"/>
                      <w:szCs w:val="21"/>
                      <w:lang w:bidi="ar"/>
                    </w:rPr>
                    <w:t>/</w:t>
                  </w:r>
                </w:p>
              </w:tc>
              <w:tc>
                <w:tcPr>
                  <w:tcW w:w="591" w:type="pct"/>
                  <w:noWrap w:val="0"/>
                  <w:vAlign w:val="center"/>
                </w:tcPr>
                <w:p w14:paraId="78607EA4">
                  <w:pPr>
                    <w:keepNext w:val="0"/>
                    <w:keepLines w:val="0"/>
                    <w:suppressLineNumbers w:val="0"/>
                    <w:adjustRightInd w:val="0"/>
                    <w:snapToGrid w:val="0"/>
                    <w:spacing w:before="0" w:beforeAutospacing="0" w:after="0" w:afterAutospacing="0"/>
                    <w:ind w:left="0" w:leftChars="0" w:right="0" w:rightChars="0"/>
                    <w:jc w:val="center"/>
                    <w:rPr>
                      <w:rFonts w:hint="eastAsia"/>
                      <w:color w:val="auto"/>
                      <w:sz w:val="21"/>
                      <w:szCs w:val="21"/>
                      <w:lang w:val="en-US" w:eastAsia="zh-CN" w:bidi="ar"/>
                    </w:rPr>
                  </w:pPr>
                  <w:r>
                    <w:rPr>
                      <w:rFonts w:hint="eastAsia"/>
                      <w:color w:val="auto"/>
                      <w:sz w:val="21"/>
                      <w:szCs w:val="21"/>
                      <w:lang w:bidi="ar"/>
                    </w:rPr>
                    <w:t>/</w:t>
                  </w:r>
                </w:p>
              </w:tc>
              <w:tc>
                <w:tcPr>
                  <w:tcW w:w="342" w:type="pct"/>
                  <w:noWrap w:val="0"/>
                  <w:vAlign w:val="center"/>
                </w:tcPr>
                <w:p w14:paraId="37C578AD">
                  <w:pPr>
                    <w:keepNext w:val="0"/>
                    <w:keepLines w:val="0"/>
                    <w:suppressLineNumbers w:val="0"/>
                    <w:adjustRightInd w:val="0"/>
                    <w:snapToGrid w:val="0"/>
                    <w:spacing w:before="0" w:beforeAutospacing="0" w:after="0" w:afterAutospacing="0"/>
                    <w:ind w:left="0" w:leftChars="0" w:right="0" w:rightChars="0"/>
                    <w:jc w:val="center"/>
                    <w:rPr>
                      <w:rFonts w:hint="eastAsia"/>
                      <w:color w:val="auto"/>
                      <w:sz w:val="21"/>
                      <w:szCs w:val="21"/>
                      <w:lang w:bidi="ar"/>
                    </w:rPr>
                  </w:pPr>
                  <w:r>
                    <w:rPr>
                      <w:rFonts w:hint="eastAsia"/>
                      <w:color w:val="auto"/>
                      <w:sz w:val="21"/>
                      <w:szCs w:val="21"/>
                      <w:lang w:bidi="ar"/>
                    </w:rPr>
                    <w:t>否</w:t>
                  </w:r>
                </w:p>
              </w:tc>
              <w:tc>
                <w:tcPr>
                  <w:tcW w:w="896" w:type="pct"/>
                  <w:noWrap w:val="0"/>
                  <w:vAlign w:val="center"/>
                </w:tcPr>
                <w:p w14:paraId="15D44C56">
                  <w:pPr>
                    <w:keepNext w:val="0"/>
                    <w:keepLines w:val="0"/>
                    <w:suppressLineNumbers w:val="0"/>
                    <w:adjustRightInd w:val="0"/>
                    <w:snapToGrid w:val="0"/>
                    <w:spacing w:before="0" w:beforeAutospacing="0" w:after="0" w:afterAutospacing="0"/>
                    <w:ind w:left="0" w:leftChars="0" w:right="0" w:rightChars="0"/>
                    <w:jc w:val="center"/>
                    <w:rPr>
                      <w:rFonts w:hint="eastAsia"/>
                      <w:color w:val="auto"/>
                      <w:sz w:val="21"/>
                      <w:szCs w:val="21"/>
                      <w:lang w:val="en-US" w:eastAsia="zh-CN" w:bidi="ar"/>
                    </w:rPr>
                  </w:pPr>
                  <w:r>
                    <w:rPr>
                      <w:rFonts w:hint="eastAsia"/>
                      <w:color w:val="auto"/>
                      <w:sz w:val="21"/>
                      <w:szCs w:val="21"/>
                      <w:lang w:bidi="ar"/>
                    </w:rPr>
                    <w:t>/</w:t>
                  </w:r>
                </w:p>
              </w:tc>
            </w:tr>
            <w:tr w14:paraId="0DB5A5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59" w:type="pct"/>
                  <w:vMerge w:val="continue"/>
                  <w:noWrap w:val="0"/>
                  <w:vAlign w:val="center"/>
                </w:tcPr>
                <w:p w14:paraId="2F1E6C0C">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p>
              </w:tc>
              <w:tc>
                <w:tcPr>
                  <w:tcW w:w="175" w:type="pct"/>
                  <w:vMerge w:val="continue"/>
                  <w:noWrap w:val="0"/>
                  <w:vAlign w:val="center"/>
                </w:tcPr>
                <w:p w14:paraId="08EBC223">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val="en-US" w:eastAsia="zh-CN" w:bidi="ar"/>
                    </w:rPr>
                  </w:pPr>
                </w:p>
              </w:tc>
              <w:tc>
                <w:tcPr>
                  <w:tcW w:w="720" w:type="pct"/>
                  <w:noWrap w:val="0"/>
                  <w:vAlign w:val="center"/>
                </w:tcPr>
                <w:p w14:paraId="4985524B">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eastAsia="zh-CN" w:bidi="ar"/>
                    </w:rPr>
                  </w:pPr>
                  <w:r>
                    <w:rPr>
                      <w:rFonts w:hint="eastAsia"/>
                      <w:color w:val="auto"/>
                      <w:sz w:val="21"/>
                      <w:szCs w:val="21"/>
                      <w:lang w:eastAsia="zh-CN" w:bidi="ar"/>
                    </w:rPr>
                    <w:t>废油脂</w:t>
                  </w:r>
                </w:p>
              </w:tc>
              <w:tc>
                <w:tcPr>
                  <w:tcW w:w="967" w:type="pct"/>
                  <w:noWrap w:val="0"/>
                  <w:vAlign w:val="center"/>
                </w:tcPr>
                <w:p w14:paraId="6CE02100">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eastAsia="zh-CN" w:bidi="ar"/>
                    </w:rPr>
                  </w:pPr>
                  <w:r>
                    <w:rPr>
                      <w:rFonts w:hint="eastAsia"/>
                      <w:color w:val="auto"/>
                      <w:sz w:val="21"/>
                      <w:szCs w:val="21"/>
                      <w:lang w:eastAsia="zh-CN" w:bidi="ar"/>
                    </w:rPr>
                    <w:t>油脂</w:t>
                  </w:r>
                </w:p>
              </w:tc>
              <w:tc>
                <w:tcPr>
                  <w:tcW w:w="1147" w:type="pct"/>
                  <w:noWrap w:val="0"/>
                  <w:vAlign w:val="center"/>
                </w:tcPr>
                <w:p w14:paraId="4F6710F8">
                  <w:pPr>
                    <w:keepNext w:val="0"/>
                    <w:keepLines w:val="0"/>
                    <w:suppressLineNumbers w:val="0"/>
                    <w:adjustRightInd w:val="0"/>
                    <w:snapToGrid w:val="0"/>
                    <w:spacing w:before="0" w:beforeAutospacing="0" w:after="0" w:afterAutospacing="0"/>
                    <w:ind w:left="0" w:leftChars="0" w:right="0" w:rightChars="0"/>
                    <w:jc w:val="center"/>
                    <w:rPr>
                      <w:rFonts w:hint="eastAsia"/>
                      <w:color w:val="auto"/>
                      <w:sz w:val="21"/>
                      <w:szCs w:val="21"/>
                      <w:lang w:val="en-US" w:eastAsia="zh-CN" w:bidi="ar"/>
                    </w:rPr>
                  </w:pPr>
                  <w:r>
                    <w:rPr>
                      <w:rFonts w:hint="eastAsia"/>
                      <w:color w:val="auto"/>
                      <w:sz w:val="21"/>
                      <w:szCs w:val="21"/>
                      <w:lang w:val="en-US" w:eastAsia="zh-CN" w:bidi="ar"/>
                    </w:rPr>
                    <w:t>/</w:t>
                  </w:r>
                </w:p>
              </w:tc>
              <w:tc>
                <w:tcPr>
                  <w:tcW w:w="591" w:type="pct"/>
                  <w:noWrap w:val="0"/>
                  <w:vAlign w:val="center"/>
                </w:tcPr>
                <w:p w14:paraId="7E43D311">
                  <w:pPr>
                    <w:keepNext w:val="0"/>
                    <w:keepLines w:val="0"/>
                    <w:suppressLineNumbers w:val="0"/>
                    <w:adjustRightInd w:val="0"/>
                    <w:snapToGrid w:val="0"/>
                    <w:spacing w:before="0" w:beforeAutospacing="0" w:after="0" w:afterAutospacing="0"/>
                    <w:ind w:left="0" w:leftChars="0" w:right="0" w:rightChars="0"/>
                    <w:jc w:val="center"/>
                    <w:rPr>
                      <w:rFonts w:hint="eastAsia"/>
                      <w:color w:val="auto"/>
                      <w:sz w:val="21"/>
                      <w:szCs w:val="21"/>
                      <w:lang w:val="en-US" w:eastAsia="zh-CN" w:bidi="ar"/>
                    </w:rPr>
                  </w:pPr>
                  <w:r>
                    <w:rPr>
                      <w:rFonts w:hint="eastAsia"/>
                      <w:color w:val="auto"/>
                      <w:sz w:val="21"/>
                      <w:szCs w:val="21"/>
                      <w:lang w:val="en-US" w:eastAsia="zh-CN" w:bidi="ar"/>
                    </w:rPr>
                    <w:t>/</w:t>
                  </w:r>
                </w:p>
              </w:tc>
              <w:tc>
                <w:tcPr>
                  <w:tcW w:w="342" w:type="pct"/>
                  <w:noWrap w:val="0"/>
                  <w:vAlign w:val="center"/>
                </w:tcPr>
                <w:p w14:paraId="7AA48A55">
                  <w:pPr>
                    <w:keepNext w:val="0"/>
                    <w:keepLines w:val="0"/>
                    <w:suppressLineNumbers w:val="0"/>
                    <w:adjustRightInd w:val="0"/>
                    <w:snapToGrid w:val="0"/>
                    <w:spacing w:before="0" w:beforeAutospacing="0" w:after="0" w:afterAutospacing="0"/>
                    <w:ind w:left="0" w:leftChars="0" w:right="0" w:rightChars="0"/>
                    <w:jc w:val="center"/>
                    <w:rPr>
                      <w:rFonts w:hint="eastAsia"/>
                      <w:color w:val="auto"/>
                      <w:sz w:val="21"/>
                      <w:szCs w:val="21"/>
                      <w:lang w:bidi="ar"/>
                    </w:rPr>
                  </w:pPr>
                  <w:r>
                    <w:rPr>
                      <w:rFonts w:hint="eastAsia"/>
                      <w:color w:val="auto"/>
                      <w:sz w:val="21"/>
                      <w:szCs w:val="21"/>
                      <w:lang w:bidi="ar"/>
                    </w:rPr>
                    <w:t>否</w:t>
                  </w:r>
                </w:p>
              </w:tc>
              <w:tc>
                <w:tcPr>
                  <w:tcW w:w="896" w:type="pct"/>
                  <w:noWrap w:val="0"/>
                  <w:vAlign w:val="center"/>
                </w:tcPr>
                <w:p w14:paraId="3F769F4D">
                  <w:pPr>
                    <w:keepNext w:val="0"/>
                    <w:keepLines w:val="0"/>
                    <w:suppressLineNumbers w:val="0"/>
                    <w:adjustRightInd w:val="0"/>
                    <w:snapToGrid w:val="0"/>
                    <w:spacing w:before="0" w:beforeAutospacing="0" w:after="0" w:afterAutospacing="0"/>
                    <w:ind w:left="0" w:leftChars="0" w:right="0" w:rightChars="0"/>
                    <w:jc w:val="center"/>
                    <w:rPr>
                      <w:rFonts w:hint="eastAsia"/>
                      <w:color w:val="auto"/>
                      <w:sz w:val="21"/>
                      <w:szCs w:val="21"/>
                      <w:lang w:val="en-US" w:eastAsia="zh-CN" w:bidi="ar"/>
                    </w:rPr>
                  </w:pPr>
                  <w:r>
                    <w:rPr>
                      <w:rFonts w:hint="eastAsia"/>
                      <w:color w:val="auto"/>
                      <w:sz w:val="21"/>
                      <w:szCs w:val="21"/>
                      <w:lang w:val="en-US" w:eastAsia="zh-CN" w:bidi="ar"/>
                    </w:rPr>
                    <w:t>/</w:t>
                  </w:r>
                </w:p>
              </w:tc>
            </w:tr>
            <w:tr w14:paraId="24E6EB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59" w:type="pct"/>
                  <w:vMerge w:val="continue"/>
                  <w:noWrap w:val="0"/>
                  <w:vAlign w:val="center"/>
                </w:tcPr>
                <w:p w14:paraId="403B4A71">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p>
              </w:tc>
              <w:tc>
                <w:tcPr>
                  <w:tcW w:w="175" w:type="pct"/>
                  <w:vMerge w:val="restart"/>
                  <w:noWrap w:val="0"/>
                  <w:vAlign w:val="center"/>
                </w:tcPr>
                <w:p w14:paraId="1250A724">
                  <w:pPr>
                    <w:keepNext w:val="0"/>
                    <w:keepLines w:val="0"/>
                    <w:suppressLineNumbers w:val="0"/>
                    <w:adjustRightInd w:val="0"/>
                    <w:snapToGrid w:val="0"/>
                    <w:spacing w:before="0" w:beforeAutospacing="0" w:after="0" w:afterAutospacing="0"/>
                    <w:ind w:left="0" w:right="0"/>
                    <w:jc w:val="center"/>
                    <w:rPr>
                      <w:rFonts w:hint="default"/>
                      <w:color w:val="auto"/>
                      <w:sz w:val="21"/>
                      <w:szCs w:val="21"/>
                      <w:lang w:val="en-US" w:eastAsia="zh-CN" w:bidi="ar"/>
                    </w:rPr>
                  </w:pPr>
                  <w:r>
                    <w:rPr>
                      <w:rFonts w:hint="eastAsia"/>
                      <w:color w:val="auto"/>
                      <w:sz w:val="21"/>
                      <w:szCs w:val="21"/>
                      <w:lang w:val="en-US" w:eastAsia="zh-CN" w:bidi="ar"/>
                    </w:rPr>
                    <w:t>危险废物</w:t>
                  </w:r>
                </w:p>
              </w:tc>
              <w:tc>
                <w:tcPr>
                  <w:tcW w:w="720" w:type="pct"/>
                  <w:noWrap w:val="0"/>
                  <w:vAlign w:val="center"/>
                </w:tcPr>
                <w:p w14:paraId="2FF80AB3">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eastAsia="zh-CN" w:bidi="ar"/>
                    </w:rPr>
                  </w:pPr>
                  <w:r>
                    <w:rPr>
                      <w:rFonts w:hint="eastAsia"/>
                      <w:color w:val="auto"/>
                      <w:sz w:val="21"/>
                      <w:szCs w:val="21"/>
                      <w:lang w:bidi="ar"/>
                    </w:rPr>
                    <w:t>废润滑油桶</w:t>
                  </w:r>
                </w:p>
              </w:tc>
              <w:tc>
                <w:tcPr>
                  <w:tcW w:w="967" w:type="pct"/>
                  <w:noWrap w:val="0"/>
                  <w:vAlign w:val="center"/>
                </w:tcPr>
                <w:p w14:paraId="38935D58">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val="en-US" w:eastAsia="zh-CN" w:bidi="ar"/>
                    </w:rPr>
                  </w:pPr>
                  <w:r>
                    <w:rPr>
                      <w:rFonts w:hint="eastAsia"/>
                      <w:color w:val="auto"/>
                      <w:sz w:val="21"/>
                      <w:szCs w:val="21"/>
                      <w:lang w:eastAsia="zh-CN" w:bidi="ar"/>
                    </w:rPr>
                    <w:t>润滑</w:t>
                  </w:r>
                  <w:r>
                    <w:rPr>
                      <w:rFonts w:hint="eastAsia"/>
                      <w:color w:val="auto"/>
                      <w:sz w:val="21"/>
                      <w:szCs w:val="21"/>
                      <w:lang w:bidi="ar"/>
                    </w:rPr>
                    <w:t>油</w:t>
                  </w:r>
                  <w:r>
                    <w:rPr>
                      <w:rFonts w:hint="eastAsia"/>
                      <w:color w:val="auto"/>
                      <w:sz w:val="21"/>
                      <w:szCs w:val="21"/>
                      <w:lang w:eastAsia="zh-CN" w:bidi="ar"/>
                    </w:rPr>
                    <w:t>、</w:t>
                  </w:r>
                  <w:r>
                    <w:rPr>
                      <w:rFonts w:hint="eastAsia"/>
                      <w:color w:val="auto"/>
                      <w:sz w:val="21"/>
                      <w:szCs w:val="21"/>
                      <w:lang w:val="en-US" w:eastAsia="zh-CN" w:bidi="ar"/>
                    </w:rPr>
                    <w:t>塑料</w:t>
                  </w:r>
                </w:p>
              </w:tc>
              <w:tc>
                <w:tcPr>
                  <w:tcW w:w="1147" w:type="pct"/>
                  <w:noWrap w:val="0"/>
                  <w:vAlign w:val="center"/>
                </w:tcPr>
                <w:p w14:paraId="159A4E84">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val="en-US" w:eastAsia="zh-CN" w:bidi="ar"/>
                    </w:rPr>
                  </w:pPr>
                  <w:r>
                    <w:rPr>
                      <w:rFonts w:hint="eastAsia"/>
                      <w:color w:val="auto"/>
                      <w:sz w:val="21"/>
                      <w:szCs w:val="21"/>
                      <w:lang w:val="en-US" w:eastAsia="zh-CN" w:bidi="ar"/>
                    </w:rPr>
                    <w:t>/</w:t>
                  </w:r>
                </w:p>
              </w:tc>
              <w:tc>
                <w:tcPr>
                  <w:tcW w:w="591" w:type="pct"/>
                  <w:noWrap w:val="0"/>
                  <w:vAlign w:val="center"/>
                </w:tcPr>
                <w:p w14:paraId="342C374F">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val="en-US" w:eastAsia="zh-CN" w:bidi="ar"/>
                    </w:rPr>
                  </w:pPr>
                  <w:r>
                    <w:rPr>
                      <w:rFonts w:hint="eastAsia" w:eastAsia="宋体"/>
                      <w:color w:val="auto"/>
                      <w:sz w:val="21"/>
                      <w:szCs w:val="21"/>
                      <w:lang w:val="en-US" w:eastAsia="zh-CN" w:bidi="ar"/>
                    </w:rPr>
                    <w:t>/</w:t>
                  </w:r>
                </w:p>
              </w:tc>
              <w:tc>
                <w:tcPr>
                  <w:tcW w:w="342" w:type="pct"/>
                  <w:noWrap w:val="0"/>
                  <w:vAlign w:val="center"/>
                </w:tcPr>
                <w:p w14:paraId="6844E748">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r>
                    <w:rPr>
                      <w:rFonts w:hint="eastAsia"/>
                      <w:color w:val="auto"/>
                      <w:sz w:val="21"/>
                      <w:szCs w:val="21"/>
                      <w:lang w:bidi="ar"/>
                    </w:rPr>
                    <w:t>是</w:t>
                  </w:r>
                </w:p>
              </w:tc>
              <w:tc>
                <w:tcPr>
                  <w:tcW w:w="896" w:type="pct"/>
                  <w:noWrap w:val="0"/>
                  <w:vAlign w:val="center"/>
                </w:tcPr>
                <w:p w14:paraId="30FB5907">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val="en-US" w:eastAsia="zh-CN" w:bidi="ar"/>
                    </w:rPr>
                  </w:pPr>
                  <w:r>
                    <w:rPr>
                      <w:rFonts w:hint="eastAsia" w:eastAsia="宋体"/>
                      <w:color w:val="auto"/>
                      <w:sz w:val="21"/>
                      <w:szCs w:val="21"/>
                      <w:lang w:val="en-US" w:eastAsia="zh-CN" w:bidi="ar"/>
                    </w:rPr>
                    <w:t>/</w:t>
                  </w:r>
                </w:p>
              </w:tc>
            </w:tr>
            <w:tr w14:paraId="20F1CB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59" w:type="pct"/>
                  <w:vMerge w:val="continue"/>
                  <w:noWrap w:val="0"/>
                  <w:vAlign w:val="center"/>
                </w:tcPr>
                <w:p w14:paraId="69E1B46D">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p>
              </w:tc>
              <w:tc>
                <w:tcPr>
                  <w:tcW w:w="175" w:type="pct"/>
                  <w:vMerge w:val="continue"/>
                  <w:noWrap w:val="0"/>
                  <w:vAlign w:val="center"/>
                </w:tcPr>
                <w:p w14:paraId="7079ACB4">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val="en-US" w:eastAsia="zh-CN" w:bidi="ar"/>
                    </w:rPr>
                  </w:pPr>
                </w:p>
              </w:tc>
              <w:tc>
                <w:tcPr>
                  <w:tcW w:w="720" w:type="pct"/>
                  <w:noWrap w:val="0"/>
                  <w:vAlign w:val="center"/>
                </w:tcPr>
                <w:p w14:paraId="05699C4E">
                  <w:pPr>
                    <w:keepNext w:val="0"/>
                    <w:keepLines w:val="0"/>
                    <w:pageBreakBefore w:val="0"/>
                    <w:suppressLineNumbers w:val="0"/>
                    <w:kinsoku/>
                    <w:wordWrap/>
                    <w:topLinePunct w:val="0"/>
                    <w:bidi w:val="0"/>
                    <w:adjustRightInd w:val="0"/>
                    <w:snapToGrid w:val="0"/>
                    <w:spacing w:before="0" w:beforeAutospacing="0" w:after="0" w:afterAutospacing="0"/>
                    <w:ind w:left="0" w:leftChars="0" w:right="0" w:rightChars="0"/>
                    <w:jc w:val="center"/>
                    <w:rPr>
                      <w:rFonts w:hint="eastAsia"/>
                      <w:color w:val="auto"/>
                      <w:sz w:val="21"/>
                      <w:szCs w:val="21"/>
                      <w:lang w:eastAsia="zh-CN" w:bidi="ar"/>
                    </w:rPr>
                  </w:pPr>
                  <w:r>
                    <w:rPr>
                      <w:rFonts w:hint="default" w:ascii="Times New Roman" w:hAnsi="Times New Roman" w:eastAsia="宋体" w:cs="Times New Roman"/>
                      <w:color w:val="auto"/>
                      <w:sz w:val="21"/>
                      <w:szCs w:val="21"/>
                      <w:highlight w:val="none"/>
                      <w:lang w:val="en-US" w:eastAsia="zh-CN"/>
                    </w:rPr>
                    <w:t>废活性炭</w:t>
                  </w:r>
                </w:p>
              </w:tc>
              <w:tc>
                <w:tcPr>
                  <w:tcW w:w="967" w:type="pct"/>
                  <w:noWrap w:val="0"/>
                  <w:vAlign w:val="center"/>
                </w:tcPr>
                <w:p w14:paraId="69C9F960">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eastAsia="zh-CN" w:bidi="ar"/>
                    </w:rPr>
                  </w:pPr>
                  <w:r>
                    <w:rPr>
                      <w:rFonts w:hint="eastAsia"/>
                      <w:color w:val="auto"/>
                      <w:sz w:val="21"/>
                      <w:szCs w:val="21"/>
                      <w:lang w:eastAsia="zh-CN" w:bidi="ar"/>
                    </w:rPr>
                    <w:t>活性炭</w:t>
                  </w:r>
                </w:p>
              </w:tc>
              <w:tc>
                <w:tcPr>
                  <w:tcW w:w="1147" w:type="pct"/>
                  <w:noWrap w:val="0"/>
                  <w:vAlign w:val="center"/>
                </w:tcPr>
                <w:p w14:paraId="7CF4F228">
                  <w:pPr>
                    <w:keepNext w:val="0"/>
                    <w:keepLines w:val="0"/>
                    <w:suppressLineNumbers w:val="0"/>
                    <w:adjustRightInd w:val="0"/>
                    <w:snapToGrid w:val="0"/>
                    <w:spacing w:before="0" w:beforeAutospacing="0" w:after="0" w:afterAutospacing="0"/>
                    <w:ind w:left="0" w:right="0"/>
                    <w:jc w:val="center"/>
                    <w:rPr>
                      <w:rFonts w:hint="default"/>
                      <w:color w:val="auto"/>
                      <w:sz w:val="21"/>
                      <w:szCs w:val="21"/>
                      <w:lang w:bidi="ar"/>
                    </w:rPr>
                  </w:pPr>
                  <w:r>
                    <w:rPr>
                      <w:rFonts w:hint="default"/>
                      <w:color w:val="auto"/>
                      <w:sz w:val="21"/>
                      <w:szCs w:val="21"/>
                      <w:lang w:bidi="ar"/>
                    </w:rPr>
                    <w:t>7440-44-0</w:t>
                  </w:r>
                </w:p>
              </w:tc>
              <w:tc>
                <w:tcPr>
                  <w:tcW w:w="591" w:type="pct"/>
                  <w:noWrap w:val="0"/>
                  <w:vAlign w:val="center"/>
                </w:tcPr>
                <w:p w14:paraId="1D721FC1">
                  <w:pPr>
                    <w:keepNext w:val="0"/>
                    <w:keepLines w:val="0"/>
                    <w:suppressLineNumbers w:val="0"/>
                    <w:adjustRightInd w:val="0"/>
                    <w:snapToGrid w:val="0"/>
                    <w:spacing w:before="0" w:beforeAutospacing="0" w:after="0" w:afterAutospacing="0"/>
                    <w:ind w:left="0" w:right="0"/>
                    <w:jc w:val="center"/>
                    <w:rPr>
                      <w:rFonts w:hint="default" w:eastAsia="宋体"/>
                      <w:color w:val="auto"/>
                      <w:sz w:val="21"/>
                      <w:szCs w:val="21"/>
                      <w:lang w:val="en-US" w:eastAsia="zh-CN" w:bidi="ar"/>
                    </w:rPr>
                  </w:pPr>
                  <w:r>
                    <w:rPr>
                      <w:rFonts w:hint="eastAsia" w:eastAsia="宋体"/>
                      <w:color w:val="auto"/>
                      <w:sz w:val="21"/>
                      <w:szCs w:val="21"/>
                      <w:lang w:val="en-US" w:eastAsia="zh-CN" w:bidi="ar"/>
                    </w:rPr>
                    <w:t>/</w:t>
                  </w:r>
                </w:p>
              </w:tc>
              <w:tc>
                <w:tcPr>
                  <w:tcW w:w="342" w:type="pct"/>
                  <w:noWrap w:val="0"/>
                  <w:vAlign w:val="center"/>
                </w:tcPr>
                <w:p w14:paraId="4126A5CD">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eastAsia="zh-CN" w:bidi="ar"/>
                    </w:rPr>
                  </w:pPr>
                  <w:r>
                    <w:rPr>
                      <w:rFonts w:hint="eastAsia"/>
                      <w:color w:val="auto"/>
                      <w:sz w:val="21"/>
                      <w:szCs w:val="21"/>
                      <w:lang w:eastAsia="zh-CN" w:bidi="ar"/>
                    </w:rPr>
                    <w:t>是</w:t>
                  </w:r>
                </w:p>
              </w:tc>
              <w:tc>
                <w:tcPr>
                  <w:tcW w:w="896" w:type="pct"/>
                  <w:noWrap w:val="0"/>
                  <w:vAlign w:val="center"/>
                </w:tcPr>
                <w:p w14:paraId="4F60299D">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r>
                    <w:rPr>
                      <w:rFonts w:hint="eastAsia"/>
                      <w:color w:val="auto"/>
                      <w:sz w:val="21"/>
                      <w:szCs w:val="21"/>
                      <w:lang w:bidi="ar"/>
                    </w:rPr>
                    <w:t>/</w:t>
                  </w:r>
                </w:p>
              </w:tc>
            </w:tr>
            <w:tr w14:paraId="1C969B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59" w:type="pct"/>
                  <w:vMerge w:val="continue"/>
                  <w:noWrap w:val="0"/>
                  <w:vAlign w:val="center"/>
                </w:tcPr>
                <w:p w14:paraId="2A1643FC">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p>
              </w:tc>
              <w:tc>
                <w:tcPr>
                  <w:tcW w:w="175" w:type="pct"/>
                  <w:vMerge w:val="continue"/>
                  <w:noWrap w:val="0"/>
                  <w:vAlign w:val="center"/>
                </w:tcPr>
                <w:p w14:paraId="3DBD3CDE">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val="en-US" w:eastAsia="zh-CN" w:bidi="ar"/>
                    </w:rPr>
                  </w:pPr>
                </w:p>
              </w:tc>
              <w:tc>
                <w:tcPr>
                  <w:tcW w:w="720" w:type="pct"/>
                  <w:noWrap w:val="0"/>
                  <w:vAlign w:val="center"/>
                </w:tcPr>
                <w:p w14:paraId="4D2C0C0F">
                  <w:pPr>
                    <w:keepNext w:val="0"/>
                    <w:keepLines w:val="0"/>
                    <w:pageBreakBefore w:val="0"/>
                    <w:suppressLineNumbers w:val="0"/>
                    <w:kinsoku/>
                    <w:wordWrap/>
                    <w:topLinePunct w:val="0"/>
                    <w:bidi w:val="0"/>
                    <w:adjustRightInd w:val="0"/>
                    <w:snapToGrid w:val="0"/>
                    <w:spacing w:before="0" w:beforeAutospacing="0" w:after="0" w:afterAutospacing="0"/>
                    <w:ind w:left="0" w:leftChars="0" w:right="0" w:rightChars="0"/>
                    <w:jc w:val="center"/>
                    <w:rPr>
                      <w:rFonts w:hint="eastAsia"/>
                      <w:color w:val="auto"/>
                      <w:sz w:val="21"/>
                      <w:szCs w:val="21"/>
                      <w:lang w:eastAsia="zh-CN" w:bidi="ar"/>
                    </w:rPr>
                  </w:pPr>
                  <w:r>
                    <w:rPr>
                      <w:rFonts w:hint="default" w:ascii="Times New Roman" w:hAnsi="Times New Roman" w:eastAsia="宋体" w:cs="Times New Roman"/>
                      <w:color w:val="auto"/>
                      <w:sz w:val="21"/>
                      <w:szCs w:val="21"/>
                      <w:highlight w:val="none"/>
                      <w:lang w:val="en-US" w:eastAsia="zh-CN"/>
                    </w:rPr>
                    <w:t>废催化剂</w:t>
                  </w:r>
                </w:p>
              </w:tc>
              <w:tc>
                <w:tcPr>
                  <w:tcW w:w="967" w:type="pct"/>
                  <w:noWrap w:val="0"/>
                  <w:vAlign w:val="center"/>
                </w:tcPr>
                <w:p w14:paraId="27D0DEF8">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eastAsia="zh-CN" w:bidi="ar"/>
                    </w:rPr>
                  </w:pPr>
                  <w:r>
                    <w:rPr>
                      <w:rFonts w:hint="eastAsia"/>
                      <w:color w:val="auto"/>
                      <w:sz w:val="21"/>
                      <w:szCs w:val="21"/>
                      <w:lang w:val="en-US" w:eastAsia="zh-CN" w:bidi="ar"/>
                    </w:rPr>
                    <w:t>铂钯催化剂</w:t>
                  </w:r>
                </w:p>
              </w:tc>
              <w:tc>
                <w:tcPr>
                  <w:tcW w:w="1147" w:type="pct"/>
                  <w:noWrap w:val="0"/>
                  <w:vAlign w:val="center"/>
                </w:tcPr>
                <w:p w14:paraId="2C7DD87C">
                  <w:pPr>
                    <w:keepNext w:val="0"/>
                    <w:keepLines w:val="0"/>
                    <w:suppressLineNumbers w:val="0"/>
                    <w:adjustRightInd w:val="0"/>
                    <w:snapToGrid w:val="0"/>
                    <w:spacing w:before="0" w:beforeAutospacing="0" w:after="0" w:afterAutospacing="0"/>
                    <w:ind w:left="0" w:right="0"/>
                    <w:jc w:val="center"/>
                    <w:rPr>
                      <w:rFonts w:hint="eastAsia" w:eastAsia="宋体"/>
                      <w:color w:val="auto"/>
                      <w:sz w:val="21"/>
                      <w:szCs w:val="21"/>
                      <w:lang w:val="en-US" w:eastAsia="zh-CN" w:bidi="ar"/>
                    </w:rPr>
                  </w:pPr>
                  <w:r>
                    <w:rPr>
                      <w:rFonts w:hint="default"/>
                      <w:color w:val="auto"/>
                      <w:sz w:val="21"/>
                      <w:szCs w:val="21"/>
                      <w:lang w:bidi="ar"/>
                    </w:rPr>
                    <w:t>7440-</w:t>
                  </w:r>
                  <w:r>
                    <w:rPr>
                      <w:rFonts w:hint="eastAsia"/>
                      <w:color w:val="auto"/>
                      <w:sz w:val="21"/>
                      <w:szCs w:val="21"/>
                      <w:lang w:val="en-US" w:eastAsia="zh-CN" w:bidi="ar"/>
                    </w:rPr>
                    <w:t>06</w:t>
                  </w:r>
                  <w:r>
                    <w:rPr>
                      <w:rFonts w:hint="default"/>
                      <w:color w:val="auto"/>
                      <w:sz w:val="21"/>
                      <w:szCs w:val="21"/>
                      <w:lang w:bidi="ar"/>
                    </w:rPr>
                    <w:t>-</w:t>
                  </w:r>
                  <w:r>
                    <w:rPr>
                      <w:rFonts w:hint="eastAsia"/>
                      <w:color w:val="auto"/>
                      <w:sz w:val="21"/>
                      <w:szCs w:val="21"/>
                      <w:lang w:val="en-US" w:eastAsia="zh-CN" w:bidi="ar"/>
                    </w:rPr>
                    <w:t>4/7440-05-3</w:t>
                  </w:r>
                </w:p>
              </w:tc>
              <w:tc>
                <w:tcPr>
                  <w:tcW w:w="591" w:type="pct"/>
                  <w:noWrap w:val="0"/>
                  <w:vAlign w:val="center"/>
                </w:tcPr>
                <w:p w14:paraId="07FCEFA6">
                  <w:pPr>
                    <w:keepNext w:val="0"/>
                    <w:keepLines w:val="0"/>
                    <w:suppressLineNumbers w:val="0"/>
                    <w:adjustRightInd w:val="0"/>
                    <w:snapToGrid w:val="0"/>
                    <w:spacing w:before="0" w:beforeAutospacing="0" w:after="0" w:afterAutospacing="0"/>
                    <w:ind w:left="0" w:right="0"/>
                    <w:jc w:val="center"/>
                    <w:rPr>
                      <w:rFonts w:hint="default" w:eastAsia="宋体"/>
                      <w:color w:val="auto"/>
                      <w:sz w:val="21"/>
                      <w:szCs w:val="21"/>
                      <w:lang w:val="en-US" w:eastAsia="zh-CN" w:bidi="ar"/>
                    </w:rPr>
                  </w:pPr>
                  <w:r>
                    <w:rPr>
                      <w:rFonts w:hint="eastAsia" w:eastAsia="宋体"/>
                      <w:color w:val="auto"/>
                      <w:sz w:val="21"/>
                      <w:szCs w:val="21"/>
                      <w:lang w:val="en-US" w:eastAsia="zh-CN" w:bidi="ar"/>
                    </w:rPr>
                    <w:t>/</w:t>
                  </w:r>
                </w:p>
              </w:tc>
              <w:tc>
                <w:tcPr>
                  <w:tcW w:w="342" w:type="pct"/>
                  <w:noWrap w:val="0"/>
                  <w:vAlign w:val="center"/>
                </w:tcPr>
                <w:p w14:paraId="4FF6DD58">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eastAsia="zh-CN" w:bidi="ar"/>
                    </w:rPr>
                  </w:pPr>
                  <w:r>
                    <w:rPr>
                      <w:rFonts w:hint="eastAsia"/>
                      <w:color w:val="auto"/>
                      <w:sz w:val="21"/>
                      <w:szCs w:val="21"/>
                      <w:lang w:eastAsia="zh-CN" w:bidi="ar"/>
                    </w:rPr>
                    <w:t>是</w:t>
                  </w:r>
                </w:p>
              </w:tc>
              <w:tc>
                <w:tcPr>
                  <w:tcW w:w="896" w:type="pct"/>
                  <w:noWrap w:val="0"/>
                  <w:vAlign w:val="center"/>
                </w:tcPr>
                <w:p w14:paraId="767FD39E">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r>
                    <w:rPr>
                      <w:rFonts w:hint="eastAsia"/>
                      <w:color w:val="auto"/>
                      <w:sz w:val="21"/>
                      <w:szCs w:val="21"/>
                      <w:lang w:bidi="ar"/>
                    </w:rPr>
                    <w:t>/</w:t>
                  </w:r>
                </w:p>
              </w:tc>
            </w:tr>
            <w:tr w14:paraId="6FF628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76" w:hRule="atLeast"/>
                <w:jc w:val="center"/>
              </w:trPr>
              <w:tc>
                <w:tcPr>
                  <w:tcW w:w="335" w:type="pct"/>
                  <w:gridSpan w:val="2"/>
                  <w:noWrap w:val="0"/>
                  <w:vAlign w:val="center"/>
                </w:tcPr>
                <w:p w14:paraId="03D97283">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r>
                    <w:rPr>
                      <w:rFonts w:hint="eastAsia"/>
                      <w:color w:val="auto"/>
                      <w:sz w:val="21"/>
                      <w:szCs w:val="21"/>
                      <w:lang w:bidi="ar"/>
                    </w:rPr>
                    <w:t>产品</w:t>
                  </w:r>
                </w:p>
              </w:tc>
              <w:tc>
                <w:tcPr>
                  <w:tcW w:w="720" w:type="pct"/>
                  <w:noWrap w:val="0"/>
                  <w:vAlign w:val="center"/>
                </w:tcPr>
                <w:p w14:paraId="1B76E1D7">
                  <w:pPr>
                    <w:keepNext w:val="0"/>
                    <w:keepLines w:val="0"/>
                    <w:suppressLineNumbers w:val="0"/>
                    <w:spacing w:before="0" w:beforeAutospacing="0" w:after="0" w:afterAutospacing="0"/>
                    <w:ind w:left="0" w:right="0"/>
                    <w:jc w:val="center"/>
                    <w:rPr>
                      <w:rFonts w:hint="eastAsia" w:eastAsia="宋体"/>
                      <w:color w:val="auto"/>
                      <w:sz w:val="21"/>
                      <w:szCs w:val="21"/>
                      <w:lang w:eastAsia="zh-CN"/>
                    </w:rPr>
                  </w:pPr>
                  <w:r>
                    <w:rPr>
                      <w:rFonts w:hint="eastAsia" w:eastAsia="宋体"/>
                      <w:color w:val="auto"/>
                      <w:sz w:val="21"/>
                      <w:szCs w:val="21"/>
                      <w:lang w:eastAsia="zh-CN"/>
                    </w:rPr>
                    <w:t>编织水带</w:t>
                  </w:r>
                </w:p>
              </w:tc>
              <w:tc>
                <w:tcPr>
                  <w:tcW w:w="967" w:type="pct"/>
                  <w:noWrap w:val="0"/>
                  <w:vAlign w:val="center"/>
                </w:tcPr>
                <w:p w14:paraId="245E6706">
                  <w:pPr>
                    <w:keepNext w:val="0"/>
                    <w:keepLines w:val="0"/>
                    <w:suppressLineNumbers w:val="0"/>
                    <w:spacing w:before="0" w:beforeAutospacing="0" w:after="0" w:afterAutospacing="0"/>
                    <w:ind w:left="0" w:right="0"/>
                    <w:jc w:val="center"/>
                    <w:rPr>
                      <w:rFonts w:hint="default"/>
                      <w:color w:val="auto"/>
                      <w:sz w:val="21"/>
                      <w:szCs w:val="21"/>
                    </w:rPr>
                  </w:pPr>
                  <w:r>
                    <w:rPr>
                      <w:rFonts w:hint="eastAsia"/>
                      <w:color w:val="auto"/>
                      <w:sz w:val="21"/>
                      <w:szCs w:val="21"/>
                    </w:rPr>
                    <w:t>/</w:t>
                  </w:r>
                </w:p>
              </w:tc>
              <w:tc>
                <w:tcPr>
                  <w:tcW w:w="1147" w:type="pct"/>
                  <w:noWrap w:val="0"/>
                  <w:vAlign w:val="center"/>
                </w:tcPr>
                <w:p w14:paraId="1B04DC6A">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r>
                    <w:rPr>
                      <w:rFonts w:hint="eastAsia"/>
                      <w:color w:val="auto"/>
                      <w:sz w:val="21"/>
                      <w:szCs w:val="21"/>
                      <w:lang w:bidi="ar"/>
                    </w:rPr>
                    <w:t>/</w:t>
                  </w:r>
                </w:p>
              </w:tc>
              <w:tc>
                <w:tcPr>
                  <w:tcW w:w="591" w:type="pct"/>
                  <w:noWrap w:val="0"/>
                  <w:vAlign w:val="center"/>
                </w:tcPr>
                <w:p w14:paraId="057CC5B0">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r>
                    <w:rPr>
                      <w:rFonts w:hint="eastAsia"/>
                      <w:color w:val="auto"/>
                      <w:sz w:val="21"/>
                      <w:szCs w:val="21"/>
                      <w:lang w:bidi="ar"/>
                    </w:rPr>
                    <w:t>/</w:t>
                  </w:r>
                </w:p>
              </w:tc>
              <w:tc>
                <w:tcPr>
                  <w:tcW w:w="342" w:type="pct"/>
                  <w:noWrap w:val="0"/>
                  <w:vAlign w:val="center"/>
                </w:tcPr>
                <w:p w14:paraId="07E51ED9">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r>
                    <w:rPr>
                      <w:rFonts w:hint="eastAsia"/>
                      <w:color w:val="auto"/>
                      <w:sz w:val="21"/>
                      <w:szCs w:val="21"/>
                      <w:lang w:bidi="ar"/>
                    </w:rPr>
                    <w:t>否</w:t>
                  </w:r>
                </w:p>
              </w:tc>
              <w:tc>
                <w:tcPr>
                  <w:tcW w:w="896" w:type="pct"/>
                  <w:noWrap w:val="0"/>
                  <w:vAlign w:val="center"/>
                </w:tcPr>
                <w:p w14:paraId="5FFB7252">
                  <w:pPr>
                    <w:keepNext w:val="0"/>
                    <w:keepLines w:val="0"/>
                    <w:suppressLineNumbers w:val="0"/>
                    <w:adjustRightInd w:val="0"/>
                    <w:snapToGrid w:val="0"/>
                    <w:spacing w:before="0" w:beforeAutospacing="0" w:after="0" w:afterAutospacing="0"/>
                    <w:ind w:left="0" w:right="0"/>
                    <w:jc w:val="center"/>
                    <w:rPr>
                      <w:rFonts w:hint="eastAsia"/>
                      <w:color w:val="auto"/>
                      <w:sz w:val="21"/>
                      <w:szCs w:val="21"/>
                      <w:lang w:bidi="ar"/>
                    </w:rPr>
                  </w:pPr>
                  <w:r>
                    <w:rPr>
                      <w:rFonts w:hint="eastAsia"/>
                      <w:color w:val="auto"/>
                      <w:sz w:val="21"/>
                      <w:szCs w:val="21"/>
                      <w:lang w:bidi="ar"/>
                    </w:rPr>
                    <w:t>/</w:t>
                  </w:r>
                </w:p>
              </w:tc>
            </w:tr>
          </w:tbl>
          <w:p w14:paraId="27538382">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bCs/>
                <w:color w:val="auto"/>
                <w:sz w:val="24"/>
                <w:szCs w:val="24"/>
              </w:rPr>
              <w:t>本项目涉及的风险物质主要为原辅料中的</w:t>
            </w:r>
            <w:r>
              <w:rPr>
                <w:rFonts w:hint="eastAsia"/>
                <w:bCs/>
                <w:color w:val="auto"/>
                <w:sz w:val="24"/>
                <w:szCs w:val="24"/>
                <w:lang w:eastAsia="zh-CN"/>
              </w:rPr>
              <w:t>润滑油</w:t>
            </w:r>
            <w:r>
              <w:rPr>
                <w:rFonts w:hint="eastAsia"/>
                <w:bCs/>
                <w:color w:val="auto"/>
                <w:sz w:val="24"/>
                <w:szCs w:val="24"/>
              </w:rPr>
              <w:t>以及固废中的危险废物。</w:t>
            </w:r>
          </w:p>
          <w:p w14:paraId="297014F9">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因火灾爆炸次生废物难以统计产生量，本次对其他环境风险物质Q值进行计算，具体见下表。</w:t>
            </w:r>
          </w:p>
          <w:p w14:paraId="3CACC481">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pacing w:val="6"/>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pacing w:val="6"/>
                <w:sz w:val="24"/>
                <w:highlight w:val="none"/>
                <w:lang w:val="en-US" w:eastAsia="zh-CN"/>
                <w14:textFill>
                  <w14:solidFill>
                    <w14:schemeClr w14:val="tx1"/>
                  </w14:solidFill>
                </w14:textFill>
              </w:rPr>
              <w:t>环境风险物质Q值计算一览表</w:t>
            </w:r>
          </w:p>
          <w:tbl>
            <w:tblPr>
              <w:tblStyle w:val="29"/>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020"/>
              <w:gridCol w:w="1630"/>
              <w:gridCol w:w="1066"/>
              <w:gridCol w:w="1233"/>
              <w:gridCol w:w="885"/>
              <w:gridCol w:w="1544"/>
            </w:tblGrid>
            <w:tr w14:paraId="0E0FCB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1200" w:type="pct"/>
                  <w:gridSpan w:val="2"/>
                  <w:noWrap w:val="0"/>
                  <w:vAlign w:val="center"/>
                </w:tcPr>
                <w:p w14:paraId="3798E6C3">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类别</w:t>
                  </w:r>
                </w:p>
              </w:tc>
              <w:tc>
                <w:tcPr>
                  <w:tcW w:w="974" w:type="pct"/>
                  <w:noWrap w:val="0"/>
                  <w:vAlign w:val="center"/>
                </w:tcPr>
                <w:p w14:paraId="1632DA37">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风险物质</w:t>
                  </w:r>
                </w:p>
              </w:tc>
              <w:tc>
                <w:tcPr>
                  <w:tcW w:w="637" w:type="pct"/>
                  <w:noWrap w:val="0"/>
                  <w:vAlign w:val="center"/>
                </w:tcPr>
                <w:p w14:paraId="18DE3FCB">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CAS号</w:t>
                  </w:r>
                </w:p>
              </w:tc>
              <w:tc>
                <w:tcPr>
                  <w:tcW w:w="737" w:type="pct"/>
                  <w:noWrap w:val="0"/>
                  <w:vAlign w:val="center"/>
                </w:tcPr>
                <w:p w14:paraId="0C215F4B">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最大</w:t>
                  </w:r>
                </w:p>
                <w:p w14:paraId="74E37353">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eastAsia" w:ascii="Times New Roman" w:hAnsi="Times New Roman" w:eastAsia="宋体" w:cs="Times New Roman"/>
                      <w:b/>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储存量</w:t>
                  </w:r>
                  <w:r>
                    <w:rPr>
                      <w:rFonts w:hint="eastAsia" w:cs="Times New Roman"/>
                      <w:b/>
                      <w:color w:val="000000" w:themeColor="text1"/>
                      <w:kern w:val="0"/>
                      <w:sz w:val="21"/>
                      <w:szCs w:val="21"/>
                      <w:highlight w:val="none"/>
                      <w:lang w:eastAsia="zh-CN"/>
                      <w14:textFill>
                        <w14:solidFill>
                          <w14:schemeClr w14:val="tx1"/>
                        </w14:solidFill>
                      </w14:textFill>
                    </w:rPr>
                    <w:t>（</w:t>
                  </w:r>
                  <w:r>
                    <w:rPr>
                      <w:rFonts w:hint="eastAsia" w:cs="Times New Roman"/>
                      <w:b/>
                      <w:color w:val="000000" w:themeColor="text1"/>
                      <w:kern w:val="0"/>
                      <w:sz w:val="21"/>
                      <w:szCs w:val="21"/>
                      <w:highlight w:val="none"/>
                      <w:lang w:val="en-US" w:eastAsia="zh-CN"/>
                      <w14:textFill>
                        <w14:solidFill>
                          <w14:schemeClr w14:val="tx1"/>
                        </w14:solidFill>
                      </w14:textFill>
                    </w:rPr>
                    <w:t>t</w:t>
                  </w:r>
                  <w:r>
                    <w:rPr>
                      <w:rFonts w:hint="eastAsia" w:cs="Times New Roman"/>
                      <w:b/>
                      <w:color w:val="000000" w:themeColor="text1"/>
                      <w:kern w:val="0"/>
                      <w:sz w:val="21"/>
                      <w:szCs w:val="21"/>
                      <w:highlight w:val="none"/>
                      <w:lang w:eastAsia="zh-CN"/>
                      <w14:textFill>
                        <w14:solidFill>
                          <w14:schemeClr w14:val="tx1"/>
                        </w14:solidFill>
                      </w14:textFill>
                    </w:rPr>
                    <w:t>）</w:t>
                  </w:r>
                </w:p>
              </w:tc>
              <w:tc>
                <w:tcPr>
                  <w:tcW w:w="529" w:type="pct"/>
                  <w:noWrap w:val="0"/>
                  <w:vAlign w:val="center"/>
                </w:tcPr>
                <w:p w14:paraId="014E007F">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eastAsia" w:ascii="Times New Roman" w:hAnsi="Times New Roman" w:eastAsia="宋体" w:cs="Times New Roman"/>
                      <w:b/>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临界量</w:t>
                  </w:r>
                  <w:r>
                    <w:rPr>
                      <w:rFonts w:hint="eastAsia" w:cs="Times New Roman"/>
                      <w:b/>
                      <w:color w:val="000000" w:themeColor="text1"/>
                      <w:kern w:val="0"/>
                      <w:sz w:val="21"/>
                      <w:szCs w:val="21"/>
                      <w:highlight w:val="none"/>
                      <w:lang w:eastAsia="zh-CN"/>
                      <w14:textFill>
                        <w14:solidFill>
                          <w14:schemeClr w14:val="tx1"/>
                        </w14:solidFill>
                      </w14:textFill>
                    </w:rPr>
                    <w:t>（</w:t>
                  </w:r>
                  <w:r>
                    <w:rPr>
                      <w:rFonts w:hint="eastAsia" w:cs="Times New Roman"/>
                      <w:b/>
                      <w:color w:val="000000" w:themeColor="text1"/>
                      <w:kern w:val="0"/>
                      <w:sz w:val="21"/>
                      <w:szCs w:val="21"/>
                      <w:highlight w:val="none"/>
                      <w:lang w:val="en-US" w:eastAsia="zh-CN"/>
                      <w14:textFill>
                        <w14:solidFill>
                          <w14:schemeClr w14:val="tx1"/>
                        </w14:solidFill>
                      </w14:textFill>
                    </w:rPr>
                    <w:t>t</w:t>
                  </w:r>
                  <w:r>
                    <w:rPr>
                      <w:rFonts w:hint="eastAsia" w:cs="Times New Roman"/>
                      <w:b/>
                      <w:color w:val="000000" w:themeColor="text1"/>
                      <w:kern w:val="0"/>
                      <w:sz w:val="21"/>
                      <w:szCs w:val="21"/>
                      <w:highlight w:val="none"/>
                      <w:lang w:eastAsia="zh-CN"/>
                      <w14:textFill>
                        <w14:solidFill>
                          <w14:schemeClr w14:val="tx1"/>
                        </w14:solidFill>
                      </w14:textFill>
                    </w:rPr>
                    <w:t>）</w:t>
                  </w:r>
                </w:p>
              </w:tc>
              <w:tc>
                <w:tcPr>
                  <w:tcW w:w="921" w:type="pct"/>
                  <w:noWrap w:val="0"/>
                  <w:vAlign w:val="center"/>
                </w:tcPr>
                <w:p w14:paraId="07E1B49D">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Q值</w:t>
                  </w:r>
                </w:p>
              </w:tc>
            </w:tr>
            <w:tr w14:paraId="7E8CD2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4" w:hRule="atLeast"/>
                <w:jc w:val="center"/>
              </w:trPr>
              <w:tc>
                <w:tcPr>
                  <w:tcW w:w="1200" w:type="pct"/>
                  <w:gridSpan w:val="2"/>
                  <w:noWrap w:val="0"/>
                  <w:vAlign w:val="center"/>
                </w:tcPr>
                <w:p w14:paraId="3C755300">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原</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辅</w:t>
                  </w: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料</w:t>
                  </w:r>
                </w:p>
              </w:tc>
              <w:tc>
                <w:tcPr>
                  <w:tcW w:w="974" w:type="pct"/>
                  <w:noWrap w:val="0"/>
                  <w:vAlign w:val="center"/>
                </w:tcPr>
                <w:p w14:paraId="4C60803E">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sz w:val="21"/>
                      <w:szCs w:val="21"/>
                    </w:rPr>
                    <w:t>钙基润滑脂（黄油）</w:t>
                  </w:r>
                </w:p>
              </w:tc>
              <w:tc>
                <w:tcPr>
                  <w:tcW w:w="637" w:type="pct"/>
                  <w:noWrap w:val="0"/>
                  <w:vAlign w:val="center"/>
                </w:tcPr>
                <w:p w14:paraId="6111CC96">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highlight w:val="none"/>
                      <w:vertAlign w:val="subscript"/>
                      <w:lang w:val="en-US" w:eastAsia="zh-CN" w:bidi="ar-SA"/>
                      <w14:textFill>
                        <w14:solidFill>
                          <w14:schemeClr w14:val="tx1"/>
                        </w14:solidFill>
                      </w14:textFill>
                    </w:rPr>
                  </w:pPr>
                  <w:r>
                    <w:rPr>
                      <w:rFonts w:hint="default"/>
                      <w:color w:val="auto"/>
                      <w:sz w:val="21"/>
                      <w:szCs w:val="21"/>
                      <w:lang w:bidi="ar"/>
                    </w:rPr>
                    <w:t>74869-22-0</w:t>
                  </w:r>
                </w:p>
              </w:tc>
              <w:tc>
                <w:tcPr>
                  <w:tcW w:w="737" w:type="pct"/>
                  <w:noWrap w:val="0"/>
                  <w:vAlign w:val="center"/>
                </w:tcPr>
                <w:p w14:paraId="2C442D80">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r>
                    <w:rPr>
                      <w:rFonts w:hint="eastAsia" w:cs="Times New Roman"/>
                      <w:color w:val="000000" w:themeColor="text1"/>
                      <w:sz w:val="21"/>
                      <w:szCs w:val="21"/>
                      <w:highlight w:val="none"/>
                      <w:lang w:val="en-US" w:eastAsia="zh-CN"/>
                      <w14:textFill>
                        <w14:solidFill>
                          <w14:schemeClr w14:val="tx1"/>
                        </w14:solidFill>
                      </w14:textFill>
                    </w:rPr>
                    <w:t>3</w:t>
                  </w:r>
                </w:p>
              </w:tc>
              <w:tc>
                <w:tcPr>
                  <w:tcW w:w="529" w:type="pct"/>
                  <w:noWrap w:val="0"/>
                  <w:vAlign w:val="center"/>
                </w:tcPr>
                <w:p w14:paraId="0BF87DF0">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2500</w:t>
                  </w:r>
                </w:p>
              </w:tc>
              <w:tc>
                <w:tcPr>
                  <w:tcW w:w="1794" w:type="dxa"/>
                  <w:noWrap w:val="0"/>
                  <w:vAlign w:val="center"/>
                </w:tcPr>
                <w:p w14:paraId="60DAC4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0.00012</w:t>
                  </w:r>
                </w:p>
              </w:tc>
            </w:tr>
            <w:tr w14:paraId="1B8E8E3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91" w:type="pct"/>
                  <w:vMerge w:val="restart"/>
                  <w:noWrap w:val="0"/>
                  <w:vAlign w:val="center"/>
                </w:tcPr>
                <w:p w14:paraId="05F84F13">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“三废”</w:t>
                  </w:r>
                </w:p>
                <w:p w14:paraId="30A65F0A">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污染物</w:t>
                  </w:r>
                </w:p>
              </w:tc>
              <w:tc>
                <w:tcPr>
                  <w:tcW w:w="609" w:type="pct"/>
                  <w:vMerge w:val="restart"/>
                  <w:noWrap w:val="0"/>
                  <w:vAlign w:val="center"/>
                </w:tcPr>
                <w:p w14:paraId="0B1C8202">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危险废物</w:t>
                  </w:r>
                </w:p>
              </w:tc>
              <w:tc>
                <w:tcPr>
                  <w:tcW w:w="974" w:type="pct"/>
                  <w:noWrap w:val="0"/>
                  <w:vAlign w:val="center"/>
                </w:tcPr>
                <w:p w14:paraId="302745AC">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废润滑油桶</w:t>
                  </w:r>
                </w:p>
              </w:tc>
              <w:tc>
                <w:tcPr>
                  <w:tcW w:w="637" w:type="pct"/>
                  <w:noWrap w:val="0"/>
                  <w:vAlign w:val="center"/>
                </w:tcPr>
                <w:p w14:paraId="0A097ED7">
                  <w:pPr>
                    <w:keepNext w:val="0"/>
                    <w:keepLines w:val="0"/>
                    <w:pageBreakBefore w:val="0"/>
                    <w:widowControl/>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w:t>
                  </w:r>
                </w:p>
              </w:tc>
              <w:tc>
                <w:tcPr>
                  <w:tcW w:w="737" w:type="pct"/>
                  <w:noWrap w:val="0"/>
                  <w:vAlign w:val="center"/>
                </w:tcPr>
                <w:p w14:paraId="5FDA9268">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highlight w:val="none"/>
                      <w:vertAlign w:val="superscript"/>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0.00</w:t>
                  </w:r>
                  <w:r>
                    <w:rPr>
                      <w:rFonts w:hint="eastAsia" w:cs="Times New Roman"/>
                      <w:b w:val="0"/>
                      <w:bCs w:val="0"/>
                      <w:color w:val="000000" w:themeColor="text1"/>
                      <w:sz w:val="21"/>
                      <w:szCs w:val="21"/>
                      <w:highlight w:val="none"/>
                      <w:lang w:val="en-US" w:eastAsia="zh-CN"/>
                      <w14:textFill>
                        <w14:solidFill>
                          <w14:schemeClr w14:val="tx1"/>
                        </w14:solidFill>
                      </w14:textFill>
                    </w:rPr>
                    <w:t>2</w:t>
                  </w:r>
                </w:p>
              </w:tc>
              <w:tc>
                <w:tcPr>
                  <w:tcW w:w="529" w:type="pct"/>
                  <w:noWrap w:val="0"/>
                  <w:vAlign w:val="center"/>
                </w:tcPr>
                <w:p w14:paraId="0FB5857F">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50</w:t>
                  </w:r>
                </w:p>
              </w:tc>
              <w:tc>
                <w:tcPr>
                  <w:tcW w:w="1794" w:type="dxa"/>
                  <w:noWrap w:val="0"/>
                  <w:vAlign w:val="center"/>
                </w:tcPr>
                <w:p w14:paraId="2E2B72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0.00004</w:t>
                  </w:r>
                </w:p>
              </w:tc>
            </w:tr>
            <w:tr w14:paraId="4607E1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91" w:type="pct"/>
                  <w:vMerge w:val="continue"/>
                  <w:noWrap w:val="0"/>
                  <w:vAlign w:val="center"/>
                </w:tcPr>
                <w:p w14:paraId="417ACA1E">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p>
              </w:tc>
              <w:tc>
                <w:tcPr>
                  <w:tcW w:w="609" w:type="pct"/>
                  <w:vMerge w:val="continue"/>
                  <w:noWrap w:val="0"/>
                  <w:vAlign w:val="center"/>
                </w:tcPr>
                <w:p w14:paraId="0C7C5935">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74" w:type="pct"/>
                  <w:noWrap w:val="0"/>
                  <w:vAlign w:val="center"/>
                </w:tcPr>
                <w:p w14:paraId="540AB6A7">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废活性炭</w:t>
                  </w:r>
                </w:p>
              </w:tc>
              <w:tc>
                <w:tcPr>
                  <w:tcW w:w="637" w:type="pct"/>
                  <w:noWrap w:val="0"/>
                  <w:vAlign w:val="center"/>
                </w:tcPr>
                <w:p w14:paraId="77BA1830">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w:t>
                  </w:r>
                </w:p>
              </w:tc>
              <w:tc>
                <w:tcPr>
                  <w:tcW w:w="737" w:type="pct"/>
                  <w:noWrap w:val="0"/>
                  <w:vAlign w:val="center"/>
                </w:tcPr>
                <w:p w14:paraId="1247DF45">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vertAlign w:val="superscript"/>
                      <w:lang w:val="en-US" w:eastAsia="zh-CN" w:bidi="ar-SA"/>
                    </w:rPr>
                  </w:pPr>
                  <w:r>
                    <w:rPr>
                      <w:rFonts w:hint="eastAsia" w:cs="Times New Roman"/>
                      <w:bCs/>
                      <w:color w:val="auto"/>
                      <w:sz w:val="21"/>
                      <w:szCs w:val="21"/>
                      <w:highlight w:val="none"/>
                      <w:lang w:val="en-US" w:eastAsia="zh-CN"/>
                    </w:rPr>
                    <w:t>2.0572</w:t>
                  </w:r>
                </w:p>
              </w:tc>
              <w:tc>
                <w:tcPr>
                  <w:tcW w:w="529" w:type="pct"/>
                  <w:noWrap w:val="0"/>
                  <w:vAlign w:val="center"/>
                </w:tcPr>
                <w:p w14:paraId="652D7CE8">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50</w:t>
                  </w:r>
                </w:p>
              </w:tc>
              <w:tc>
                <w:tcPr>
                  <w:tcW w:w="1794" w:type="dxa"/>
                  <w:noWrap w:val="0"/>
                  <w:vAlign w:val="center"/>
                </w:tcPr>
                <w:p w14:paraId="338099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4F81BD" w:themeColor="accent1"/>
                      <w:sz w:val="21"/>
                      <w:szCs w:val="21"/>
                      <w:highlight w:val="none"/>
                      <w:lang w:val="en-US" w:eastAsia="zh-CN"/>
                      <w14:textFill>
                        <w14:solidFill>
                          <w14:schemeClr w14:val="accent1"/>
                        </w14:solidFill>
                      </w14:textFill>
                    </w:rPr>
                  </w:pPr>
                  <w:r>
                    <w:rPr>
                      <w:rFonts w:hint="default" w:ascii="Times New Roman" w:hAnsi="Times New Roman" w:eastAsia="宋体" w:cs="Times New Roman"/>
                      <w:i w:val="0"/>
                      <w:iCs w:val="0"/>
                      <w:color w:val="000000"/>
                      <w:kern w:val="0"/>
                      <w:sz w:val="21"/>
                      <w:szCs w:val="21"/>
                      <w:u w:val="none"/>
                      <w:lang w:val="en-US" w:eastAsia="zh-CN" w:bidi="ar"/>
                    </w:rPr>
                    <w:t>0.041144</w:t>
                  </w:r>
                </w:p>
              </w:tc>
            </w:tr>
            <w:tr w14:paraId="0B6465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91" w:type="pct"/>
                  <w:vMerge w:val="continue"/>
                  <w:noWrap w:val="0"/>
                  <w:vAlign w:val="center"/>
                </w:tcPr>
                <w:p w14:paraId="53B77588">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p>
              </w:tc>
              <w:tc>
                <w:tcPr>
                  <w:tcW w:w="609" w:type="pct"/>
                  <w:vMerge w:val="continue"/>
                  <w:noWrap w:val="0"/>
                  <w:vAlign w:val="center"/>
                </w:tcPr>
                <w:p w14:paraId="64030D3C">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74" w:type="pct"/>
                  <w:noWrap w:val="0"/>
                  <w:vAlign w:val="center"/>
                </w:tcPr>
                <w:p w14:paraId="03F85EB5">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废催化剂</w:t>
                  </w:r>
                </w:p>
              </w:tc>
              <w:tc>
                <w:tcPr>
                  <w:tcW w:w="637" w:type="pct"/>
                  <w:noWrap w:val="0"/>
                  <w:vAlign w:val="center"/>
                </w:tcPr>
                <w:p w14:paraId="084766DC">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t>
                  </w:r>
                </w:p>
              </w:tc>
              <w:tc>
                <w:tcPr>
                  <w:tcW w:w="737" w:type="pct"/>
                  <w:noWrap w:val="0"/>
                  <w:vAlign w:val="center"/>
                </w:tcPr>
                <w:p w14:paraId="069D3253">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0.03</w:t>
                  </w:r>
                </w:p>
              </w:tc>
              <w:tc>
                <w:tcPr>
                  <w:tcW w:w="529" w:type="pct"/>
                  <w:noWrap w:val="0"/>
                  <w:vAlign w:val="center"/>
                </w:tcPr>
                <w:p w14:paraId="58A5D565">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50</w:t>
                  </w:r>
                </w:p>
              </w:tc>
              <w:tc>
                <w:tcPr>
                  <w:tcW w:w="1794" w:type="dxa"/>
                  <w:noWrap w:val="0"/>
                  <w:vAlign w:val="center"/>
                </w:tcPr>
                <w:p w14:paraId="098750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0.0006</w:t>
                  </w:r>
                </w:p>
              </w:tc>
            </w:tr>
            <w:tr w14:paraId="0FC1DF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00" w:type="pct"/>
                  <w:gridSpan w:val="2"/>
                  <w:noWrap w:val="0"/>
                  <w:vAlign w:val="center"/>
                </w:tcPr>
                <w:p w14:paraId="0DA4364C">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合计</w:t>
                  </w:r>
                </w:p>
              </w:tc>
              <w:tc>
                <w:tcPr>
                  <w:tcW w:w="974" w:type="pct"/>
                  <w:noWrap w:val="0"/>
                  <w:vAlign w:val="center"/>
                </w:tcPr>
                <w:p w14:paraId="54E6CDAD">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637" w:type="pct"/>
                  <w:noWrap w:val="0"/>
                  <w:vAlign w:val="center"/>
                </w:tcPr>
                <w:p w14:paraId="4E0900AA">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737" w:type="pct"/>
                  <w:noWrap w:val="0"/>
                  <w:vAlign w:val="center"/>
                </w:tcPr>
                <w:p w14:paraId="46084EB2">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29" w:type="pct"/>
                  <w:noWrap w:val="0"/>
                  <w:vAlign w:val="center"/>
                </w:tcPr>
                <w:p w14:paraId="1AA7439F">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t>
                  </w:r>
                </w:p>
              </w:tc>
              <w:tc>
                <w:tcPr>
                  <w:tcW w:w="1794" w:type="dxa"/>
                  <w:noWrap w:val="0"/>
                  <w:vAlign w:val="center"/>
                </w:tcPr>
                <w:p w14:paraId="21E459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0.041904</w:t>
                  </w:r>
                </w:p>
              </w:tc>
            </w:tr>
            <w:tr w14:paraId="5E47B0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00" w:type="pct"/>
                  <w:gridSpan w:val="7"/>
                  <w:noWrap w:val="0"/>
                  <w:vAlign w:val="center"/>
                </w:tcPr>
                <w:p w14:paraId="337A2991">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注：参考《浙江省企业环境风险评估技术指南（2015修订版）》，危险废物临界量50t。</w:t>
                  </w:r>
                </w:p>
              </w:tc>
            </w:tr>
          </w:tbl>
          <w:p w14:paraId="4E51C9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由上表可知，公司环境风险物质Q值均小于1，环境风险影响很小。</w:t>
            </w:r>
          </w:p>
          <w:p w14:paraId="6E1A9D8B">
            <w:pPr>
              <w:pStyle w:val="13"/>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240" w:firstLineChars="100"/>
              <w:rPr>
                <w:rFonts w:hint="default" w:ascii="Times New Roman" w:hAnsi="Times New Roman" w:eastAsia="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Times New Roman" w:cs="Times New Roman"/>
                <w:b/>
                <w:bCs/>
                <w:color w:val="000000" w:themeColor="text1"/>
                <w:sz w:val="24"/>
                <w:szCs w:val="24"/>
                <w:highlight w:val="none"/>
                <w:lang w:val="en-US" w:eastAsia="zh-CN"/>
                <w14:textFill>
                  <w14:solidFill>
                    <w14:schemeClr w14:val="tx1"/>
                  </w14:solidFill>
                </w14:textFill>
              </w:rPr>
              <w:t>7.2环境风险识别</w:t>
            </w:r>
          </w:p>
          <w:p w14:paraId="6E9325AE">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504"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Cs/>
                <w:color w:val="000000" w:themeColor="text1"/>
                <w:spacing w:val="6"/>
                <w:sz w:val="24"/>
                <w:highlight w:val="none"/>
                <w14:textFill>
                  <w14:solidFill>
                    <w14:schemeClr w14:val="tx1"/>
                  </w14:solidFill>
                </w14:textFill>
              </w:rPr>
              <w:t>结合项目情况，项目建成后企业可能发生的突发环境事件包括：</w:t>
            </w:r>
            <w:r>
              <w:rPr>
                <w:rFonts w:hint="default" w:ascii="Times New Roman" w:hAnsi="Times New Roman" w:eastAsia="宋体" w:cs="Times New Roman"/>
                <w:bCs/>
                <w:color w:val="000000" w:themeColor="text1"/>
                <w:spacing w:val="6"/>
                <w:sz w:val="24"/>
                <w:highlight w:val="none"/>
                <w:lang w:val="en-US" w:eastAsia="zh-CN"/>
                <w14:textFill>
                  <w14:solidFill>
                    <w14:schemeClr w14:val="tx1"/>
                  </w14:solidFill>
                </w14:textFill>
              </w:rPr>
              <w:t>润滑油泄漏</w:t>
            </w:r>
            <w:r>
              <w:rPr>
                <w:rFonts w:hint="eastAsia" w:cs="Times New Roman"/>
                <w:bCs/>
                <w:color w:val="000000" w:themeColor="text1"/>
                <w:spacing w:val="6"/>
                <w:sz w:val="24"/>
                <w:highlight w:val="none"/>
                <w:lang w:val="en-US" w:eastAsia="zh-CN"/>
                <w14:textFill>
                  <w14:solidFill>
                    <w14:schemeClr w14:val="tx1"/>
                  </w14:solidFill>
                </w14:textFill>
              </w:rPr>
              <w:t>、</w:t>
            </w:r>
            <w:r>
              <w:rPr>
                <w:rFonts w:hint="eastAsia" w:cs="Times New Roman"/>
                <w:bCs/>
                <w:color w:val="auto"/>
                <w:spacing w:val="6"/>
                <w:sz w:val="24"/>
                <w:highlight w:val="none"/>
                <w:lang w:val="en-US" w:eastAsia="zh-CN"/>
              </w:rPr>
              <w:t>水性油墨泄漏</w:t>
            </w:r>
            <w:r>
              <w:rPr>
                <w:rFonts w:hint="default" w:ascii="Times New Roman" w:hAnsi="Times New Roman" w:eastAsia="宋体" w:cs="Times New Roman"/>
                <w:bCs/>
                <w:color w:val="auto"/>
                <w:spacing w:val="6"/>
                <w:sz w:val="24"/>
                <w:highlight w:val="none"/>
                <w:lang w:val="en-US" w:eastAsia="zh-CN"/>
              </w:rPr>
              <w:t>事件、</w:t>
            </w:r>
            <w:r>
              <w:rPr>
                <w:rFonts w:hint="default" w:ascii="Times New Roman" w:hAnsi="Times New Roman" w:eastAsia="宋体" w:cs="Times New Roman"/>
                <w:color w:val="000000" w:themeColor="text1"/>
                <w:sz w:val="24"/>
                <w:highlight w:val="none"/>
                <w14:textFill>
                  <w14:solidFill>
                    <w14:schemeClr w14:val="tx1"/>
                  </w14:solidFill>
                </w14:textFill>
              </w:rPr>
              <w:t>废</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气污染治理</w:t>
            </w:r>
            <w:r>
              <w:rPr>
                <w:rFonts w:hint="default" w:ascii="Times New Roman" w:hAnsi="Times New Roman" w:eastAsia="宋体" w:cs="Times New Roman"/>
                <w:color w:val="000000" w:themeColor="text1"/>
                <w:sz w:val="24"/>
                <w:highlight w:val="none"/>
                <w14:textFill>
                  <w14:solidFill>
                    <w14:schemeClr w14:val="tx1"/>
                  </w14:solidFill>
                </w14:textFill>
              </w:rPr>
              <w:t>设施故障</w:t>
            </w:r>
            <w:r>
              <w:rPr>
                <w:rFonts w:hint="default" w:ascii="Times New Roman" w:hAnsi="Times New Roman" w:eastAsia="宋体" w:cs="Times New Roman"/>
                <w:bCs/>
                <w:color w:val="000000" w:themeColor="text1"/>
                <w:spacing w:val="6"/>
                <w:sz w:val="24"/>
                <w:highlight w:val="none"/>
                <w14:textFill>
                  <w14:solidFill>
                    <w14:schemeClr w14:val="tx1"/>
                  </w14:solidFill>
                </w14:textFill>
              </w:rPr>
              <w:t>事件、</w:t>
            </w:r>
            <w:r>
              <w:rPr>
                <w:rFonts w:hint="default" w:ascii="Times New Roman" w:hAnsi="Times New Roman" w:eastAsia="宋体" w:cs="Times New Roman"/>
                <w:bCs/>
                <w:color w:val="000000" w:themeColor="text1"/>
                <w:spacing w:val="6"/>
                <w:sz w:val="24"/>
                <w:highlight w:val="none"/>
                <w:lang w:val="en-US" w:eastAsia="zh-CN"/>
                <w14:textFill>
                  <w14:solidFill>
                    <w14:schemeClr w14:val="tx1"/>
                  </w14:solidFill>
                </w14:textFill>
              </w:rPr>
              <w:t>危险废物污染事件</w:t>
            </w:r>
            <w:r>
              <w:rPr>
                <w:rFonts w:hint="default" w:ascii="Times New Roman" w:hAnsi="Times New Roman" w:eastAsia="宋体" w:cs="Times New Roman"/>
                <w:color w:val="000000" w:themeColor="text1"/>
                <w:sz w:val="24"/>
                <w:highlight w:val="none"/>
                <w14:textFill>
                  <w14:solidFill>
                    <w14:schemeClr w14:val="tx1"/>
                  </w14:solidFill>
                </w14:textFill>
              </w:rPr>
              <w:t>和火灾爆炸次生衍生污染</w:t>
            </w:r>
            <w:r>
              <w:rPr>
                <w:rFonts w:hint="default" w:ascii="Times New Roman" w:hAnsi="Times New Roman" w:eastAsia="宋体" w:cs="Times New Roman"/>
                <w:bCs/>
                <w:color w:val="000000" w:themeColor="text1"/>
                <w:spacing w:val="6"/>
                <w:sz w:val="24"/>
                <w:highlight w:val="none"/>
                <w14:textFill>
                  <w14:solidFill>
                    <w14:schemeClr w14:val="tx1"/>
                  </w14:solidFill>
                </w14:textFill>
              </w:rPr>
              <w:t>事件</w:t>
            </w:r>
            <w:r>
              <w:rPr>
                <w:rFonts w:hint="default" w:ascii="Times New Roman" w:hAnsi="Times New Roman" w:eastAsia="宋体" w:cs="Times New Roman"/>
                <w:color w:val="000000" w:themeColor="text1"/>
                <w:sz w:val="24"/>
                <w:highlight w:val="none"/>
                <w14:textFill>
                  <w14:solidFill>
                    <w14:schemeClr w14:val="tx1"/>
                  </w14:solidFill>
                </w14:textFill>
              </w:rPr>
              <w:t>。</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企业涉及风险单元见下表。</w:t>
            </w:r>
          </w:p>
          <w:p w14:paraId="72E4AFAF">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pacing w:val="6"/>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pacing w:val="6"/>
                <w:sz w:val="24"/>
                <w:highlight w:val="none"/>
                <w14:textFill>
                  <w14:solidFill>
                    <w14:schemeClr w14:val="tx1"/>
                  </w14:solidFill>
                </w14:textFill>
              </w:rPr>
              <w:t>突发环境事件</w:t>
            </w:r>
            <w:r>
              <w:rPr>
                <w:rFonts w:hint="default" w:ascii="Times New Roman" w:hAnsi="Times New Roman" w:eastAsia="宋体" w:cs="Times New Roman"/>
                <w:b/>
                <w:bCs/>
                <w:color w:val="000000" w:themeColor="text1"/>
                <w:spacing w:val="6"/>
                <w:sz w:val="24"/>
                <w:highlight w:val="none"/>
                <w:lang w:val="en-US" w:eastAsia="zh-CN"/>
                <w14:textFill>
                  <w14:solidFill>
                    <w14:schemeClr w14:val="tx1"/>
                  </w14:solidFill>
                </w14:textFill>
              </w:rPr>
              <w:t>类别一览表</w:t>
            </w:r>
          </w:p>
          <w:tbl>
            <w:tblPr>
              <w:tblStyle w:val="29"/>
              <w:tblW w:w="4995"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4105"/>
              <w:gridCol w:w="2752"/>
            </w:tblGrid>
            <w:tr w14:paraId="373C38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tcBorders>
                    <w:tl2br w:val="nil"/>
                    <w:tr2bl w:val="nil"/>
                  </w:tcBorders>
                  <w:noWrap w:val="0"/>
                  <w:vAlign w:val="center"/>
                </w:tcPr>
                <w:p w14:paraId="7C35AA9A">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风险单元名称</w:t>
                  </w:r>
                </w:p>
              </w:tc>
              <w:tc>
                <w:tcPr>
                  <w:tcW w:w="2454" w:type="pct"/>
                  <w:tcBorders>
                    <w:tl2br w:val="nil"/>
                    <w:tr2bl w:val="nil"/>
                  </w:tcBorders>
                  <w:noWrap w:val="0"/>
                  <w:vAlign w:val="center"/>
                </w:tcPr>
                <w:p w14:paraId="45897449">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风险物质</w:t>
                  </w:r>
                </w:p>
              </w:tc>
              <w:tc>
                <w:tcPr>
                  <w:tcW w:w="1645" w:type="pct"/>
                  <w:tcBorders>
                    <w:tl2br w:val="nil"/>
                    <w:tr2bl w:val="nil"/>
                  </w:tcBorders>
                  <w:noWrap w:val="0"/>
                  <w:vAlign w:val="center"/>
                </w:tcPr>
                <w:p w14:paraId="00D04034">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突发环境事件类别</w:t>
                  </w:r>
                </w:p>
              </w:tc>
            </w:tr>
            <w:tr w14:paraId="062C46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tcBorders>
                    <w:tl2br w:val="nil"/>
                    <w:tr2bl w:val="nil"/>
                  </w:tcBorders>
                  <w:noWrap w:val="0"/>
                  <w:vAlign w:val="center"/>
                </w:tcPr>
                <w:p w14:paraId="43D0C123">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办公室</w:t>
                  </w:r>
                </w:p>
              </w:tc>
              <w:tc>
                <w:tcPr>
                  <w:tcW w:w="2454" w:type="pct"/>
                  <w:vMerge w:val="restart"/>
                  <w:tcBorders>
                    <w:tl2br w:val="nil"/>
                    <w:tr2bl w:val="nil"/>
                  </w:tcBorders>
                  <w:noWrap w:val="0"/>
                  <w:vAlign w:val="center"/>
                </w:tcPr>
                <w:p w14:paraId="0E6AD104">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火灾</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爆炸</w:t>
                  </w:r>
                  <w:r>
                    <w:rPr>
                      <w:rFonts w:hint="default" w:ascii="Times New Roman" w:hAnsi="Times New Roman" w:eastAsia="宋体" w:cs="Times New Roman"/>
                      <w:color w:val="000000" w:themeColor="text1"/>
                      <w:sz w:val="21"/>
                      <w:szCs w:val="21"/>
                      <w:highlight w:val="none"/>
                      <w14:textFill>
                        <w14:solidFill>
                          <w14:schemeClr w14:val="tx1"/>
                        </w14:solidFill>
                      </w14:textFill>
                    </w:rPr>
                    <w:t>次生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燃烧废气、消防</w:t>
                  </w:r>
                  <w:r>
                    <w:rPr>
                      <w:rFonts w:hint="eastAsia" w:cs="Times New Roman"/>
                      <w:color w:val="000000" w:themeColor="text1"/>
                      <w:sz w:val="21"/>
                      <w:szCs w:val="21"/>
                      <w:highlight w:val="none"/>
                      <w:lang w:val="en-US" w:eastAsia="zh-CN"/>
                      <w14:textFill>
                        <w14:solidFill>
                          <w14:schemeClr w14:val="tx1"/>
                        </w14:solidFill>
                      </w14:textFill>
                    </w:rPr>
                    <w:t>废水、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固废等</w:t>
                  </w:r>
                </w:p>
              </w:tc>
              <w:tc>
                <w:tcPr>
                  <w:tcW w:w="1645" w:type="pct"/>
                  <w:vMerge w:val="restart"/>
                  <w:tcBorders>
                    <w:tl2br w:val="nil"/>
                    <w:tr2bl w:val="nil"/>
                  </w:tcBorders>
                  <w:noWrap w:val="0"/>
                  <w:vAlign w:val="center"/>
                </w:tcPr>
                <w:p w14:paraId="5E9B48AB">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火灾</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爆炸</w:t>
                  </w:r>
                  <w:r>
                    <w:rPr>
                      <w:rFonts w:hint="default" w:ascii="Times New Roman" w:hAnsi="Times New Roman" w:eastAsia="宋体" w:cs="Times New Roman"/>
                      <w:color w:val="000000" w:themeColor="text1"/>
                      <w:sz w:val="21"/>
                      <w:szCs w:val="21"/>
                      <w:highlight w:val="none"/>
                      <w14:textFill>
                        <w14:solidFill>
                          <w14:schemeClr w14:val="tx1"/>
                        </w14:solidFill>
                      </w14:textFill>
                    </w:rPr>
                    <w:t>次生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衍生污染事件</w:t>
                  </w:r>
                </w:p>
              </w:tc>
            </w:tr>
            <w:tr w14:paraId="72A36F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900" w:type="pct"/>
                  <w:tcBorders>
                    <w:tl2br w:val="nil"/>
                    <w:tr2bl w:val="nil"/>
                  </w:tcBorders>
                  <w:noWrap w:val="0"/>
                  <w:vAlign w:val="center"/>
                </w:tcPr>
                <w:p w14:paraId="3EA60038">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生产</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车间</w:t>
                  </w:r>
                </w:p>
              </w:tc>
              <w:tc>
                <w:tcPr>
                  <w:tcW w:w="2454" w:type="pct"/>
                  <w:vMerge w:val="continue"/>
                  <w:tcBorders>
                    <w:tl2br w:val="nil"/>
                    <w:tr2bl w:val="nil"/>
                  </w:tcBorders>
                  <w:noWrap w:val="0"/>
                  <w:vAlign w:val="center"/>
                </w:tcPr>
                <w:p w14:paraId="52467E4E">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1645" w:type="pct"/>
                  <w:vMerge w:val="continue"/>
                  <w:tcBorders>
                    <w:tl2br w:val="nil"/>
                    <w:tr2bl w:val="nil"/>
                  </w:tcBorders>
                  <w:noWrap w:val="0"/>
                  <w:vAlign w:val="center"/>
                </w:tcPr>
                <w:p w14:paraId="5B9F1D7F">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6AE965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restart"/>
                  <w:tcBorders>
                    <w:tl2br w:val="nil"/>
                    <w:tr2bl w:val="nil"/>
                  </w:tcBorders>
                  <w:noWrap w:val="0"/>
                  <w:vAlign w:val="center"/>
                </w:tcPr>
                <w:p w14:paraId="2586AB5C">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危废间</w:t>
                  </w:r>
                </w:p>
              </w:tc>
              <w:tc>
                <w:tcPr>
                  <w:tcW w:w="2454" w:type="pct"/>
                  <w:tcBorders>
                    <w:tl2br w:val="nil"/>
                    <w:tr2bl w:val="nil"/>
                  </w:tcBorders>
                  <w:noWrap w:val="0"/>
                  <w:vAlign w:val="center"/>
                </w:tcPr>
                <w:p w14:paraId="16B85B11">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火灾</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爆炸</w:t>
                  </w:r>
                  <w:r>
                    <w:rPr>
                      <w:rFonts w:hint="default" w:ascii="Times New Roman" w:hAnsi="Times New Roman" w:eastAsia="宋体" w:cs="Times New Roman"/>
                      <w:color w:val="000000" w:themeColor="text1"/>
                      <w:sz w:val="21"/>
                      <w:szCs w:val="21"/>
                      <w:highlight w:val="none"/>
                      <w14:textFill>
                        <w14:solidFill>
                          <w14:schemeClr w14:val="tx1"/>
                        </w14:solidFill>
                      </w14:textFill>
                    </w:rPr>
                    <w:t>次生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燃烧废气、消防</w:t>
                  </w:r>
                  <w:r>
                    <w:rPr>
                      <w:rFonts w:hint="eastAsia" w:cs="Times New Roman"/>
                      <w:color w:val="000000" w:themeColor="text1"/>
                      <w:sz w:val="21"/>
                      <w:szCs w:val="21"/>
                      <w:highlight w:val="none"/>
                      <w:lang w:val="en-US" w:eastAsia="zh-CN"/>
                      <w14:textFill>
                        <w14:solidFill>
                          <w14:schemeClr w14:val="tx1"/>
                        </w14:solidFill>
                      </w14:textFill>
                    </w:rPr>
                    <w:t>废水、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固废等</w:t>
                  </w:r>
                </w:p>
              </w:tc>
              <w:tc>
                <w:tcPr>
                  <w:tcW w:w="1645" w:type="pct"/>
                  <w:tcBorders>
                    <w:tl2br w:val="nil"/>
                    <w:tr2bl w:val="nil"/>
                  </w:tcBorders>
                  <w:noWrap w:val="0"/>
                  <w:vAlign w:val="center"/>
                </w:tcPr>
                <w:p w14:paraId="7CBC72B8">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火灾</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爆炸</w:t>
                  </w:r>
                  <w:r>
                    <w:rPr>
                      <w:rFonts w:hint="default" w:ascii="Times New Roman" w:hAnsi="Times New Roman" w:eastAsia="宋体" w:cs="Times New Roman"/>
                      <w:color w:val="000000" w:themeColor="text1"/>
                      <w:sz w:val="21"/>
                      <w:szCs w:val="21"/>
                      <w:highlight w:val="none"/>
                      <w14:textFill>
                        <w14:solidFill>
                          <w14:schemeClr w14:val="tx1"/>
                        </w14:solidFill>
                      </w14:textFill>
                    </w:rPr>
                    <w:t>次生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衍生污染事件</w:t>
                  </w:r>
                </w:p>
              </w:tc>
            </w:tr>
            <w:tr w14:paraId="12F7572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tcBorders>
                    <w:tl2br w:val="nil"/>
                    <w:tr2bl w:val="nil"/>
                  </w:tcBorders>
                  <w:noWrap w:val="0"/>
                  <w:vAlign w:val="center"/>
                </w:tcPr>
                <w:p w14:paraId="068E43F1">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2454" w:type="pct"/>
                  <w:tcBorders>
                    <w:tl2br w:val="nil"/>
                    <w:tr2bl w:val="nil"/>
                  </w:tcBorders>
                  <w:noWrap w:val="0"/>
                  <w:vAlign w:val="center"/>
                </w:tcPr>
                <w:p w14:paraId="0CEEC9EE">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危险废物</w:t>
                  </w:r>
                </w:p>
              </w:tc>
              <w:tc>
                <w:tcPr>
                  <w:tcW w:w="1645" w:type="pct"/>
                  <w:tcBorders>
                    <w:tl2br w:val="nil"/>
                    <w:tr2bl w:val="nil"/>
                  </w:tcBorders>
                  <w:noWrap w:val="0"/>
                  <w:vAlign w:val="center"/>
                </w:tcPr>
                <w:p w14:paraId="71A4857F">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危险废物污染事件</w:t>
                  </w:r>
                </w:p>
              </w:tc>
            </w:tr>
            <w:tr w14:paraId="5415BE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tcBorders>
                    <w:tl2br w:val="nil"/>
                    <w:tr2bl w:val="nil"/>
                  </w:tcBorders>
                  <w:noWrap w:val="0"/>
                  <w:vAlign w:val="center"/>
                </w:tcPr>
                <w:p w14:paraId="51EA05B2">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成品仓库</w:t>
                  </w:r>
                </w:p>
              </w:tc>
              <w:tc>
                <w:tcPr>
                  <w:tcW w:w="2454" w:type="pct"/>
                  <w:tcBorders>
                    <w:tl2br w:val="nil"/>
                    <w:tr2bl w:val="nil"/>
                  </w:tcBorders>
                  <w:noWrap w:val="0"/>
                  <w:vAlign w:val="center"/>
                </w:tcPr>
                <w:p w14:paraId="3AFAD8AD">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火灾</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爆炸</w:t>
                  </w:r>
                  <w:r>
                    <w:rPr>
                      <w:rFonts w:hint="default" w:ascii="Times New Roman" w:hAnsi="Times New Roman" w:eastAsia="宋体" w:cs="Times New Roman"/>
                      <w:color w:val="000000" w:themeColor="text1"/>
                      <w:sz w:val="21"/>
                      <w:szCs w:val="21"/>
                      <w:highlight w:val="none"/>
                      <w14:textFill>
                        <w14:solidFill>
                          <w14:schemeClr w14:val="tx1"/>
                        </w14:solidFill>
                      </w14:textFill>
                    </w:rPr>
                    <w:t>次生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燃烧废气、消防</w:t>
                  </w:r>
                  <w:r>
                    <w:rPr>
                      <w:rFonts w:hint="eastAsia" w:cs="Times New Roman"/>
                      <w:color w:val="000000" w:themeColor="text1"/>
                      <w:sz w:val="21"/>
                      <w:szCs w:val="21"/>
                      <w:highlight w:val="none"/>
                      <w:lang w:val="en-US" w:eastAsia="zh-CN"/>
                      <w14:textFill>
                        <w14:solidFill>
                          <w14:schemeClr w14:val="tx1"/>
                        </w14:solidFill>
                      </w14:textFill>
                    </w:rPr>
                    <w:t>废水、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固废等</w:t>
                  </w:r>
                </w:p>
              </w:tc>
              <w:tc>
                <w:tcPr>
                  <w:tcW w:w="1645" w:type="pct"/>
                  <w:tcBorders>
                    <w:tl2br w:val="nil"/>
                    <w:tr2bl w:val="nil"/>
                  </w:tcBorders>
                  <w:noWrap w:val="0"/>
                  <w:vAlign w:val="center"/>
                </w:tcPr>
                <w:p w14:paraId="444DCB33">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火灾</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爆炸</w:t>
                  </w:r>
                  <w:r>
                    <w:rPr>
                      <w:rFonts w:hint="default" w:ascii="Times New Roman" w:hAnsi="Times New Roman" w:eastAsia="宋体" w:cs="Times New Roman"/>
                      <w:color w:val="000000" w:themeColor="text1"/>
                      <w:sz w:val="21"/>
                      <w:szCs w:val="21"/>
                      <w:highlight w:val="none"/>
                      <w14:textFill>
                        <w14:solidFill>
                          <w14:schemeClr w14:val="tx1"/>
                        </w14:solidFill>
                      </w14:textFill>
                    </w:rPr>
                    <w:t>次生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衍生污染事件</w:t>
                  </w:r>
                </w:p>
              </w:tc>
            </w:tr>
            <w:tr w14:paraId="041EC8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restart"/>
                  <w:tcBorders>
                    <w:tl2br w:val="nil"/>
                    <w:tr2bl w:val="nil"/>
                  </w:tcBorders>
                  <w:noWrap w:val="0"/>
                  <w:vAlign w:val="center"/>
                </w:tcPr>
                <w:p w14:paraId="0553E7D4">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润滑油</w:t>
                  </w:r>
                  <w:r>
                    <w:rPr>
                      <w:rFonts w:hint="eastAsia" w:cs="Times New Roman"/>
                      <w:b w:val="0"/>
                      <w:bCs w:val="0"/>
                      <w:color w:val="000000" w:themeColor="text1"/>
                      <w:sz w:val="21"/>
                      <w:szCs w:val="21"/>
                      <w:highlight w:val="none"/>
                      <w:lang w:val="en-US" w:eastAsia="zh-CN"/>
                      <w14:textFill>
                        <w14:solidFill>
                          <w14:schemeClr w14:val="tx1"/>
                        </w14:solidFill>
                      </w14:textFill>
                    </w:rPr>
                    <w:t>、水性油墨</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存放处</w:t>
                  </w:r>
                </w:p>
              </w:tc>
              <w:tc>
                <w:tcPr>
                  <w:tcW w:w="2454" w:type="pct"/>
                  <w:tcBorders>
                    <w:tl2br w:val="nil"/>
                    <w:tr2bl w:val="nil"/>
                  </w:tcBorders>
                  <w:noWrap w:val="0"/>
                  <w:vAlign w:val="center"/>
                </w:tcPr>
                <w:p w14:paraId="1278D8E1">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火灾</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爆炸</w:t>
                  </w:r>
                  <w:r>
                    <w:rPr>
                      <w:rFonts w:hint="default" w:ascii="Times New Roman" w:hAnsi="Times New Roman" w:eastAsia="宋体" w:cs="Times New Roman"/>
                      <w:color w:val="000000" w:themeColor="text1"/>
                      <w:sz w:val="21"/>
                      <w:szCs w:val="21"/>
                      <w:highlight w:val="none"/>
                      <w14:textFill>
                        <w14:solidFill>
                          <w14:schemeClr w14:val="tx1"/>
                        </w14:solidFill>
                      </w14:textFill>
                    </w:rPr>
                    <w:t>次生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燃烧废气、消防</w:t>
                  </w:r>
                  <w:r>
                    <w:rPr>
                      <w:rFonts w:hint="eastAsia" w:cs="Times New Roman"/>
                      <w:color w:val="000000" w:themeColor="text1"/>
                      <w:sz w:val="21"/>
                      <w:szCs w:val="21"/>
                      <w:highlight w:val="none"/>
                      <w:lang w:val="en-US" w:eastAsia="zh-CN"/>
                      <w14:textFill>
                        <w14:solidFill>
                          <w14:schemeClr w14:val="tx1"/>
                        </w14:solidFill>
                      </w14:textFill>
                    </w:rPr>
                    <w:t>废水、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固废等</w:t>
                  </w:r>
                </w:p>
              </w:tc>
              <w:tc>
                <w:tcPr>
                  <w:tcW w:w="1645" w:type="pct"/>
                  <w:tcBorders>
                    <w:tl2br w:val="nil"/>
                    <w:tr2bl w:val="nil"/>
                  </w:tcBorders>
                  <w:noWrap w:val="0"/>
                  <w:vAlign w:val="center"/>
                </w:tcPr>
                <w:p w14:paraId="6404745A">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火灾</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爆炸</w:t>
                  </w:r>
                  <w:r>
                    <w:rPr>
                      <w:rFonts w:hint="default" w:ascii="Times New Roman" w:hAnsi="Times New Roman" w:eastAsia="宋体" w:cs="Times New Roman"/>
                      <w:color w:val="000000" w:themeColor="text1"/>
                      <w:sz w:val="21"/>
                      <w:szCs w:val="21"/>
                      <w:highlight w:val="none"/>
                      <w14:textFill>
                        <w14:solidFill>
                          <w14:schemeClr w14:val="tx1"/>
                        </w14:solidFill>
                      </w14:textFill>
                    </w:rPr>
                    <w:t>次生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衍生污染事件</w:t>
                  </w:r>
                </w:p>
              </w:tc>
            </w:tr>
            <w:tr w14:paraId="7EA0F3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00" w:type="pct"/>
                  <w:vMerge w:val="continue"/>
                  <w:tcBorders>
                    <w:tl2br w:val="nil"/>
                    <w:tr2bl w:val="nil"/>
                  </w:tcBorders>
                  <w:noWrap w:val="0"/>
                  <w:vAlign w:val="center"/>
                </w:tcPr>
                <w:p w14:paraId="2FED8752">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2454" w:type="pct"/>
                  <w:tcBorders>
                    <w:tl2br w:val="nil"/>
                    <w:tr2bl w:val="nil"/>
                  </w:tcBorders>
                  <w:noWrap w:val="0"/>
                  <w:vAlign w:val="center"/>
                </w:tcPr>
                <w:p w14:paraId="35A759F6">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润滑油</w:t>
                  </w:r>
                  <w:r>
                    <w:rPr>
                      <w:rFonts w:hint="eastAsia" w:cs="Times New Roman"/>
                      <w:b w:val="0"/>
                      <w:bCs w:val="0"/>
                      <w:color w:val="000000" w:themeColor="text1"/>
                      <w:sz w:val="21"/>
                      <w:szCs w:val="21"/>
                      <w:highlight w:val="none"/>
                      <w:lang w:val="en-US" w:eastAsia="zh-CN"/>
                      <w14:textFill>
                        <w14:solidFill>
                          <w14:schemeClr w14:val="tx1"/>
                        </w14:solidFill>
                      </w14:textFill>
                    </w:rPr>
                    <w:t>、水性油墨</w:t>
                  </w:r>
                </w:p>
              </w:tc>
              <w:tc>
                <w:tcPr>
                  <w:tcW w:w="1645" w:type="pct"/>
                  <w:tcBorders>
                    <w:tl2br w:val="nil"/>
                    <w:tr2bl w:val="nil"/>
                  </w:tcBorders>
                  <w:noWrap w:val="0"/>
                  <w:vAlign w:val="center"/>
                </w:tcPr>
                <w:p w14:paraId="0E1B3749">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润滑油</w:t>
                  </w:r>
                  <w:r>
                    <w:rPr>
                      <w:rFonts w:hint="eastAsia" w:cs="Times New Roman"/>
                      <w:b w:val="0"/>
                      <w:bCs w:val="0"/>
                      <w:color w:val="000000" w:themeColor="text1"/>
                      <w:sz w:val="21"/>
                      <w:szCs w:val="21"/>
                      <w:highlight w:val="none"/>
                      <w:lang w:val="en-US" w:eastAsia="zh-CN"/>
                      <w14:textFill>
                        <w14:solidFill>
                          <w14:schemeClr w14:val="tx1"/>
                        </w14:solidFill>
                      </w14:textFill>
                    </w:rPr>
                    <w:t>、水性油墨</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泄漏事件</w:t>
                  </w:r>
                </w:p>
              </w:tc>
            </w:tr>
            <w:tr w14:paraId="04D66B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tcBorders>
                    <w:tl2br w:val="nil"/>
                    <w:tr2bl w:val="nil"/>
                  </w:tcBorders>
                  <w:noWrap w:val="0"/>
                  <w:vAlign w:val="center"/>
                </w:tcPr>
                <w:p w14:paraId="5A3EFC65">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废气治理设施</w:t>
                  </w:r>
                </w:p>
              </w:tc>
              <w:tc>
                <w:tcPr>
                  <w:tcW w:w="2454" w:type="pct"/>
                  <w:tcBorders>
                    <w:tl2br w:val="nil"/>
                    <w:tr2bl w:val="nil"/>
                  </w:tcBorders>
                  <w:noWrap w:val="0"/>
                  <w:vAlign w:val="center"/>
                </w:tcPr>
                <w:p w14:paraId="4D3BAE6E">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非甲烷总烃</w:t>
                  </w:r>
                </w:p>
              </w:tc>
              <w:tc>
                <w:tcPr>
                  <w:tcW w:w="1645" w:type="pct"/>
                  <w:tcBorders>
                    <w:tl2br w:val="nil"/>
                    <w:tr2bl w:val="nil"/>
                  </w:tcBorders>
                  <w:noWrap w:val="0"/>
                  <w:vAlign w:val="center"/>
                </w:tcPr>
                <w:p w14:paraId="7978ECBC">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废气污染治理设施故障事件</w:t>
                  </w:r>
                </w:p>
              </w:tc>
            </w:tr>
          </w:tbl>
          <w:p w14:paraId="08D3A9AE">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b/>
                <w:color w:val="000000" w:themeColor="text1"/>
                <w:sz w:val="24"/>
                <w:highlight w:val="none"/>
                <w14:textFill>
                  <w14:solidFill>
                    <w14:schemeClr w14:val="tx1"/>
                  </w14:solidFill>
                </w14:textFill>
              </w:rPr>
            </w:pPr>
          </w:p>
          <w:p w14:paraId="4FED9F5C">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b/>
                <w:color w:val="000000" w:themeColor="text1"/>
                <w:sz w:val="24"/>
                <w:highlight w:val="none"/>
                <w14:textFill>
                  <w14:solidFill>
                    <w14:schemeClr w14:val="tx1"/>
                  </w14:solidFill>
                </w14:textFill>
              </w:rPr>
            </w:pPr>
            <w:r>
              <w:rPr>
                <w:rFonts w:hint="default" w:ascii="Times New Roman" w:hAnsi="Times New Roman" w:eastAsia="宋体" w:cs="Times New Roman"/>
                <w:b/>
                <w:color w:val="000000" w:themeColor="text1"/>
                <w:sz w:val="24"/>
                <w:highlight w:val="none"/>
                <w14:textFill>
                  <w14:solidFill>
                    <w14:schemeClr w14:val="tx1"/>
                  </w14:solidFill>
                </w14:textFill>
              </w:rPr>
              <w:t>环境影响途径及危害后果一览表</w:t>
            </w:r>
          </w:p>
          <w:tbl>
            <w:tblPr>
              <w:tblStyle w:val="30"/>
              <w:tblW w:w="4994"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71"/>
              <w:gridCol w:w="1209"/>
              <w:gridCol w:w="1386"/>
              <w:gridCol w:w="999"/>
              <w:gridCol w:w="4195"/>
            </w:tblGrid>
            <w:tr w14:paraId="335783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342" w:type="pct"/>
                  <w:tcBorders>
                    <w:top w:val="single" w:color="auto" w:sz="4" w:space="0"/>
                    <w:left w:val="nil"/>
                    <w:bottom w:val="single" w:color="auto" w:sz="4" w:space="0"/>
                    <w:right w:val="single" w:color="auto" w:sz="4" w:space="0"/>
                  </w:tcBorders>
                  <w:noWrap w:val="0"/>
                  <w:vAlign w:val="center"/>
                </w:tcPr>
                <w:p w14:paraId="7E4424A0">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序号</w:t>
                  </w:r>
                </w:p>
              </w:tc>
              <w:tc>
                <w:tcPr>
                  <w:tcW w:w="723" w:type="pct"/>
                  <w:tcBorders>
                    <w:top w:val="single" w:color="auto" w:sz="4" w:space="0"/>
                    <w:left w:val="single" w:color="auto" w:sz="4" w:space="0"/>
                    <w:bottom w:val="single" w:color="auto" w:sz="4" w:space="0"/>
                    <w:right w:val="single" w:color="auto" w:sz="4" w:space="0"/>
                  </w:tcBorders>
                  <w:noWrap w:val="0"/>
                  <w:vAlign w:val="center"/>
                </w:tcPr>
                <w:p w14:paraId="4520DBE3">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szCs w:val="21"/>
                      <w:highlight w:val="none"/>
                      <w:lang w:eastAsia="zh-CN"/>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事故</w:t>
                  </w:r>
                  <w:r>
                    <w:rPr>
                      <w:rFonts w:hint="default" w:ascii="Times New Roman" w:hAnsi="Times New Roman" w:eastAsia="宋体" w:cs="Times New Roman"/>
                      <w:b/>
                      <w:color w:val="000000" w:themeColor="text1"/>
                      <w:szCs w:val="21"/>
                      <w:highlight w:val="none"/>
                      <w:lang w:val="en-US" w:eastAsia="zh-CN"/>
                      <w14:textFill>
                        <w14:solidFill>
                          <w14:schemeClr w14:val="tx1"/>
                        </w14:solidFill>
                      </w14:textFill>
                    </w:rPr>
                    <w:t>类型</w:t>
                  </w:r>
                </w:p>
              </w:tc>
              <w:tc>
                <w:tcPr>
                  <w:tcW w:w="829" w:type="pct"/>
                  <w:tcBorders>
                    <w:top w:val="single" w:color="auto" w:sz="4" w:space="0"/>
                    <w:left w:val="single" w:color="auto" w:sz="4" w:space="0"/>
                    <w:bottom w:val="single" w:color="auto" w:sz="4" w:space="0"/>
                    <w:right w:val="single" w:color="auto" w:sz="4" w:space="0"/>
                  </w:tcBorders>
                  <w:noWrap w:val="0"/>
                  <w:vAlign w:val="center"/>
                </w:tcPr>
                <w:p w14:paraId="624A9805">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风险物质</w:t>
                  </w:r>
                </w:p>
              </w:tc>
              <w:tc>
                <w:tcPr>
                  <w:tcW w:w="597" w:type="pct"/>
                  <w:tcBorders>
                    <w:top w:val="single" w:color="auto" w:sz="4" w:space="0"/>
                    <w:left w:val="single" w:color="auto" w:sz="4" w:space="0"/>
                    <w:bottom w:val="single" w:color="auto" w:sz="4" w:space="0"/>
                    <w:right w:val="single" w:color="auto" w:sz="4" w:space="0"/>
                  </w:tcBorders>
                  <w:noWrap w:val="0"/>
                  <w:vAlign w:val="center"/>
                </w:tcPr>
                <w:p w14:paraId="14B2C34F">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影响途径</w:t>
                  </w:r>
                </w:p>
              </w:tc>
              <w:tc>
                <w:tcPr>
                  <w:tcW w:w="2508" w:type="pct"/>
                  <w:tcBorders>
                    <w:top w:val="single" w:color="auto" w:sz="4" w:space="0"/>
                    <w:left w:val="single" w:color="auto" w:sz="4" w:space="0"/>
                    <w:bottom w:val="single" w:color="auto" w:sz="4" w:space="0"/>
                    <w:right w:val="nil"/>
                  </w:tcBorders>
                  <w:noWrap w:val="0"/>
                  <w:vAlign w:val="center"/>
                </w:tcPr>
                <w:p w14:paraId="57A0001C">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危害后果</w:t>
                  </w:r>
                </w:p>
              </w:tc>
            </w:tr>
            <w:tr w14:paraId="5E8F04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42" w:type="pct"/>
                  <w:tcBorders>
                    <w:top w:val="single" w:color="auto" w:sz="4" w:space="0"/>
                    <w:left w:val="nil"/>
                    <w:bottom w:val="single" w:color="auto" w:sz="4" w:space="0"/>
                    <w:right w:val="single" w:color="auto" w:sz="4" w:space="0"/>
                  </w:tcBorders>
                  <w:noWrap w:val="0"/>
                  <w:vAlign w:val="center"/>
                </w:tcPr>
                <w:p w14:paraId="700BC74E">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1</w:t>
                  </w:r>
                </w:p>
              </w:tc>
              <w:tc>
                <w:tcPr>
                  <w:tcW w:w="723" w:type="pct"/>
                  <w:tcBorders>
                    <w:top w:val="single" w:color="auto" w:sz="4" w:space="0"/>
                    <w:left w:val="single" w:color="auto" w:sz="4" w:space="0"/>
                    <w:bottom w:val="single" w:color="auto" w:sz="4" w:space="0"/>
                    <w:right w:val="single" w:color="auto" w:sz="4" w:space="0"/>
                  </w:tcBorders>
                  <w:noWrap w:val="0"/>
                  <w:vAlign w:val="center"/>
                </w:tcPr>
                <w:p w14:paraId="6C78F56B">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val="0"/>
                      <w:bCs/>
                      <w:color w:val="000000" w:themeColor="text1"/>
                      <w:szCs w:val="21"/>
                      <w:highlight w:val="none"/>
                      <w14:textFill>
                        <w14:solidFill>
                          <w14:schemeClr w14:val="tx1"/>
                        </w14:solidFill>
                      </w14:textFill>
                    </w:rPr>
                    <w:t>润滑油</w:t>
                  </w:r>
                  <w:r>
                    <w:rPr>
                      <w:rFonts w:hint="eastAsia" w:cs="Times New Roman"/>
                      <w:b w:val="0"/>
                      <w:bCs/>
                      <w:color w:val="000000" w:themeColor="text1"/>
                      <w:szCs w:val="21"/>
                      <w:highlight w:val="none"/>
                      <w:lang w:eastAsia="zh-CN"/>
                      <w14:textFill>
                        <w14:solidFill>
                          <w14:schemeClr w14:val="tx1"/>
                        </w14:solidFill>
                      </w14:textFill>
                    </w:rPr>
                    <w:t>、水性油墨</w:t>
                  </w:r>
                  <w:r>
                    <w:rPr>
                      <w:rFonts w:hint="default" w:ascii="Times New Roman" w:hAnsi="Times New Roman" w:eastAsia="宋体" w:cs="Times New Roman"/>
                      <w:b w:val="0"/>
                      <w:bCs/>
                      <w:color w:val="000000" w:themeColor="text1"/>
                      <w:szCs w:val="21"/>
                      <w:highlight w:val="none"/>
                      <w14:textFill>
                        <w14:solidFill>
                          <w14:schemeClr w14:val="tx1"/>
                        </w14:solidFill>
                      </w14:textFill>
                    </w:rPr>
                    <w:t>泄漏事件</w:t>
                  </w:r>
                </w:p>
              </w:tc>
              <w:tc>
                <w:tcPr>
                  <w:tcW w:w="829" w:type="pct"/>
                  <w:tcBorders>
                    <w:top w:val="single" w:color="auto" w:sz="4" w:space="0"/>
                    <w:left w:val="single" w:color="auto" w:sz="4" w:space="0"/>
                    <w:bottom w:val="single" w:color="auto" w:sz="4" w:space="0"/>
                    <w:right w:val="single" w:color="auto" w:sz="4" w:space="0"/>
                  </w:tcBorders>
                  <w:noWrap w:val="0"/>
                  <w:vAlign w:val="center"/>
                </w:tcPr>
                <w:p w14:paraId="0A4A5F58">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eastAsia" w:ascii="Times New Roman" w:hAnsi="Times New Roman" w:eastAsia="宋体" w:cs="Times New Roman"/>
                      <w:b w:val="0"/>
                      <w:bCs/>
                      <w:color w:val="000000" w:themeColor="text1"/>
                      <w:szCs w:val="21"/>
                      <w:highlight w:val="none"/>
                      <w:lang w:val="en-US" w:eastAsia="zh-CN"/>
                      <w14:textFill>
                        <w14:solidFill>
                          <w14:schemeClr w14:val="tx1"/>
                        </w14:solidFill>
                      </w14:textFill>
                    </w:rPr>
                  </w:pPr>
                  <w:r>
                    <w:rPr>
                      <w:rFonts w:hint="default" w:ascii="Times New Roman" w:hAnsi="Times New Roman" w:cs="Times New Roman"/>
                      <w:sz w:val="21"/>
                      <w:szCs w:val="21"/>
                    </w:rPr>
                    <w:t>钙基润滑脂（黄油）</w:t>
                  </w:r>
                  <w:r>
                    <w:rPr>
                      <w:rFonts w:hint="eastAsia" w:cs="Times New Roman"/>
                      <w:sz w:val="21"/>
                      <w:szCs w:val="21"/>
                      <w:lang w:eastAsia="zh-CN"/>
                    </w:rPr>
                    <w:t>、丙烯酸树脂</w:t>
                  </w:r>
                </w:p>
              </w:tc>
              <w:tc>
                <w:tcPr>
                  <w:tcW w:w="597" w:type="pct"/>
                  <w:tcBorders>
                    <w:top w:val="single" w:color="auto" w:sz="4" w:space="0"/>
                    <w:left w:val="single" w:color="auto" w:sz="4" w:space="0"/>
                    <w:bottom w:val="single" w:color="auto" w:sz="4" w:space="0"/>
                    <w:right w:val="single" w:color="auto" w:sz="4" w:space="0"/>
                  </w:tcBorders>
                  <w:noWrap w:val="0"/>
                  <w:vAlign w:val="center"/>
                </w:tcPr>
                <w:p w14:paraId="59CE6CF8">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Cs w:val="21"/>
                      <w:highlight w:val="none"/>
                      <w:lang w:val="en-US" w:eastAsia="zh-CN"/>
                      <w14:textFill>
                        <w14:solidFill>
                          <w14:schemeClr w14:val="tx1"/>
                        </w14:solidFill>
                      </w14:textFill>
                    </w:rPr>
                    <w:t>水、土壤</w:t>
                  </w:r>
                </w:p>
              </w:tc>
              <w:tc>
                <w:tcPr>
                  <w:tcW w:w="2508" w:type="pct"/>
                  <w:tcBorders>
                    <w:top w:val="single" w:color="auto" w:sz="4" w:space="0"/>
                    <w:left w:val="single" w:color="auto" w:sz="4" w:space="0"/>
                    <w:bottom w:val="single" w:color="auto" w:sz="4" w:space="0"/>
                    <w:right w:val="nil"/>
                  </w:tcBorders>
                  <w:noWrap w:val="0"/>
                  <w:vAlign w:val="center"/>
                </w:tcPr>
                <w:p w14:paraId="4CC548A5">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泄漏润滑油</w:t>
                  </w:r>
                  <w:r>
                    <w:rPr>
                      <w:rFonts w:hint="eastAsia" w:cs="Times New Roman"/>
                      <w:color w:val="000000" w:themeColor="text1"/>
                      <w:kern w:val="0"/>
                      <w:szCs w:val="21"/>
                      <w:highlight w:val="none"/>
                      <w:lang w:val="en-US" w:eastAsia="zh-CN"/>
                      <w14:textFill>
                        <w14:solidFill>
                          <w14:schemeClr w14:val="tx1"/>
                        </w14:solidFill>
                      </w14:textFill>
                    </w:rPr>
                    <w:t>、水性油墨</w:t>
                  </w:r>
                  <w:r>
                    <w:rPr>
                      <w:rFonts w:hint="default" w:ascii="Times New Roman" w:hAnsi="Times New Roman" w:eastAsia="宋体" w:cs="Times New Roman"/>
                      <w:color w:val="000000" w:themeColor="text1"/>
                      <w:kern w:val="0"/>
                      <w:szCs w:val="21"/>
                      <w:highlight w:val="none"/>
                      <w14:textFill>
                        <w14:solidFill>
                          <w14:schemeClr w14:val="tx1"/>
                        </w14:solidFill>
                      </w14:textFill>
                    </w:rPr>
                    <w:t>可能污染</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周边</w:t>
                  </w:r>
                  <w:r>
                    <w:rPr>
                      <w:rFonts w:hint="default" w:ascii="Times New Roman" w:hAnsi="Times New Roman" w:eastAsia="宋体" w:cs="Times New Roman"/>
                      <w:color w:val="000000" w:themeColor="text1"/>
                      <w:kern w:val="0"/>
                      <w:szCs w:val="21"/>
                      <w:highlight w:val="none"/>
                      <w14:textFill>
                        <w14:solidFill>
                          <w14:schemeClr w14:val="tx1"/>
                        </w14:solidFill>
                      </w14:textFill>
                    </w:rPr>
                    <w:t>土壤、水环境。</w:t>
                  </w:r>
                </w:p>
              </w:tc>
            </w:tr>
            <w:tr w14:paraId="1D76D6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342" w:type="pct"/>
                  <w:tcBorders>
                    <w:top w:val="single" w:color="auto" w:sz="4" w:space="0"/>
                    <w:left w:val="nil"/>
                    <w:right w:val="single" w:color="auto" w:sz="4" w:space="0"/>
                  </w:tcBorders>
                  <w:noWrap w:val="0"/>
                  <w:vAlign w:val="center"/>
                </w:tcPr>
                <w:p w14:paraId="101778E8">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w:t>
                  </w:r>
                </w:p>
              </w:tc>
              <w:tc>
                <w:tcPr>
                  <w:tcW w:w="723" w:type="pct"/>
                  <w:tcBorders>
                    <w:top w:val="single" w:color="auto" w:sz="4" w:space="0"/>
                    <w:left w:val="single" w:color="auto" w:sz="4" w:space="0"/>
                    <w:right w:val="single" w:color="auto" w:sz="4" w:space="0"/>
                  </w:tcBorders>
                  <w:noWrap w:val="0"/>
                  <w:vAlign w:val="center"/>
                </w:tcPr>
                <w:p w14:paraId="599F3F24">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pacing w:val="6"/>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废</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气</w:t>
                  </w:r>
                  <w:r>
                    <w:rPr>
                      <w:rFonts w:hint="default" w:ascii="Times New Roman" w:hAnsi="Times New Roman" w:eastAsia="宋体" w:cs="Times New Roman"/>
                      <w:color w:val="000000" w:themeColor="text1"/>
                      <w:kern w:val="0"/>
                      <w:szCs w:val="21"/>
                      <w:highlight w:val="none"/>
                      <w14:textFill>
                        <w14:solidFill>
                          <w14:schemeClr w14:val="tx1"/>
                        </w14:solidFill>
                      </w14:textFill>
                    </w:rPr>
                    <w:t>污染治理设施故障</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事件</w:t>
                  </w:r>
                </w:p>
              </w:tc>
              <w:tc>
                <w:tcPr>
                  <w:tcW w:w="829" w:type="pct"/>
                  <w:tcBorders>
                    <w:top w:val="single" w:color="auto" w:sz="4" w:space="0"/>
                    <w:left w:val="single" w:color="auto" w:sz="4" w:space="0"/>
                    <w:bottom w:val="single" w:color="auto" w:sz="4" w:space="0"/>
                    <w:right w:val="single" w:color="auto" w:sz="4" w:space="0"/>
                  </w:tcBorders>
                  <w:noWrap w:val="0"/>
                  <w:vAlign w:val="center"/>
                </w:tcPr>
                <w:p w14:paraId="0BDEE63F">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非甲烷总烃</w:t>
                  </w:r>
                </w:p>
              </w:tc>
              <w:tc>
                <w:tcPr>
                  <w:tcW w:w="597" w:type="pct"/>
                  <w:tcBorders>
                    <w:top w:val="single" w:color="auto" w:sz="4" w:space="0"/>
                    <w:left w:val="single" w:color="auto" w:sz="4" w:space="0"/>
                    <w:right w:val="single" w:color="auto" w:sz="4" w:space="0"/>
                  </w:tcBorders>
                  <w:noWrap w:val="0"/>
                  <w:vAlign w:val="center"/>
                </w:tcPr>
                <w:p w14:paraId="01D48E0B">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大气</w:t>
                  </w:r>
                </w:p>
              </w:tc>
              <w:tc>
                <w:tcPr>
                  <w:tcW w:w="2508" w:type="pct"/>
                  <w:tcBorders>
                    <w:top w:val="single" w:color="auto" w:sz="4" w:space="0"/>
                    <w:left w:val="single" w:color="auto" w:sz="4" w:space="0"/>
                    <w:right w:val="nil"/>
                  </w:tcBorders>
                  <w:noWrap w:val="0"/>
                  <w:vAlign w:val="center"/>
                </w:tcPr>
                <w:p w14:paraId="14333E99">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可能导致大气污染物超标排放</w:t>
                  </w:r>
                  <w:r>
                    <w:rPr>
                      <w:rFonts w:hint="default" w:ascii="Times New Roman" w:hAnsi="Times New Roman" w:eastAsia="宋体" w:cs="Times New Roman"/>
                      <w:color w:val="000000" w:themeColor="text1"/>
                      <w:kern w:val="0"/>
                      <w:szCs w:val="21"/>
                      <w:highlight w:val="none"/>
                      <w14:textFill>
                        <w14:solidFill>
                          <w14:schemeClr w14:val="tx1"/>
                        </w14:solidFill>
                      </w14:textFill>
                    </w:rPr>
                    <w:t>，</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污染周围环境空气</w:t>
                  </w:r>
                  <w:r>
                    <w:rPr>
                      <w:rFonts w:hint="default" w:ascii="Times New Roman" w:hAnsi="Times New Roman" w:eastAsia="宋体" w:cs="Times New Roman"/>
                      <w:color w:val="000000" w:themeColor="text1"/>
                      <w:kern w:val="0"/>
                      <w:szCs w:val="21"/>
                      <w:highlight w:val="none"/>
                      <w14:textFill>
                        <w14:solidFill>
                          <w14:schemeClr w14:val="tx1"/>
                        </w14:solidFill>
                      </w14:textFill>
                    </w:rPr>
                    <w:t>。</w:t>
                  </w:r>
                </w:p>
              </w:tc>
            </w:tr>
            <w:tr w14:paraId="1665DD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342" w:type="pct"/>
                  <w:tcBorders>
                    <w:top w:val="single" w:color="auto" w:sz="4" w:space="0"/>
                    <w:left w:val="nil"/>
                    <w:bottom w:val="single" w:color="auto" w:sz="4" w:space="0"/>
                    <w:right w:val="single" w:color="auto" w:sz="4" w:space="0"/>
                  </w:tcBorders>
                  <w:noWrap w:val="0"/>
                  <w:vAlign w:val="center"/>
                </w:tcPr>
                <w:p w14:paraId="5C2AA6B6">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3</w:t>
                  </w:r>
                </w:p>
              </w:tc>
              <w:tc>
                <w:tcPr>
                  <w:tcW w:w="723" w:type="pct"/>
                  <w:tcBorders>
                    <w:top w:val="single" w:color="auto" w:sz="4" w:space="0"/>
                    <w:left w:val="single" w:color="auto" w:sz="4" w:space="0"/>
                    <w:bottom w:val="single" w:color="auto" w:sz="4" w:space="0"/>
                    <w:right w:val="single" w:color="auto" w:sz="4" w:space="0"/>
                  </w:tcBorders>
                  <w:noWrap w:val="0"/>
                  <w:vAlign w:val="center"/>
                </w:tcPr>
                <w:p w14:paraId="7B7015F0">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危险废物污染事件</w:t>
                  </w:r>
                </w:p>
              </w:tc>
              <w:tc>
                <w:tcPr>
                  <w:tcW w:w="829" w:type="pct"/>
                  <w:tcBorders>
                    <w:top w:val="single" w:color="auto" w:sz="4" w:space="0"/>
                    <w:left w:val="single" w:color="auto" w:sz="4" w:space="0"/>
                    <w:bottom w:val="single" w:color="auto" w:sz="4" w:space="0"/>
                    <w:right w:val="single" w:color="auto" w:sz="4" w:space="0"/>
                  </w:tcBorders>
                  <w:noWrap w:val="0"/>
                  <w:vAlign w:val="center"/>
                </w:tcPr>
                <w:p w14:paraId="13829CEA">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危险废物</w:t>
                  </w:r>
                </w:p>
              </w:tc>
              <w:tc>
                <w:tcPr>
                  <w:tcW w:w="597" w:type="pct"/>
                  <w:tcBorders>
                    <w:top w:val="single" w:color="auto" w:sz="4" w:space="0"/>
                    <w:left w:val="single" w:color="auto" w:sz="4" w:space="0"/>
                    <w:bottom w:val="single" w:color="auto" w:sz="4" w:space="0"/>
                    <w:right w:val="single" w:color="auto" w:sz="4" w:space="0"/>
                  </w:tcBorders>
                  <w:noWrap w:val="0"/>
                  <w:vAlign w:val="center"/>
                </w:tcPr>
                <w:p w14:paraId="298EB391">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水、土壤</w:t>
                  </w:r>
                </w:p>
              </w:tc>
              <w:tc>
                <w:tcPr>
                  <w:tcW w:w="2508" w:type="pct"/>
                  <w:tcBorders>
                    <w:top w:val="single" w:color="auto" w:sz="4" w:space="0"/>
                    <w:left w:val="single" w:color="auto" w:sz="4" w:space="0"/>
                    <w:bottom w:val="single" w:color="auto" w:sz="4" w:space="0"/>
                    <w:right w:val="nil"/>
                  </w:tcBorders>
                  <w:noWrap w:val="0"/>
                  <w:vAlign w:val="center"/>
                </w:tcPr>
                <w:p w14:paraId="58B42A37">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危险废物泄漏、防范措施失效等，导致危险废物进入外环境，污染土壤、水环境。</w:t>
                  </w:r>
                </w:p>
              </w:tc>
            </w:tr>
            <w:tr w14:paraId="6276DF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342" w:type="pct"/>
                  <w:vMerge w:val="restart"/>
                  <w:tcBorders>
                    <w:top w:val="single" w:color="auto" w:sz="4" w:space="0"/>
                    <w:left w:val="nil"/>
                    <w:right w:val="single" w:color="auto" w:sz="4" w:space="0"/>
                  </w:tcBorders>
                  <w:noWrap w:val="0"/>
                  <w:vAlign w:val="center"/>
                </w:tcPr>
                <w:p w14:paraId="7473DECB">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4</w:t>
                  </w:r>
                </w:p>
              </w:tc>
              <w:tc>
                <w:tcPr>
                  <w:tcW w:w="723" w:type="pct"/>
                  <w:vMerge w:val="restart"/>
                  <w:tcBorders>
                    <w:top w:val="single" w:color="auto" w:sz="4" w:space="0"/>
                    <w:left w:val="single" w:color="auto" w:sz="4" w:space="0"/>
                    <w:right w:val="single" w:color="auto" w:sz="4" w:space="0"/>
                  </w:tcBorders>
                  <w:noWrap w:val="0"/>
                  <w:vAlign w:val="center"/>
                </w:tcPr>
                <w:p w14:paraId="2696F1B9">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火灾</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爆炸</w:t>
                  </w:r>
                  <w:r>
                    <w:rPr>
                      <w:rFonts w:hint="default" w:ascii="Times New Roman" w:hAnsi="Times New Roman" w:eastAsia="宋体" w:cs="Times New Roman"/>
                      <w:color w:val="000000" w:themeColor="text1"/>
                      <w:szCs w:val="21"/>
                      <w:highlight w:val="none"/>
                      <w14:textFill>
                        <w14:solidFill>
                          <w14:schemeClr w14:val="tx1"/>
                        </w14:solidFill>
                      </w14:textFill>
                    </w:rPr>
                    <w:t>次生衍生污染</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事件</w:t>
                  </w:r>
                </w:p>
              </w:tc>
              <w:tc>
                <w:tcPr>
                  <w:tcW w:w="829" w:type="pct"/>
                  <w:tcBorders>
                    <w:top w:val="single" w:color="auto" w:sz="4" w:space="0"/>
                    <w:left w:val="single" w:color="auto" w:sz="4" w:space="0"/>
                    <w:bottom w:val="single" w:color="auto" w:sz="4" w:space="0"/>
                    <w:right w:val="single" w:color="auto" w:sz="4" w:space="0"/>
                  </w:tcBorders>
                  <w:noWrap w:val="0"/>
                  <w:vAlign w:val="center"/>
                </w:tcPr>
                <w:p w14:paraId="23913880">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燃烧废气</w:t>
                  </w:r>
                </w:p>
              </w:tc>
              <w:tc>
                <w:tcPr>
                  <w:tcW w:w="597" w:type="pct"/>
                  <w:tcBorders>
                    <w:top w:val="single" w:color="auto" w:sz="4" w:space="0"/>
                    <w:left w:val="single" w:color="auto" w:sz="4" w:space="0"/>
                    <w:bottom w:val="single" w:color="auto" w:sz="4" w:space="0"/>
                    <w:right w:val="single" w:color="auto" w:sz="4" w:space="0"/>
                  </w:tcBorders>
                  <w:noWrap w:val="0"/>
                  <w:vAlign w:val="center"/>
                </w:tcPr>
                <w:p w14:paraId="4E5F1647">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大气</w:t>
                  </w:r>
                </w:p>
              </w:tc>
              <w:tc>
                <w:tcPr>
                  <w:tcW w:w="2508" w:type="pct"/>
                  <w:tcBorders>
                    <w:top w:val="single" w:color="auto" w:sz="4" w:space="0"/>
                    <w:left w:val="single" w:color="auto" w:sz="4" w:space="0"/>
                    <w:bottom w:val="single" w:color="auto" w:sz="4" w:space="0"/>
                    <w:right w:val="nil"/>
                  </w:tcBorders>
                  <w:noWrap w:val="0"/>
                  <w:vAlign w:val="center"/>
                </w:tcPr>
                <w:p w14:paraId="4D924688">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燃烧废气会污染区域环境空气。</w:t>
                  </w:r>
                </w:p>
              </w:tc>
            </w:tr>
            <w:tr w14:paraId="607291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342" w:type="pct"/>
                  <w:vMerge w:val="continue"/>
                  <w:tcBorders>
                    <w:left w:val="nil"/>
                    <w:bottom w:val="single" w:color="auto" w:sz="4" w:space="0"/>
                    <w:right w:val="single" w:color="auto" w:sz="4" w:space="0"/>
                  </w:tcBorders>
                  <w:noWrap w:val="0"/>
                  <w:vAlign w:val="center"/>
                </w:tcPr>
                <w:p w14:paraId="6C896FB9">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723" w:type="pct"/>
                  <w:vMerge w:val="continue"/>
                  <w:tcBorders>
                    <w:left w:val="single" w:color="auto" w:sz="4" w:space="0"/>
                    <w:bottom w:val="single" w:color="auto" w:sz="4" w:space="0"/>
                    <w:right w:val="single" w:color="auto" w:sz="4" w:space="0"/>
                  </w:tcBorders>
                  <w:noWrap w:val="0"/>
                  <w:vAlign w:val="center"/>
                </w:tcPr>
                <w:p w14:paraId="10C67BAD">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829" w:type="pct"/>
                  <w:tcBorders>
                    <w:left w:val="single" w:color="auto" w:sz="4" w:space="0"/>
                    <w:bottom w:val="single" w:color="auto" w:sz="4" w:space="0"/>
                    <w:right w:val="single" w:color="auto" w:sz="4" w:space="0"/>
                  </w:tcBorders>
                  <w:noWrap w:val="0"/>
                  <w:vAlign w:val="center"/>
                </w:tcPr>
                <w:p w14:paraId="466E61D1">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消防</w:t>
                  </w:r>
                  <w:r>
                    <w:rPr>
                      <w:rFonts w:hint="eastAsia" w:cs="Times New Roman"/>
                      <w:color w:val="000000" w:themeColor="text1"/>
                      <w:kern w:val="0"/>
                      <w:szCs w:val="21"/>
                      <w:highlight w:val="none"/>
                      <w:lang w:val="en-US" w:eastAsia="zh-CN"/>
                      <w14:textFill>
                        <w14:solidFill>
                          <w14:schemeClr w14:val="tx1"/>
                        </w14:solidFill>
                      </w14:textFill>
                    </w:rPr>
                    <w:t>废水、固废</w:t>
                  </w:r>
                </w:p>
              </w:tc>
              <w:tc>
                <w:tcPr>
                  <w:tcW w:w="597" w:type="pct"/>
                  <w:tcBorders>
                    <w:left w:val="single" w:color="auto" w:sz="4" w:space="0"/>
                    <w:bottom w:val="single" w:color="auto" w:sz="4" w:space="0"/>
                    <w:right w:val="single" w:color="auto" w:sz="4" w:space="0"/>
                  </w:tcBorders>
                  <w:noWrap w:val="0"/>
                  <w:vAlign w:val="center"/>
                </w:tcPr>
                <w:p w14:paraId="7ABD7CB6">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eastAsia="zh-CN"/>
                      <w14:textFill>
                        <w14:solidFill>
                          <w14:schemeClr w14:val="tx1"/>
                        </w14:solidFill>
                      </w14:textFill>
                    </w:rPr>
                  </w:pPr>
                  <w:r>
                    <w:rPr>
                      <w:rFonts w:hint="eastAsia" w:cs="Times New Roman"/>
                      <w:color w:val="000000" w:themeColor="text1"/>
                      <w:kern w:val="0"/>
                      <w:szCs w:val="21"/>
                      <w:highlight w:val="none"/>
                      <w:lang w:eastAsia="zh-CN"/>
                      <w14:textFill>
                        <w14:solidFill>
                          <w14:schemeClr w14:val="tx1"/>
                        </w14:solidFill>
                      </w14:textFill>
                    </w:rPr>
                    <w:t>水、土壤</w:t>
                  </w:r>
                </w:p>
              </w:tc>
              <w:tc>
                <w:tcPr>
                  <w:tcW w:w="2508" w:type="pct"/>
                  <w:tcBorders>
                    <w:top w:val="single" w:color="auto" w:sz="4" w:space="0"/>
                    <w:left w:val="single" w:color="auto" w:sz="4" w:space="0"/>
                    <w:bottom w:val="single" w:color="auto" w:sz="4" w:space="0"/>
                    <w:right w:val="nil"/>
                  </w:tcBorders>
                  <w:noWrap w:val="0"/>
                  <w:vAlign w:val="center"/>
                </w:tcPr>
                <w:p w14:paraId="79297894">
                  <w:pPr>
                    <w:keepNext w:val="0"/>
                    <w:keepLines w:val="0"/>
                    <w:pageBreakBefore w:val="0"/>
                    <w:suppressLineNumbers w:val="0"/>
                    <w:kinsoku/>
                    <w:wordWrap/>
                    <w:topLinePunct w:val="0"/>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未合理处理，</w:t>
                  </w:r>
                  <w:r>
                    <w:rPr>
                      <w:rFonts w:hint="default" w:ascii="Times New Roman" w:hAnsi="Times New Roman" w:eastAsia="宋体" w:cs="Times New Roman"/>
                      <w:color w:val="000000" w:themeColor="text1"/>
                      <w:kern w:val="0"/>
                      <w:szCs w:val="21"/>
                      <w:highlight w:val="none"/>
                      <w14:textFill>
                        <w14:solidFill>
                          <w14:schemeClr w14:val="tx1"/>
                        </w14:solidFill>
                      </w14:textFill>
                    </w:rPr>
                    <w:t>可能污染</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周边</w:t>
                  </w:r>
                  <w:r>
                    <w:rPr>
                      <w:rFonts w:hint="default" w:ascii="Times New Roman" w:hAnsi="Times New Roman" w:eastAsia="宋体" w:cs="Times New Roman"/>
                      <w:color w:val="000000" w:themeColor="text1"/>
                      <w:kern w:val="0"/>
                      <w:szCs w:val="21"/>
                      <w:highlight w:val="none"/>
                      <w14:textFill>
                        <w14:solidFill>
                          <w14:schemeClr w14:val="tx1"/>
                        </w14:solidFill>
                      </w14:textFill>
                    </w:rPr>
                    <w:t>土壤、水环境。</w:t>
                  </w:r>
                </w:p>
              </w:tc>
            </w:tr>
          </w:tbl>
          <w:p w14:paraId="7A3E7B38">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color w:val="000000" w:themeColor="text1"/>
                <w:kern w:val="24"/>
                <w:sz w:val="24"/>
                <w:highlight w:val="none"/>
                <w14:textFill>
                  <w14:solidFill>
                    <w14:schemeClr w14:val="tx1"/>
                  </w14:solidFill>
                </w14:textFill>
              </w:rPr>
            </w:pPr>
            <w:r>
              <w:rPr>
                <w:rFonts w:hint="default" w:ascii="Times New Roman" w:hAnsi="Times New Roman" w:eastAsia="宋体" w:cs="Times New Roman"/>
                <w:b/>
                <w:color w:val="000000" w:themeColor="text1"/>
                <w:kern w:val="24"/>
                <w:sz w:val="24"/>
                <w:highlight w:val="none"/>
                <w:lang w:val="en-US" w:eastAsia="zh-CN"/>
                <w14:textFill>
                  <w14:solidFill>
                    <w14:schemeClr w14:val="tx1"/>
                  </w14:solidFill>
                </w14:textFill>
              </w:rPr>
              <w:t>7.3</w:t>
            </w:r>
            <w:r>
              <w:rPr>
                <w:rFonts w:hint="default" w:ascii="Times New Roman" w:hAnsi="Times New Roman" w:eastAsia="宋体" w:cs="Times New Roman"/>
                <w:b/>
                <w:color w:val="000000" w:themeColor="text1"/>
                <w:kern w:val="24"/>
                <w:sz w:val="24"/>
                <w:highlight w:val="none"/>
                <w14:textFill>
                  <w14:solidFill>
                    <w14:schemeClr w14:val="tx1"/>
                  </w14:solidFill>
                </w14:textFill>
              </w:rPr>
              <w:t>环境风险防范措施及应急要求</w:t>
            </w:r>
          </w:p>
          <w:p w14:paraId="09046E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7.3.1生产操作规范化措施</w:t>
            </w:r>
          </w:p>
          <w:p w14:paraId="774751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①生产车间应按规范配置灭火器材和消防装备。</w:t>
            </w:r>
          </w:p>
          <w:p w14:paraId="19323A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②制定巡查制度，对有事故迹象的部位及时采取处理措施。</w:t>
            </w:r>
          </w:p>
          <w:p w14:paraId="2071F0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③加强火源管理，杜绝各种火种，严禁闲杂人员入内。</w:t>
            </w:r>
          </w:p>
          <w:p w14:paraId="3CDFCE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④全厂建立健全健康/安全/环境管理制度，并严格予以执行；建立健全档案管理制度，做好产品和生产工艺有关的设计资料，指导安全生产运行的资料，设备购置、运行、维修和维护、检测、报废、处置的信息和资料，事故统计、分析、处理、整改措施落实的音像、实物、文件等资料的严格管理；建立汇报、抽查、定期检查相结合的安全检查制度，及时发现安全隐患并采取有效措施消除；建立严格的从业人员上岗培训制度，依法参加工伤保险，为从业人员缴纳保险费，为从业人员配备符合国家或行业标准规定的劳动防护用品；应按照《安全标志及其使用导则》(GB2894-2008)、《安全色》(GB2893-2008)的要求设置并管理安全标识，主要安全标识包括：禁止标志有“禁止吸烟”、“禁止烟火”、“禁止带火种”等；警告标志如“当心火灾”标志；消防安全标志如“灭火器”、“灭火设备或报警装置方向”；应急疏散指示标志如“安全出口”、“消防通道”等；使损失和对环境污染降到最低。</w:t>
            </w:r>
          </w:p>
          <w:p w14:paraId="4C42A8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⑤企业应当备有消防设施配置图、现场平面布置图、排水管网分布图。</w:t>
            </w:r>
          </w:p>
          <w:p w14:paraId="67F727F4">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2" w:firstLineChars="200"/>
              <w:outlineLvl w:val="1"/>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7.3.2</w:t>
            </w:r>
            <w:r>
              <w:rPr>
                <w:rFonts w:hint="eastAsia" w:cs="Times New Roman"/>
                <w:b/>
                <w:bCs/>
                <w:color w:val="000000" w:themeColor="text1"/>
                <w:kern w:val="0"/>
                <w:sz w:val="24"/>
                <w:highlight w:val="none"/>
                <w:lang w:val="en-US" w:eastAsia="zh-CN"/>
                <w14:textFill>
                  <w14:solidFill>
                    <w14:schemeClr w14:val="tx1"/>
                  </w14:solidFill>
                </w14:textFill>
              </w:rPr>
              <w:t>泄漏</w:t>
            </w: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风险防范措施</w:t>
            </w:r>
          </w:p>
          <w:p w14:paraId="2E544B00">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outlineLvl w:val="1"/>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若液态</w:t>
            </w:r>
            <w:r>
              <w:rPr>
                <w:rFonts w:hint="default" w:ascii="Times New Roman" w:hAnsi="Times New Roman" w:eastAsia="宋体" w:cs="Times New Roman"/>
                <w:color w:val="000000" w:themeColor="text1"/>
                <w:kern w:val="0"/>
                <w:sz w:val="24"/>
                <w:highlight w:val="none"/>
                <w:lang w:eastAsia="zh-CN"/>
                <w14:textFill>
                  <w14:solidFill>
                    <w14:schemeClr w14:val="tx1"/>
                  </w14:solidFill>
                </w14:textFill>
              </w:rPr>
              <w:t>原辅料润滑油桶</w:t>
            </w:r>
            <w:r>
              <w:rPr>
                <w:rFonts w:hint="eastAsia" w:cs="Times New Roman"/>
                <w:color w:val="000000" w:themeColor="text1"/>
                <w:kern w:val="0"/>
                <w:sz w:val="24"/>
                <w:highlight w:val="none"/>
                <w:lang w:eastAsia="zh-CN"/>
                <w14:textFill>
                  <w14:solidFill>
                    <w14:schemeClr w14:val="tx1"/>
                  </w14:solidFill>
                </w14:textFill>
              </w:rPr>
              <w:t>、水性油墨桶</w:t>
            </w:r>
            <w:r>
              <w:rPr>
                <w:rFonts w:hint="default" w:ascii="Times New Roman" w:hAnsi="Times New Roman" w:eastAsia="宋体" w:cs="Times New Roman"/>
                <w:color w:val="000000" w:themeColor="text1"/>
                <w:kern w:val="0"/>
                <w:sz w:val="24"/>
                <w:highlight w:val="none"/>
                <w14:textFill>
                  <w14:solidFill>
                    <w14:schemeClr w14:val="tx1"/>
                  </w14:solidFill>
                </w14:textFill>
              </w:rPr>
              <w:t>破损，会导致泄漏，一旦发生泄漏事故，立即采用干沙对泄漏液体原料进行吸附，避免泄漏液体原料进一步溢流和挥发，及时控制泄漏事故一般10min左右可处置完毕</w:t>
            </w:r>
            <w:r>
              <w:rPr>
                <w:rFonts w:hint="eastAsia" w:cs="Times New Roman"/>
                <w:color w:val="000000" w:themeColor="text1"/>
                <w:kern w:val="0"/>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highlight w:val="none"/>
                <w14:textFill>
                  <w14:solidFill>
                    <w14:schemeClr w14:val="tx1"/>
                  </w14:solidFill>
                </w14:textFill>
              </w:rPr>
              <w:t>吸附后的干沙装入铁桶并密封，再委托有</w:t>
            </w:r>
            <w:r>
              <w:rPr>
                <w:rFonts w:hint="eastAsia" w:cs="Times New Roman"/>
                <w:color w:val="000000" w:themeColor="text1"/>
                <w:kern w:val="0"/>
                <w:sz w:val="24"/>
                <w:highlight w:val="none"/>
                <w:lang w:eastAsia="zh-CN"/>
                <w14:textFill>
                  <w14:solidFill>
                    <w14:schemeClr w14:val="tx1"/>
                  </w14:solidFill>
                </w14:textFill>
              </w:rPr>
              <w:t>资质</w:t>
            </w:r>
            <w:r>
              <w:rPr>
                <w:rFonts w:hint="default" w:ascii="Times New Roman" w:hAnsi="Times New Roman" w:eastAsia="宋体" w:cs="Times New Roman"/>
                <w:color w:val="000000" w:themeColor="text1"/>
                <w:kern w:val="0"/>
                <w:sz w:val="24"/>
                <w:highlight w:val="none"/>
                <w14:textFill>
                  <w14:solidFill>
                    <w14:schemeClr w14:val="tx1"/>
                  </w14:solidFill>
                </w14:textFill>
              </w:rPr>
              <w:t>单位</w:t>
            </w:r>
            <w:r>
              <w:rPr>
                <w:rFonts w:hint="eastAsia" w:cs="Times New Roman"/>
                <w:color w:val="000000" w:themeColor="text1"/>
                <w:kern w:val="0"/>
                <w:sz w:val="24"/>
                <w:highlight w:val="none"/>
                <w:lang w:eastAsia="zh-CN"/>
                <w14:textFill>
                  <w14:solidFill>
                    <w14:schemeClr w14:val="tx1"/>
                  </w14:solidFill>
                </w14:textFill>
              </w:rPr>
              <w:t>转移、</w:t>
            </w:r>
            <w:r>
              <w:rPr>
                <w:rFonts w:hint="default" w:ascii="Times New Roman" w:hAnsi="Times New Roman" w:eastAsia="宋体" w:cs="Times New Roman"/>
                <w:color w:val="000000" w:themeColor="text1"/>
                <w:kern w:val="0"/>
                <w:sz w:val="24"/>
                <w:highlight w:val="none"/>
                <w14:textFill>
                  <w14:solidFill>
                    <w14:schemeClr w14:val="tx1"/>
                  </w14:solidFill>
                </w14:textFill>
              </w:rPr>
              <w:t>处置。</w:t>
            </w:r>
          </w:p>
          <w:p w14:paraId="1E517B88">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2" w:firstLineChars="200"/>
              <w:outlineLvl w:val="1"/>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t>7.3.3环保设施发生故障的防范措施</w:t>
            </w:r>
          </w:p>
          <w:p w14:paraId="224AA4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①各生产环节严格执行生产管理的有关规定，加强设备的检修及保养，提高管理人员素质，并设置机器事故应急措施及管理制度，确保设备长期处在良好状态，使设备达到预期的处理效果。</w:t>
            </w:r>
          </w:p>
          <w:p w14:paraId="5321A8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②现场作业人员定时记录废气处理状况，如对废气处理设备、风机等设备进行定期检查，并派专人巡视，遇不良工作状况应立即停止车间相关作业，维修正常后再开始作业，杜绝事故性废气直排，并及时呈报单位主管。</w:t>
            </w:r>
          </w:p>
          <w:p w14:paraId="7D471694">
            <w:pPr>
              <w:keepNext w:val="0"/>
              <w:keepLines w:val="0"/>
              <w:pageBreakBefore w:val="0"/>
              <w:suppressLineNumbers w:val="0"/>
              <w:kinsoku/>
              <w:wordWrap/>
              <w:topLinePunct w:val="0"/>
              <w:bidi w:val="0"/>
              <w:adjustRightInd w:val="0"/>
              <w:snapToGrid w:val="0"/>
              <w:spacing w:before="0" w:beforeAutospacing="0" w:after="0" w:afterAutospacing="0" w:line="360" w:lineRule="auto"/>
              <w:ind w:left="0" w:right="0" w:firstLine="480" w:firstLineChars="200"/>
              <w:outlineLvl w:val="1"/>
              <w:rPr>
                <w:rFonts w:hint="default" w:ascii="Times New Roman" w:hAnsi="Times New Roman" w:eastAsia="宋体" w:cs="Times New Roman"/>
                <w:color w:val="000000" w:themeColor="text1"/>
                <w:kern w:val="0"/>
                <w:sz w:val="24"/>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4"/>
                <w:highlight w:val="none"/>
                <w:lang w:eastAsia="zh-CN"/>
                <w14:textFill>
                  <w14:solidFill>
                    <w14:schemeClr w14:val="tx1"/>
                  </w14:solidFill>
                </w14:textFill>
              </w:rPr>
              <w:t>③“吸附</w:t>
            </w:r>
            <w:r>
              <w:rPr>
                <w:rFonts w:hint="eastAsia" w:cs="Times New Roman"/>
                <w:color w:val="000000" w:themeColor="text1"/>
                <w:kern w:val="0"/>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highlight w:val="none"/>
                <w:lang w:eastAsia="zh-CN"/>
                <w14:textFill>
                  <w14:solidFill>
                    <w14:schemeClr w14:val="tx1"/>
                  </w14:solidFill>
                </w14:textFill>
              </w:rPr>
              <w:t>脱附+催化燃烧”应在安装前进行全面的漏气检测，运行过程中，需定期对设备中的气体压力及设备本身进行检测，发现气体压力异常、设备压力测试异常时应及时排查并维修，定期清理气体管路，注意更换活性炭，以防造成堵塞。</w:t>
            </w:r>
          </w:p>
          <w:p w14:paraId="1ED16B2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7.3.4火灾事故风险防范措施</w:t>
            </w:r>
          </w:p>
          <w:p w14:paraId="431AAF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①在车间和原料仓库的明显位置张贴禁用明火的告示，原料仓和车间内设置移动式泡沫灭火器；</w:t>
            </w:r>
          </w:p>
          <w:p w14:paraId="0C2314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②储存辅助材料的桶上应注明物质的名称、危险特性、安全使用说明以及事故应对措施等内容；</w:t>
            </w:r>
          </w:p>
          <w:p w14:paraId="292D1D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③搬运和装卸时，应轻拿轻放，防止撞击；</w:t>
            </w:r>
          </w:p>
          <w:p w14:paraId="542F57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④仓库应选择阴凉通风无阳光直射的位置，仓库内应设置空调设备，防止仓库温度过高；</w:t>
            </w:r>
          </w:p>
          <w:p w14:paraId="037482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综上所述，本项目不存在重大危险源，最大可信事故为润滑油</w:t>
            </w:r>
            <w:r>
              <w:rPr>
                <w:rFonts w:hint="eastAsia" w:cs="Times New Roman"/>
                <w:color w:val="000000" w:themeColor="text1"/>
                <w:sz w:val="24"/>
                <w:szCs w:val="24"/>
                <w:lang w:val="en-US" w:eastAsia="zh-CN"/>
                <w14:textFill>
                  <w14:solidFill>
                    <w14:schemeClr w14:val="tx1"/>
                  </w14:solidFill>
                </w14:textFill>
              </w:rPr>
              <w:t>、水性油墨</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泄漏，只要项目严格落实上述措施，做好预防和应急措施，并加强防范意识，则项目运营期间发生环境风险的概率较小。建设单位对事故的预先判断准确及时，并采取正确的方法应对，则风险事故对周围大气环境的影响将大大降低。因此，项目的建设，从风险评价的角度分析是可行的。</w:t>
            </w:r>
          </w:p>
          <w:p w14:paraId="457CE5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8.环保设施安全生产工作要求</w:t>
            </w:r>
          </w:p>
          <w:p w14:paraId="10BF6F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241" w:firstLineChars="10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8.1设施安全设计</w:t>
            </w:r>
          </w:p>
          <w:p w14:paraId="748064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环保设施应符合相关安全规范和标准，设计和建造时应采取安全措施，以预防事故和减少对环境的不良影响。</w:t>
            </w:r>
          </w:p>
          <w:p w14:paraId="2BE0C4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241" w:firstLineChars="10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8.2安全设施和装备</w:t>
            </w:r>
          </w:p>
          <w:p w14:paraId="535FB6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环保设施应配备必要的安全设施和装备，如防爆装置、泄漏控制设备、紧急救援设备等，以防止事故发生和及时响应。</w:t>
            </w:r>
          </w:p>
          <w:p w14:paraId="115AE9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241" w:firstLineChars="10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8.3安全管理制度</w:t>
            </w:r>
          </w:p>
          <w:p w14:paraId="2162A6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环保设施管理者应建立和落实一套完整的安全管理制度，包括设施操作规程、应急预案、事故报告和调查程序等，以确保设施的安全运营。</w:t>
            </w:r>
          </w:p>
          <w:p w14:paraId="1011B7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241" w:firstLineChars="10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8.4安全培训和教育</w:t>
            </w:r>
          </w:p>
          <w:p w14:paraId="64C1C0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应确保设施操作人员接</w:t>
            </w:r>
            <w:r>
              <w:rPr>
                <w:rFonts w:hint="eastAsia" w:cs="Times New Roman"/>
                <w:color w:val="000000" w:themeColor="text1"/>
                <w:sz w:val="24"/>
                <w:szCs w:val="24"/>
                <w:lang w:val="en-US" w:eastAsia="zh-CN"/>
                <w14:textFill>
                  <w14:solidFill>
                    <w14:schemeClr w14:val="tx1"/>
                  </w14:solidFill>
                </w14:textFill>
              </w:rPr>
              <w:t>受</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必要的安全培训和教育，了解设施的安全操作规程、紧急情况下的应对措施等。</w:t>
            </w:r>
          </w:p>
          <w:p w14:paraId="17A934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241" w:firstLineChars="10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8.5安全监测和检查</w:t>
            </w:r>
          </w:p>
          <w:p w14:paraId="0B62B1C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环评建议企业建立环保设施安全生产管理制度，推动企业主要负责人严格履行第一责任人责任，全面负责落实本单位的环保设备设施安全生产工作；开展环保设备设施安全风险辨识评估，安排专人定期对厂区内环保设施进行巡检，系统排查隐患，对存在风险隐患的部位提出整改措施并落实到位，及时消除隐患，并按照相关要求建立隐患整改台账；为保证环保设施的安全生产，定期对环保设施的活性炭、催化剂等进行更换；对涉环保设备设施相关岗位人员进行操作规程、风险管控、应急处置等专项安全培训教育，加强职工的防范意识。杜绝隐患发生，确保环保设施正常运转。</w:t>
            </w:r>
          </w:p>
          <w:p w14:paraId="2607F5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241" w:firstLineChars="10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8.6事故应急管理</w:t>
            </w:r>
          </w:p>
          <w:p w14:paraId="23F474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设施管理者应制定和实施应急预案，包括事故报告和调查、事故处置措施、群众疏散等，以应对可能发生的事故情况。</w:t>
            </w:r>
          </w:p>
          <w:p w14:paraId="07D74E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241" w:firstLineChars="10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8.7安全评估和审查</w:t>
            </w:r>
          </w:p>
          <w:p w14:paraId="02F3C6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对新建或改建的环保设施，应进行安全评估和审查，确保设施具备安全性和可持续性。</w:t>
            </w:r>
          </w:p>
          <w:p w14:paraId="39A317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p w14:paraId="3DC83E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p w14:paraId="70FC46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p w14:paraId="510106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p w14:paraId="17901E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p w14:paraId="4CC85E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p w14:paraId="4641DAB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p w14:paraId="02D3B8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p w14:paraId="05F120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p w14:paraId="28088BA9">
            <w:pPr>
              <w:pStyle w:val="2"/>
              <w:keepLines w:val="0"/>
              <w:suppressLineNumbers w:val="0"/>
              <w:spacing w:beforeAutospacing="0" w:afterAutospacing="0"/>
              <w:ind w:left="0" w:leftChars="0" w:right="0" w:firstLine="0" w:firstLineChars="0"/>
              <w:rPr>
                <w:rFonts w:hint="default"/>
                <w:lang w:val="en-US" w:eastAsia="zh-CN"/>
              </w:rPr>
            </w:pPr>
          </w:p>
          <w:p w14:paraId="1607A707">
            <w:pPr>
              <w:keepNext w:val="0"/>
              <w:keepLines w:val="0"/>
              <w:suppressLineNumbers w:val="0"/>
              <w:spacing w:before="0" w:beforeAutospacing="0" w:after="0" w:afterAutospacing="0"/>
              <w:ind w:left="0" w:right="0"/>
              <w:rPr>
                <w:rFonts w:hint="default"/>
                <w:lang w:val="en-US" w:eastAsia="zh-CN"/>
              </w:rPr>
            </w:pPr>
          </w:p>
          <w:p w14:paraId="0298F4A2">
            <w:pPr>
              <w:keepNext w:val="0"/>
              <w:keepLines w:val="0"/>
              <w:suppressLineNumbers w:val="0"/>
              <w:spacing w:before="0" w:beforeAutospacing="0" w:after="0" w:afterAutospacing="0"/>
              <w:ind w:left="0" w:right="0"/>
              <w:rPr>
                <w:rFonts w:hint="default"/>
                <w:lang w:val="en-US" w:eastAsia="zh-CN"/>
              </w:rPr>
            </w:pPr>
          </w:p>
          <w:p w14:paraId="1C7BF5A5">
            <w:pPr>
              <w:keepNext w:val="0"/>
              <w:keepLines w:val="0"/>
              <w:suppressLineNumbers w:val="0"/>
              <w:spacing w:before="0" w:beforeAutospacing="0" w:after="0" w:afterAutospacing="0"/>
              <w:ind w:left="0" w:right="0"/>
              <w:rPr>
                <w:rFonts w:hint="default"/>
                <w:lang w:val="en-US" w:eastAsia="zh-CN"/>
              </w:rPr>
            </w:pPr>
          </w:p>
          <w:p w14:paraId="09EF6A9B">
            <w:pPr>
              <w:keepNext w:val="0"/>
              <w:keepLines w:val="0"/>
              <w:suppressLineNumbers w:val="0"/>
              <w:spacing w:before="0" w:beforeAutospacing="0" w:after="0" w:afterAutospacing="0"/>
              <w:ind w:left="0" w:right="0"/>
              <w:rPr>
                <w:rFonts w:hint="default"/>
                <w:lang w:val="en-US" w:eastAsia="zh-CN"/>
              </w:rPr>
            </w:pPr>
          </w:p>
          <w:p w14:paraId="0E0CACF7">
            <w:pPr>
              <w:keepNext w:val="0"/>
              <w:keepLines w:val="0"/>
              <w:suppressLineNumbers w:val="0"/>
              <w:spacing w:before="0" w:beforeAutospacing="0" w:after="0" w:afterAutospacing="0"/>
              <w:ind w:left="0" w:right="0"/>
              <w:rPr>
                <w:rFonts w:hint="default"/>
                <w:lang w:val="en-US" w:eastAsia="zh-CN"/>
              </w:rPr>
            </w:pPr>
          </w:p>
          <w:p w14:paraId="445620B7">
            <w:pPr>
              <w:keepNext w:val="0"/>
              <w:keepLines w:val="0"/>
              <w:suppressLineNumbers w:val="0"/>
              <w:spacing w:before="0" w:beforeAutospacing="0" w:after="0" w:afterAutospacing="0"/>
              <w:ind w:left="0" w:right="0"/>
              <w:rPr>
                <w:rFonts w:hint="default"/>
                <w:lang w:val="en-US" w:eastAsia="zh-CN"/>
              </w:rPr>
            </w:pPr>
          </w:p>
          <w:p w14:paraId="16312046">
            <w:pPr>
              <w:keepNext w:val="0"/>
              <w:keepLines w:val="0"/>
              <w:suppressLineNumbers w:val="0"/>
              <w:spacing w:before="0" w:beforeAutospacing="0" w:after="0" w:afterAutospacing="0"/>
              <w:ind w:left="0" w:right="0"/>
              <w:rPr>
                <w:rFonts w:hint="default"/>
                <w:lang w:val="en-US" w:eastAsia="zh-CN"/>
              </w:rPr>
            </w:pPr>
          </w:p>
          <w:p w14:paraId="3DC5A94B">
            <w:pPr>
              <w:keepNext w:val="0"/>
              <w:keepLines w:val="0"/>
              <w:suppressLineNumbers w:val="0"/>
              <w:spacing w:before="0" w:beforeAutospacing="0" w:after="0" w:afterAutospacing="0"/>
              <w:ind w:left="0" w:right="0"/>
              <w:rPr>
                <w:rFonts w:hint="default"/>
                <w:lang w:val="en-US" w:eastAsia="zh-CN"/>
              </w:rPr>
            </w:pPr>
          </w:p>
          <w:p w14:paraId="119C45F6">
            <w:pPr>
              <w:keepNext w:val="0"/>
              <w:keepLines w:val="0"/>
              <w:suppressLineNumbers w:val="0"/>
              <w:spacing w:before="0" w:beforeAutospacing="0" w:after="0" w:afterAutospacing="0"/>
              <w:ind w:left="0" w:right="0"/>
              <w:rPr>
                <w:rFonts w:hint="default"/>
                <w:lang w:val="en-US" w:eastAsia="zh-CN"/>
              </w:rPr>
            </w:pPr>
          </w:p>
          <w:p w14:paraId="0867B6A7">
            <w:pPr>
              <w:keepNext w:val="0"/>
              <w:keepLines w:val="0"/>
              <w:suppressLineNumbers w:val="0"/>
              <w:spacing w:before="0" w:beforeAutospacing="0" w:after="0" w:afterAutospacing="0"/>
              <w:ind w:left="0" w:right="0"/>
              <w:rPr>
                <w:rFonts w:hint="default"/>
                <w:lang w:val="en-US" w:eastAsia="zh-CN"/>
              </w:rPr>
            </w:pPr>
          </w:p>
          <w:p w14:paraId="0F3485AF">
            <w:pPr>
              <w:keepNext w:val="0"/>
              <w:keepLines w:val="0"/>
              <w:suppressLineNumbers w:val="0"/>
              <w:spacing w:before="0" w:beforeAutospacing="0" w:after="0" w:afterAutospacing="0"/>
              <w:ind w:left="0" w:right="0"/>
              <w:rPr>
                <w:rFonts w:hint="default"/>
                <w:lang w:val="en-US" w:eastAsia="zh-CN"/>
              </w:rPr>
            </w:pPr>
          </w:p>
          <w:p w14:paraId="21957B1D">
            <w:pPr>
              <w:keepNext w:val="0"/>
              <w:keepLines w:val="0"/>
              <w:suppressLineNumbers w:val="0"/>
              <w:spacing w:before="0" w:beforeAutospacing="0" w:after="0" w:afterAutospacing="0"/>
              <w:ind w:left="0" w:right="0"/>
              <w:rPr>
                <w:rFonts w:hint="default"/>
                <w:lang w:val="en-US" w:eastAsia="zh-CN"/>
              </w:rPr>
            </w:pPr>
          </w:p>
        </w:tc>
      </w:tr>
    </w:tbl>
    <w:p w14:paraId="08C74BBA">
      <w:pPr>
        <w:adjustRightInd w:val="0"/>
        <w:snapToGrid w:val="0"/>
        <w:spacing w:line="360" w:lineRule="auto"/>
        <w:rPr>
          <w:rFonts w:hint="default" w:ascii="Times New Roman" w:hAnsi="Times New Roman" w:cs="Times New Roman"/>
          <w:b/>
          <w:color w:val="000000" w:themeColor="text1"/>
          <w:kern w:val="0"/>
          <w:sz w:val="28"/>
          <w:szCs w:val="28"/>
          <w:highlight w:val="none"/>
          <w14:textFill>
            <w14:solidFill>
              <w14:schemeClr w14:val="tx1"/>
            </w14:solidFill>
          </w14:textFill>
        </w:rPr>
        <w:sectPr>
          <w:pgSz w:w="11905" w:h="16838"/>
          <w:pgMar w:top="1417" w:right="1417" w:bottom="1417" w:left="1701" w:header="851" w:footer="1077" w:gutter="0"/>
          <w:pgBorders w:offsetFrom="page">
            <w:top w:val="none" w:sz="0" w:space="0"/>
            <w:left w:val="none" w:sz="0" w:space="0"/>
            <w:bottom w:val="none" w:sz="0" w:space="0"/>
            <w:right w:val="none" w:sz="0" w:space="0"/>
          </w:pgBorders>
          <w:pgNumType w:fmt="decimal"/>
          <w:cols w:space="720" w:num="1"/>
          <w:titlePg/>
          <w:rtlGutter w:val="0"/>
          <w:docGrid w:linePitch="312" w:charSpace="0"/>
        </w:sectPr>
      </w:pPr>
    </w:p>
    <w:p w14:paraId="79B3BC27">
      <w:pPr>
        <w:pStyle w:val="26"/>
        <w:spacing w:before="0" w:beforeAutospacing="0" w:after="0" w:afterAutospacing="0"/>
        <w:jc w:val="center"/>
        <w:outlineLvl w:val="0"/>
        <w:rPr>
          <w:rFonts w:hint="default" w:ascii="Times New Roman" w:hAnsi="Times New Roman" w:eastAsia="黑体" w:cs="Times New Roman"/>
          <w:b/>
          <w:bCs/>
          <w:snapToGrid w:val="0"/>
          <w:color w:val="000000" w:themeColor="text1"/>
          <w:sz w:val="30"/>
          <w:szCs w:val="30"/>
          <w:highlight w:val="none"/>
          <w14:textFill>
            <w14:solidFill>
              <w14:schemeClr w14:val="tx1"/>
            </w14:solidFill>
          </w14:textFill>
        </w:rPr>
      </w:pPr>
      <w:bookmarkStart w:id="30" w:name="_Toc17916"/>
      <w:r>
        <w:rPr>
          <w:rFonts w:hint="default" w:ascii="Times New Roman" w:hAnsi="Times New Roman" w:eastAsia="黑体" w:cs="Times New Roman"/>
          <w:b/>
          <w:bCs/>
          <w:snapToGrid w:val="0"/>
          <w:color w:val="000000" w:themeColor="text1"/>
          <w:sz w:val="30"/>
          <w:szCs w:val="30"/>
          <w:highlight w:val="none"/>
          <w14:textFill>
            <w14:solidFill>
              <w14:schemeClr w14:val="tx1"/>
            </w14:solidFill>
          </w14:textFill>
        </w:rPr>
        <w:t>五、</w:t>
      </w:r>
      <w:bookmarkStart w:id="31" w:name="_Hlk54167917"/>
      <w:r>
        <w:rPr>
          <w:rFonts w:hint="default" w:ascii="Times New Roman" w:hAnsi="Times New Roman" w:eastAsia="黑体" w:cs="Times New Roman"/>
          <w:b/>
          <w:bCs/>
          <w:snapToGrid w:val="0"/>
          <w:color w:val="000000" w:themeColor="text1"/>
          <w:sz w:val="30"/>
          <w:szCs w:val="30"/>
          <w:highlight w:val="none"/>
          <w14:textFill>
            <w14:solidFill>
              <w14:schemeClr w14:val="tx1"/>
            </w14:solidFill>
          </w14:textFill>
        </w:rPr>
        <w:t>环境保护措施监督检查清单</w:t>
      </w:r>
      <w:bookmarkEnd w:id="30"/>
      <w:bookmarkEnd w:id="31"/>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271"/>
        <w:gridCol w:w="1347"/>
        <w:gridCol w:w="1205"/>
        <w:gridCol w:w="1255"/>
        <w:gridCol w:w="3075"/>
      </w:tblGrid>
      <w:tr w14:paraId="29F9F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2" w:type="pct"/>
            <w:tcBorders>
              <w:tl2br w:val="single" w:color="auto" w:sz="4" w:space="0"/>
            </w:tcBorders>
            <w:noWrap w:val="0"/>
            <w:vAlign w:val="center"/>
          </w:tcPr>
          <w:p w14:paraId="3851525B">
            <w:pPr>
              <w:keepNext w:val="0"/>
              <w:keepLines w:val="0"/>
              <w:suppressLineNumbers w:val="0"/>
              <w:adjustRightInd w:val="0"/>
              <w:snapToGrid w:val="0"/>
              <w:spacing w:before="0" w:beforeAutospacing="0" w:after="0" w:afterAutospacing="0"/>
              <w:ind w:left="0" w:right="0"/>
              <w:jc w:val="right"/>
              <w:rPr>
                <w:rFonts w:hint="default" w:ascii="Times New Roman" w:hAnsi="Times New Roman" w:eastAsia="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color w:val="000000" w:themeColor="text1"/>
                <w:sz w:val="21"/>
                <w:szCs w:val="21"/>
                <w:highlight w:val="none"/>
                <w14:textFill>
                  <w14:solidFill>
                    <w14:schemeClr w14:val="tx1"/>
                  </w14:solidFill>
                </w14:textFill>
              </w:rPr>
              <w:t>内容</w:t>
            </w:r>
          </w:p>
          <w:p w14:paraId="64D504F0">
            <w:pPr>
              <w:keepNext w:val="0"/>
              <w:keepLines w:val="0"/>
              <w:suppressLineNumbers w:val="0"/>
              <w:adjustRightInd w:val="0"/>
              <w:snapToGrid w:val="0"/>
              <w:spacing w:before="0" w:beforeAutospacing="0" w:after="0" w:afterAutospacing="0"/>
              <w:ind w:left="0" w:right="0"/>
              <w:rPr>
                <w:rFonts w:hint="default" w:ascii="Times New Roman" w:hAnsi="Times New Roman" w:eastAsia="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color w:val="000000" w:themeColor="text1"/>
                <w:sz w:val="21"/>
                <w:szCs w:val="21"/>
                <w:highlight w:val="none"/>
                <w14:textFill>
                  <w14:solidFill>
                    <w14:schemeClr w14:val="tx1"/>
                  </w14:solidFill>
                </w14:textFill>
              </w:rPr>
              <w:t>要素</w:t>
            </w:r>
          </w:p>
        </w:tc>
        <w:tc>
          <w:tcPr>
            <w:tcW w:w="706" w:type="pct"/>
            <w:noWrap w:val="0"/>
            <w:vAlign w:val="center"/>
          </w:tcPr>
          <w:p w14:paraId="416A5E4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color w:val="000000" w:themeColor="text1"/>
                <w:sz w:val="21"/>
                <w:szCs w:val="21"/>
                <w:highlight w:val="none"/>
                <w14:textFill>
                  <w14:solidFill>
                    <w14:schemeClr w14:val="tx1"/>
                  </w14:solidFill>
                </w14:textFill>
              </w:rPr>
              <w:t>排放口(编号、名称)/污染源</w:t>
            </w:r>
          </w:p>
        </w:tc>
        <w:tc>
          <w:tcPr>
            <w:tcW w:w="748" w:type="pct"/>
            <w:noWrap w:val="0"/>
            <w:vAlign w:val="center"/>
          </w:tcPr>
          <w:p w14:paraId="27D4273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color w:val="000000" w:themeColor="text1"/>
                <w:sz w:val="21"/>
                <w:szCs w:val="21"/>
                <w:highlight w:val="none"/>
                <w14:textFill>
                  <w14:solidFill>
                    <w14:schemeClr w14:val="tx1"/>
                  </w14:solidFill>
                </w14:textFill>
              </w:rPr>
              <w:t>污染物项目</w:t>
            </w:r>
          </w:p>
        </w:tc>
        <w:tc>
          <w:tcPr>
            <w:tcW w:w="1366" w:type="pct"/>
            <w:gridSpan w:val="2"/>
            <w:noWrap w:val="0"/>
            <w:vAlign w:val="center"/>
          </w:tcPr>
          <w:p w14:paraId="312A96F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color w:val="000000" w:themeColor="text1"/>
                <w:sz w:val="21"/>
                <w:szCs w:val="21"/>
                <w:highlight w:val="none"/>
                <w14:textFill>
                  <w14:solidFill>
                    <w14:schemeClr w14:val="tx1"/>
                  </w14:solidFill>
                </w14:textFill>
              </w:rPr>
              <w:t>环境保护措施</w:t>
            </w:r>
          </w:p>
        </w:tc>
        <w:tc>
          <w:tcPr>
            <w:tcW w:w="1707" w:type="pct"/>
            <w:noWrap w:val="0"/>
            <w:vAlign w:val="center"/>
          </w:tcPr>
          <w:p w14:paraId="17D6A7D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b/>
                <w:color w:val="000000" w:themeColor="text1"/>
                <w:sz w:val="21"/>
                <w:szCs w:val="21"/>
                <w:highlight w:val="none"/>
                <w14:textFill>
                  <w14:solidFill>
                    <w14:schemeClr w14:val="tx1"/>
                  </w14:solidFill>
                </w14:textFill>
              </w:rPr>
              <w:t>执行标准</w:t>
            </w:r>
          </w:p>
        </w:tc>
      </w:tr>
      <w:tr w14:paraId="1187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472" w:type="pct"/>
            <w:vMerge w:val="restart"/>
            <w:noWrap w:val="0"/>
            <w:vAlign w:val="center"/>
          </w:tcPr>
          <w:p w14:paraId="5072BC25">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Times New Roman"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Times New Roman" w:cs="Times New Roman"/>
                <w:color w:val="000000" w:themeColor="text1"/>
                <w:sz w:val="21"/>
                <w:szCs w:val="21"/>
                <w:highlight w:val="none"/>
                <w:lang w:eastAsia="zh-CN"/>
                <w14:textFill>
                  <w14:solidFill>
                    <w14:schemeClr w14:val="tx1"/>
                  </w14:solidFill>
                </w14:textFill>
              </w:rPr>
              <w:t>生产</w:t>
            </w:r>
          </w:p>
          <w:p w14:paraId="7E77B8F4">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Times New Roman" w:cs="Times New Roman"/>
                <w:color w:val="000000" w:themeColor="text1"/>
                <w:sz w:val="21"/>
                <w:szCs w:val="21"/>
                <w:highlight w:val="none"/>
                <w:lang w:eastAsia="zh-CN"/>
                <w14:textFill>
                  <w14:solidFill>
                    <w14:schemeClr w14:val="tx1"/>
                  </w14:solidFill>
                </w14:textFill>
              </w:rPr>
              <w:t>过程</w:t>
            </w:r>
          </w:p>
        </w:tc>
        <w:tc>
          <w:tcPr>
            <w:tcW w:w="706" w:type="pct"/>
            <w:vMerge w:val="restart"/>
            <w:noWrap w:val="0"/>
            <w:vAlign w:val="center"/>
          </w:tcPr>
          <w:p w14:paraId="0453B4B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有机废气排放口（DA001）</w:t>
            </w:r>
          </w:p>
        </w:tc>
        <w:tc>
          <w:tcPr>
            <w:tcW w:w="748" w:type="pct"/>
            <w:vMerge w:val="restart"/>
            <w:noWrap w:val="0"/>
            <w:vAlign w:val="center"/>
          </w:tcPr>
          <w:p w14:paraId="4960FE1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非甲烷总烃</w:t>
            </w:r>
          </w:p>
        </w:tc>
        <w:tc>
          <w:tcPr>
            <w:tcW w:w="669" w:type="pct"/>
            <w:noWrap w:val="0"/>
            <w:vAlign w:val="center"/>
          </w:tcPr>
          <w:p w14:paraId="4785125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挤出（吹膜）废气</w:t>
            </w:r>
          </w:p>
        </w:tc>
        <w:tc>
          <w:tcPr>
            <w:tcW w:w="696" w:type="pct"/>
            <w:vMerge w:val="restart"/>
            <w:noWrap w:val="0"/>
            <w:vAlign w:val="center"/>
          </w:tcPr>
          <w:p w14:paraId="73FF1574">
            <w:pPr>
              <w:keepNext w:val="0"/>
              <w:keepLines w:val="0"/>
              <w:suppressLineNumbers w:val="0"/>
              <w:adjustRightInd w:val="0"/>
              <w:snapToGrid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密闭集气</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罩</w:t>
            </w:r>
            <w:r>
              <w:rPr>
                <w:rFonts w:hint="eastAsia" w:cs="Times New Roman"/>
                <w:color w:val="000000" w:themeColor="text1"/>
                <w:sz w:val="21"/>
                <w:szCs w:val="21"/>
                <w:highlight w:val="none"/>
                <w:lang w:val="en-US" w:eastAsia="zh-CN"/>
                <w14:textFill>
                  <w14:solidFill>
                    <w14:schemeClr w14:val="tx1"/>
                  </w14:solidFill>
                </w14:textFill>
              </w:rPr>
              <w:t>正压收集</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+1套“</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吸附</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脱附+催化燃烧</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Times New Roman" w:cs="Times New Roman"/>
                <w:bCs/>
                <w:color w:val="000000" w:themeColor="text1"/>
                <w:sz w:val="21"/>
                <w:szCs w:val="21"/>
                <w:highlight w:val="none"/>
                <w:vertAlign w:val="baseline"/>
                <w:lang w:val="en-US" w:eastAsia="zh-CN"/>
                <w14:textFill>
                  <w14:solidFill>
                    <w14:schemeClr w14:val="tx1"/>
                  </w14:solidFill>
                </w14:textFill>
              </w:rPr>
              <w:t>1根不低于15m高排气筒（</w:t>
            </w:r>
            <w:r>
              <w:rPr>
                <w:rFonts w:hint="eastAsia" w:ascii="Times New Roman" w:hAnsi="Times New Roman" w:eastAsia="Times New Roman" w:cs="Times New Roman"/>
                <w:bCs/>
                <w:color w:val="000000" w:themeColor="text1"/>
                <w:sz w:val="21"/>
                <w:szCs w:val="21"/>
                <w:highlight w:val="none"/>
                <w:vertAlign w:val="baseline"/>
                <w:lang w:val="en-US" w:eastAsia="zh-CN"/>
                <w14:textFill>
                  <w14:solidFill>
                    <w14:schemeClr w14:val="tx1"/>
                  </w14:solidFill>
                </w14:textFill>
              </w:rPr>
              <w:t>DA001</w:t>
            </w:r>
            <w:r>
              <w:rPr>
                <w:rFonts w:hint="default" w:ascii="Times New Roman" w:hAnsi="Times New Roman" w:eastAsia="Times New Roman" w:cs="Times New Roman"/>
                <w:bCs/>
                <w:color w:val="000000" w:themeColor="text1"/>
                <w:sz w:val="21"/>
                <w:szCs w:val="21"/>
                <w:highlight w:val="none"/>
                <w:vertAlign w:val="baseline"/>
                <w:lang w:val="en-US" w:eastAsia="zh-CN"/>
                <w14:textFill>
                  <w14:solidFill>
                    <w14:schemeClr w14:val="tx1"/>
                  </w14:solidFill>
                </w14:textFill>
              </w:rPr>
              <w:t>）</w:t>
            </w:r>
          </w:p>
        </w:tc>
        <w:tc>
          <w:tcPr>
            <w:tcW w:w="1707" w:type="pct"/>
            <w:vMerge w:val="restart"/>
            <w:noWrap w:val="0"/>
            <w:vAlign w:val="center"/>
          </w:tcPr>
          <w:p w14:paraId="1B2E78C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Times New Roman" w:cs="Times New Roman"/>
                <w:color w:val="000000" w:themeColor="text1"/>
                <w:sz w:val="21"/>
                <w:szCs w:val="21"/>
                <w:highlight w:val="none"/>
                <w:lang w:val="en-US" w:eastAsia="zh-CN"/>
                <w14:textFill>
                  <w14:solidFill>
                    <w14:schemeClr w14:val="tx1"/>
                  </w14:solidFill>
                </w14:textFill>
              </w:rPr>
              <w:t>《合成树脂工业污染物排放标准（GB31572-2015）（含2024年修改单版本）》，</w:t>
            </w:r>
            <w:r>
              <w:rPr>
                <w:rFonts w:hint="eastAsia" w:eastAsia="Times New Roman" w:cs="Times New Roman"/>
                <w:color w:val="000000" w:themeColor="text1"/>
                <w:sz w:val="21"/>
                <w:szCs w:val="21"/>
                <w:highlight w:val="none"/>
                <w:lang w:eastAsia="zh-CN"/>
                <w14:textFill>
                  <w14:solidFill>
                    <w14:schemeClr w14:val="tx1"/>
                  </w14:solidFill>
                </w14:textFill>
              </w:rPr>
              <w:t>同时满足</w:t>
            </w:r>
            <w:r>
              <w:rPr>
                <w:rFonts w:hint="default" w:ascii="Times New Roman" w:hAnsi="Times New Roman" w:eastAsia="Times New Roman" w:cs="Times New Roman"/>
                <w:color w:val="000000" w:themeColor="text1"/>
                <w:kern w:val="0"/>
                <w:sz w:val="21"/>
                <w:szCs w:val="21"/>
                <w:highlight w:val="none"/>
                <w:vertAlign w:val="baseline"/>
                <w:lang w:val="en-US" w:eastAsia="zh-CN"/>
                <w14:textFill>
                  <w14:solidFill>
                    <w14:schemeClr w14:val="tx1"/>
                  </w14:solidFill>
                </w14:textFill>
              </w:rPr>
              <w:t>《河南省重污染天气重点行业应急减排措施制定技术指南（202</w:t>
            </w:r>
            <w:r>
              <w:rPr>
                <w:rFonts w:hint="eastAsia" w:ascii="Times New Roman" w:hAnsi="Times New Roman" w:eastAsia="Times New Roman" w:cs="Times New Roman"/>
                <w:color w:val="000000" w:themeColor="text1"/>
                <w:kern w:val="0"/>
                <w:sz w:val="21"/>
                <w:szCs w:val="21"/>
                <w:highlight w:val="none"/>
                <w:vertAlign w:val="baseline"/>
                <w:lang w:val="en-US" w:eastAsia="zh-CN"/>
                <w14:textFill>
                  <w14:solidFill>
                    <w14:schemeClr w14:val="tx1"/>
                  </w14:solidFill>
                </w14:textFill>
              </w:rPr>
              <w:t>4</w:t>
            </w:r>
            <w:r>
              <w:rPr>
                <w:rFonts w:hint="default" w:ascii="Times New Roman" w:hAnsi="Times New Roman" w:eastAsia="Times New Roman" w:cs="Times New Roman"/>
                <w:color w:val="000000" w:themeColor="text1"/>
                <w:kern w:val="0"/>
                <w:sz w:val="21"/>
                <w:szCs w:val="21"/>
                <w:highlight w:val="none"/>
                <w:vertAlign w:val="baseline"/>
                <w:lang w:val="en-US" w:eastAsia="zh-CN"/>
                <w14:textFill>
                  <w14:solidFill>
                    <w14:schemeClr w14:val="tx1"/>
                  </w14:solidFill>
                </w14:textFill>
              </w:rPr>
              <w:t>年版）》中塑料制品行业</w:t>
            </w:r>
            <w:r>
              <w:rPr>
                <w:rFonts w:hint="eastAsia" w:ascii="Times New Roman" w:hAnsi="Times New Roman" w:eastAsia="Times New Roman" w:cs="Times New Roman"/>
                <w:color w:val="000000" w:themeColor="text1"/>
                <w:kern w:val="0"/>
                <w:sz w:val="21"/>
                <w:szCs w:val="21"/>
                <w:highlight w:val="none"/>
                <w:vertAlign w:val="baseline"/>
                <w:lang w:val="en-US" w:eastAsia="zh-CN"/>
                <w14:textFill>
                  <w14:solidFill>
                    <w14:schemeClr w14:val="tx1"/>
                  </w14:solidFill>
                </w14:textFill>
              </w:rPr>
              <w:t>A级</w:t>
            </w:r>
            <w:r>
              <w:rPr>
                <w:rFonts w:hint="default" w:ascii="Times New Roman" w:hAnsi="Times New Roman" w:eastAsia="Times New Roman" w:cs="Times New Roman"/>
                <w:color w:val="000000" w:themeColor="text1"/>
                <w:kern w:val="0"/>
                <w:sz w:val="21"/>
                <w:szCs w:val="21"/>
                <w:highlight w:val="none"/>
                <w:vertAlign w:val="baseline"/>
                <w:lang w:val="en-US" w:eastAsia="zh-CN"/>
                <w14:textFill>
                  <w14:solidFill>
                    <w14:schemeClr w14:val="tx1"/>
                  </w14:solidFill>
                </w14:textFill>
              </w:rPr>
              <w:t>绩效要求</w:t>
            </w:r>
          </w:p>
        </w:tc>
      </w:tr>
      <w:tr w14:paraId="396A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472" w:type="pct"/>
            <w:vMerge w:val="continue"/>
            <w:noWrap w:val="0"/>
            <w:vAlign w:val="center"/>
          </w:tcPr>
          <w:p w14:paraId="32303A4A">
            <w:pPr>
              <w:keepNext w:val="0"/>
              <w:keepLines w:val="0"/>
              <w:suppressLineNumbers w:val="0"/>
              <w:adjustRightInd w:val="0"/>
              <w:snapToGrid w:val="0"/>
              <w:spacing w:before="0" w:beforeAutospacing="0" w:after="0" w:afterAutospacing="0"/>
              <w:ind w:left="0" w:right="0"/>
              <w:jc w:val="center"/>
              <w:rPr>
                <w:rFonts w:hint="default"/>
              </w:rPr>
            </w:pPr>
          </w:p>
        </w:tc>
        <w:tc>
          <w:tcPr>
            <w:tcW w:w="706" w:type="pct"/>
            <w:vMerge w:val="continue"/>
            <w:noWrap w:val="0"/>
            <w:vAlign w:val="center"/>
          </w:tcPr>
          <w:p w14:paraId="510D578B">
            <w:pPr>
              <w:keepNext w:val="0"/>
              <w:keepLines w:val="0"/>
              <w:suppressLineNumbers w:val="0"/>
              <w:adjustRightInd w:val="0"/>
              <w:snapToGrid w:val="0"/>
              <w:spacing w:before="0" w:beforeAutospacing="0" w:after="0" w:afterAutospacing="0"/>
              <w:ind w:left="0" w:right="0"/>
              <w:jc w:val="center"/>
              <w:rPr>
                <w:rFonts w:hint="default"/>
              </w:rPr>
            </w:pPr>
          </w:p>
        </w:tc>
        <w:tc>
          <w:tcPr>
            <w:tcW w:w="748" w:type="pct"/>
            <w:vMerge w:val="continue"/>
            <w:noWrap w:val="0"/>
            <w:vAlign w:val="center"/>
          </w:tcPr>
          <w:p w14:paraId="2DBF0254">
            <w:pPr>
              <w:keepNext w:val="0"/>
              <w:keepLines w:val="0"/>
              <w:suppressLineNumbers w:val="0"/>
              <w:adjustRightInd w:val="0"/>
              <w:snapToGrid w:val="0"/>
              <w:spacing w:before="0" w:beforeAutospacing="0" w:after="0" w:afterAutospacing="0"/>
              <w:ind w:left="0" w:right="0"/>
              <w:jc w:val="center"/>
              <w:rPr>
                <w:rFonts w:hint="default"/>
              </w:rPr>
            </w:pPr>
          </w:p>
        </w:tc>
        <w:tc>
          <w:tcPr>
            <w:tcW w:w="669" w:type="pct"/>
            <w:noWrap w:val="0"/>
            <w:vAlign w:val="center"/>
          </w:tcPr>
          <w:p w14:paraId="24DFA3A6">
            <w:pPr>
              <w:keepNext w:val="0"/>
              <w:keepLines w:val="0"/>
              <w:suppressLineNumbers w:val="0"/>
              <w:adjustRightInd w:val="0"/>
              <w:snapToGrid w:val="0"/>
              <w:spacing w:before="0" w:beforeAutospacing="0" w:after="0" w:afterAutospacing="0"/>
              <w:ind w:left="0" w:right="0"/>
              <w:jc w:val="center"/>
              <w:rPr>
                <w:rFonts w:hint="eastAsia" w:eastAsia="宋体"/>
                <w:lang w:eastAsia="zh-CN"/>
              </w:rPr>
            </w:pPr>
            <w:r>
              <w:rPr>
                <w:rFonts w:hint="eastAsia"/>
                <w:lang w:eastAsia="zh-CN"/>
              </w:rPr>
              <w:t>高频覆膜废气</w:t>
            </w:r>
          </w:p>
        </w:tc>
        <w:tc>
          <w:tcPr>
            <w:tcW w:w="696" w:type="pct"/>
            <w:vMerge w:val="continue"/>
            <w:noWrap w:val="0"/>
            <w:vAlign w:val="center"/>
          </w:tcPr>
          <w:p w14:paraId="6E56EBF5">
            <w:pPr>
              <w:keepNext w:val="0"/>
              <w:keepLines w:val="0"/>
              <w:suppressLineNumbers w:val="0"/>
              <w:adjustRightInd w:val="0"/>
              <w:snapToGrid w:val="0"/>
              <w:spacing w:before="0" w:beforeAutospacing="0" w:after="0" w:afterAutospacing="0"/>
              <w:ind w:left="0" w:right="0"/>
              <w:jc w:val="center"/>
              <w:rPr>
                <w:rFonts w:hint="default"/>
              </w:rPr>
            </w:pPr>
          </w:p>
        </w:tc>
        <w:tc>
          <w:tcPr>
            <w:tcW w:w="1707" w:type="pct"/>
            <w:vMerge w:val="continue"/>
            <w:noWrap w:val="0"/>
            <w:vAlign w:val="center"/>
          </w:tcPr>
          <w:p w14:paraId="74189973">
            <w:pPr>
              <w:keepNext w:val="0"/>
              <w:keepLines w:val="0"/>
              <w:suppressLineNumbers w:val="0"/>
              <w:adjustRightInd w:val="0"/>
              <w:snapToGrid w:val="0"/>
              <w:spacing w:before="0" w:beforeAutospacing="0" w:after="0" w:afterAutospacing="0"/>
              <w:ind w:left="0" w:right="0"/>
              <w:jc w:val="center"/>
              <w:rPr>
                <w:rFonts w:hint="default"/>
              </w:rPr>
            </w:pPr>
          </w:p>
        </w:tc>
      </w:tr>
      <w:tr w14:paraId="661E3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472" w:type="pct"/>
            <w:vMerge w:val="continue"/>
            <w:noWrap w:val="0"/>
            <w:vAlign w:val="center"/>
          </w:tcPr>
          <w:p w14:paraId="6528FF86">
            <w:pPr>
              <w:keepNext w:val="0"/>
              <w:keepLines w:val="0"/>
              <w:suppressLineNumbers w:val="0"/>
              <w:adjustRightInd w:val="0"/>
              <w:snapToGrid w:val="0"/>
              <w:spacing w:before="0" w:beforeAutospacing="0" w:after="0" w:afterAutospacing="0"/>
              <w:ind w:left="0" w:right="0"/>
              <w:jc w:val="center"/>
              <w:rPr>
                <w:rFonts w:hint="default"/>
              </w:rPr>
            </w:pPr>
          </w:p>
        </w:tc>
        <w:tc>
          <w:tcPr>
            <w:tcW w:w="706" w:type="pct"/>
            <w:vMerge w:val="continue"/>
            <w:noWrap w:val="0"/>
            <w:vAlign w:val="center"/>
          </w:tcPr>
          <w:p w14:paraId="62BEB65E">
            <w:pPr>
              <w:keepNext w:val="0"/>
              <w:keepLines w:val="0"/>
              <w:suppressLineNumbers w:val="0"/>
              <w:adjustRightInd w:val="0"/>
              <w:snapToGrid w:val="0"/>
              <w:spacing w:before="0" w:beforeAutospacing="0" w:after="0" w:afterAutospacing="0"/>
              <w:ind w:left="0" w:right="0"/>
              <w:jc w:val="center"/>
              <w:rPr>
                <w:rFonts w:hint="default"/>
              </w:rPr>
            </w:pPr>
          </w:p>
        </w:tc>
        <w:tc>
          <w:tcPr>
            <w:tcW w:w="748" w:type="pct"/>
            <w:vMerge w:val="continue"/>
            <w:noWrap w:val="0"/>
            <w:vAlign w:val="center"/>
          </w:tcPr>
          <w:p w14:paraId="74A09321">
            <w:pPr>
              <w:keepNext w:val="0"/>
              <w:keepLines w:val="0"/>
              <w:suppressLineNumbers w:val="0"/>
              <w:adjustRightInd w:val="0"/>
              <w:snapToGrid w:val="0"/>
              <w:spacing w:before="0" w:beforeAutospacing="0" w:after="0" w:afterAutospacing="0"/>
              <w:ind w:left="0" w:right="0"/>
              <w:jc w:val="center"/>
              <w:rPr>
                <w:rFonts w:hint="default"/>
              </w:rPr>
            </w:pPr>
          </w:p>
        </w:tc>
        <w:tc>
          <w:tcPr>
            <w:tcW w:w="669" w:type="pct"/>
            <w:noWrap w:val="0"/>
            <w:vAlign w:val="center"/>
          </w:tcPr>
          <w:p w14:paraId="7F217AE7">
            <w:pPr>
              <w:keepNext w:val="0"/>
              <w:keepLines w:val="0"/>
              <w:suppressLineNumbers w:val="0"/>
              <w:adjustRightInd w:val="0"/>
              <w:snapToGrid w:val="0"/>
              <w:spacing w:before="0" w:beforeAutospacing="0" w:after="0" w:afterAutospacing="0"/>
              <w:ind w:left="0" w:right="0"/>
              <w:jc w:val="center"/>
              <w:rPr>
                <w:rFonts w:hint="eastAsia" w:eastAsia="宋体"/>
                <w:lang w:eastAsia="zh-CN"/>
              </w:rPr>
            </w:pPr>
            <w:r>
              <w:rPr>
                <w:rFonts w:hint="eastAsia"/>
                <w:lang w:eastAsia="zh-CN"/>
              </w:rPr>
              <w:t>粘合废气</w:t>
            </w:r>
          </w:p>
        </w:tc>
        <w:tc>
          <w:tcPr>
            <w:tcW w:w="696" w:type="pct"/>
            <w:vMerge w:val="continue"/>
            <w:noWrap w:val="0"/>
            <w:vAlign w:val="center"/>
          </w:tcPr>
          <w:p w14:paraId="29A1C448">
            <w:pPr>
              <w:keepNext w:val="0"/>
              <w:keepLines w:val="0"/>
              <w:suppressLineNumbers w:val="0"/>
              <w:adjustRightInd w:val="0"/>
              <w:snapToGrid w:val="0"/>
              <w:spacing w:before="0" w:beforeAutospacing="0" w:after="0" w:afterAutospacing="0"/>
              <w:ind w:left="0" w:right="0"/>
              <w:jc w:val="center"/>
              <w:rPr>
                <w:rFonts w:hint="default"/>
              </w:rPr>
            </w:pPr>
          </w:p>
        </w:tc>
        <w:tc>
          <w:tcPr>
            <w:tcW w:w="1707" w:type="pct"/>
            <w:vMerge w:val="continue"/>
            <w:noWrap w:val="0"/>
            <w:vAlign w:val="center"/>
          </w:tcPr>
          <w:p w14:paraId="5BB23489">
            <w:pPr>
              <w:keepNext w:val="0"/>
              <w:keepLines w:val="0"/>
              <w:suppressLineNumbers w:val="0"/>
              <w:adjustRightInd w:val="0"/>
              <w:snapToGrid w:val="0"/>
              <w:spacing w:before="0" w:beforeAutospacing="0" w:after="0" w:afterAutospacing="0"/>
              <w:ind w:left="0" w:right="0"/>
              <w:jc w:val="center"/>
              <w:rPr>
                <w:rFonts w:hint="default"/>
              </w:rPr>
            </w:pPr>
          </w:p>
        </w:tc>
      </w:tr>
      <w:tr w14:paraId="6BFC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472" w:type="pct"/>
            <w:vMerge w:val="continue"/>
            <w:noWrap w:val="0"/>
            <w:vAlign w:val="center"/>
          </w:tcPr>
          <w:p w14:paraId="03A51DAB">
            <w:pPr>
              <w:keepNext w:val="0"/>
              <w:keepLines w:val="0"/>
              <w:suppressLineNumbers w:val="0"/>
              <w:adjustRightInd w:val="0"/>
              <w:snapToGrid w:val="0"/>
              <w:spacing w:before="0" w:beforeAutospacing="0" w:after="0" w:afterAutospacing="0"/>
              <w:ind w:left="0" w:right="0"/>
              <w:jc w:val="center"/>
              <w:rPr>
                <w:rFonts w:hint="default"/>
              </w:rPr>
            </w:pPr>
          </w:p>
        </w:tc>
        <w:tc>
          <w:tcPr>
            <w:tcW w:w="706" w:type="pct"/>
            <w:vMerge w:val="continue"/>
            <w:noWrap w:val="0"/>
            <w:vAlign w:val="center"/>
          </w:tcPr>
          <w:p w14:paraId="72B4136B">
            <w:pPr>
              <w:keepNext w:val="0"/>
              <w:keepLines w:val="0"/>
              <w:suppressLineNumbers w:val="0"/>
              <w:adjustRightInd w:val="0"/>
              <w:snapToGrid w:val="0"/>
              <w:spacing w:before="0" w:beforeAutospacing="0" w:after="0" w:afterAutospacing="0"/>
              <w:ind w:left="0" w:right="0"/>
              <w:jc w:val="center"/>
              <w:rPr>
                <w:rFonts w:hint="default"/>
              </w:rPr>
            </w:pPr>
          </w:p>
        </w:tc>
        <w:tc>
          <w:tcPr>
            <w:tcW w:w="748" w:type="pct"/>
            <w:vMerge w:val="continue"/>
            <w:noWrap w:val="0"/>
            <w:vAlign w:val="center"/>
          </w:tcPr>
          <w:p w14:paraId="2B3B1A39">
            <w:pPr>
              <w:keepNext w:val="0"/>
              <w:keepLines w:val="0"/>
              <w:suppressLineNumbers w:val="0"/>
              <w:adjustRightInd w:val="0"/>
              <w:snapToGrid w:val="0"/>
              <w:spacing w:before="0" w:beforeAutospacing="0" w:after="0" w:afterAutospacing="0"/>
              <w:ind w:left="0" w:right="0"/>
              <w:jc w:val="center"/>
              <w:rPr>
                <w:rFonts w:hint="default"/>
              </w:rPr>
            </w:pPr>
          </w:p>
        </w:tc>
        <w:tc>
          <w:tcPr>
            <w:tcW w:w="669" w:type="pct"/>
            <w:noWrap w:val="0"/>
            <w:vAlign w:val="center"/>
          </w:tcPr>
          <w:p w14:paraId="1ED3647C">
            <w:pPr>
              <w:keepNext w:val="0"/>
              <w:keepLines w:val="0"/>
              <w:suppressLineNumbers w:val="0"/>
              <w:adjustRightInd w:val="0"/>
              <w:snapToGrid w:val="0"/>
              <w:spacing w:before="0" w:beforeAutospacing="0" w:after="0" w:afterAutospacing="0"/>
              <w:ind w:left="0" w:right="0"/>
              <w:jc w:val="center"/>
              <w:rPr>
                <w:rFonts w:hint="eastAsia" w:eastAsia="宋体"/>
                <w:lang w:eastAsia="zh-CN"/>
              </w:rPr>
            </w:pPr>
            <w:r>
              <w:rPr>
                <w:rFonts w:hint="eastAsia"/>
                <w:lang w:eastAsia="zh-CN"/>
              </w:rPr>
              <w:t>喷码废气</w:t>
            </w:r>
          </w:p>
        </w:tc>
        <w:tc>
          <w:tcPr>
            <w:tcW w:w="696" w:type="pct"/>
            <w:vMerge w:val="continue"/>
            <w:noWrap w:val="0"/>
            <w:vAlign w:val="center"/>
          </w:tcPr>
          <w:p w14:paraId="7D1CC396">
            <w:pPr>
              <w:keepNext w:val="0"/>
              <w:keepLines w:val="0"/>
              <w:suppressLineNumbers w:val="0"/>
              <w:adjustRightInd w:val="0"/>
              <w:snapToGrid w:val="0"/>
              <w:spacing w:before="0" w:beforeAutospacing="0" w:after="0" w:afterAutospacing="0"/>
              <w:ind w:left="0" w:right="0"/>
              <w:jc w:val="center"/>
              <w:rPr>
                <w:rFonts w:hint="default"/>
              </w:rPr>
            </w:pPr>
          </w:p>
        </w:tc>
        <w:tc>
          <w:tcPr>
            <w:tcW w:w="1707" w:type="pct"/>
            <w:vMerge w:val="continue"/>
            <w:noWrap w:val="0"/>
            <w:vAlign w:val="center"/>
          </w:tcPr>
          <w:p w14:paraId="75D71D5B">
            <w:pPr>
              <w:keepNext w:val="0"/>
              <w:keepLines w:val="0"/>
              <w:suppressLineNumbers w:val="0"/>
              <w:adjustRightInd w:val="0"/>
              <w:snapToGrid w:val="0"/>
              <w:spacing w:before="0" w:beforeAutospacing="0" w:after="0" w:afterAutospacing="0"/>
              <w:ind w:left="0" w:right="0"/>
              <w:jc w:val="center"/>
              <w:rPr>
                <w:rFonts w:hint="default"/>
              </w:rPr>
            </w:pPr>
          </w:p>
        </w:tc>
      </w:tr>
      <w:tr w14:paraId="4B7A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2" w:type="pct"/>
            <w:vMerge w:val="continue"/>
            <w:noWrap w:val="0"/>
            <w:vAlign w:val="center"/>
          </w:tcPr>
          <w:p w14:paraId="04A9D239">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Times New Roman" w:cs="Times New Roman"/>
                <w:color w:val="000000" w:themeColor="text1"/>
                <w:sz w:val="21"/>
                <w:szCs w:val="21"/>
                <w:highlight w:val="none"/>
                <w:lang w:eastAsia="zh-CN"/>
                <w14:textFill>
                  <w14:solidFill>
                    <w14:schemeClr w14:val="tx1"/>
                  </w14:solidFill>
                </w14:textFill>
              </w:rPr>
            </w:pPr>
          </w:p>
        </w:tc>
        <w:tc>
          <w:tcPr>
            <w:tcW w:w="706" w:type="pct"/>
            <w:noWrap w:val="0"/>
            <w:vAlign w:val="center"/>
          </w:tcPr>
          <w:p w14:paraId="3702B97B">
            <w:pPr>
              <w:keepNext w:val="0"/>
              <w:keepLines w:val="0"/>
              <w:suppressLineNumbers w:val="0"/>
              <w:adjustRightInd w:val="0"/>
              <w:snapToGrid w:val="0"/>
              <w:spacing w:before="0" w:beforeAutospacing="0" w:after="0" w:afterAutospacing="0"/>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食堂油烟废气排放口（D002）</w:t>
            </w:r>
          </w:p>
        </w:tc>
        <w:tc>
          <w:tcPr>
            <w:tcW w:w="748" w:type="pct"/>
            <w:noWrap w:val="0"/>
            <w:vAlign w:val="center"/>
          </w:tcPr>
          <w:p w14:paraId="6AA03FF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sz w:val="21"/>
                <w:szCs w:val="21"/>
                <w:highlight w:val="none"/>
                <w:lang w:val="en-US" w:eastAsia="zh-CN"/>
              </w:rPr>
            </w:pPr>
            <w:r>
              <w:rPr>
                <w:rFonts w:hint="eastAsia" w:eastAsia="Times New Roman" w:cs="Times New Roman"/>
                <w:color w:val="auto"/>
                <w:sz w:val="21"/>
                <w:szCs w:val="21"/>
                <w:highlight w:val="none"/>
                <w:lang w:val="en-US" w:eastAsia="zh-CN"/>
              </w:rPr>
              <w:t>油烟</w:t>
            </w:r>
          </w:p>
        </w:tc>
        <w:tc>
          <w:tcPr>
            <w:tcW w:w="1366" w:type="pct"/>
            <w:gridSpan w:val="2"/>
            <w:noWrap w:val="0"/>
            <w:vAlign w:val="center"/>
          </w:tcPr>
          <w:p w14:paraId="58522148">
            <w:pPr>
              <w:keepNext w:val="0"/>
              <w:keepLines w:val="0"/>
              <w:suppressLineNumbers w:val="0"/>
              <w:adjustRightInd w:val="0"/>
              <w:snapToGrid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集气罩+静电油烟净化器+</w:t>
            </w:r>
            <w:r>
              <w:rPr>
                <w:rFonts w:hint="eastAsia" w:eastAsia="Times New Roman" w:cs="Times New Roman"/>
                <w:bCs/>
                <w:color w:val="auto"/>
                <w:sz w:val="21"/>
                <w:szCs w:val="21"/>
                <w:highlight w:val="none"/>
                <w:vertAlign w:val="baseline"/>
                <w:lang w:val="en-US" w:eastAsia="zh-CN"/>
              </w:rPr>
              <w:t>房顶排气筒排放</w:t>
            </w:r>
            <w:r>
              <w:rPr>
                <w:rFonts w:hint="default" w:ascii="Times New Roman" w:hAnsi="Times New Roman" w:eastAsia="Times New Roman" w:cs="Times New Roman"/>
                <w:bCs/>
                <w:color w:val="auto"/>
                <w:sz w:val="21"/>
                <w:szCs w:val="21"/>
                <w:highlight w:val="none"/>
                <w:vertAlign w:val="baseline"/>
                <w:lang w:val="en-US" w:eastAsia="zh-CN"/>
              </w:rPr>
              <w:t>（</w:t>
            </w:r>
            <w:r>
              <w:rPr>
                <w:rFonts w:hint="eastAsia" w:ascii="Times New Roman" w:hAnsi="Times New Roman" w:eastAsia="Times New Roman" w:cs="Times New Roman"/>
                <w:bCs/>
                <w:color w:val="auto"/>
                <w:sz w:val="21"/>
                <w:szCs w:val="21"/>
                <w:highlight w:val="none"/>
                <w:vertAlign w:val="baseline"/>
                <w:lang w:val="en-US" w:eastAsia="zh-CN"/>
              </w:rPr>
              <w:t>DA002</w:t>
            </w:r>
            <w:r>
              <w:rPr>
                <w:rFonts w:hint="default" w:ascii="Times New Roman" w:hAnsi="Times New Roman" w:eastAsia="Times New Roman" w:cs="Times New Roman"/>
                <w:bCs/>
                <w:color w:val="auto"/>
                <w:sz w:val="21"/>
                <w:szCs w:val="21"/>
                <w:highlight w:val="none"/>
                <w:vertAlign w:val="baseline"/>
                <w:lang w:val="en-US" w:eastAsia="zh-CN"/>
              </w:rPr>
              <w:t>）</w:t>
            </w:r>
          </w:p>
        </w:tc>
        <w:tc>
          <w:tcPr>
            <w:tcW w:w="1707" w:type="pct"/>
            <w:noWrap w:val="0"/>
            <w:vAlign w:val="center"/>
          </w:tcPr>
          <w:p w14:paraId="5E81263A">
            <w:pPr>
              <w:keepNext w:val="0"/>
              <w:keepLines w:val="0"/>
              <w:suppressLineNumbers w:val="0"/>
              <w:adjustRightInd w:val="0"/>
              <w:snapToGrid w:val="0"/>
              <w:spacing w:before="0" w:beforeAutospacing="0" w:after="0" w:afterAutospacing="0"/>
              <w:ind w:left="0" w:right="0"/>
              <w:jc w:val="center"/>
              <w:rPr>
                <w:rFonts w:hint="eastAsia" w:eastAsia="Times New Roman" w:cs="Times New Roman"/>
                <w:color w:val="auto"/>
                <w:sz w:val="21"/>
                <w:szCs w:val="21"/>
                <w:highlight w:val="none"/>
                <w:lang w:val="en-US" w:eastAsia="zh-CN"/>
              </w:rPr>
            </w:pPr>
            <w:r>
              <w:rPr>
                <w:rFonts w:hint="default" w:ascii="Times New Roman" w:hAnsi="Times New Roman" w:eastAsia="宋体" w:cs="Times New Roman"/>
                <w:b w:val="0"/>
                <w:bCs/>
                <w:color w:val="auto"/>
                <w:kern w:val="2"/>
                <w:sz w:val="21"/>
                <w:szCs w:val="21"/>
                <w:lang w:val="en-US" w:eastAsia="zh-CN" w:bidi="ar"/>
              </w:rPr>
              <w:t>《餐饮业油烟污染物排放标准》（DB41/1604-2018）</w:t>
            </w:r>
          </w:p>
        </w:tc>
      </w:tr>
      <w:tr w14:paraId="1C43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2" w:type="pct"/>
            <w:vMerge w:val="continue"/>
            <w:noWrap w:val="0"/>
            <w:vAlign w:val="center"/>
          </w:tcPr>
          <w:p w14:paraId="595944C4">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Times New Roman" w:cs="Times New Roman"/>
                <w:color w:val="000000" w:themeColor="text1"/>
                <w:sz w:val="21"/>
                <w:szCs w:val="21"/>
                <w:highlight w:val="none"/>
                <w:lang w:eastAsia="zh-CN"/>
                <w14:textFill>
                  <w14:solidFill>
                    <w14:schemeClr w14:val="tx1"/>
                  </w14:solidFill>
                </w14:textFill>
              </w:rPr>
            </w:pPr>
          </w:p>
        </w:tc>
        <w:tc>
          <w:tcPr>
            <w:tcW w:w="706" w:type="pct"/>
            <w:noWrap w:val="0"/>
            <w:vAlign w:val="center"/>
          </w:tcPr>
          <w:p w14:paraId="34B30E5B">
            <w:pPr>
              <w:keepNext w:val="0"/>
              <w:keepLines w:val="0"/>
              <w:suppressLineNumbers w:val="0"/>
              <w:adjustRightInd w:val="0"/>
              <w:snapToGrid w:val="0"/>
              <w:spacing w:before="0" w:beforeAutospacing="0" w:after="0" w:afterAutospacing="0"/>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厂界</w:t>
            </w:r>
          </w:p>
        </w:tc>
        <w:tc>
          <w:tcPr>
            <w:tcW w:w="748" w:type="pct"/>
            <w:noWrap w:val="0"/>
            <w:vAlign w:val="center"/>
          </w:tcPr>
          <w:p w14:paraId="2741EDD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sz w:val="21"/>
                <w:szCs w:val="21"/>
                <w:highlight w:val="none"/>
                <w:lang w:val="en-US" w:eastAsia="zh-CN"/>
              </w:rPr>
            </w:pPr>
            <w:r>
              <w:rPr>
                <w:rFonts w:hint="default" w:ascii="Times New Roman" w:hAnsi="Times New Roman" w:eastAsia="Times New Roman" w:cs="Times New Roman"/>
                <w:color w:val="auto"/>
                <w:sz w:val="21"/>
                <w:szCs w:val="21"/>
                <w:highlight w:val="none"/>
                <w:lang w:val="en-US" w:eastAsia="zh-CN"/>
              </w:rPr>
              <w:t>非甲烷总烃</w:t>
            </w:r>
          </w:p>
        </w:tc>
        <w:tc>
          <w:tcPr>
            <w:tcW w:w="1366" w:type="pct"/>
            <w:gridSpan w:val="2"/>
            <w:noWrap w:val="0"/>
            <w:vAlign w:val="center"/>
          </w:tcPr>
          <w:p w14:paraId="5000205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707" w:type="pct"/>
            <w:noWrap w:val="0"/>
            <w:vAlign w:val="center"/>
          </w:tcPr>
          <w:p w14:paraId="040853C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sz w:val="21"/>
                <w:szCs w:val="21"/>
                <w:highlight w:val="none"/>
                <w:lang w:eastAsia="zh-CN"/>
              </w:rPr>
            </w:pPr>
            <w:r>
              <w:rPr>
                <w:rFonts w:hint="eastAsia" w:eastAsia="Times New Roman" w:cs="Times New Roman"/>
                <w:color w:val="auto"/>
                <w:sz w:val="21"/>
                <w:szCs w:val="21"/>
                <w:highlight w:val="none"/>
                <w:lang w:val="en-US" w:eastAsia="zh-CN"/>
              </w:rPr>
              <w:t>《合成树脂工业污染物排放标准（GB31572-2015）（含2024年修改单版本）》</w:t>
            </w:r>
            <w:r>
              <w:rPr>
                <w:rFonts w:hint="eastAsia" w:eastAsia="Times New Roman" w:cs="Times New Roman"/>
                <w:color w:val="auto"/>
                <w:kern w:val="0"/>
                <w:sz w:val="21"/>
                <w:szCs w:val="21"/>
                <w:highlight w:val="none"/>
                <w:vertAlign w:val="baseline"/>
                <w:lang w:val="en-US" w:eastAsia="zh-CN"/>
              </w:rPr>
              <w:t>和《河南省重污染天气重点行业应急减排措施制定技术指南（2024年版）》</w:t>
            </w:r>
          </w:p>
        </w:tc>
      </w:tr>
      <w:tr w14:paraId="50347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2" w:type="pct"/>
            <w:vMerge w:val="restart"/>
            <w:noWrap w:val="0"/>
            <w:vAlign w:val="center"/>
          </w:tcPr>
          <w:p w14:paraId="6A539FB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废水</w:t>
            </w:r>
          </w:p>
        </w:tc>
        <w:tc>
          <w:tcPr>
            <w:tcW w:w="706" w:type="pct"/>
            <w:noWrap w:val="0"/>
            <w:vAlign w:val="center"/>
          </w:tcPr>
          <w:p w14:paraId="793B40F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职工生活</w:t>
            </w:r>
          </w:p>
        </w:tc>
        <w:tc>
          <w:tcPr>
            <w:tcW w:w="748" w:type="pct"/>
            <w:noWrap w:val="0"/>
            <w:vAlign w:val="center"/>
          </w:tcPr>
          <w:p w14:paraId="1B21B064">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eastAsia="zh-CN"/>
              </w:rPr>
            </w:pPr>
            <w:r>
              <w:rPr>
                <w:rFonts w:hint="eastAsia" w:eastAsia="宋体" w:cs="Times New Roman"/>
                <w:color w:val="auto"/>
                <w:sz w:val="21"/>
                <w:szCs w:val="21"/>
                <w:highlight w:val="none"/>
                <w:lang w:eastAsia="zh-CN"/>
              </w:rPr>
              <w:t>生活污水</w:t>
            </w:r>
          </w:p>
        </w:tc>
        <w:tc>
          <w:tcPr>
            <w:tcW w:w="1366" w:type="pct"/>
            <w:gridSpan w:val="2"/>
            <w:noWrap w:val="0"/>
            <w:vAlign w:val="center"/>
          </w:tcPr>
          <w:p w14:paraId="7D9D105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1座1m</w:t>
            </w:r>
            <w:r>
              <w:rPr>
                <w:rFonts w:hint="eastAsia" w:eastAsia="宋体" w:cs="Times New Roman"/>
                <w:color w:val="auto"/>
                <w:sz w:val="21"/>
                <w:szCs w:val="21"/>
                <w:highlight w:val="none"/>
                <w:vertAlign w:val="superscript"/>
                <w:lang w:val="en-US" w:eastAsia="zh-CN"/>
              </w:rPr>
              <w:t>3</w:t>
            </w:r>
            <w:r>
              <w:rPr>
                <w:rFonts w:hint="eastAsia" w:eastAsia="宋体" w:cs="Times New Roman"/>
                <w:color w:val="auto"/>
                <w:sz w:val="21"/>
                <w:szCs w:val="21"/>
                <w:highlight w:val="none"/>
                <w:lang w:val="en-US" w:eastAsia="zh-CN"/>
              </w:rPr>
              <w:t>隔油池，</w:t>
            </w:r>
            <w:r>
              <w:rPr>
                <w:rFonts w:hint="default" w:ascii="Times New Roman" w:hAnsi="Times New Roman" w:eastAsia="Times New Roman" w:cs="Times New Roman"/>
                <w:color w:val="auto"/>
                <w:sz w:val="21"/>
                <w:szCs w:val="21"/>
                <w:highlight w:val="none"/>
              </w:rPr>
              <w:t>1座</w:t>
            </w:r>
            <w:r>
              <w:rPr>
                <w:rFonts w:hint="eastAsia" w:eastAsia="宋体" w:cs="Times New Roman"/>
                <w:color w:val="auto"/>
                <w:sz w:val="21"/>
                <w:szCs w:val="21"/>
                <w:highlight w:val="none"/>
                <w:lang w:val="en-US" w:eastAsia="zh-CN"/>
              </w:rPr>
              <w:t>5</w:t>
            </w:r>
            <w:r>
              <w:rPr>
                <w:rFonts w:hint="default" w:ascii="Times New Roman" w:hAnsi="Times New Roman" w:eastAsia="Times New Roman" w:cs="Times New Roman"/>
                <w:color w:val="auto"/>
                <w:sz w:val="21"/>
                <w:szCs w:val="21"/>
                <w:highlight w:val="none"/>
              </w:rPr>
              <w:t>m</w:t>
            </w:r>
            <w:r>
              <w:rPr>
                <w:rFonts w:hint="default" w:ascii="Times New Roman" w:hAnsi="Times New Roman" w:eastAsia="Times New Roman" w:cs="Times New Roman"/>
                <w:color w:val="auto"/>
                <w:sz w:val="21"/>
                <w:szCs w:val="21"/>
                <w:highlight w:val="none"/>
                <w:vertAlign w:val="superscript"/>
              </w:rPr>
              <w:t>3</w:t>
            </w:r>
            <w:r>
              <w:rPr>
                <w:rFonts w:hint="default" w:ascii="Times New Roman" w:hAnsi="Times New Roman" w:eastAsia="Times New Roman" w:cs="Times New Roman"/>
                <w:color w:val="auto"/>
                <w:sz w:val="21"/>
                <w:szCs w:val="21"/>
                <w:highlight w:val="none"/>
                <w:lang w:val="en-US" w:eastAsia="zh-CN"/>
              </w:rPr>
              <w:t>化粪</w:t>
            </w:r>
            <w:r>
              <w:rPr>
                <w:rFonts w:hint="default" w:ascii="Times New Roman" w:hAnsi="Times New Roman" w:eastAsia="Times New Roman" w:cs="Times New Roman"/>
                <w:color w:val="auto"/>
                <w:sz w:val="21"/>
                <w:szCs w:val="21"/>
                <w:highlight w:val="none"/>
              </w:rPr>
              <w:t>池</w:t>
            </w:r>
          </w:p>
        </w:tc>
        <w:tc>
          <w:tcPr>
            <w:tcW w:w="1707" w:type="pct"/>
            <w:noWrap w:val="0"/>
            <w:vAlign w:val="center"/>
          </w:tcPr>
          <w:p w14:paraId="703C096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b w:val="0"/>
                <w:bCs w:val="0"/>
                <w:color w:val="auto"/>
                <w:kern w:val="2"/>
                <w:sz w:val="21"/>
                <w:szCs w:val="21"/>
                <w:u w:val="none" w:color="auto"/>
                <w:lang w:val="en-US" w:eastAsia="zh-CN" w:bidi="ar"/>
              </w:rPr>
              <w:t>《污水综合排放标准》（GB8978-1996）中的三级标准</w:t>
            </w:r>
            <w:r>
              <w:rPr>
                <w:rFonts w:hint="eastAsia" w:cs="Times New Roman"/>
                <w:color w:val="auto"/>
                <w:sz w:val="21"/>
                <w:szCs w:val="21"/>
                <w:highlight w:val="none"/>
                <w:lang w:val="en-US" w:eastAsia="zh-CN"/>
              </w:rPr>
              <w:t>同时满足</w:t>
            </w:r>
            <w:r>
              <w:rPr>
                <w:rFonts w:hint="eastAsia" w:cs="Times New Roman"/>
                <w:color w:val="auto"/>
                <w:sz w:val="21"/>
                <w:szCs w:val="21"/>
                <w:highlight w:val="none"/>
                <w:lang w:eastAsia="zh-CN"/>
              </w:rPr>
              <w:t>汤阴天雨污水净化有限公司</w:t>
            </w:r>
            <w:r>
              <w:rPr>
                <w:rFonts w:hint="default" w:ascii="Times New Roman" w:hAnsi="Times New Roman" w:eastAsia="宋体" w:cs="Times New Roman"/>
                <w:color w:val="auto"/>
                <w:sz w:val="21"/>
                <w:szCs w:val="21"/>
                <w:highlight w:val="none"/>
                <w:lang w:eastAsia="zh-CN"/>
              </w:rPr>
              <w:t>进水水质要求</w:t>
            </w:r>
          </w:p>
        </w:tc>
      </w:tr>
      <w:tr w14:paraId="4F20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72" w:type="pct"/>
            <w:vMerge w:val="continue"/>
            <w:noWrap w:val="0"/>
            <w:vAlign w:val="center"/>
          </w:tcPr>
          <w:p w14:paraId="7A99763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06" w:type="pct"/>
            <w:noWrap w:val="0"/>
            <w:vAlign w:val="center"/>
          </w:tcPr>
          <w:p w14:paraId="4EF3005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生产过程</w:t>
            </w:r>
          </w:p>
        </w:tc>
        <w:tc>
          <w:tcPr>
            <w:tcW w:w="748" w:type="pct"/>
            <w:noWrap w:val="0"/>
            <w:vAlign w:val="center"/>
          </w:tcPr>
          <w:p w14:paraId="44C639E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kern w:val="2"/>
                <w:sz w:val="21"/>
                <w:szCs w:val="21"/>
                <w:highlight w:val="none"/>
                <w:lang w:val="en-US" w:eastAsia="zh-CN" w:bidi="ar-SA"/>
              </w:rPr>
            </w:pPr>
            <w:r>
              <w:rPr>
                <w:rFonts w:hint="default" w:ascii="Times New Roman" w:hAnsi="Times New Roman" w:eastAsia="Times New Roman" w:cs="Times New Roman"/>
                <w:color w:val="auto"/>
                <w:sz w:val="21"/>
                <w:szCs w:val="21"/>
                <w:highlight w:val="none"/>
              </w:rPr>
              <w:t>生产废水</w:t>
            </w:r>
          </w:p>
        </w:tc>
        <w:tc>
          <w:tcPr>
            <w:tcW w:w="1366" w:type="pct"/>
            <w:gridSpan w:val="2"/>
            <w:noWrap w:val="0"/>
            <w:vAlign w:val="center"/>
          </w:tcPr>
          <w:p w14:paraId="2AE5F0BD">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冷却水循环使用、不外排</w:t>
            </w:r>
          </w:p>
        </w:tc>
        <w:tc>
          <w:tcPr>
            <w:tcW w:w="1707" w:type="pct"/>
            <w:noWrap w:val="0"/>
            <w:vAlign w:val="center"/>
          </w:tcPr>
          <w:p w14:paraId="0199328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Times New Roman" w:cs="Times New Roman"/>
                <w:color w:val="auto"/>
                <w:sz w:val="21"/>
                <w:szCs w:val="21"/>
                <w:highlight w:val="none"/>
                <w:lang w:val="en-US" w:eastAsia="zh-CN"/>
              </w:rPr>
              <w:t>/</w:t>
            </w:r>
          </w:p>
        </w:tc>
      </w:tr>
      <w:tr w14:paraId="2479E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2" w:type="pct"/>
            <w:noWrap w:val="0"/>
            <w:vAlign w:val="center"/>
          </w:tcPr>
          <w:p w14:paraId="7E8AA95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噪声</w:t>
            </w:r>
          </w:p>
        </w:tc>
        <w:tc>
          <w:tcPr>
            <w:tcW w:w="706" w:type="pct"/>
            <w:noWrap w:val="0"/>
            <w:vAlign w:val="center"/>
          </w:tcPr>
          <w:p w14:paraId="5F00A97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生产设备</w:t>
            </w:r>
          </w:p>
        </w:tc>
        <w:tc>
          <w:tcPr>
            <w:tcW w:w="748" w:type="pct"/>
            <w:noWrap w:val="0"/>
            <w:vAlign w:val="center"/>
          </w:tcPr>
          <w:p w14:paraId="2CB0AC2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sz w:val="21"/>
                <w:szCs w:val="21"/>
                <w:highlight w:val="none"/>
              </w:rPr>
            </w:pPr>
            <w:r>
              <w:rPr>
                <w:rFonts w:hint="default" w:ascii="Times New Roman" w:hAnsi="Times New Roman" w:eastAsia="Times New Roman" w:cs="Times New Roman"/>
                <w:color w:val="auto"/>
                <w:sz w:val="21"/>
                <w:szCs w:val="21"/>
                <w:highlight w:val="none"/>
              </w:rPr>
              <w:t>设备噪声</w:t>
            </w:r>
          </w:p>
        </w:tc>
        <w:tc>
          <w:tcPr>
            <w:tcW w:w="1366" w:type="pct"/>
            <w:gridSpan w:val="2"/>
            <w:noWrap w:val="0"/>
            <w:vAlign w:val="center"/>
          </w:tcPr>
          <w:p w14:paraId="2492CD8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sz w:val="21"/>
                <w:szCs w:val="21"/>
                <w:highlight w:val="none"/>
              </w:rPr>
            </w:pPr>
            <w:r>
              <w:rPr>
                <w:rFonts w:hint="default" w:ascii="Times New Roman" w:hAnsi="Times New Roman" w:eastAsia="Times New Roman" w:cs="Times New Roman"/>
                <w:color w:val="auto"/>
                <w:sz w:val="21"/>
                <w:szCs w:val="21"/>
                <w:highlight w:val="none"/>
              </w:rPr>
              <w:t>基础减振+厂房隔声</w:t>
            </w:r>
          </w:p>
        </w:tc>
        <w:tc>
          <w:tcPr>
            <w:tcW w:w="1707" w:type="pct"/>
            <w:noWrap w:val="0"/>
            <w:vAlign w:val="center"/>
          </w:tcPr>
          <w:p w14:paraId="46B352EC">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Times New Roman" w:cs="Times New Roman"/>
                <w:color w:val="auto"/>
                <w:sz w:val="21"/>
                <w:szCs w:val="21"/>
                <w:highlight w:val="none"/>
              </w:rPr>
              <w:t>《工业企业厂界环境噪声排放标准》（GB12348-2008）</w:t>
            </w:r>
            <w:r>
              <w:rPr>
                <w:rFonts w:hint="eastAsia" w:eastAsia="宋体" w:cs="Times New Roman"/>
                <w:color w:val="auto"/>
                <w:sz w:val="21"/>
                <w:szCs w:val="21"/>
                <w:highlight w:val="none"/>
                <w:lang w:val="en-US" w:eastAsia="zh-CN"/>
              </w:rPr>
              <w:t>3类</w:t>
            </w:r>
          </w:p>
        </w:tc>
      </w:tr>
      <w:tr w14:paraId="5800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2" w:type="pct"/>
            <w:vMerge w:val="restart"/>
            <w:noWrap w:val="0"/>
            <w:vAlign w:val="center"/>
          </w:tcPr>
          <w:p w14:paraId="3F2F3CF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固体废物</w:t>
            </w:r>
          </w:p>
        </w:tc>
        <w:tc>
          <w:tcPr>
            <w:tcW w:w="706" w:type="pct"/>
            <w:noWrap w:val="0"/>
            <w:vAlign w:val="center"/>
          </w:tcPr>
          <w:p w14:paraId="5BCD6C7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原辅料使用</w:t>
            </w:r>
          </w:p>
        </w:tc>
        <w:tc>
          <w:tcPr>
            <w:tcW w:w="748" w:type="pct"/>
            <w:noWrap w:val="0"/>
            <w:vAlign w:val="center"/>
          </w:tcPr>
          <w:p w14:paraId="4F8CA61D">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eastAsia="Times New Roman" w:cs="Times New Roman"/>
                <w:color w:val="auto"/>
                <w:sz w:val="21"/>
                <w:szCs w:val="21"/>
                <w:highlight w:val="none"/>
              </w:rPr>
              <w:t>废包装</w:t>
            </w:r>
            <w:r>
              <w:rPr>
                <w:rFonts w:hint="eastAsia" w:eastAsia="宋体" w:cs="Times New Roman"/>
                <w:color w:val="auto"/>
                <w:sz w:val="21"/>
                <w:szCs w:val="21"/>
                <w:highlight w:val="none"/>
                <w:lang w:eastAsia="zh-CN"/>
              </w:rPr>
              <w:t>物</w:t>
            </w:r>
          </w:p>
        </w:tc>
        <w:tc>
          <w:tcPr>
            <w:tcW w:w="1366" w:type="pct"/>
            <w:gridSpan w:val="2"/>
            <w:vMerge w:val="restart"/>
            <w:noWrap w:val="0"/>
            <w:vAlign w:val="center"/>
          </w:tcPr>
          <w:p w14:paraId="7D362EA5">
            <w:pPr>
              <w:keepNext w:val="0"/>
              <w:keepLines w:val="0"/>
              <w:suppressLineNumbers w:val="0"/>
              <w:adjustRightInd w:val="0"/>
              <w:snapToGrid w:val="0"/>
              <w:spacing w:before="0" w:beforeAutospacing="0" w:after="0" w:afterAutospacing="0"/>
              <w:ind w:left="0" w:right="0"/>
              <w:jc w:val="center"/>
              <w:rPr>
                <w:rFonts w:hint="eastAsia" w:eastAsia="宋体" w:cs="Times New Roman"/>
                <w:color w:val="auto"/>
                <w:sz w:val="21"/>
                <w:szCs w:val="21"/>
                <w:highlight w:val="none"/>
                <w:lang w:eastAsia="zh-CN"/>
              </w:rPr>
            </w:pPr>
            <w:r>
              <w:rPr>
                <w:rFonts w:hint="eastAsia" w:cs="Times New Roman"/>
                <w:color w:val="auto"/>
                <w:sz w:val="21"/>
                <w:szCs w:val="21"/>
                <w:highlight w:val="none"/>
                <w:lang w:val="en-US" w:eastAsia="zh-CN"/>
              </w:rPr>
              <w:t>1座5m</w:t>
            </w:r>
            <w:r>
              <w:rPr>
                <w:rFonts w:hint="eastAsia" w:cs="Times New Roman"/>
                <w:color w:val="auto"/>
                <w:sz w:val="21"/>
                <w:szCs w:val="21"/>
                <w:highlight w:val="none"/>
                <w:vertAlign w:val="superscript"/>
                <w:lang w:val="en-US" w:eastAsia="zh-CN"/>
              </w:rPr>
              <w:t>2</w:t>
            </w:r>
            <w:r>
              <w:rPr>
                <w:rFonts w:hint="eastAsia" w:cs="Times New Roman"/>
                <w:color w:val="auto"/>
                <w:sz w:val="21"/>
                <w:szCs w:val="21"/>
                <w:highlight w:val="none"/>
                <w:lang w:val="en-US" w:eastAsia="zh-CN"/>
              </w:rPr>
              <w:t>一般固废间暂存，外售综合利用</w:t>
            </w:r>
          </w:p>
        </w:tc>
        <w:tc>
          <w:tcPr>
            <w:tcW w:w="1707" w:type="pct"/>
            <w:vMerge w:val="restart"/>
            <w:noWrap w:val="0"/>
            <w:vAlign w:val="center"/>
          </w:tcPr>
          <w:p w14:paraId="007F44D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sz w:val="21"/>
                <w:szCs w:val="21"/>
                <w:highlight w:val="none"/>
              </w:rPr>
            </w:pPr>
            <w:r>
              <w:rPr>
                <w:rFonts w:hint="default" w:ascii="Times New Roman" w:hAnsi="Times New Roman" w:eastAsia="Times New Roman" w:cs="Times New Roman"/>
                <w:color w:val="auto"/>
                <w:sz w:val="21"/>
                <w:szCs w:val="21"/>
                <w:highlight w:val="none"/>
              </w:rPr>
              <w:t>《一般工业固体废物贮存和填埋污染控制标准》（GB18599-2020）</w:t>
            </w:r>
          </w:p>
        </w:tc>
      </w:tr>
      <w:tr w14:paraId="55FD5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2" w:type="pct"/>
            <w:vMerge w:val="continue"/>
            <w:noWrap w:val="0"/>
            <w:vAlign w:val="center"/>
          </w:tcPr>
          <w:p w14:paraId="7B21CF4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06" w:type="pct"/>
            <w:vMerge w:val="restart"/>
            <w:noWrap w:val="0"/>
            <w:vAlign w:val="center"/>
          </w:tcPr>
          <w:p w14:paraId="3A52DDA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生产过程</w:t>
            </w:r>
          </w:p>
        </w:tc>
        <w:tc>
          <w:tcPr>
            <w:tcW w:w="748" w:type="pct"/>
            <w:noWrap w:val="0"/>
            <w:vAlign w:val="center"/>
          </w:tcPr>
          <w:p w14:paraId="6B762914">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eastAsia="zh-CN"/>
              </w:rPr>
            </w:pPr>
            <w:r>
              <w:rPr>
                <w:rFonts w:hint="eastAsia" w:eastAsia="Times New Roman" w:cs="Times New Roman"/>
                <w:color w:val="auto"/>
                <w:sz w:val="21"/>
                <w:szCs w:val="21"/>
                <w:highlight w:val="none"/>
                <w:lang w:val="en-US" w:eastAsia="zh-CN"/>
              </w:rPr>
              <w:t>废过滤器</w:t>
            </w:r>
          </w:p>
        </w:tc>
        <w:tc>
          <w:tcPr>
            <w:tcW w:w="1366" w:type="pct"/>
            <w:gridSpan w:val="2"/>
            <w:vMerge w:val="continue"/>
            <w:noWrap w:val="0"/>
            <w:vAlign w:val="center"/>
          </w:tcPr>
          <w:p w14:paraId="0EFA8126">
            <w:pPr>
              <w:keepNext w:val="0"/>
              <w:keepLines w:val="0"/>
              <w:suppressLineNumbers w:val="0"/>
              <w:adjustRightInd w:val="0"/>
              <w:snapToGrid w:val="0"/>
              <w:spacing w:before="0" w:beforeAutospacing="0" w:after="0" w:afterAutospacing="0"/>
              <w:ind w:left="0" w:right="0"/>
              <w:jc w:val="center"/>
              <w:rPr>
                <w:rFonts w:hint="eastAsia" w:eastAsia="宋体" w:cs="Times New Roman"/>
                <w:color w:val="auto"/>
                <w:sz w:val="21"/>
                <w:szCs w:val="21"/>
                <w:highlight w:val="none"/>
                <w:lang w:eastAsia="zh-CN"/>
              </w:rPr>
            </w:pPr>
          </w:p>
        </w:tc>
        <w:tc>
          <w:tcPr>
            <w:tcW w:w="1707" w:type="pct"/>
            <w:vMerge w:val="continue"/>
            <w:noWrap w:val="0"/>
            <w:vAlign w:val="center"/>
          </w:tcPr>
          <w:p w14:paraId="33B6EAD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sz w:val="21"/>
                <w:szCs w:val="21"/>
                <w:highlight w:val="none"/>
              </w:rPr>
            </w:pPr>
          </w:p>
        </w:tc>
      </w:tr>
      <w:tr w14:paraId="5D72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2" w:type="pct"/>
            <w:vMerge w:val="continue"/>
            <w:noWrap w:val="0"/>
            <w:vAlign w:val="center"/>
          </w:tcPr>
          <w:p w14:paraId="43E2BF2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06" w:type="pct"/>
            <w:vMerge w:val="continue"/>
            <w:noWrap w:val="0"/>
            <w:vAlign w:val="center"/>
          </w:tcPr>
          <w:p w14:paraId="7858C1A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48" w:type="pct"/>
            <w:noWrap w:val="0"/>
            <w:vAlign w:val="center"/>
          </w:tcPr>
          <w:p w14:paraId="2318149E">
            <w:pPr>
              <w:keepNext w:val="0"/>
              <w:keepLines w:val="0"/>
              <w:suppressLineNumbers w:val="0"/>
              <w:adjustRightInd w:val="0"/>
              <w:snapToGrid w:val="0"/>
              <w:spacing w:before="0" w:beforeAutospacing="0" w:after="0" w:afterAutospacing="0"/>
              <w:ind w:left="0" w:right="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废油脂</w:t>
            </w:r>
          </w:p>
        </w:tc>
        <w:tc>
          <w:tcPr>
            <w:tcW w:w="1366" w:type="pct"/>
            <w:gridSpan w:val="2"/>
            <w:noWrap w:val="0"/>
            <w:vAlign w:val="center"/>
          </w:tcPr>
          <w:p w14:paraId="2217E792">
            <w:pPr>
              <w:keepNext w:val="0"/>
              <w:keepLines w:val="0"/>
              <w:suppressLineNumbers w:val="0"/>
              <w:adjustRightInd w:val="0"/>
              <w:snapToGrid w:val="0"/>
              <w:spacing w:before="0" w:beforeAutospacing="0" w:after="0" w:afterAutospacing="0"/>
              <w:ind w:left="0" w:right="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1座5m</w:t>
            </w:r>
            <w:r>
              <w:rPr>
                <w:rFonts w:hint="eastAsia" w:cs="Times New Roman"/>
                <w:color w:val="auto"/>
                <w:sz w:val="21"/>
                <w:szCs w:val="21"/>
                <w:highlight w:val="none"/>
                <w:vertAlign w:val="superscript"/>
                <w:lang w:val="en-US" w:eastAsia="zh-CN"/>
              </w:rPr>
              <w:t>2</w:t>
            </w:r>
            <w:r>
              <w:rPr>
                <w:rFonts w:hint="eastAsia" w:cs="Times New Roman"/>
                <w:color w:val="auto"/>
                <w:sz w:val="21"/>
                <w:szCs w:val="21"/>
                <w:highlight w:val="none"/>
                <w:lang w:val="en-US" w:eastAsia="zh-CN"/>
              </w:rPr>
              <w:t>一般固废间暂存，市政部门收运处置。</w:t>
            </w:r>
          </w:p>
        </w:tc>
        <w:tc>
          <w:tcPr>
            <w:tcW w:w="1707" w:type="pct"/>
            <w:vMerge w:val="continue"/>
            <w:noWrap w:val="0"/>
            <w:vAlign w:val="center"/>
          </w:tcPr>
          <w:p w14:paraId="068791F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sz w:val="21"/>
                <w:szCs w:val="21"/>
                <w:highlight w:val="none"/>
              </w:rPr>
            </w:pPr>
          </w:p>
        </w:tc>
      </w:tr>
      <w:tr w14:paraId="1102F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2" w:type="pct"/>
            <w:vMerge w:val="continue"/>
            <w:noWrap w:val="0"/>
            <w:vAlign w:val="center"/>
          </w:tcPr>
          <w:p w14:paraId="627A38E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06" w:type="pct"/>
            <w:vMerge w:val="continue"/>
            <w:noWrap w:val="0"/>
            <w:vAlign w:val="center"/>
          </w:tcPr>
          <w:p w14:paraId="23EB5F1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748" w:type="pct"/>
            <w:noWrap w:val="0"/>
            <w:vAlign w:val="center"/>
          </w:tcPr>
          <w:p w14:paraId="1A9F1E02">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边角料、不合格产品</w:t>
            </w:r>
          </w:p>
        </w:tc>
        <w:tc>
          <w:tcPr>
            <w:tcW w:w="1366" w:type="pct"/>
            <w:gridSpan w:val="2"/>
            <w:noWrap w:val="0"/>
            <w:vAlign w:val="center"/>
          </w:tcPr>
          <w:p w14:paraId="620C66F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sz w:val="21"/>
                <w:szCs w:val="21"/>
                <w:highlight w:val="none"/>
              </w:rPr>
            </w:pPr>
            <w:r>
              <w:rPr>
                <w:rFonts w:hint="eastAsia" w:eastAsia="宋体" w:cs="Times New Roman"/>
                <w:color w:val="auto"/>
                <w:sz w:val="21"/>
                <w:szCs w:val="21"/>
                <w:highlight w:val="none"/>
                <w:lang w:eastAsia="zh-CN"/>
              </w:rPr>
              <w:t>收集后回用于生产</w:t>
            </w:r>
          </w:p>
        </w:tc>
        <w:tc>
          <w:tcPr>
            <w:tcW w:w="1707" w:type="pct"/>
            <w:vMerge w:val="continue"/>
            <w:noWrap w:val="0"/>
            <w:vAlign w:val="center"/>
          </w:tcPr>
          <w:p w14:paraId="14526C5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sz w:val="21"/>
                <w:szCs w:val="21"/>
                <w:highlight w:val="none"/>
              </w:rPr>
            </w:pPr>
          </w:p>
        </w:tc>
      </w:tr>
      <w:tr w14:paraId="5B8C1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2" w:type="pct"/>
            <w:vMerge w:val="continue"/>
            <w:noWrap w:val="0"/>
            <w:vAlign w:val="center"/>
          </w:tcPr>
          <w:p w14:paraId="36F43A8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06" w:type="pct"/>
            <w:noWrap w:val="0"/>
            <w:vAlign w:val="center"/>
          </w:tcPr>
          <w:p w14:paraId="38D94E1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职工生活</w:t>
            </w:r>
          </w:p>
        </w:tc>
        <w:tc>
          <w:tcPr>
            <w:tcW w:w="748" w:type="pct"/>
            <w:noWrap w:val="0"/>
            <w:vAlign w:val="center"/>
          </w:tcPr>
          <w:p w14:paraId="36FCAA3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sz w:val="21"/>
                <w:szCs w:val="21"/>
                <w:highlight w:val="none"/>
              </w:rPr>
            </w:pPr>
            <w:r>
              <w:rPr>
                <w:rFonts w:hint="default" w:ascii="Times New Roman" w:hAnsi="Times New Roman" w:eastAsia="Times New Roman" w:cs="Times New Roman"/>
                <w:color w:val="auto"/>
                <w:sz w:val="21"/>
                <w:szCs w:val="21"/>
                <w:highlight w:val="none"/>
              </w:rPr>
              <w:t>生活垃圾</w:t>
            </w:r>
          </w:p>
        </w:tc>
        <w:tc>
          <w:tcPr>
            <w:tcW w:w="1366" w:type="pct"/>
            <w:gridSpan w:val="2"/>
            <w:noWrap w:val="0"/>
            <w:vAlign w:val="center"/>
          </w:tcPr>
          <w:p w14:paraId="5244BA4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sz w:val="21"/>
                <w:szCs w:val="21"/>
                <w:highlight w:val="none"/>
              </w:rPr>
            </w:pPr>
            <w:r>
              <w:rPr>
                <w:rFonts w:hint="default" w:ascii="Times New Roman" w:hAnsi="Times New Roman" w:eastAsia="Times New Roman" w:cs="Times New Roman"/>
                <w:color w:val="auto"/>
                <w:sz w:val="21"/>
                <w:szCs w:val="21"/>
                <w:highlight w:val="none"/>
              </w:rPr>
              <w:t>垃圾箱收集后，由环卫部门定期清运。</w:t>
            </w:r>
          </w:p>
        </w:tc>
        <w:tc>
          <w:tcPr>
            <w:tcW w:w="1707" w:type="pct"/>
            <w:noWrap w:val="0"/>
            <w:vAlign w:val="center"/>
          </w:tcPr>
          <w:p w14:paraId="341033B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Times New Roman" w:cs="Times New Roman"/>
                <w:color w:val="auto"/>
                <w:sz w:val="21"/>
                <w:szCs w:val="21"/>
                <w:highlight w:val="none"/>
                <w:lang w:val="en-US" w:eastAsia="zh-CN"/>
              </w:rPr>
              <w:t>/</w:t>
            </w:r>
          </w:p>
        </w:tc>
      </w:tr>
      <w:tr w14:paraId="0DFE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2" w:type="pct"/>
            <w:vMerge w:val="continue"/>
            <w:noWrap w:val="0"/>
            <w:vAlign w:val="center"/>
          </w:tcPr>
          <w:p w14:paraId="1A64315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06" w:type="pct"/>
            <w:noWrap w:val="0"/>
            <w:vAlign w:val="center"/>
          </w:tcPr>
          <w:p w14:paraId="123879B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设备运行</w:t>
            </w:r>
          </w:p>
        </w:tc>
        <w:tc>
          <w:tcPr>
            <w:tcW w:w="748" w:type="pct"/>
            <w:noWrap w:val="0"/>
            <w:vAlign w:val="center"/>
          </w:tcPr>
          <w:p w14:paraId="7B1B31C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sz w:val="21"/>
                <w:szCs w:val="21"/>
                <w:highlight w:val="none"/>
              </w:rPr>
            </w:pPr>
            <w:r>
              <w:rPr>
                <w:rFonts w:hint="default" w:ascii="Times New Roman" w:hAnsi="Times New Roman" w:eastAsia="Times New Roman" w:cs="Times New Roman"/>
                <w:color w:val="auto"/>
                <w:sz w:val="21"/>
                <w:szCs w:val="21"/>
                <w:highlight w:val="none"/>
              </w:rPr>
              <w:t>废润滑油桶</w:t>
            </w:r>
          </w:p>
        </w:tc>
        <w:tc>
          <w:tcPr>
            <w:tcW w:w="1366" w:type="pct"/>
            <w:gridSpan w:val="2"/>
            <w:vMerge w:val="restart"/>
            <w:noWrap w:val="0"/>
            <w:vAlign w:val="center"/>
          </w:tcPr>
          <w:p w14:paraId="5AA03E7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sz w:val="21"/>
                <w:szCs w:val="21"/>
                <w:highlight w:val="none"/>
              </w:rPr>
            </w:pPr>
            <w:r>
              <w:rPr>
                <w:rFonts w:hint="eastAsia" w:eastAsia="宋体" w:cs="Times New Roman"/>
                <w:color w:val="auto"/>
                <w:sz w:val="21"/>
                <w:szCs w:val="21"/>
                <w:highlight w:val="none"/>
                <w:lang w:val="en-US" w:eastAsia="zh-CN"/>
              </w:rPr>
              <w:t>1</w:t>
            </w:r>
            <w:r>
              <w:rPr>
                <w:rFonts w:hint="default" w:ascii="Times New Roman" w:hAnsi="Times New Roman" w:eastAsia="Times New Roman" w:cs="Times New Roman"/>
                <w:color w:val="auto"/>
                <w:sz w:val="21"/>
                <w:szCs w:val="21"/>
                <w:highlight w:val="none"/>
              </w:rPr>
              <w:t>座</w:t>
            </w:r>
            <w:r>
              <w:rPr>
                <w:rFonts w:hint="eastAsia" w:eastAsia="宋体" w:cs="Times New Roman"/>
                <w:color w:val="auto"/>
                <w:sz w:val="21"/>
                <w:szCs w:val="21"/>
                <w:highlight w:val="none"/>
                <w:lang w:val="en-US" w:eastAsia="zh-CN"/>
              </w:rPr>
              <w:t>5</w:t>
            </w:r>
            <w:r>
              <w:rPr>
                <w:rFonts w:hint="default" w:ascii="Times New Roman" w:hAnsi="Times New Roman" w:eastAsia="Times New Roman" w:cs="Times New Roman"/>
                <w:color w:val="auto"/>
                <w:sz w:val="21"/>
                <w:szCs w:val="21"/>
                <w:highlight w:val="none"/>
              </w:rPr>
              <w:t>m</w:t>
            </w:r>
            <w:r>
              <w:rPr>
                <w:rFonts w:hint="default" w:ascii="Times New Roman" w:hAnsi="Times New Roman" w:eastAsia="Times New Roman" w:cs="Times New Roman"/>
                <w:color w:val="auto"/>
                <w:sz w:val="21"/>
                <w:szCs w:val="21"/>
                <w:highlight w:val="none"/>
                <w:vertAlign w:val="superscript"/>
              </w:rPr>
              <w:t>2</w:t>
            </w:r>
            <w:r>
              <w:rPr>
                <w:rFonts w:hint="default" w:ascii="Times New Roman" w:hAnsi="Times New Roman" w:eastAsia="Times New Roman" w:cs="Times New Roman"/>
                <w:color w:val="auto"/>
                <w:sz w:val="21"/>
                <w:szCs w:val="21"/>
                <w:highlight w:val="none"/>
              </w:rPr>
              <w:t>危废间暂存，定期交</w:t>
            </w:r>
            <w:r>
              <w:rPr>
                <w:rFonts w:hint="default" w:ascii="Times New Roman" w:hAnsi="Times New Roman" w:eastAsia="Times New Roman" w:cs="Times New Roman"/>
                <w:color w:val="auto"/>
                <w:kern w:val="0"/>
                <w:sz w:val="21"/>
                <w:szCs w:val="21"/>
                <w:highlight w:val="none"/>
              </w:rPr>
              <w:t>有资质单位处置</w:t>
            </w:r>
            <w:r>
              <w:rPr>
                <w:rFonts w:hint="default" w:ascii="Times New Roman" w:hAnsi="Times New Roman" w:eastAsia="Times New Roman" w:cs="Times New Roman"/>
                <w:color w:val="auto"/>
                <w:sz w:val="21"/>
                <w:szCs w:val="21"/>
                <w:highlight w:val="none"/>
              </w:rPr>
              <w:t>。</w:t>
            </w:r>
          </w:p>
        </w:tc>
        <w:tc>
          <w:tcPr>
            <w:tcW w:w="1707" w:type="pct"/>
            <w:vMerge w:val="restart"/>
            <w:noWrap w:val="0"/>
            <w:vAlign w:val="center"/>
          </w:tcPr>
          <w:p w14:paraId="081800C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auto"/>
                <w:sz w:val="21"/>
                <w:szCs w:val="21"/>
                <w:highlight w:val="none"/>
              </w:rPr>
            </w:pPr>
            <w:r>
              <w:rPr>
                <w:rFonts w:hint="default" w:ascii="Times New Roman" w:hAnsi="Times New Roman" w:eastAsia="Times New Roman" w:cs="Times New Roman"/>
                <w:color w:val="auto"/>
                <w:sz w:val="21"/>
                <w:szCs w:val="21"/>
                <w:highlight w:val="none"/>
              </w:rPr>
              <w:t>《危险废物贮存污染控制标准》（GB18597-20</w:t>
            </w:r>
            <w:r>
              <w:rPr>
                <w:rFonts w:hint="default" w:ascii="Times New Roman" w:hAnsi="Times New Roman" w:eastAsia="Times New Roman" w:cs="Times New Roman"/>
                <w:color w:val="auto"/>
                <w:sz w:val="21"/>
                <w:szCs w:val="21"/>
                <w:highlight w:val="none"/>
                <w:lang w:val="en-US" w:eastAsia="zh-CN"/>
              </w:rPr>
              <w:t>23</w:t>
            </w:r>
            <w:r>
              <w:rPr>
                <w:rFonts w:hint="default" w:ascii="Times New Roman" w:hAnsi="Times New Roman" w:eastAsia="Times New Roman" w:cs="Times New Roman"/>
                <w:color w:val="auto"/>
                <w:sz w:val="21"/>
                <w:szCs w:val="21"/>
                <w:highlight w:val="none"/>
              </w:rPr>
              <w:t>）</w:t>
            </w:r>
          </w:p>
        </w:tc>
      </w:tr>
      <w:tr w14:paraId="55DBA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72" w:type="pct"/>
            <w:vMerge w:val="continue"/>
            <w:noWrap w:val="0"/>
            <w:vAlign w:val="center"/>
          </w:tcPr>
          <w:p w14:paraId="612CF61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06" w:type="pct"/>
            <w:vMerge w:val="restart"/>
            <w:noWrap w:val="0"/>
            <w:vAlign w:val="center"/>
          </w:tcPr>
          <w:p w14:paraId="3362BB5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废气污染治理设施</w:t>
            </w:r>
          </w:p>
        </w:tc>
        <w:tc>
          <w:tcPr>
            <w:tcW w:w="748" w:type="pct"/>
            <w:noWrap w:val="0"/>
            <w:vAlign w:val="center"/>
          </w:tcPr>
          <w:p w14:paraId="2D80FAC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t>废活性炭</w:t>
            </w:r>
          </w:p>
        </w:tc>
        <w:tc>
          <w:tcPr>
            <w:tcW w:w="1366" w:type="pct"/>
            <w:gridSpan w:val="2"/>
            <w:vMerge w:val="continue"/>
            <w:noWrap w:val="0"/>
            <w:vAlign w:val="center"/>
          </w:tcPr>
          <w:p w14:paraId="1B3D404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1707" w:type="pct"/>
            <w:vMerge w:val="continue"/>
            <w:noWrap w:val="0"/>
            <w:vAlign w:val="center"/>
          </w:tcPr>
          <w:p w14:paraId="35E98D8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r>
      <w:tr w14:paraId="4ADF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472" w:type="pct"/>
            <w:vMerge w:val="continue"/>
            <w:noWrap w:val="0"/>
            <w:vAlign w:val="center"/>
          </w:tcPr>
          <w:p w14:paraId="1F18D1B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06" w:type="pct"/>
            <w:vMerge w:val="continue"/>
            <w:noWrap w:val="0"/>
            <w:vAlign w:val="center"/>
          </w:tcPr>
          <w:p w14:paraId="259EBB5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c>
          <w:tcPr>
            <w:tcW w:w="748" w:type="pct"/>
            <w:noWrap w:val="0"/>
            <w:vAlign w:val="center"/>
          </w:tcPr>
          <w:p w14:paraId="5D8B99B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废催化剂</w:t>
            </w:r>
          </w:p>
        </w:tc>
        <w:tc>
          <w:tcPr>
            <w:tcW w:w="1366" w:type="pct"/>
            <w:gridSpan w:val="2"/>
            <w:vMerge w:val="continue"/>
            <w:noWrap w:val="0"/>
            <w:vAlign w:val="center"/>
          </w:tcPr>
          <w:p w14:paraId="1BC2C367">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707" w:type="pct"/>
            <w:vMerge w:val="continue"/>
            <w:noWrap w:val="0"/>
            <w:vAlign w:val="center"/>
          </w:tcPr>
          <w:p w14:paraId="72A7C42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tc>
      </w:tr>
      <w:tr w14:paraId="0E2E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1" w:hRule="atLeast"/>
          <w:jc w:val="center"/>
        </w:trPr>
        <w:tc>
          <w:tcPr>
            <w:tcW w:w="472" w:type="pct"/>
            <w:noWrap w:val="0"/>
            <w:vAlign w:val="center"/>
          </w:tcPr>
          <w:p w14:paraId="092007B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土壤及地下水污染防治措施</w:t>
            </w:r>
          </w:p>
        </w:tc>
        <w:tc>
          <w:tcPr>
            <w:tcW w:w="4527" w:type="pct"/>
            <w:gridSpan w:val="5"/>
            <w:noWrap w:val="0"/>
            <w:vAlign w:val="center"/>
          </w:tcPr>
          <w:p w14:paraId="60FF9D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本项目</w:t>
            </w:r>
            <w:r>
              <w:rPr>
                <w:rFonts w:hint="eastAsia" w:eastAsia="宋体" w:cs="Times New Roman"/>
                <w:color w:val="000000" w:themeColor="text1"/>
                <w:sz w:val="21"/>
                <w:szCs w:val="21"/>
                <w:highlight w:val="none"/>
                <w:lang w:eastAsia="zh-CN"/>
                <w14:textFill>
                  <w14:solidFill>
                    <w14:schemeClr w14:val="tx1"/>
                  </w14:solidFill>
                </w14:textFill>
              </w:rPr>
              <w:t>生产厂房</w:t>
            </w:r>
            <w:r>
              <w:rPr>
                <w:rFonts w:hint="default" w:ascii="Times New Roman" w:hAnsi="Times New Roman" w:eastAsia="Times New Roman" w:cs="Times New Roman"/>
                <w:color w:val="000000" w:themeColor="text1"/>
                <w:sz w:val="21"/>
                <w:szCs w:val="21"/>
                <w:highlight w:val="none"/>
                <w14:textFill>
                  <w14:solidFill>
                    <w14:schemeClr w14:val="tx1"/>
                  </w14:solidFill>
                </w14:textFill>
              </w:rPr>
              <w:t>地面已全部硬化</w:t>
            </w:r>
            <w:r>
              <w:rPr>
                <w:rFonts w:hint="eastAsia" w:eastAsia="宋体" w:cs="Times New Roman"/>
                <w:color w:val="000000" w:themeColor="text1"/>
                <w:sz w:val="21"/>
                <w:szCs w:val="21"/>
                <w:highlight w:val="none"/>
                <w:lang w:eastAsia="zh-CN"/>
                <w14:textFill>
                  <w14:solidFill>
                    <w14:schemeClr w14:val="tx1"/>
                  </w14:solidFill>
                </w14:textFill>
              </w:rPr>
              <w:t>，原料、成品仓库建成后全部硬化</w:t>
            </w:r>
            <w:r>
              <w:rPr>
                <w:rFonts w:hint="default" w:ascii="Times New Roman" w:hAnsi="Times New Roman" w:eastAsia="Times New Roman" w:cs="Times New Roman"/>
                <w:color w:val="000000" w:themeColor="text1"/>
                <w:sz w:val="21"/>
                <w:szCs w:val="21"/>
                <w:highlight w:val="none"/>
                <w14:textFill>
                  <w14:solidFill>
                    <w14:schemeClr w14:val="tx1"/>
                  </w14:solidFill>
                </w14:textFill>
              </w:rPr>
              <w:t>，运营期加强环保设施维护，规范生产操作，项目对地下水及土壤的影响可忽略不计。</w:t>
            </w:r>
          </w:p>
        </w:tc>
      </w:tr>
      <w:tr w14:paraId="3261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jc w:val="center"/>
        </w:trPr>
        <w:tc>
          <w:tcPr>
            <w:tcW w:w="472" w:type="pct"/>
            <w:noWrap w:val="0"/>
            <w:vAlign w:val="center"/>
          </w:tcPr>
          <w:p w14:paraId="0B74738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生态保护措施</w:t>
            </w:r>
          </w:p>
        </w:tc>
        <w:tc>
          <w:tcPr>
            <w:tcW w:w="4527" w:type="pct"/>
            <w:gridSpan w:val="5"/>
            <w:noWrap w:val="0"/>
            <w:vAlign w:val="center"/>
          </w:tcPr>
          <w:p w14:paraId="24522DEA">
            <w:pPr>
              <w:keepNext w:val="0"/>
              <w:keepLines w:val="0"/>
              <w:suppressLineNumbers w:val="0"/>
              <w:spacing w:before="0" w:beforeAutospacing="0" w:after="0" w:afterAutospacing="0"/>
              <w:ind w:left="0" w:right="0"/>
              <w:rPr>
                <w:rFonts w:hint="default"/>
              </w:rPr>
            </w:pPr>
          </w:p>
          <w:p w14:paraId="62EF5C52">
            <w:pPr>
              <w:keepNext w:val="0"/>
              <w:keepLines w:val="0"/>
              <w:suppressLineNumbers w:val="0"/>
              <w:spacing w:before="0" w:beforeAutospacing="0" w:after="0" w:afterAutospacing="0"/>
              <w:ind w:left="0" w:right="0"/>
              <w:rPr>
                <w:rFonts w:hint="default"/>
              </w:rPr>
            </w:pPr>
          </w:p>
          <w:p w14:paraId="5214BC36">
            <w:pPr>
              <w:keepNext w:val="0"/>
              <w:keepLines w:val="0"/>
              <w:suppressLineNumbers w:val="0"/>
              <w:spacing w:before="0" w:beforeAutospacing="0" w:after="0" w:afterAutospacing="0"/>
              <w:ind w:left="0" w:right="0"/>
              <w:rPr>
                <w:rFonts w:hint="default"/>
              </w:rPr>
            </w:pPr>
          </w:p>
          <w:p w14:paraId="6EFD0D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Times New Roman" w:cs="Times New Roman"/>
                <w:color w:val="000000" w:themeColor="text1"/>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项目位于</w:t>
            </w:r>
            <w:r>
              <w:rPr>
                <w:rFonts w:hint="eastAsia" w:eastAsia="宋体" w:cs="Times New Roman"/>
                <w:color w:val="000000" w:themeColor="text1"/>
                <w:sz w:val="21"/>
                <w:szCs w:val="21"/>
                <w:highlight w:val="none"/>
                <w:lang w:eastAsia="zh-CN"/>
                <w14:textFill>
                  <w14:solidFill>
                    <w14:schemeClr w14:val="tx1"/>
                  </w14:solidFill>
                </w14:textFill>
              </w:rPr>
              <w:t>汤阴县品众大道</w:t>
            </w:r>
            <w:r>
              <w:rPr>
                <w:rFonts w:hint="default" w:ascii="Times New Roman" w:hAnsi="Times New Roman" w:eastAsia="Times New Roman" w:cs="Times New Roman"/>
                <w:b w:val="0"/>
                <w:bCs w:val="0"/>
                <w:color w:val="000000" w:themeColor="text1"/>
                <w:sz w:val="21"/>
                <w:szCs w:val="21"/>
                <w:highlight w:val="none"/>
                <w:u w:val="none"/>
                <w14:textFill>
                  <w14:solidFill>
                    <w14:schemeClr w14:val="tx1"/>
                  </w14:solidFill>
                </w14:textFill>
              </w:rPr>
              <w:t>，</w:t>
            </w:r>
            <w:r>
              <w:rPr>
                <w:rFonts w:hint="default" w:ascii="Times New Roman" w:hAnsi="Times New Roman" w:eastAsia="Times New Roman" w:cs="Times New Roman"/>
                <w:color w:val="000000" w:themeColor="text1"/>
                <w:sz w:val="21"/>
                <w:szCs w:val="21"/>
                <w:highlight w:val="none"/>
                <w14:textFill>
                  <w14:solidFill>
                    <w14:schemeClr w14:val="tx1"/>
                  </w14:solidFill>
                </w14:textFill>
              </w:rPr>
              <w:t>属于产业园区范围。项目用地范围内无生态环境保护目标。</w:t>
            </w:r>
          </w:p>
        </w:tc>
      </w:tr>
      <w:tr w14:paraId="41D0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1" w:hRule="atLeast"/>
          <w:jc w:val="center"/>
        </w:trPr>
        <w:tc>
          <w:tcPr>
            <w:tcW w:w="472" w:type="pct"/>
            <w:noWrap w:val="0"/>
            <w:vAlign w:val="center"/>
          </w:tcPr>
          <w:p w14:paraId="2658C8C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pacing w:val="-8"/>
                <w:sz w:val="21"/>
                <w:szCs w:val="21"/>
                <w:highlight w:val="none"/>
                <w14:textFill>
                  <w14:solidFill>
                    <w14:schemeClr w14:val="tx1"/>
                  </w14:solidFill>
                </w14:textFill>
              </w:rPr>
            </w:pPr>
            <w:r>
              <w:rPr>
                <w:rFonts w:hint="default" w:ascii="Times New Roman" w:hAnsi="Times New Roman" w:eastAsia="Times New Roman" w:cs="Times New Roman"/>
                <w:color w:val="000000" w:themeColor="text1"/>
                <w:spacing w:val="-8"/>
                <w:sz w:val="21"/>
                <w:szCs w:val="21"/>
                <w:highlight w:val="none"/>
                <w14:textFill>
                  <w14:solidFill>
                    <w14:schemeClr w14:val="tx1"/>
                  </w14:solidFill>
                </w14:textFill>
              </w:rPr>
              <w:t>环境风险防范措施</w:t>
            </w:r>
          </w:p>
        </w:tc>
        <w:tc>
          <w:tcPr>
            <w:tcW w:w="4527" w:type="pct"/>
            <w:gridSpan w:val="5"/>
            <w:noWrap w:val="0"/>
            <w:vAlign w:val="center"/>
          </w:tcPr>
          <w:p w14:paraId="3CF29B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Times New Roman" w:cs="Times New Roman"/>
                <w:color w:val="000000" w:themeColor="text1"/>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危险废物在厂内贮存时严格按照《危险废物贮存污染控制标准》（GB 18597-2023）中的相关要求设置危险废物暂存场所和危险废物警示，具体要求如下：</w:t>
            </w:r>
          </w:p>
          <w:p w14:paraId="4C1539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Times New Roman" w:cs="Times New Roman"/>
                <w:color w:val="000000" w:themeColor="text1"/>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①项目产生的危险废物必须使用专用贮存容器或场所存放，危险废物禁止混入一般工业固体废物中；</w:t>
            </w:r>
          </w:p>
          <w:p w14:paraId="327778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Times New Roman" w:cs="Times New Roman"/>
                <w:color w:val="000000" w:themeColor="text1"/>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②危废贮存容器及场所设置明显警示标志，周围设置防护栏；</w:t>
            </w:r>
          </w:p>
          <w:p w14:paraId="1D8E6A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Times New Roman" w:cs="Times New Roman"/>
                <w:color w:val="000000" w:themeColor="text1"/>
                <w:sz w:val="21"/>
                <w:szCs w:val="21"/>
                <w14:textFill>
                  <w14:solidFill>
                    <w14:schemeClr w14:val="tx1"/>
                  </w14:solidFill>
                </w14:textFill>
              </w:rPr>
            </w:pPr>
            <w:r>
              <w:rPr>
                <w:rFonts w:hint="default" w:ascii="Times New Roman" w:hAnsi="Times New Roman" w:eastAsia="Times New Roman" w:cs="Times New Roman"/>
                <w:color w:val="000000" w:themeColor="text1"/>
                <w:sz w:val="21"/>
                <w:szCs w:val="21"/>
                <w14:textFill>
                  <w14:solidFill>
                    <w14:schemeClr w14:val="tx1"/>
                  </w14:solidFill>
                </w14:textFill>
              </w:rPr>
              <w:t>③危废专用贮存容器必须完好无损，没有腐蚀、污染、损毁。</w:t>
            </w:r>
          </w:p>
          <w:p w14:paraId="0E4AB0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④</w:t>
            </w:r>
            <w:r>
              <w:rPr>
                <w:rFonts w:hint="default" w:ascii="Times New Roman" w:hAnsi="Times New Roman" w:eastAsia="Times New Roman" w:cs="Times New Roman"/>
                <w:color w:val="000000" w:themeColor="text1"/>
                <w:sz w:val="21"/>
                <w:szCs w:val="21"/>
                <w14:textFill>
                  <w14:solidFill>
                    <w14:schemeClr w14:val="tx1"/>
                  </w14:solidFill>
                </w14:textFill>
              </w:rPr>
              <w:t>加强对</w:t>
            </w:r>
            <w:r>
              <w:rPr>
                <w:rFonts w:hint="default" w:ascii="Times New Roman" w:hAnsi="Times New Roman" w:eastAsia="Times New Roman" w:cs="Times New Roman"/>
                <w:color w:val="000000" w:themeColor="text1"/>
                <w:sz w:val="21"/>
                <w:szCs w:val="21"/>
                <w:lang w:eastAsia="zh-CN"/>
                <w14:textFill>
                  <w14:solidFill>
                    <w14:schemeClr w14:val="tx1"/>
                  </w14:solidFill>
                </w14:textFill>
              </w:rPr>
              <w:t>设备</w:t>
            </w:r>
            <w:r>
              <w:rPr>
                <w:rFonts w:hint="default" w:ascii="Times New Roman" w:hAnsi="Times New Roman" w:eastAsia="Times New Roman" w:cs="Times New Roman"/>
                <w:color w:val="000000" w:themeColor="text1"/>
                <w:sz w:val="21"/>
                <w:szCs w:val="21"/>
                <w14:textFill>
                  <w14:solidFill>
                    <w14:schemeClr w14:val="tx1"/>
                  </w14:solidFill>
                </w14:textFill>
              </w:rPr>
              <w:t>管理，规范操作，现场禁止明火，禁止吸烟。一旦发生事故，应及时启动应急预案并疏散周边人群。</w:t>
            </w:r>
          </w:p>
        </w:tc>
      </w:tr>
      <w:tr w14:paraId="2798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2" w:hRule="atLeast"/>
          <w:jc w:val="center"/>
        </w:trPr>
        <w:tc>
          <w:tcPr>
            <w:tcW w:w="472" w:type="pct"/>
            <w:noWrap w:val="0"/>
            <w:vAlign w:val="center"/>
          </w:tcPr>
          <w:p w14:paraId="7218D51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Times New Roman" w:cs="Times New Roman"/>
                <w:color w:val="000000" w:themeColor="text1"/>
                <w:spacing w:val="-8"/>
                <w:kern w:val="2"/>
                <w:sz w:val="21"/>
                <w:szCs w:val="21"/>
                <w:highlight w:val="none"/>
                <w:lang w:val="en-US" w:eastAsia="zh-CN" w:bidi="ar-SA"/>
                <w14:textFill>
                  <w14:solidFill>
                    <w14:schemeClr w14:val="tx1"/>
                  </w14:solidFill>
                </w14:textFill>
              </w:rPr>
            </w:pPr>
            <w:r>
              <w:rPr>
                <w:rFonts w:hint="default" w:ascii="Times New Roman" w:hAnsi="Times New Roman" w:eastAsia="Times New Roman" w:cs="Times New Roman"/>
                <w:color w:val="000000" w:themeColor="text1"/>
                <w:spacing w:val="-8"/>
                <w:sz w:val="21"/>
                <w:szCs w:val="21"/>
                <w:highlight w:val="none"/>
                <w14:textFill>
                  <w14:solidFill>
                    <w14:schemeClr w14:val="tx1"/>
                  </w14:solidFill>
                </w14:textFill>
              </w:rPr>
              <w:t>其他环境管理要求</w:t>
            </w:r>
          </w:p>
        </w:tc>
        <w:tc>
          <w:tcPr>
            <w:tcW w:w="4527" w:type="pct"/>
            <w:gridSpan w:val="5"/>
            <w:noWrap w:val="0"/>
            <w:vAlign w:val="center"/>
          </w:tcPr>
          <w:p w14:paraId="6D05CE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p w14:paraId="0B821E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p w14:paraId="72C721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p w14:paraId="4C9D14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p w14:paraId="76941C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p w14:paraId="00FEBB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p w14:paraId="4E0536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p w14:paraId="25C14D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p w14:paraId="39D375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p w14:paraId="48DC91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Times New Roman" w:cs="Times New Roman"/>
                <w:color w:val="000000" w:themeColor="text1"/>
                <w:sz w:val="21"/>
                <w:szCs w:val="21"/>
                <w:highlight w:val="none"/>
                <w14:textFill>
                  <w14:solidFill>
                    <w14:schemeClr w14:val="tx1"/>
                  </w14:solidFill>
                </w14:textFill>
              </w:rPr>
            </w:pPr>
          </w:p>
          <w:p w14:paraId="1C809C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Times New Roman" w:cs="Times New Roman"/>
                <w:color w:val="000000" w:themeColor="text1"/>
                <w:sz w:val="21"/>
                <w:szCs w:val="21"/>
                <w:highlight w:val="none"/>
                <w14:textFill>
                  <w14:solidFill>
                    <w14:schemeClr w14:val="tx1"/>
                  </w14:solidFill>
                </w14:textFill>
              </w:rPr>
              <w:t>除执行上述废水、废气、噪声、固废措施外，须按照《河南省重污染天气重点行业应急减排措施制定技术指南（202</w:t>
            </w:r>
            <w:r>
              <w:rPr>
                <w:rFonts w:hint="eastAsia" w:ascii="Times New Roman" w:hAnsi="Times New Roman" w:eastAsia="Times New Roman"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Times New Roman" w:cs="Times New Roman"/>
                <w:color w:val="000000" w:themeColor="text1"/>
                <w:sz w:val="21"/>
                <w:szCs w:val="21"/>
                <w:highlight w:val="none"/>
                <w14:textFill>
                  <w14:solidFill>
                    <w14:schemeClr w14:val="tx1"/>
                  </w14:solidFill>
                </w14:textFill>
              </w:rPr>
              <w:t>年版）》中塑料制品行业</w:t>
            </w:r>
            <w:r>
              <w:rPr>
                <w:rFonts w:hint="default" w:ascii="Times New Roman" w:hAnsi="Times New Roman" w:eastAsia="Times New Roman" w:cs="Times New Roman"/>
                <w:color w:val="000000" w:themeColor="text1"/>
                <w:sz w:val="21"/>
                <w:szCs w:val="21"/>
                <w:highlight w:val="none"/>
                <w:lang w:eastAsia="zh-CN"/>
                <w14:textFill>
                  <w14:solidFill>
                    <w14:schemeClr w14:val="tx1"/>
                  </w14:solidFill>
                </w14:textFill>
              </w:rPr>
              <w:t>要求相符性分析指标具体要求执行。</w:t>
            </w:r>
          </w:p>
          <w:p w14:paraId="0BE971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Times New Roman" w:cs="Times New Roman"/>
                <w:color w:val="000000" w:themeColor="text1"/>
                <w:sz w:val="21"/>
                <w:szCs w:val="21"/>
                <w:highlight w:val="none"/>
                <w:lang w:eastAsia="zh-CN"/>
                <w14:textFill>
                  <w14:solidFill>
                    <w14:schemeClr w14:val="tx1"/>
                  </w14:solidFill>
                </w14:textFill>
              </w:rPr>
            </w:pPr>
          </w:p>
          <w:p w14:paraId="13B0EF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Times New Roman" w:cs="Times New Roman"/>
                <w:color w:val="000000" w:themeColor="text1"/>
                <w:sz w:val="21"/>
                <w:szCs w:val="21"/>
                <w:highlight w:val="none"/>
                <w:lang w:eastAsia="zh-CN"/>
                <w14:textFill>
                  <w14:solidFill>
                    <w14:schemeClr w14:val="tx1"/>
                  </w14:solidFill>
                </w14:textFill>
              </w:rPr>
            </w:pPr>
          </w:p>
          <w:p w14:paraId="01E5ED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Times New Roman" w:cs="Times New Roman"/>
                <w:color w:val="000000" w:themeColor="text1"/>
                <w:sz w:val="21"/>
                <w:szCs w:val="21"/>
                <w:highlight w:val="none"/>
                <w:lang w:eastAsia="zh-CN"/>
                <w14:textFill>
                  <w14:solidFill>
                    <w14:schemeClr w14:val="tx1"/>
                  </w14:solidFill>
                </w14:textFill>
              </w:rPr>
            </w:pPr>
          </w:p>
          <w:p w14:paraId="50A9C67B">
            <w:pPr>
              <w:keepNext w:val="0"/>
              <w:keepLines w:val="0"/>
              <w:suppressLineNumbers w:val="0"/>
              <w:spacing w:before="0" w:beforeAutospacing="0" w:after="0" w:afterAutospacing="0"/>
              <w:ind w:left="0" w:right="0"/>
              <w:rPr>
                <w:rFonts w:hint="default"/>
                <w:sz w:val="21"/>
                <w:szCs w:val="21"/>
                <w:lang w:val="en-US" w:eastAsia="zh-CN"/>
              </w:rPr>
            </w:pPr>
          </w:p>
        </w:tc>
      </w:tr>
    </w:tbl>
    <w:p w14:paraId="08BC0B8C">
      <w:pPr>
        <w:tabs>
          <w:tab w:val="left" w:pos="720"/>
        </w:tabs>
        <w:snapToGrid w:val="0"/>
        <w:jc w:val="center"/>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r>
        <w:rPr>
          <w:rFonts w:hint="default" w:ascii="Times New Roman" w:hAnsi="Times New Roman" w:cs="Times New Roman"/>
          <w:snapToGrid w:val="0"/>
          <w:color w:val="000000" w:themeColor="text1"/>
          <w:highlight w:val="none"/>
          <w14:textFill>
            <w14:solidFill>
              <w14:schemeClr w14:val="tx1"/>
            </w14:solidFill>
          </w14:textFill>
        </w:rPr>
        <w:br w:type="page"/>
      </w:r>
      <w:bookmarkStart w:id="32" w:name="_Toc32153"/>
      <w:r>
        <w:rPr>
          <w:rFonts w:hint="default" w:ascii="Times New Roman" w:hAnsi="Times New Roman" w:eastAsia="黑体" w:cs="Times New Roman"/>
          <w:b/>
          <w:bCs/>
          <w:snapToGrid w:val="0"/>
          <w:color w:val="000000" w:themeColor="text1"/>
          <w:sz w:val="30"/>
          <w:szCs w:val="30"/>
          <w:highlight w:val="none"/>
          <w14:textFill>
            <w14:solidFill>
              <w14:schemeClr w14:val="tx1"/>
            </w14:solidFill>
          </w14:textFill>
        </w:rPr>
        <w:t>六、结论</w:t>
      </w:r>
      <w:bookmarkEnd w:id="32"/>
    </w:p>
    <w:tbl>
      <w:tblPr>
        <w:tblStyle w:val="29"/>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003"/>
      </w:tblGrid>
      <w:tr w14:paraId="6C6816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22" w:hRule="atLeast"/>
          <w:jc w:val="center"/>
        </w:trPr>
        <w:tc>
          <w:tcPr>
            <w:tcW w:w="5000" w:type="pct"/>
            <w:noWrap w:val="0"/>
            <w:vAlign w:val="center"/>
          </w:tcPr>
          <w:p w14:paraId="0E793AA3">
            <w:pPr>
              <w:keepNext w:val="0"/>
              <w:keepLines w:val="0"/>
              <w:suppressLineNumbers w:val="0"/>
              <w:adjustRightInd w:val="0"/>
              <w:snapToGrid w:val="0"/>
              <w:spacing w:before="120" w:beforeLines="50" w:beforeAutospacing="0" w:after="0" w:afterAutospacing="0" w:line="360" w:lineRule="auto"/>
              <w:ind w:left="0" w:right="0" w:firstLine="480" w:firstLineChars="200"/>
              <w:rPr>
                <w:rFonts w:hint="default" w:ascii="Times New Roman" w:hAnsi="Times New Roman" w:eastAsia="Times New Roman" w:cs="Times New Roman"/>
                <w:b/>
                <w:bCs/>
                <w:color w:val="000000" w:themeColor="text1"/>
                <w:sz w:val="24"/>
                <w:highlight w:val="none"/>
                <w14:textFill>
                  <w14:solidFill>
                    <w14:schemeClr w14:val="tx1"/>
                  </w14:solidFill>
                </w14:textFill>
              </w:rPr>
            </w:pPr>
            <w:r>
              <w:rPr>
                <w:rFonts w:hint="eastAsia" w:eastAsia="Times New Roman" w:cs="Times New Roman"/>
                <w:b w:val="0"/>
                <w:bCs w:val="0"/>
                <w:color w:val="000000" w:themeColor="text1"/>
                <w:sz w:val="24"/>
                <w:highlight w:val="none"/>
                <w:lang w:eastAsia="zh-CN"/>
                <w14:textFill>
                  <w14:solidFill>
                    <w14:schemeClr w14:val="tx1"/>
                  </w14:solidFill>
                </w14:textFill>
              </w:rPr>
              <w:t>安阳三琪农业科技有限公司年产4000万米编织水带项目</w:t>
            </w:r>
            <w:r>
              <w:rPr>
                <w:rFonts w:hint="default" w:ascii="Times New Roman" w:hAnsi="Times New Roman" w:eastAsia="Times New Roman" w:cs="Times New Roman"/>
                <w:b w:val="0"/>
                <w:bCs w:val="0"/>
                <w:color w:val="000000" w:themeColor="text1"/>
                <w:sz w:val="24"/>
                <w:highlight w:val="none"/>
                <w14:textFill>
                  <w14:solidFill>
                    <w14:schemeClr w14:val="tx1"/>
                  </w14:solidFill>
                </w14:textFill>
              </w:rPr>
              <w:t>的建设符合当前国家产业政策和</w:t>
            </w:r>
            <w:r>
              <w:rPr>
                <w:rFonts w:hint="eastAsia" w:ascii="Times New Roman" w:hAnsi="Times New Roman" w:eastAsia="Times New Roman" w:cs="Times New Roman"/>
                <w:b w:val="0"/>
                <w:bCs w:val="0"/>
                <w:color w:val="000000" w:themeColor="text1"/>
                <w:sz w:val="24"/>
                <w:highlight w:val="none"/>
                <w:lang w:eastAsia="zh-CN"/>
                <w14:textFill>
                  <w14:solidFill>
                    <w14:schemeClr w14:val="tx1"/>
                  </w14:solidFill>
                </w14:textFill>
              </w:rPr>
              <w:t>当地</w:t>
            </w:r>
            <w:r>
              <w:rPr>
                <w:rFonts w:hint="default" w:ascii="Times New Roman" w:hAnsi="Times New Roman" w:eastAsia="Times New Roman" w:cs="Times New Roman"/>
                <w:b w:val="0"/>
                <w:bCs w:val="0"/>
                <w:color w:val="000000" w:themeColor="text1"/>
                <w:sz w:val="24"/>
                <w:highlight w:val="none"/>
                <w14:textFill>
                  <w14:solidFill>
                    <w14:schemeClr w14:val="tx1"/>
                  </w14:solidFill>
                </w14:textFill>
              </w:rPr>
              <w:t>规划要求，项目选址可行。在采取评价提出的污染防治措施以及充分落实评价建议的基础上，项目产生的污染物实现达标排放，对周围环境影响较小，工程建设不涉及自然保护区、世界自然和文化遗产地、风景名胜区、森林公园等环境敏感区，不存在环境制约因素，从环境保护角度分析，工程建设是可行的。</w:t>
            </w:r>
          </w:p>
        </w:tc>
      </w:tr>
    </w:tbl>
    <w:p w14:paraId="2E22ABF1">
      <w:pPr>
        <w:pStyle w:val="26"/>
        <w:adjustRightInd w:val="0"/>
        <w:snapToGrid w:val="0"/>
        <w:spacing w:before="0" w:beforeAutospacing="0" w:after="0" w:afterAutospacing="0"/>
        <w:outlineLvl w:val="9"/>
        <w:rPr>
          <w:rFonts w:hint="default" w:ascii="Times New Roman" w:hAnsi="Times New Roman" w:eastAsia="黑体" w:cs="Times New Roman"/>
          <w:snapToGrid w:val="0"/>
          <w:color w:val="000000" w:themeColor="text1"/>
          <w:sz w:val="32"/>
          <w:szCs w:val="32"/>
          <w:highlight w:val="none"/>
          <w14:textFill>
            <w14:solidFill>
              <w14:schemeClr w14:val="tx1"/>
            </w14:solidFill>
          </w14:textFill>
        </w:rPr>
        <w:sectPr>
          <w:footerReference r:id="rId8" w:type="default"/>
          <w:pgSz w:w="11905" w:h="16838"/>
          <w:pgMar w:top="1417" w:right="1417" w:bottom="1417" w:left="1701" w:header="851" w:footer="1077" w:gutter="0"/>
          <w:pgBorders w:offsetFrom="page">
            <w:top w:val="none" w:sz="0" w:space="0"/>
            <w:left w:val="none" w:sz="0" w:space="0"/>
            <w:bottom w:val="none" w:sz="0" w:space="0"/>
            <w:right w:val="none" w:sz="0" w:space="0"/>
          </w:pgBorders>
          <w:pgNumType w:fmt="decimal"/>
          <w:cols w:space="720" w:num="1"/>
          <w:titlePg/>
          <w:rtlGutter w:val="0"/>
          <w:docGrid w:linePitch="312" w:charSpace="0"/>
        </w:sectPr>
      </w:pPr>
    </w:p>
    <w:p w14:paraId="6AADCEE6">
      <w:pPr>
        <w:pStyle w:val="26"/>
        <w:adjustRightInd w:val="0"/>
        <w:snapToGrid w:val="0"/>
        <w:spacing w:before="0" w:beforeAutospacing="0" w:after="0" w:afterAutospacing="0"/>
        <w:outlineLvl w:val="9"/>
        <w:rPr>
          <w:rFonts w:hint="default" w:ascii="Times New Roman" w:hAnsi="Times New Roman" w:eastAsia="黑体" w:cs="Times New Roman"/>
          <w:snapToGrid w:val="0"/>
          <w:color w:val="000000" w:themeColor="text1"/>
          <w:sz w:val="32"/>
          <w:szCs w:val="32"/>
          <w:highlight w:val="none"/>
          <w14:textFill>
            <w14:solidFill>
              <w14:schemeClr w14:val="tx1"/>
            </w14:solidFill>
          </w14:textFill>
        </w:rPr>
        <w:sectPr>
          <w:type w:val="continuous"/>
          <w:pgSz w:w="11905" w:h="16838"/>
          <w:pgMar w:top="1417" w:right="1417" w:bottom="1417" w:left="1701" w:header="851" w:footer="1077" w:gutter="0"/>
          <w:pgBorders w:offsetFrom="page">
            <w:top w:val="none" w:sz="0" w:space="0"/>
            <w:left w:val="none" w:sz="0" w:space="0"/>
            <w:bottom w:val="none" w:sz="0" w:space="0"/>
            <w:right w:val="none" w:sz="0" w:space="0"/>
          </w:pgBorders>
          <w:pgNumType w:fmt="decimal"/>
          <w:cols w:space="720" w:num="1"/>
          <w:titlePg/>
          <w:rtlGutter w:val="0"/>
          <w:docGrid w:linePitch="312" w:charSpace="0"/>
        </w:sectPr>
      </w:pPr>
    </w:p>
    <w:p w14:paraId="5EA752C9">
      <w:pPr>
        <w:pStyle w:val="26"/>
        <w:adjustRightInd w:val="0"/>
        <w:snapToGrid w:val="0"/>
        <w:spacing w:before="0" w:beforeAutospacing="0" w:after="0" w:afterAutospacing="0"/>
        <w:outlineLvl w:val="9"/>
        <w:rPr>
          <w:rFonts w:hint="default" w:ascii="Times New Roman" w:hAnsi="Times New Roman" w:eastAsia="黑体" w:cs="Times New Roman"/>
          <w:snapToGrid w:val="0"/>
          <w:color w:val="000000" w:themeColor="text1"/>
          <w:sz w:val="32"/>
          <w:szCs w:val="32"/>
          <w:highlight w:val="none"/>
          <w14:textFill>
            <w14:solidFill>
              <w14:schemeClr w14:val="tx1"/>
            </w14:solidFill>
          </w14:textFill>
        </w:rPr>
      </w:pPr>
      <w:r>
        <w:rPr>
          <w:rFonts w:hint="default" w:ascii="Times New Roman" w:hAnsi="Times New Roman" w:eastAsia="黑体" w:cs="Times New Roman"/>
          <w:snapToGrid w:val="0"/>
          <w:color w:val="000000" w:themeColor="text1"/>
          <w:sz w:val="32"/>
          <w:szCs w:val="32"/>
          <w:highlight w:val="none"/>
          <w14:textFill>
            <w14:solidFill>
              <w14:schemeClr w14:val="tx1"/>
            </w14:solidFill>
          </w14:textFill>
        </w:rPr>
        <w:t>附表</w:t>
      </w:r>
    </w:p>
    <w:p w14:paraId="099A6A25">
      <w:pPr>
        <w:pStyle w:val="26"/>
        <w:adjustRightInd w:val="0"/>
        <w:snapToGrid w:val="0"/>
        <w:spacing w:before="0" w:beforeAutospacing="0" w:after="0" w:afterAutospacing="0"/>
        <w:jc w:val="center"/>
        <w:outlineLvl w:val="9"/>
        <w:rPr>
          <w:rFonts w:hint="default" w:ascii="Times New Roman" w:hAnsi="Times New Roman" w:eastAsia="方正小标宋_GBK" w:cs="Times New Roman"/>
          <w:snapToGrid w:val="0"/>
          <w:color w:val="000000" w:themeColor="text1"/>
          <w:sz w:val="38"/>
          <w:szCs w:val="38"/>
          <w:highlight w:val="none"/>
          <w14:textFill>
            <w14:solidFill>
              <w14:schemeClr w14:val="tx1"/>
            </w14:solidFill>
          </w14:textFill>
        </w:rPr>
      </w:pPr>
      <w:r>
        <w:rPr>
          <w:rFonts w:hint="default" w:ascii="Times New Roman" w:hAnsi="Times New Roman" w:eastAsia="方正小标宋_GBK" w:cs="Times New Roman"/>
          <w:snapToGrid w:val="0"/>
          <w:color w:val="000000" w:themeColor="text1"/>
          <w:sz w:val="38"/>
          <w:szCs w:val="38"/>
          <w:highlight w:val="none"/>
          <w14:textFill>
            <w14:solidFill>
              <w14:schemeClr w14:val="tx1"/>
            </w14:solidFill>
          </w14:textFill>
        </w:rPr>
        <w:t>建设项目污染物排放量汇总表</w:t>
      </w:r>
    </w:p>
    <w:tbl>
      <w:tblPr>
        <w:tblStyle w:val="29"/>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66"/>
        <w:gridCol w:w="1402"/>
        <w:gridCol w:w="1941"/>
        <w:gridCol w:w="1114"/>
        <w:gridCol w:w="1374"/>
        <w:gridCol w:w="1596"/>
        <w:gridCol w:w="1931"/>
        <w:gridCol w:w="1515"/>
        <w:gridCol w:w="2013"/>
      </w:tblGrid>
      <w:tr w14:paraId="49B602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6" w:type="dxa"/>
            <w:tcBorders>
              <w:tl2br w:val="single" w:color="auto" w:sz="4" w:space="0"/>
            </w:tcBorders>
            <w:noWrap w:val="0"/>
            <w:tcMar>
              <w:left w:w="28" w:type="dxa"/>
              <w:right w:w="28" w:type="dxa"/>
            </w:tcMar>
            <w:vAlign w:val="center"/>
          </w:tcPr>
          <w:p w14:paraId="4FA2D781">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t xml:space="preserve">      项目</w:t>
            </w:r>
          </w:p>
          <w:p w14:paraId="546BB333">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jc w:val="both"/>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t>分类</w:t>
            </w:r>
          </w:p>
        </w:tc>
        <w:tc>
          <w:tcPr>
            <w:tcW w:w="1402" w:type="dxa"/>
            <w:noWrap w:val="0"/>
            <w:tcMar>
              <w:left w:w="28" w:type="dxa"/>
              <w:right w:w="28" w:type="dxa"/>
            </w:tcMar>
            <w:vAlign w:val="center"/>
          </w:tcPr>
          <w:p w14:paraId="2DC58B27">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t>污染物名称</w:t>
            </w:r>
          </w:p>
        </w:tc>
        <w:tc>
          <w:tcPr>
            <w:tcW w:w="1941" w:type="dxa"/>
            <w:noWrap w:val="0"/>
            <w:tcMar>
              <w:left w:w="28" w:type="dxa"/>
              <w:right w:w="28" w:type="dxa"/>
            </w:tcMar>
            <w:vAlign w:val="center"/>
          </w:tcPr>
          <w:p w14:paraId="202AC404">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t>现有工程</w:t>
            </w:r>
          </w:p>
          <w:p w14:paraId="481147B5">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eastAsia" w:ascii="Times New Roman" w:hAnsi="Times New Roman" w:cs="Times New Roman"/>
                <w:b/>
                <w:bCs/>
                <w:snapToGrid w:val="0"/>
                <w:color w:val="auto"/>
                <w:kern w:val="21"/>
                <w:sz w:val="21"/>
                <w:szCs w:val="21"/>
                <w:lang w:val="en-US" w:eastAsia="zh-CN"/>
              </w:rPr>
            </w:pPr>
            <w:r>
              <w:rPr>
                <w:rFonts w:hint="default" w:ascii="Times New Roman" w:hAnsi="Times New Roman" w:cs="Times New Roman"/>
                <w:b/>
                <w:bCs/>
                <w:snapToGrid w:val="0"/>
                <w:color w:val="auto"/>
                <w:kern w:val="21"/>
                <w:sz w:val="21"/>
                <w:szCs w:val="21"/>
              </w:rPr>
              <w:t>排放量（固体废物产生量）</w:t>
            </w:r>
            <w:r>
              <w:rPr>
                <w:rFonts w:hint="default" w:ascii="Times New Roman" w:hAnsi="Times New Roman" w:cs="Times New Roman"/>
                <w:b/>
                <w:bCs/>
                <w:snapToGrid w:val="0"/>
                <w:color w:val="auto"/>
                <w:kern w:val="21"/>
                <w:sz w:val="21"/>
                <w:szCs w:val="21"/>
              </w:rPr>
              <w:fldChar w:fldCharType="begin"/>
            </w:r>
            <w:r>
              <w:rPr>
                <w:rFonts w:hint="default" w:ascii="Times New Roman" w:hAnsi="Times New Roman" w:cs="Times New Roman"/>
                <w:b/>
                <w:bCs/>
                <w:snapToGrid w:val="0"/>
                <w:color w:val="auto"/>
                <w:kern w:val="21"/>
                <w:sz w:val="21"/>
                <w:szCs w:val="21"/>
              </w:rPr>
              <w:instrText xml:space="preserve"> = 1 \* GB3 \* MERGEFORMAT </w:instrText>
            </w:r>
            <w:r>
              <w:rPr>
                <w:rFonts w:hint="default" w:ascii="Times New Roman" w:hAnsi="Times New Roman" w:cs="Times New Roman"/>
                <w:b/>
                <w:bCs/>
                <w:snapToGrid w:val="0"/>
                <w:color w:val="auto"/>
                <w:kern w:val="21"/>
                <w:sz w:val="21"/>
                <w:szCs w:val="21"/>
              </w:rPr>
              <w:fldChar w:fldCharType="separate"/>
            </w:r>
            <w:r>
              <w:rPr>
                <w:rFonts w:hint="default" w:ascii="Times New Roman" w:hAnsi="Times New Roman" w:cs="Times New Roman"/>
                <w:b/>
                <w:bCs/>
                <w:snapToGrid w:val="0"/>
                <w:color w:val="auto"/>
                <w:kern w:val="21"/>
                <w:sz w:val="21"/>
                <w:szCs w:val="21"/>
              </w:rPr>
              <w:t>①</w:t>
            </w:r>
            <w:r>
              <w:rPr>
                <w:rFonts w:hint="default" w:ascii="Times New Roman" w:hAnsi="Times New Roman" w:cs="Times New Roman"/>
                <w:b/>
                <w:bCs/>
                <w:snapToGrid w:val="0"/>
                <w:color w:val="auto"/>
                <w:kern w:val="21"/>
                <w:sz w:val="21"/>
                <w:szCs w:val="21"/>
              </w:rPr>
              <w:fldChar w:fldCharType="end"/>
            </w:r>
          </w:p>
        </w:tc>
        <w:tc>
          <w:tcPr>
            <w:tcW w:w="1114" w:type="dxa"/>
            <w:noWrap w:val="0"/>
            <w:tcMar>
              <w:left w:w="28" w:type="dxa"/>
              <w:right w:w="28" w:type="dxa"/>
            </w:tcMar>
            <w:vAlign w:val="center"/>
          </w:tcPr>
          <w:p w14:paraId="402BA1CF">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t>现有工程</w:t>
            </w:r>
          </w:p>
          <w:p w14:paraId="7365751A">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t>许可排放量</w:t>
            </w:r>
          </w:p>
          <w:p w14:paraId="2AF78C98">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fldChar w:fldCharType="begin"/>
            </w:r>
            <w:r>
              <w:rPr>
                <w:rFonts w:hint="default" w:ascii="Times New Roman" w:hAnsi="Times New Roman" w:cs="Times New Roman"/>
                <w:b/>
                <w:bCs/>
                <w:snapToGrid w:val="0"/>
                <w:color w:val="auto"/>
                <w:kern w:val="21"/>
                <w:sz w:val="21"/>
                <w:szCs w:val="21"/>
              </w:rPr>
              <w:instrText xml:space="preserve"> = 2 \* GB3 \* MERGEFORMAT </w:instrText>
            </w:r>
            <w:r>
              <w:rPr>
                <w:rFonts w:hint="default" w:ascii="Times New Roman" w:hAnsi="Times New Roman" w:cs="Times New Roman"/>
                <w:b/>
                <w:bCs/>
                <w:snapToGrid w:val="0"/>
                <w:color w:val="auto"/>
                <w:kern w:val="21"/>
                <w:sz w:val="21"/>
                <w:szCs w:val="21"/>
              </w:rPr>
              <w:fldChar w:fldCharType="separate"/>
            </w:r>
            <w:r>
              <w:rPr>
                <w:rFonts w:hint="default" w:ascii="Times New Roman" w:hAnsi="Times New Roman" w:cs="Times New Roman"/>
                <w:b/>
                <w:bCs/>
                <w:snapToGrid w:val="0"/>
                <w:color w:val="auto"/>
                <w:kern w:val="21"/>
                <w:sz w:val="21"/>
                <w:szCs w:val="21"/>
              </w:rPr>
              <w:t>②</w:t>
            </w:r>
            <w:r>
              <w:rPr>
                <w:rFonts w:hint="default" w:ascii="Times New Roman" w:hAnsi="Times New Roman" w:cs="Times New Roman"/>
                <w:b/>
                <w:bCs/>
                <w:snapToGrid w:val="0"/>
                <w:color w:val="auto"/>
                <w:kern w:val="21"/>
                <w:sz w:val="21"/>
                <w:szCs w:val="21"/>
              </w:rPr>
              <w:fldChar w:fldCharType="end"/>
            </w:r>
          </w:p>
        </w:tc>
        <w:tc>
          <w:tcPr>
            <w:tcW w:w="1374" w:type="dxa"/>
            <w:noWrap w:val="0"/>
            <w:tcMar>
              <w:left w:w="28" w:type="dxa"/>
              <w:right w:w="28" w:type="dxa"/>
            </w:tcMar>
            <w:vAlign w:val="center"/>
          </w:tcPr>
          <w:p w14:paraId="20104A88">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t>在建工程</w:t>
            </w:r>
          </w:p>
          <w:p w14:paraId="38CDAEA4">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t>排放量（固体废物产生量）</w:t>
            </w:r>
            <w:r>
              <w:rPr>
                <w:rFonts w:hint="default" w:ascii="Times New Roman" w:hAnsi="Times New Roman" w:cs="Times New Roman"/>
                <w:b/>
                <w:bCs/>
                <w:snapToGrid w:val="0"/>
                <w:color w:val="auto"/>
                <w:kern w:val="21"/>
                <w:sz w:val="21"/>
                <w:szCs w:val="21"/>
              </w:rPr>
              <w:fldChar w:fldCharType="begin"/>
            </w:r>
            <w:r>
              <w:rPr>
                <w:rFonts w:hint="default" w:ascii="Times New Roman" w:hAnsi="Times New Roman" w:cs="Times New Roman"/>
                <w:b/>
                <w:bCs/>
                <w:snapToGrid w:val="0"/>
                <w:color w:val="auto"/>
                <w:kern w:val="21"/>
                <w:sz w:val="21"/>
                <w:szCs w:val="21"/>
              </w:rPr>
              <w:instrText xml:space="preserve"> = 3 \* GB3 \* MERGEFORMAT </w:instrText>
            </w:r>
            <w:r>
              <w:rPr>
                <w:rFonts w:hint="default" w:ascii="Times New Roman" w:hAnsi="Times New Roman" w:cs="Times New Roman"/>
                <w:b/>
                <w:bCs/>
                <w:snapToGrid w:val="0"/>
                <w:color w:val="auto"/>
                <w:kern w:val="21"/>
                <w:sz w:val="21"/>
                <w:szCs w:val="21"/>
              </w:rPr>
              <w:fldChar w:fldCharType="separate"/>
            </w:r>
            <w:r>
              <w:rPr>
                <w:rFonts w:hint="default" w:ascii="Times New Roman" w:hAnsi="Times New Roman" w:cs="Times New Roman"/>
                <w:b/>
                <w:bCs/>
                <w:snapToGrid w:val="0"/>
                <w:color w:val="auto"/>
                <w:kern w:val="21"/>
                <w:sz w:val="21"/>
                <w:szCs w:val="21"/>
              </w:rPr>
              <w:t>③</w:t>
            </w:r>
            <w:r>
              <w:rPr>
                <w:rFonts w:hint="default" w:ascii="Times New Roman" w:hAnsi="Times New Roman" w:cs="Times New Roman"/>
                <w:b/>
                <w:bCs/>
                <w:snapToGrid w:val="0"/>
                <w:color w:val="auto"/>
                <w:kern w:val="21"/>
                <w:sz w:val="21"/>
                <w:szCs w:val="21"/>
              </w:rPr>
              <w:fldChar w:fldCharType="end"/>
            </w:r>
          </w:p>
        </w:tc>
        <w:tc>
          <w:tcPr>
            <w:tcW w:w="1596" w:type="dxa"/>
            <w:noWrap w:val="0"/>
            <w:tcMar>
              <w:left w:w="28" w:type="dxa"/>
              <w:right w:w="28" w:type="dxa"/>
            </w:tcMar>
            <w:vAlign w:val="center"/>
          </w:tcPr>
          <w:p w14:paraId="74217756">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t>本项目</w:t>
            </w:r>
          </w:p>
          <w:p w14:paraId="1A3B2D29">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t>排放量（固体废物产生量）</w:t>
            </w:r>
            <w:r>
              <w:rPr>
                <w:rFonts w:hint="default" w:ascii="Times New Roman" w:hAnsi="Times New Roman" w:cs="Times New Roman"/>
                <w:b/>
                <w:bCs/>
                <w:snapToGrid w:val="0"/>
                <w:color w:val="auto"/>
                <w:kern w:val="21"/>
                <w:sz w:val="21"/>
                <w:szCs w:val="21"/>
              </w:rPr>
              <w:fldChar w:fldCharType="begin"/>
            </w:r>
            <w:r>
              <w:rPr>
                <w:rFonts w:hint="default" w:ascii="Times New Roman" w:hAnsi="Times New Roman" w:cs="Times New Roman"/>
                <w:b/>
                <w:bCs/>
                <w:snapToGrid w:val="0"/>
                <w:color w:val="auto"/>
                <w:kern w:val="21"/>
                <w:sz w:val="21"/>
                <w:szCs w:val="21"/>
              </w:rPr>
              <w:instrText xml:space="preserve"> = 4 \* GB3 \* MERGEFORMAT </w:instrText>
            </w:r>
            <w:r>
              <w:rPr>
                <w:rFonts w:hint="default" w:ascii="Times New Roman" w:hAnsi="Times New Roman" w:cs="Times New Roman"/>
                <w:b/>
                <w:bCs/>
                <w:snapToGrid w:val="0"/>
                <w:color w:val="auto"/>
                <w:kern w:val="21"/>
                <w:sz w:val="21"/>
                <w:szCs w:val="21"/>
              </w:rPr>
              <w:fldChar w:fldCharType="separate"/>
            </w:r>
            <w:r>
              <w:rPr>
                <w:rFonts w:hint="default" w:ascii="Times New Roman" w:hAnsi="Times New Roman" w:cs="Times New Roman"/>
                <w:b/>
                <w:bCs/>
                <w:snapToGrid w:val="0"/>
                <w:color w:val="auto"/>
                <w:kern w:val="21"/>
                <w:sz w:val="21"/>
                <w:szCs w:val="21"/>
              </w:rPr>
              <w:t>④</w:t>
            </w:r>
            <w:r>
              <w:rPr>
                <w:rFonts w:hint="default" w:ascii="Times New Roman" w:hAnsi="Times New Roman" w:cs="Times New Roman"/>
                <w:b/>
                <w:bCs/>
                <w:snapToGrid w:val="0"/>
                <w:color w:val="auto"/>
                <w:kern w:val="21"/>
                <w:sz w:val="21"/>
                <w:szCs w:val="21"/>
              </w:rPr>
              <w:fldChar w:fldCharType="end"/>
            </w:r>
          </w:p>
        </w:tc>
        <w:tc>
          <w:tcPr>
            <w:tcW w:w="1931" w:type="dxa"/>
            <w:noWrap w:val="0"/>
            <w:tcMar>
              <w:left w:w="28" w:type="dxa"/>
              <w:right w:w="28" w:type="dxa"/>
            </w:tcMar>
            <w:vAlign w:val="center"/>
          </w:tcPr>
          <w:p w14:paraId="12D51B8F">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t>以新带老削减量</w:t>
            </w:r>
          </w:p>
          <w:p w14:paraId="5492083E">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t>（新建项目不填）</w:t>
            </w:r>
            <w:r>
              <w:rPr>
                <w:rFonts w:hint="default" w:ascii="Times New Roman" w:hAnsi="Times New Roman" w:cs="Times New Roman"/>
                <w:b/>
                <w:bCs/>
                <w:snapToGrid w:val="0"/>
                <w:color w:val="auto"/>
                <w:kern w:val="21"/>
                <w:sz w:val="21"/>
                <w:szCs w:val="21"/>
              </w:rPr>
              <w:fldChar w:fldCharType="begin"/>
            </w:r>
            <w:r>
              <w:rPr>
                <w:rFonts w:hint="default" w:ascii="Times New Roman" w:hAnsi="Times New Roman" w:cs="Times New Roman"/>
                <w:b/>
                <w:bCs/>
                <w:snapToGrid w:val="0"/>
                <w:color w:val="auto"/>
                <w:kern w:val="21"/>
                <w:sz w:val="21"/>
                <w:szCs w:val="21"/>
              </w:rPr>
              <w:instrText xml:space="preserve"> = 5 \* GB3 \* MERGEFORMAT </w:instrText>
            </w:r>
            <w:r>
              <w:rPr>
                <w:rFonts w:hint="default" w:ascii="Times New Roman" w:hAnsi="Times New Roman" w:cs="Times New Roman"/>
                <w:b/>
                <w:bCs/>
                <w:snapToGrid w:val="0"/>
                <w:color w:val="auto"/>
                <w:kern w:val="21"/>
                <w:sz w:val="21"/>
                <w:szCs w:val="21"/>
              </w:rPr>
              <w:fldChar w:fldCharType="separate"/>
            </w:r>
            <w:r>
              <w:rPr>
                <w:rFonts w:hint="default" w:ascii="Times New Roman" w:hAnsi="Times New Roman" w:cs="Times New Roman"/>
                <w:b/>
                <w:bCs/>
                <w:snapToGrid w:val="0"/>
                <w:color w:val="auto"/>
                <w:kern w:val="21"/>
                <w:sz w:val="21"/>
                <w:szCs w:val="21"/>
              </w:rPr>
              <w:t>⑤</w:t>
            </w:r>
            <w:r>
              <w:rPr>
                <w:rFonts w:hint="default" w:ascii="Times New Roman" w:hAnsi="Times New Roman" w:cs="Times New Roman"/>
                <w:b/>
                <w:bCs/>
                <w:snapToGrid w:val="0"/>
                <w:color w:val="auto"/>
                <w:kern w:val="21"/>
                <w:sz w:val="21"/>
                <w:szCs w:val="21"/>
              </w:rPr>
              <w:fldChar w:fldCharType="end"/>
            </w:r>
          </w:p>
        </w:tc>
        <w:tc>
          <w:tcPr>
            <w:tcW w:w="1515" w:type="dxa"/>
            <w:noWrap w:val="0"/>
            <w:tcMar>
              <w:left w:w="28" w:type="dxa"/>
              <w:right w:w="28" w:type="dxa"/>
            </w:tcMar>
            <w:vAlign w:val="center"/>
          </w:tcPr>
          <w:p w14:paraId="52F1A4ED">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t>本项目建成后</w:t>
            </w:r>
          </w:p>
          <w:p w14:paraId="5F911F0D">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t>全厂排放量（固体废物产生量）</w:t>
            </w:r>
            <w:r>
              <w:rPr>
                <w:rFonts w:hint="default" w:ascii="Times New Roman" w:hAnsi="Times New Roman" w:cs="Times New Roman"/>
                <w:b/>
                <w:bCs/>
                <w:snapToGrid w:val="0"/>
                <w:color w:val="auto"/>
                <w:kern w:val="21"/>
                <w:sz w:val="21"/>
                <w:szCs w:val="21"/>
              </w:rPr>
              <w:fldChar w:fldCharType="begin"/>
            </w:r>
            <w:r>
              <w:rPr>
                <w:rFonts w:hint="default" w:ascii="Times New Roman" w:hAnsi="Times New Roman" w:cs="Times New Roman"/>
                <w:b/>
                <w:bCs/>
                <w:snapToGrid w:val="0"/>
                <w:color w:val="auto"/>
                <w:kern w:val="21"/>
                <w:sz w:val="21"/>
                <w:szCs w:val="21"/>
              </w:rPr>
              <w:instrText xml:space="preserve"> = 6 \* GB3 \* MERGEFORMAT </w:instrText>
            </w:r>
            <w:r>
              <w:rPr>
                <w:rFonts w:hint="default" w:ascii="Times New Roman" w:hAnsi="Times New Roman" w:cs="Times New Roman"/>
                <w:b/>
                <w:bCs/>
                <w:snapToGrid w:val="0"/>
                <w:color w:val="auto"/>
                <w:kern w:val="21"/>
                <w:sz w:val="21"/>
                <w:szCs w:val="21"/>
              </w:rPr>
              <w:fldChar w:fldCharType="separate"/>
            </w:r>
            <w:r>
              <w:rPr>
                <w:rFonts w:hint="default" w:ascii="Times New Roman" w:hAnsi="Times New Roman" w:cs="Times New Roman"/>
                <w:b/>
                <w:bCs/>
                <w:snapToGrid w:val="0"/>
                <w:color w:val="auto"/>
                <w:kern w:val="21"/>
                <w:sz w:val="21"/>
                <w:szCs w:val="21"/>
              </w:rPr>
              <w:t>⑥</w:t>
            </w:r>
            <w:r>
              <w:rPr>
                <w:rFonts w:hint="default" w:ascii="Times New Roman" w:hAnsi="Times New Roman" w:cs="Times New Roman"/>
                <w:b/>
                <w:bCs/>
                <w:snapToGrid w:val="0"/>
                <w:color w:val="auto"/>
                <w:kern w:val="21"/>
                <w:sz w:val="21"/>
                <w:szCs w:val="21"/>
              </w:rPr>
              <w:fldChar w:fldCharType="end"/>
            </w:r>
          </w:p>
        </w:tc>
        <w:tc>
          <w:tcPr>
            <w:tcW w:w="2013" w:type="dxa"/>
            <w:noWrap w:val="0"/>
            <w:tcMar>
              <w:left w:w="28" w:type="dxa"/>
              <w:right w:w="28" w:type="dxa"/>
            </w:tcMar>
            <w:vAlign w:val="center"/>
          </w:tcPr>
          <w:p w14:paraId="0255C904">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t>变化量</w:t>
            </w:r>
          </w:p>
          <w:p w14:paraId="6A542CE4">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b/>
                <w:bCs/>
                <w:snapToGrid w:val="0"/>
                <w:color w:val="auto"/>
                <w:kern w:val="21"/>
                <w:sz w:val="21"/>
                <w:szCs w:val="21"/>
              </w:rPr>
            </w:pPr>
            <w:r>
              <w:rPr>
                <w:rFonts w:hint="default" w:ascii="Times New Roman" w:hAnsi="Times New Roman" w:cs="Times New Roman"/>
                <w:b/>
                <w:bCs/>
                <w:snapToGrid w:val="0"/>
                <w:color w:val="auto"/>
                <w:kern w:val="21"/>
                <w:sz w:val="21"/>
                <w:szCs w:val="21"/>
              </w:rPr>
              <w:fldChar w:fldCharType="begin"/>
            </w:r>
            <w:r>
              <w:rPr>
                <w:rFonts w:hint="default" w:ascii="Times New Roman" w:hAnsi="Times New Roman" w:cs="Times New Roman"/>
                <w:b/>
                <w:bCs/>
                <w:snapToGrid w:val="0"/>
                <w:color w:val="auto"/>
                <w:kern w:val="21"/>
                <w:sz w:val="21"/>
                <w:szCs w:val="21"/>
              </w:rPr>
              <w:instrText xml:space="preserve"> = 7 \* GB3 \* MERGEFORMAT </w:instrText>
            </w:r>
            <w:r>
              <w:rPr>
                <w:rFonts w:hint="default" w:ascii="Times New Roman" w:hAnsi="Times New Roman" w:cs="Times New Roman"/>
                <w:b/>
                <w:bCs/>
                <w:snapToGrid w:val="0"/>
                <w:color w:val="auto"/>
                <w:kern w:val="21"/>
                <w:sz w:val="21"/>
                <w:szCs w:val="21"/>
              </w:rPr>
              <w:fldChar w:fldCharType="separate"/>
            </w:r>
            <w:r>
              <w:rPr>
                <w:rFonts w:hint="default" w:ascii="Times New Roman" w:hAnsi="Times New Roman" w:cs="Times New Roman"/>
                <w:b/>
                <w:bCs/>
                <w:snapToGrid w:val="0"/>
                <w:color w:val="auto"/>
                <w:kern w:val="21"/>
                <w:sz w:val="21"/>
                <w:szCs w:val="21"/>
              </w:rPr>
              <w:t>⑦</w:t>
            </w:r>
            <w:r>
              <w:rPr>
                <w:rFonts w:hint="default" w:ascii="Times New Roman" w:hAnsi="Times New Roman" w:cs="Times New Roman"/>
                <w:b/>
                <w:bCs/>
                <w:snapToGrid w:val="0"/>
                <w:color w:val="auto"/>
                <w:kern w:val="21"/>
                <w:sz w:val="21"/>
                <w:szCs w:val="21"/>
              </w:rPr>
              <w:fldChar w:fldCharType="end"/>
            </w:r>
          </w:p>
        </w:tc>
      </w:tr>
      <w:tr w14:paraId="1781A3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166" w:type="dxa"/>
            <w:vMerge w:val="restart"/>
            <w:noWrap w:val="0"/>
            <w:vAlign w:val="center"/>
          </w:tcPr>
          <w:p w14:paraId="3A0A27FF">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废气</w:t>
            </w:r>
          </w:p>
        </w:tc>
        <w:tc>
          <w:tcPr>
            <w:tcW w:w="1402" w:type="dxa"/>
            <w:noWrap w:val="0"/>
            <w:vAlign w:val="center"/>
          </w:tcPr>
          <w:p w14:paraId="0C3DB309">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lang w:val="en-US" w:eastAsia="zh-CN"/>
              </w:rPr>
              <w:t>非甲烷总烃</w:t>
            </w:r>
          </w:p>
        </w:tc>
        <w:tc>
          <w:tcPr>
            <w:tcW w:w="1941" w:type="dxa"/>
            <w:noWrap w:val="0"/>
            <w:vAlign w:val="center"/>
          </w:tcPr>
          <w:p w14:paraId="38B1FADF">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w:t>
            </w:r>
          </w:p>
        </w:tc>
        <w:tc>
          <w:tcPr>
            <w:tcW w:w="1114" w:type="dxa"/>
            <w:noWrap w:val="0"/>
            <w:vAlign w:val="center"/>
          </w:tcPr>
          <w:p w14:paraId="4AB40588">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w:t>
            </w:r>
          </w:p>
        </w:tc>
        <w:tc>
          <w:tcPr>
            <w:tcW w:w="1374" w:type="dxa"/>
            <w:noWrap w:val="0"/>
            <w:vAlign w:val="center"/>
          </w:tcPr>
          <w:p w14:paraId="61246CD1">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eastAsia"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w:t>
            </w:r>
          </w:p>
        </w:tc>
        <w:tc>
          <w:tcPr>
            <w:tcW w:w="1596" w:type="dxa"/>
            <w:noWrap w:val="0"/>
            <w:vAlign w:val="center"/>
          </w:tcPr>
          <w:p w14:paraId="76D44B29">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0.1798</w:t>
            </w:r>
          </w:p>
        </w:tc>
        <w:tc>
          <w:tcPr>
            <w:tcW w:w="1931" w:type="dxa"/>
            <w:noWrap w:val="0"/>
            <w:vAlign w:val="center"/>
          </w:tcPr>
          <w:p w14:paraId="7BD2A2A1">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515" w:type="dxa"/>
            <w:noWrap w:val="0"/>
            <w:vAlign w:val="center"/>
          </w:tcPr>
          <w:p w14:paraId="1EC719AD">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0.1798</w:t>
            </w:r>
          </w:p>
        </w:tc>
        <w:tc>
          <w:tcPr>
            <w:tcW w:w="2013" w:type="dxa"/>
            <w:noWrap w:val="0"/>
            <w:vAlign w:val="center"/>
          </w:tcPr>
          <w:p w14:paraId="141DC436">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+0.1798</w:t>
            </w:r>
          </w:p>
        </w:tc>
      </w:tr>
      <w:tr w14:paraId="2C088D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166" w:type="dxa"/>
            <w:vMerge w:val="continue"/>
            <w:noWrap w:val="0"/>
            <w:vAlign w:val="center"/>
          </w:tcPr>
          <w:p w14:paraId="40C858CD">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p>
        </w:tc>
        <w:tc>
          <w:tcPr>
            <w:tcW w:w="1402" w:type="dxa"/>
            <w:noWrap w:val="0"/>
            <w:vAlign w:val="center"/>
          </w:tcPr>
          <w:p w14:paraId="2334C14F">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油烟</w:t>
            </w:r>
          </w:p>
        </w:tc>
        <w:tc>
          <w:tcPr>
            <w:tcW w:w="1941" w:type="dxa"/>
            <w:noWrap w:val="0"/>
            <w:vAlign w:val="center"/>
          </w:tcPr>
          <w:p w14:paraId="0941DC4C">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eastAsia"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w:t>
            </w:r>
          </w:p>
        </w:tc>
        <w:tc>
          <w:tcPr>
            <w:tcW w:w="1114" w:type="dxa"/>
            <w:noWrap w:val="0"/>
            <w:vAlign w:val="center"/>
          </w:tcPr>
          <w:p w14:paraId="503370B1">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eastAsia"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w:t>
            </w:r>
          </w:p>
        </w:tc>
        <w:tc>
          <w:tcPr>
            <w:tcW w:w="1374" w:type="dxa"/>
            <w:noWrap w:val="0"/>
            <w:vAlign w:val="center"/>
          </w:tcPr>
          <w:p w14:paraId="4DA43310">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eastAsia"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w:t>
            </w:r>
          </w:p>
        </w:tc>
        <w:tc>
          <w:tcPr>
            <w:tcW w:w="1596" w:type="dxa"/>
            <w:noWrap w:val="0"/>
            <w:vAlign w:val="center"/>
          </w:tcPr>
          <w:p w14:paraId="02B61F83">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0.0006</w:t>
            </w:r>
          </w:p>
        </w:tc>
        <w:tc>
          <w:tcPr>
            <w:tcW w:w="1931" w:type="dxa"/>
            <w:noWrap w:val="0"/>
            <w:vAlign w:val="center"/>
          </w:tcPr>
          <w:p w14:paraId="7BB0B94A">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rPr>
            </w:pPr>
          </w:p>
        </w:tc>
        <w:tc>
          <w:tcPr>
            <w:tcW w:w="1515" w:type="dxa"/>
            <w:noWrap w:val="0"/>
            <w:vAlign w:val="center"/>
          </w:tcPr>
          <w:p w14:paraId="3280BCEE">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0.0006</w:t>
            </w:r>
          </w:p>
        </w:tc>
        <w:tc>
          <w:tcPr>
            <w:tcW w:w="2013" w:type="dxa"/>
            <w:noWrap w:val="0"/>
            <w:vAlign w:val="center"/>
          </w:tcPr>
          <w:p w14:paraId="759FB594">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+0.0006</w:t>
            </w:r>
          </w:p>
        </w:tc>
      </w:tr>
      <w:tr w14:paraId="6B0170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6" w:type="dxa"/>
            <w:vMerge w:val="restart"/>
            <w:noWrap w:val="0"/>
            <w:vAlign w:val="center"/>
          </w:tcPr>
          <w:p w14:paraId="08D2FA60">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废水</w:t>
            </w:r>
          </w:p>
        </w:tc>
        <w:tc>
          <w:tcPr>
            <w:tcW w:w="1402" w:type="dxa"/>
            <w:noWrap w:val="0"/>
            <w:vAlign w:val="center"/>
          </w:tcPr>
          <w:p w14:paraId="282D9D55">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COD</w:t>
            </w:r>
          </w:p>
        </w:tc>
        <w:tc>
          <w:tcPr>
            <w:tcW w:w="1941" w:type="dxa"/>
            <w:noWrap w:val="0"/>
            <w:vAlign w:val="center"/>
          </w:tcPr>
          <w:p w14:paraId="440BAB0D">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114" w:type="dxa"/>
            <w:noWrap w:val="0"/>
            <w:vAlign w:val="center"/>
          </w:tcPr>
          <w:p w14:paraId="1EBE72BA">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374" w:type="dxa"/>
            <w:noWrap w:val="0"/>
            <w:vAlign w:val="center"/>
          </w:tcPr>
          <w:p w14:paraId="0FF2DAF8">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596" w:type="dxa"/>
            <w:noWrap w:val="0"/>
            <w:vAlign w:val="center"/>
          </w:tcPr>
          <w:p w14:paraId="54BF173C">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0.0304</w:t>
            </w:r>
          </w:p>
        </w:tc>
        <w:tc>
          <w:tcPr>
            <w:tcW w:w="1931" w:type="dxa"/>
            <w:noWrap w:val="0"/>
            <w:vAlign w:val="center"/>
          </w:tcPr>
          <w:p w14:paraId="502A84BA">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515" w:type="dxa"/>
            <w:noWrap w:val="0"/>
            <w:vAlign w:val="center"/>
          </w:tcPr>
          <w:p w14:paraId="163A5F84">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rPr>
            </w:pPr>
            <w:r>
              <w:rPr>
                <w:rFonts w:hint="eastAsia" w:ascii="Times New Roman" w:cs="Times New Roman"/>
                <w:snapToGrid w:val="0"/>
                <w:color w:val="auto"/>
                <w:kern w:val="21"/>
                <w:sz w:val="21"/>
                <w:szCs w:val="21"/>
                <w:lang w:val="en-US" w:eastAsia="zh-CN"/>
              </w:rPr>
              <w:t>0.0304</w:t>
            </w:r>
          </w:p>
        </w:tc>
        <w:tc>
          <w:tcPr>
            <w:tcW w:w="2013" w:type="dxa"/>
            <w:noWrap w:val="0"/>
            <w:vAlign w:val="center"/>
          </w:tcPr>
          <w:p w14:paraId="56DC99E6">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w:t>
            </w:r>
            <w:r>
              <w:rPr>
                <w:rFonts w:hint="eastAsia" w:ascii="Times New Roman" w:cs="Times New Roman"/>
                <w:snapToGrid w:val="0"/>
                <w:color w:val="auto"/>
                <w:kern w:val="21"/>
                <w:sz w:val="21"/>
                <w:szCs w:val="21"/>
                <w:lang w:val="en-US" w:eastAsia="zh-CN"/>
              </w:rPr>
              <w:t>0.0304</w:t>
            </w:r>
          </w:p>
        </w:tc>
      </w:tr>
      <w:tr w14:paraId="2DDC0C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6" w:type="dxa"/>
            <w:vMerge w:val="continue"/>
            <w:noWrap w:val="0"/>
            <w:vAlign w:val="center"/>
          </w:tcPr>
          <w:p w14:paraId="58862327">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p>
        </w:tc>
        <w:tc>
          <w:tcPr>
            <w:tcW w:w="1402" w:type="dxa"/>
            <w:noWrap w:val="0"/>
            <w:vAlign w:val="center"/>
          </w:tcPr>
          <w:p w14:paraId="0394F3F0">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eastAsia" w:ascii="Times New Roman" w:hAnsi="Times New Roman" w:cs="Times New Roman"/>
                <w:snapToGrid w:val="0"/>
                <w:color w:val="auto"/>
                <w:kern w:val="21"/>
                <w:sz w:val="21"/>
                <w:szCs w:val="21"/>
                <w:lang w:eastAsia="zh-CN"/>
              </w:rPr>
            </w:pPr>
            <w:r>
              <w:rPr>
                <w:rFonts w:hint="eastAsia" w:ascii="Times New Roman" w:hAnsi="Times New Roman" w:cs="Times New Roman"/>
                <w:snapToGrid w:val="0"/>
                <w:color w:val="auto"/>
                <w:kern w:val="21"/>
                <w:sz w:val="21"/>
                <w:szCs w:val="21"/>
                <w:lang w:eastAsia="zh-CN"/>
              </w:rPr>
              <w:t>总磷</w:t>
            </w:r>
          </w:p>
        </w:tc>
        <w:tc>
          <w:tcPr>
            <w:tcW w:w="1941" w:type="dxa"/>
            <w:noWrap w:val="0"/>
            <w:vAlign w:val="center"/>
          </w:tcPr>
          <w:p w14:paraId="36E4D28E">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eastAsia"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114" w:type="dxa"/>
            <w:noWrap w:val="0"/>
            <w:vAlign w:val="center"/>
          </w:tcPr>
          <w:p w14:paraId="00EB1386">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374" w:type="dxa"/>
            <w:noWrap w:val="0"/>
            <w:vAlign w:val="center"/>
          </w:tcPr>
          <w:p w14:paraId="16DC0644">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596" w:type="dxa"/>
            <w:noWrap w:val="0"/>
            <w:vAlign w:val="center"/>
          </w:tcPr>
          <w:p w14:paraId="3C8924EE">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0.000</w:t>
            </w:r>
            <w:r>
              <w:rPr>
                <w:rFonts w:hint="eastAsia" w:ascii="Times New Roman" w:cs="Times New Roman"/>
                <w:snapToGrid w:val="0"/>
                <w:color w:val="auto"/>
                <w:kern w:val="21"/>
                <w:sz w:val="21"/>
                <w:szCs w:val="21"/>
                <w:lang w:val="en-US" w:eastAsia="zh-CN"/>
              </w:rPr>
              <w:t>3</w:t>
            </w:r>
          </w:p>
        </w:tc>
        <w:tc>
          <w:tcPr>
            <w:tcW w:w="1931" w:type="dxa"/>
            <w:noWrap w:val="0"/>
            <w:vAlign w:val="center"/>
          </w:tcPr>
          <w:p w14:paraId="2524C56B">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515" w:type="dxa"/>
            <w:noWrap w:val="0"/>
            <w:vAlign w:val="center"/>
          </w:tcPr>
          <w:p w14:paraId="6A00FE65">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rPr>
            </w:pPr>
            <w:r>
              <w:rPr>
                <w:rFonts w:hint="default" w:ascii="Times New Roman" w:hAnsi="Times New Roman" w:cs="Times New Roman"/>
                <w:snapToGrid w:val="0"/>
                <w:color w:val="auto"/>
                <w:kern w:val="21"/>
                <w:sz w:val="21"/>
                <w:szCs w:val="21"/>
                <w:lang w:eastAsia="zh-CN"/>
              </w:rPr>
              <w:t>0.0</w:t>
            </w:r>
            <w:r>
              <w:rPr>
                <w:rFonts w:hint="default" w:ascii="Times New Roman" w:hAnsi="Times New Roman" w:cs="Times New Roman"/>
                <w:snapToGrid w:val="0"/>
                <w:color w:val="auto"/>
                <w:kern w:val="21"/>
                <w:sz w:val="21"/>
                <w:szCs w:val="21"/>
                <w:lang w:val="en-US" w:eastAsia="zh-CN"/>
              </w:rPr>
              <w:t>0</w:t>
            </w:r>
            <w:r>
              <w:rPr>
                <w:rFonts w:hint="eastAsia" w:ascii="Times New Roman" w:hAnsi="Times New Roman" w:cs="Times New Roman"/>
                <w:snapToGrid w:val="0"/>
                <w:color w:val="auto"/>
                <w:kern w:val="21"/>
                <w:sz w:val="21"/>
                <w:szCs w:val="21"/>
                <w:lang w:val="en-US" w:eastAsia="zh-CN"/>
              </w:rPr>
              <w:t>0</w:t>
            </w:r>
            <w:r>
              <w:rPr>
                <w:rFonts w:hint="eastAsia" w:ascii="Times New Roman" w:cs="Times New Roman"/>
                <w:snapToGrid w:val="0"/>
                <w:color w:val="auto"/>
                <w:kern w:val="21"/>
                <w:sz w:val="21"/>
                <w:szCs w:val="21"/>
                <w:lang w:val="en-US" w:eastAsia="zh-CN"/>
              </w:rPr>
              <w:t>3</w:t>
            </w:r>
          </w:p>
        </w:tc>
        <w:tc>
          <w:tcPr>
            <w:tcW w:w="2013" w:type="dxa"/>
            <w:noWrap w:val="0"/>
            <w:vAlign w:val="center"/>
          </w:tcPr>
          <w:p w14:paraId="4BE7A871">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w:t>
            </w:r>
            <w:r>
              <w:rPr>
                <w:rFonts w:hint="default" w:ascii="Times New Roman" w:hAnsi="Times New Roman" w:cs="Times New Roman"/>
                <w:snapToGrid w:val="0"/>
                <w:color w:val="auto"/>
                <w:kern w:val="21"/>
                <w:sz w:val="21"/>
                <w:szCs w:val="21"/>
                <w:lang w:eastAsia="zh-CN"/>
              </w:rPr>
              <w:t>0.0</w:t>
            </w:r>
            <w:r>
              <w:rPr>
                <w:rFonts w:hint="eastAsia" w:ascii="Times New Roman" w:hAnsi="Times New Roman" w:cs="Times New Roman"/>
                <w:snapToGrid w:val="0"/>
                <w:color w:val="auto"/>
                <w:kern w:val="21"/>
                <w:sz w:val="21"/>
                <w:szCs w:val="21"/>
                <w:lang w:val="en-US" w:eastAsia="zh-CN"/>
              </w:rPr>
              <w:t>00</w:t>
            </w:r>
            <w:r>
              <w:rPr>
                <w:rFonts w:hint="eastAsia" w:ascii="Times New Roman" w:cs="Times New Roman"/>
                <w:snapToGrid w:val="0"/>
                <w:color w:val="auto"/>
                <w:kern w:val="21"/>
                <w:sz w:val="21"/>
                <w:szCs w:val="21"/>
                <w:lang w:val="en-US" w:eastAsia="zh-CN"/>
              </w:rPr>
              <w:t>3</w:t>
            </w:r>
          </w:p>
        </w:tc>
      </w:tr>
      <w:tr w14:paraId="7F7646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6" w:type="dxa"/>
            <w:vMerge w:val="restart"/>
            <w:noWrap w:val="0"/>
            <w:vAlign w:val="center"/>
          </w:tcPr>
          <w:p w14:paraId="75ACC546">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一般工业</w:t>
            </w:r>
          </w:p>
          <w:p w14:paraId="1A45267A">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固体废物</w:t>
            </w:r>
          </w:p>
        </w:tc>
        <w:tc>
          <w:tcPr>
            <w:tcW w:w="1402" w:type="dxa"/>
            <w:noWrap w:val="0"/>
            <w:vAlign w:val="center"/>
          </w:tcPr>
          <w:p w14:paraId="104E30B3">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lang w:val="en-US" w:eastAsia="zh-CN"/>
              </w:rPr>
              <w:t>废包装</w:t>
            </w:r>
          </w:p>
        </w:tc>
        <w:tc>
          <w:tcPr>
            <w:tcW w:w="1941" w:type="dxa"/>
            <w:noWrap w:val="0"/>
            <w:vAlign w:val="center"/>
          </w:tcPr>
          <w:p w14:paraId="7DCAB5F6">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114" w:type="dxa"/>
            <w:noWrap w:val="0"/>
            <w:vAlign w:val="center"/>
          </w:tcPr>
          <w:p w14:paraId="3E068FC4">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374" w:type="dxa"/>
            <w:noWrap w:val="0"/>
            <w:vAlign w:val="center"/>
          </w:tcPr>
          <w:p w14:paraId="7C5197C6">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596" w:type="dxa"/>
            <w:noWrap w:val="0"/>
            <w:vAlign w:val="center"/>
          </w:tcPr>
          <w:p w14:paraId="2D445629">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1.3825</w:t>
            </w:r>
          </w:p>
        </w:tc>
        <w:tc>
          <w:tcPr>
            <w:tcW w:w="1931" w:type="dxa"/>
            <w:noWrap w:val="0"/>
            <w:vAlign w:val="center"/>
          </w:tcPr>
          <w:p w14:paraId="521ECAE8">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515" w:type="dxa"/>
            <w:noWrap w:val="0"/>
            <w:vAlign w:val="center"/>
          </w:tcPr>
          <w:p w14:paraId="048FA11E">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rPr>
            </w:pPr>
            <w:r>
              <w:rPr>
                <w:rFonts w:hint="eastAsia" w:ascii="Times New Roman" w:cs="Times New Roman"/>
                <w:snapToGrid w:val="0"/>
                <w:color w:val="auto"/>
                <w:kern w:val="21"/>
                <w:sz w:val="21"/>
                <w:szCs w:val="21"/>
                <w:lang w:val="en-US" w:eastAsia="zh-CN"/>
              </w:rPr>
              <w:t>1.3825</w:t>
            </w:r>
          </w:p>
        </w:tc>
        <w:tc>
          <w:tcPr>
            <w:tcW w:w="2013" w:type="dxa"/>
            <w:noWrap w:val="0"/>
            <w:vAlign w:val="center"/>
          </w:tcPr>
          <w:p w14:paraId="41A5FAF4">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w:t>
            </w:r>
            <w:r>
              <w:rPr>
                <w:rFonts w:hint="eastAsia" w:ascii="Times New Roman" w:cs="Times New Roman"/>
                <w:snapToGrid w:val="0"/>
                <w:color w:val="auto"/>
                <w:kern w:val="21"/>
                <w:sz w:val="21"/>
                <w:szCs w:val="21"/>
                <w:lang w:val="en-US" w:eastAsia="zh-CN"/>
              </w:rPr>
              <w:t>1.3825</w:t>
            </w:r>
          </w:p>
        </w:tc>
      </w:tr>
      <w:tr w14:paraId="551304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6" w:type="dxa"/>
            <w:vMerge w:val="continue"/>
            <w:noWrap w:val="0"/>
            <w:vAlign w:val="center"/>
          </w:tcPr>
          <w:p w14:paraId="092C7F68">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p>
        </w:tc>
        <w:tc>
          <w:tcPr>
            <w:tcW w:w="1402" w:type="dxa"/>
            <w:noWrap w:val="0"/>
            <w:vAlign w:val="center"/>
          </w:tcPr>
          <w:p w14:paraId="1FF2FD3C">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废过滤器</w:t>
            </w:r>
          </w:p>
        </w:tc>
        <w:tc>
          <w:tcPr>
            <w:tcW w:w="1941" w:type="dxa"/>
            <w:noWrap w:val="0"/>
            <w:vAlign w:val="center"/>
          </w:tcPr>
          <w:p w14:paraId="32C956E6">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114" w:type="dxa"/>
            <w:noWrap w:val="0"/>
            <w:vAlign w:val="center"/>
          </w:tcPr>
          <w:p w14:paraId="05418A01">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374" w:type="dxa"/>
            <w:noWrap w:val="0"/>
            <w:vAlign w:val="center"/>
          </w:tcPr>
          <w:p w14:paraId="70A04FDD">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596" w:type="dxa"/>
            <w:noWrap w:val="0"/>
            <w:vAlign w:val="center"/>
          </w:tcPr>
          <w:p w14:paraId="32B42FBA">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0.01</w:t>
            </w:r>
          </w:p>
        </w:tc>
        <w:tc>
          <w:tcPr>
            <w:tcW w:w="1931" w:type="dxa"/>
            <w:noWrap w:val="0"/>
            <w:vAlign w:val="center"/>
          </w:tcPr>
          <w:p w14:paraId="27E5FEFB">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p>
        </w:tc>
        <w:tc>
          <w:tcPr>
            <w:tcW w:w="1515" w:type="dxa"/>
            <w:noWrap w:val="0"/>
            <w:vAlign w:val="center"/>
          </w:tcPr>
          <w:p w14:paraId="38C7EB72">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0.01</w:t>
            </w:r>
          </w:p>
        </w:tc>
        <w:tc>
          <w:tcPr>
            <w:tcW w:w="2013" w:type="dxa"/>
            <w:noWrap w:val="0"/>
            <w:vAlign w:val="center"/>
          </w:tcPr>
          <w:p w14:paraId="38DA544C">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+0.01</w:t>
            </w:r>
          </w:p>
        </w:tc>
      </w:tr>
      <w:tr w14:paraId="2ACA52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6" w:type="dxa"/>
            <w:vMerge w:val="continue"/>
            <w:noWrap w:val="0"/>
            <w:vAlign w:val="center"/>
          </w:tcPr>
          <w:p w14:paraId="5553B12B">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p>
        </w:tc>
        <w:tc>
          <w:tcPr>
            <w:tcW w:w="1402" w:type="dxa"/>
            <w:noWrap w:val="0"/>
            <w:vAlign w:val="center"/>
          </w:tcPr>
          <w:p w14:paraId="09CC4EC1">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废油脂</w:t>
            </w:r>
          </w:p>
        </w:tc>
        <w:tc>
          <w:tcPr>
            <w:tcW w:w="1941" w:type="dxa"/>
            <w:noWrap w:val="0"/>
            <w:vAlign w:val="center"/>
          </w:tcPr>
          <w:p w14:paraId="77695121">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114" w:type="dxa"/>
            <w:noWrap w:val="0"/>
            <w:vAlign w:val="center"/>
          </w:tcPr>
          <w:p w14:paraId="0A82FAD5">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374" w:type="dxa"/>
            <w:noWrap w:val="0"/>
            <w:vAlign w:val="center"/>
          </w:tcPr>
          <w:p w14:paraId="0E1C4163">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596" w:type="dxa"/>
            <w:noWrap w:val="0"/>
            <w:vAlign w:val="center"/>
          </w:tcPr>
          <w:p w14:paraId="7150A922">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0.0022</w:t>
            </w:r>
          </w:p>
        </w:tc>
        <w:tc>
          <w:tcPr>
            <w:tcW w:w="1931" w:type="dxa"/>
            <w:noWrap w:val="0"/>
            <w:vAlign w:val="center"/>
          </w:tcPr>
          <w:p w14:paraId="570AC560">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p>
        </w:tc>
        <w:tc>
          <w:tcPr>
            <w:tcW w:w="1515" w:type="dxa"/>
            <w:noWrap w:val="0"/>
            <w:vAlign w:val="center"/>
          </w:tcPr>
          <w:p w14:paraId="47454BE0">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0.0022</w:t>
            </w:r>
          </w:p>
        </w:tc>
        <w:tc>
          <w:tcPr>
            <w:tcW w:w="2013" w:type="dxa"/>
            <w:noWrap w:val="0"/>
            <w:vAlign w:val="center"/>
          </w:tcPr>
          <w:p w14:paraId="002714E8">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+0.0022</w:t>
            </w:r>
          </w:p>
        </w:tc>
      </w:tr>
      <w:tr w14:paraId="573B8C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6" w:type="dxa"/>
            <w:vMerge w:val="continue"/>
            <w:noWrap w:val="0"/>
            <w:vAlign w:val="center"/>
          </w:tcPr>
          <w:p w14:paraId="30D349C5">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p>
        </w:tc>
        <w:tc>
          <w:tcPr>
            <w:tcW w:w="1402" w:type="dxa"/>
            <w:noWrap w:val="0"/>
            <w:vAlign w:val="center"/>
          </w:tcPr>
          <w:p w14:paraId="48AD0360">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lang w:val="en-US" w:eastAsia="zh-CN"/>
              </w:rPr>
              <w:t>边角料、不合格产品</w:t>
            </w:r>
          </w:p>
        </w:tc>
        <w:tc>
          <w:tcPr>
            <w:tcW w:w="1941" w:type="dxa"/>
            <w:noWrap w:val="0"/>
            <w:vAlign w:val="center"/>
          </w:tcPr>
          <w:p w14:paraId="507823D2">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114" w:type="dxa"/>
            <w:noWrap w:val="0"/>
            <w:vAlign w:val="center"/>
          </w:tcPr>
          <w:p w14:paraId="49C80F55">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374" w:type="dxa"/>
            <w:noWrap w:val="0"/>
            <w:vAlign w:val="center"/>
          </w:tcPr>
          <w:p w14:paraId="5FBCA455">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596" w:type="dxa"/>
            <w:noWrap w:val="0"/>
            <w:vAlign w:val="center"/>
          </w:tcPr>
          <w:p w14:paraId="73350515">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2.415</w:t>
            </w:r>
          </w:p>
        </w:tc>
        <w:tc>
          <w:tcPr>
            <w:tcW w:w="1931" w:type="dxa"/>
            <w:noWrap w:val="0"/>
            <w:vAlign w:val="center"/>
          </w:tcPr>
          <w:p w14:paraId="1C12582F">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515" w:type="dxa"/>
            <w:noWrap w:val="0"/>
            <w:vAlign w:val="center"/>
          </w:tcPr>
          <w:p w14:paraId="0FC35AF2">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2.415</w:t>
            </w:r>
          </w:p>
        </w:tc>
        <w:tc>
          <w:tcPr>
            <w:tcW w:w="2013" w:type="dxa"/>
            <w:noWrap w:val="0"/>
            <w:vAlign w:val="center"/>
          </w:tcPr>
          <w:p w14:paraId="08459913">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w:t>
            </w:r>
            <w:r>
              <w:rPr>
                <w:rFonts w:hint="eastAsia" w:ascii="Times New Roman" w:cs="Times New Roman"/>
                <w:snapToGrid w:val="0"/>
                <w:color w:val="auto"/>
                <w:kern w:val="21"/>
                <w:sz w:val="21"/>
                <w:szCs w:val="21"/>
                <w:lang w:val="en-US" w:eastAsia="zh-CN"/>
              </w:rPr>
              <w:t>2.415</w:t>
            </w:r>
          </w:p>
        </w:tc>
      </w:tr>
      <w:tr w14:paraId="7582A7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6" w:type="dxa"/>
            <w:vMerge w:val="restart"/>
            <w:noWrap w:val="0"/>
            <w:vAlign w:val="center"/>
          </w:tcPr>
          <w:p w14:paraId="19A8613B">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危险废物</w:t>
            </w:r>
          </w:p>
        </w:tc>
        <w:tc>
          <w:tcPr>
            <w:tcW w:w="1402" w:type="dxa"/>
            <w:noWrap w:val="0"/>
            <w:vAlign w:val="center"/>
          </w:tcPr>
          <w:p w14:paraId="7FC75658">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lang w:val="en-US" w:eastAsia="zh-CN"/>
              </w:rPr>
              <w:t>废润滑油</w:t>
            </w:r>
            <w:r>
              <w:rPr>
                <w:rFonts w:hint="eastAsia" w:ascii="Times New Roman" w:hAnsi="Times New Roman" w:cs="Times New Roman"/>
                <w:snapToGrid w:val="0"/>
                <w:color w:val="auto"/>
                <w:kern w:val="21"/>
                <w:sz w:val="21"/>
                <w:szCs w:val="21"/>
                <w:lang w:val="en-US" w:eastAsia="zh-CN"/>
              </w:rPr>
              <w:t>桶</w:t>
            </w:r>
          </w:p>
        </w:tc>
        <w:tc>
          <w:tcPr>
            <w:tcW w:w="1941" w:type="dxa"/>
            <w:noWrap w:val="0"/>
            <w:vAlign w:val="center"/>
          </w:tcPr>
          <w:p w14:paraId="5F79EF65">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114" w:type="dxa"/>
            <w:noWrap w:val="0"/>
            <w:vAlign w:val="center"/>
          </w:tcPr>
          <w:p w14:paraId="5E2261D3">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374" w:type="dxa"/>
            <w:noWrap w:val="0"/>
            <w:vAlign w:val="center"/>
          </w:tcPr>
          <w:p w14:paraId="4F4B35E4">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596" w:type="dxa"/>
            <w:noWrap w:val="0"/>
            <w:vAlign w:val="center"/>
          </w:tcPr>
          <w:p w14:paraId="15DE62C9">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lang w:val="en-US" w:eastAsia="zh-CN"/>
              </w:rPr>
              <w:t>0.0</w:t>
            </w:r>
            <w:r>
              <w:rPr>
                <w:rFonts w:hint="eastAsia" w:ascii="Times New Roman" w:hAnsi="Times New Roman" w:cs="Times New Roman"/>
                <w:snapToGrid w:val="0"/>
                <w:color w:val="auto"/>
                <w:kern w:val="21"/>
                <w:sz w:val="21"/>
                <w:szCs w:val="21"/>
                <w:lang w:val="en-US" w:eastAsia="zh-CN"/>
              </w:rPr>
              <w:t>3</w:t>
            </w:r>
          </w:p>
        </w:tc>
        <w:tc>
          <w:tcPr>
            <w:tcW w:w="1931" w:type="dxa"/>
            <w:noWrap w:val="0"/>
            <w:vAlign w:val="center"/>
          </w:tcPr>
          <w:p w14:paraId="1D3599D3">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515" w:type="dxa"/>
            <w:noWrap w:val="0"/>
            <w:vAlign w:val="center"/>
          </w:tcPr>
          <w:p w14:paraId="437F3428">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lang w:val="en-US" w:eastAsia="zh-CN"/>
              </w:rPr>
              <w:t>0.0</w:t>
            </w:r>
            <w:r>
              <w:rPr>
                <w:rFonts w:hint="eastAsia" w:ascii="Times New Roman" w:hAnsi="Times New Roman" w:cs="Times New Roman"/>
                <w:snapToGrid w:val="0"/>
                <w:color w:val="auto"/>
                <w:kern w:val="21"/>
                <w:sz w:val="21"/>
                <w:szCs w:val="21"/>
                <w:lang w:val="en-US" w:eastAsia="zh-CN"/>
              </w:rPr>
              <w:t>3</w:t>
            </w:r>
          </w:p>
        </w:tc>
        <w:tc>
          <w:tcPr>
            <w:tcW w:w="2013" w:type="dxa"/>
            <w:noWrap w:val="0"/>
            <w:vAlign w:val="center"/>
          </w:tcPr>
          <w:p w14:paraId="450534C1">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+0.03</w:t>
            </w:r>
          </w:p>
        </w:tc>
      </w:tr>
      <w:tr w14:paraId="357EB0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6" w:type="dxa"/>
            <w:vMerge w:val="continue"/>
            <w:noWrap w:val="0"/>
            <w:vAlign w:val="center"/>
          </w:tcPr>
          <w:p w14:paraId="04DDF4CF">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p>
        </w:tc>
        <w:tc>
          <w:tcPr>
            <w:tcW w:w="1402" w:type="dxa"/>
            <w:noWrap w:val="0"/>
            <w:vAlign w:val="center"/>
          </w:tcPr>
          <w:p w14:paraId="67C7BABA">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废活性炭</w:t>
            </w:r>
          </w:p>
        </w:tc>
        <w:tc>
          <w:tcPr>
            <w:tcW w:w="1941" w:type="dxa"/>
            <w:noWrap w:val="0"/>
            <w:vAlign w:val="center"/>
          </w:tcPr>
          <w:p w14:paraId="084BFF47">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114" w:type="dxa"/>
            <w:noWrap w:val="0"/>
            <w:vAlign w:val="center"/>
          </w:tcPr>
          <w:p w14:paraId="61F0BDB9">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374" w:type="dxa"/>
            <w:noWrap w:val="0"/>
            <w:vAlign w:val="center"/>
          </w:tcPr>
          <w:p w14:paraId="5648A614">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596" w:type="dxa"/>
            <w:noWrap w:val="0"/>
            <w:vAlign w:val="center"/>
          </w:tcPr>
          <w:p w14:paraId="5AAC6ACB">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2.0572</w:t>
            </w:r>
          </w:p>
        </w:tc>
        <w:tc>
          <w:tcPr>
            <w:tcW w:w="1931" w:type="dxa"/>
            <w:noWrap w:val="0"/>
            <w:vAlign w:val="center"/>
          </w:tcPr>
          <w:p w14:paraId="6A85062B">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515" w:type="dxa"/>
            <w:noWrap w:val="0"/>
            <w:vAlign w:val="center"/>
          </w:tcPr>
          <w:p w14:paraId="46FA682F">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eastAsia="宋体"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2.0572</w:t>
            </w:r>
          </w:p>
        </w:tc>
        <w:tc>
          <w:tcPr>
            <w:tcW w:w="2013" w:type="dxa"/>
            <w:noWrap w:val="0"/>
            <w:vAlign w:val="center"/>
          </w:tcPr>
          <w:p w14:paraId="50905764">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+2.0572</w:t>
            </w:r>
          </w:p>
        </w:tc>
      </w:tr>
      <w:tr w14:paraId="114D6D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6" w:type="dxa"/>
            <w:vMerge w:val="continue"/>
            <w:noWrap w:val="0"/>
            <w:vAlign w:val="center"/>
          </w:tcPr>
          <w:p w14:paraId="683638F9">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p>
        </w:tc>
        <w:tc>
          <w:tcPr>
            <w:tcW w:w="1402" w:type="dxa"/>
            <w:noWrap w:val="0"/>
            <w:vAlign w:val="center"/>
          </w:tcPr>
          <w:p w14:paraId="78508F09">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eastAsia" w:ascii="Times New Roman" w:hAnsi="Times New Roman" w:cs="Times New Roman"/>
                <w:snapToGrid w:val="0"/>
                <w:color w:val="auto"/>
                <w:kern w:val="21"/>
                <w:sz w:val="21"/>
                <w:szCs w:val="21"/>
                <w:lang w:eastAsia="zh-CN"/>
              </w:rPr>
            </w:pPr>
            <w:r>
              <w:rPr>
                <w:rFonts w:hint="eastAsia" w:ascii="Times New Roman" w:hAnsi="Times New Roman" w:cs="Times New Roman"/>
                <w:snapToGrid w:val="0"/>
                <w:color w:val="auto"/>
                <w:kern w:val="21"/>
                <w:sz w:val="21"/>
                <w:szCs w:val="21"/>
                <w:lang w:eastAsia="zh-CN"/>
              </w:rPr>
              <w:t>废催化剂</w:t>
            </w:r>
          </w:p>
        </w:tc>
        <w:tc>
          <w:tcPr>
            <w:tcW w:w="1941" w:type="dxa"/>
            <w:noWrap w:val="0"/>
            <w:vAlign w:val="center"/>
          </w:tcPr>
          <w:p w14:paraId="51EDA7C8">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w:t>
            </w:r>
          </w:p>
        </w:tc>
        <w:tc>
          <w:tcPr>
            <w:tcW w:w="1114" w:type="dxa"/>
            <w:noWrap w:val="0"/>
            <w:vAlign w:val="center"/>
          </w:tcPr>
          <w:p w14:paraId="303CCDBD">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w:t>
            </w:r>
          </w:p>
        </w:tc>
        <w:tc>
          <w:tcPr>
            <w:tcW w:w="1374" w:type="dxa"/>
            <w:noWrap w:val="0"/>
            <w:vAlign w:val="center"/>
          </w:tcPr>
          <w:p w14:paraId="6B009294">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eastAsia"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w:t>
            </w:r>
          </w:p>
        </w:tc>
        <w:tc>
          <w:tcPr>
            <w:tcW w:w="1596" w:type="dxa"/>
            <w:noWrap w:val="0"/>
            <w:vAlign w:val="center"/>
          </w:tcPr>
          <w:p w14:paraId="5D2D6D6D">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0.02</w:t>
            </w:r>
          </w:p>
        </w:tc>
        <w:tc>
          <w:tcPr>
            <w:tcW w:w="1931" w:type="dxa"/>
            <w:noWrap w:val="0"/>
            <w:vAlign w:val="center"/>
          </w:tcPr>
          <w:p w14:paraId="32D907D3">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w:t>
            </w:r>
          </w:p>
        </w:tc>
        <w:tc>
          <w:tcPr>
            <w:tcW w:w="1515" w:type="dxa"/>
            <w:noWrap w:val="0"/>
            <w:vAlign w:val="center"/>
          </w:tcPr>
          <w:p w14:paraId="4FBC576D">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0.02</w:t>
            </w:r>
          </w:p>
        </w:tc>
        <w:tc>
          <w:tcPr>
            <w:tcW w:w="2013" w:type="dxa"/>
            <w:noWrap w:val="0"/>
            <w:vAlign w:val="center"/>
          </w:tcPr>
          <w:p w14:paraId="2EEEA0C9">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+0.02</w:t>
            </w:r>
          </w:p>
        </w:tc>
      </w:tr>
      <w:tr w14:paraId="234869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6" w:type="dxa"/>
            <w:noWrap w:val="0"/>
            <w:vAlign w:val="center"/>
          </w:tcPr>
          <w:p w14:paraId="196FFE2E">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lang w:val="en-US" w:eastAsia="zh-CN"/>
              </w:rPr>
              <w:t>其他</w:t>
            </w:r>
          </w:p>
        </w:tc>
        <w:tc>
          <w:tcPr>
            <w:tcW w:w="1402" w:type="dxa"/>
            <w:noWrap w:val="0"/>
            <w:vAlign w:val="center"/>
          </w:tcPr>
          <w:p w14:paraId="7C85B074">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lang w:val="en-US" w:eastAsia="zh-CN"/>
              </w:rPr>
              <w:t>生活垃圾</w:t>
            </w:r>
          </w:p>
        </w:tc>
        <w:tc>
          <w:tcPr>
            <w:tcW w:w="1941" w:type="dxa"/>
            <w:noWrap w:val="0"/>
            <w:vAlign w:val="center"/>
          </w:tcPr>
          <w:p w14:paraId="0F390287">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114" w:type="dxa"/>
            <w:noWrap w:val="0"/>
            <w:vAlign w:val="center"/>
          </w:tcPr>
          <w:p w14:paraId="67AE9E44">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374" w:type="dxa"/>
            <w:noWrap w:val="0"/>
            <w:vAlign w:val="center"/>
          </w:tcPr>
          <w:p w14:paraId="44970699">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1596" w:type="dxa"/>
            <w:noWrap w:val="0"/>
            <w:vAlign w:val="center"/>
          </w:tcPr>
          <w:p w14:paraId="12F9D48D">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4.05</w:t>
            </w:r>
          </w:p>
        </w:tc>
        <w:tc>
          <w:tcPr>
            <w:tcW w:w="1931" w:type="dxa"/>
            <w:noWrap w:val="0"/>
            <w:vAlign w:val="center"/>
          </w:tcPr>
          <w:p w14:paraId="601AD758">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1515" w:type="dxa"/>
            <w:noWrap w:val="0"/>
            <w:vAlign w:val="center"/>
          </w:tcPr>
          <w:p w14:paraId="56E4982F">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hAnsi="Times New Roman" w:cs="Times New Roman"/>
                <w:snapToGrid w:val="0"/>
                <w:color w:val="auto"/>
                <w:kern w:val="21"/>
                <w:sz w:val="21"/>
                <w:szCs w:val="21"/>
                <w:lang w:val="en-US" w:eastAsia="zh-CN"/>
              </w:rPr>
              <w:t>4.05</w:t>
            </w:r>
          </w:p>
        </w:tc>
        <w:tc>
          <w:tcPr>
            <w:tcW w:w="2013" w:type="dxa"/>
            <w:noWrap w:val="0"/>
            <w:vAlign w:val="center"/>
          </w:tcPr>
          <w:p w14:paraId="595CEF4D">
            <w:pPr>
              <w:pStyle w:val="6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textAlignment w:val="auto"/>
              <w:rPr>
                <w:rFonts w:hint="default" w:ascii="Times New Roman" w:hAnsi="Times New Roman" w:cs="Times New Roman"/>
                <w:snapToGrid w:val="0"/>
                <w:color w:val="auto"/>
                <w:kern w:val="21"/>
                <w:sz w:val="21"/>
                <w:szCs w:val="21"/>
                <w:lang w:val="en-US" w:eastAsia="zh-CN"/>
              </w:rPr>
            </w:pPr>
            <w:r>
              <w:rPr>
                <w:rFonts w:hint="eastAsia" w:ascii="Times New Roman" w:cs="Times New Roman"/>
                <w:snapToGrid w:val="0"/>
                <w:color w:val="auto"/>
                <w:kern w:val="21"/>
                <w:sz w:val="21"/>
                <w:szCs w:val="21"/>
                <w:lang w:val="en-US" w:eastAsia="zh-CN"/>
              </w:rPr>
              <w:t>+4.05</w:t>
            </w:r>
          </w:p>
        </w:tc>
      </w:tr>
    </w:tbl>
    <w:p w14:paraId="39C747AC">
      <w:pPr>
        <w:pStyle w:val="63"/>
        <w:spacing w:before="192" w:beforeLines="80" w:after="24"/>
        <w:jc w:val="left"/>
        <w:rPr>
          <w:rFonts w:hint="eastAsia" w:ascii="Times New Roman" w:hAnsi="Times New Roman" w:eastAsia="宋体" w:cs="Times New Roman"/>
          <w:snapToGrid w:val="0"/>
          <w:color w:val="000000" w:themeColor="text1"/>
          <w:kern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highlight w:val="none"/>
          <w14:textFill>
            <w14:solidFill>
              <w14:schemeClr w14:val="tx1"/>
            </w14:solidFill>
          </w14:textFill>
        </w:rPr>
        <w:t>注：</w: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kern w:val="21"/>
          <w:highlight w:val="none"/>
          <w14:textFill>
            <w14:solidFill>
              <w14:schemeClr w14:val="tx1"/>
            </w14:solidFill>
          </w14:textFill>
        </w:rPr>
        <w:instrText xml:space="preserve"> = 6 \* GB3 \* MERGEFORMAT </w:instrTex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separate"/>
      </w:r>
      <w:r>
        <w:rPr>
          <w:rFonts w:hint="default" w:ascii="Times New Roman" w:hAnsi="Times New Roman" w:cs="Times New Roman"/>
          <w:color w:val="000000" w:themeColor="text1"/>
          <w:highlight w:val="none"/>
          <w14:textFill>
            <w14:solidFill>
              <w14:schemeClr w14:val="tx1"/>
            </w14:solidFill>
          </w14:textFill>
        </w:rPr>
        <w:t>⑥</w: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kern w:val="21"/>
          <w:highlight w:val="none"/>
          <w14:textFill>
            <w14:solidFill>
              <w14:schemeClr w14:val="tx1"/>
            </w14:solidFill>
          </w14:textFill>
        </w:rPr>
        <w:t>=</w: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kern w:val="21"/>
          <w:highlight w:val="none"/>
          <w14:textFill>
            <w14:solidFill>
              <w14:schemeClr w14:val="tx1"/>
            </w14:solidFill>
          </w14:textFill>
        </w:rPr>
        <w:instrText xml:space="preserve"> = 1 \* GB3 \* MERGEFORMAT </w:instrTex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separate"/>
      </w:r>
      <w:r>
        <w:rPr>
          <w:rFonts w:hint="default" w:ascii="Times New Roman" w:hAnsi="Times New Roman" w:cs="Times New Roman"/>
          <w:color w:val="000000" w:themeColor="text1"/>
          <w:highlight w:val="none"/>
          <w14:textFill>
            <w14:solidFill>
              <w14:schemeClr w14:val="tx1"/>
            </w14:solidFill>
          </w14:textFill>
        </w:rPr>
        <w:t>①</w: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kern w:val="21"/>
          <w:highlight w:val="none"/>
          <w14:textFill>
            <w14:solidFill>
              <w14:schemeClr w14:val="tx1"/>
            </w14:solidFill>
          </w14:textFill>
        </w:rPr>
        <w:t>+</w: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kern w:val="21"/>
          <w:highlight w:val="none"/>
          <w14:textFill>
            <w14:solidFill>
              <w14:schemeClr w14:val="tx1"/>
            </w14:solidFill>
          </w14:textFill>
        </w:rPr>
        <w:instrText xml:space="preserve"> = 3 \* GB3 \* MERGEFORMAT </w:instrTex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separate"/>
      </w:r>
      <w:r>
        <w:rPr>
          <w:rFonts w:hint="default" w:ascii="Times New Roman" w:hAnsi="Times New Roman" w:cs="Times New Roman"/>
          <w:color w:val="000000" w:themeColor="text1"/>
          <w:highlight w:val="none"/>
          <w14:textFill>
            <w14:solidFill>
              <w14:schemeClr w14:val="tx1"/>
            </w14:solidFill>
          </w14:textFill>
        </w:rPr>
        <w:t>③</w: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kern w:val="21"/>
          <w:highlight w:val="none"/>
          <w14:textFill>
            <w14:solidFill>
              <w14:schemeClr w14:val="tx1"/>
            </w14:solidFill>
          </w14:textFill>
        </w:rPr>
        <w:t>+</w: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kern w:val="21"/>
          <w:highlight w:val="none"/>
          <w14:textFill>
            <w14:solidFill>
              <w14:schemeClr w14:val="tx1"/>
            </w14:solidFill>
          </w14:textFill>
        </w:rPr>
        <w:instrText xml:space="preserve"> = 4 \* GB3 \* MERGEFORMAT </w:instrTex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separate"/>
      </w:r>
      <w:r>
        <w:rPr>
          <w:rFonts w:hint="default" w:ascii="Times New Roman" w:hAnsi="Times New Roman" w:cs="Times New Roman"/>
          <w:color w:val="000000" w:themeColor="text1"/>
          <w:highlight w:val="none"/>
          <w14:textFill>
            <w14:solidFill>
              <w14:schemeClr w14:val="tx1"/>
            </w14:solidFill>
          </w14:textFill>
        </w:rPr>
        <w:t>④</w: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kern w:val="21"/>
          <w:highlight w:val="none"/>
          <w14:textFill>
            <w14:solidFill>
              <w14:schemeClr w14:val="tx1"/>
            </w14:solidFill>
          </w14:textFill>
        </w:rPr>
        <w:t>-</w: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kern w:val="21"/>
          <w:highlight w:val="none"/>
          <w14:textFill>
            <w14:solidFill>
              <w14:schemeClr w14:val="tx1"/>
            </w14:solidFill>
          </w14:textFill>
        </w:rPr>
        <w:instrText xml:space="preserve"> = 5 \* GB3 \* MERGEFORMAT </w:instrTex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separate"/>
      </w:r>
      <w:r>
        <w:rPr>
          <w:rFonts w:hint="default" w:ascii="Times New Roman" w:hAnsi="Times New Roman" w:cs="Times New Roman"/>
          <w:color w:val="000000" w:themeColor="text1"/>
          <w:highlight w:val="none"/>
          <w14:textFill>
            <w14:solidFill>
              <w14:schemeClr w14:val="tx1"/>
            </w14:solidFill>
          </w14:textFill>
        </w:rPr>
        <w:t>⑤</w: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kern w:val="21"/>
          <w:highlight w:val="none"/>
          <w14:textFill>
            <w14:solidFill>
              <w14:schemeClr w14:val="tx1"/>
            </w14:solidFill>
          </w14:textFill>
        </w:rPr>
        <w:t>；</w: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kern w:val="21"/>
          <w:highlight w:val="none"/>
          <w14:textFill>
            <w14:solidFill>
              <w14:schemeClr w14:val="tx1"/>
            </w14:solidFill>
          </w14:textFill>
        </w:rPr>
        <w:instrText xml:space="preserve"> = 7 \* GB3 \* MERGEFORMAT </w:instrTex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separate"/>
      </w:r>
      <w:r>
        <w:rPr>
          <w:rFonts w:hint="default" w:ascii="Times New Roman" w:hAnsi="Times New Roman" w:cs="Times New Roman"/>
          <w:color w:val="000000" w:themeColor="text1"/>
          <w:highlight w:val="none"/>
          <w14:textFill>
            <w14:solidFill>
              <w14:schemeClr w14:val="tx1"/>
            </w14:solidFill>
          </w14:textFill>
        </w:rPr>
        <w:t>⑦</w: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kern w:val="21"/>
          <w:highlight w:val="none"/>
          <w14:textFill>
            <w14:solidFill>
              <w14:schemeClr w14:val="tx1"/>
            </w14:solidFill>
          </w14:textFill>
        </w:rPr>
        <w:t>=</w: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kern w:val="21"/>
          <w:highlight w:val="none"/>
          <w14:textFill>
            <w14:solidFill>
              <w14:schemeClr w14:val="tx1"/>
            </w14:solidFill>
          </w14:textFill>
        </w:rPr>
        <w:instrText xml:space="preserve"> = 6 \* GB3 \* MERGEFORMAT </w:instrTex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separate"/>
      </w:r>
      <w:r>
        <w:rPr>
          <w:rFonts w:hint="default" w:ascii="Times New Roman" w:hAnsi="Times New Roman" w:cs="Times New Roman"/>
          <w:color w:val="000000" w:themeColor="text1"/>
          <w:highlight w:val="none"/>
          <w14:textFill>
            <w14:solidFill>
              <w14:schemeClr w14:val="tx1"/>
            </w14:solidFill>
          </w14:textFill>
        </w:rPr>
        <w:t>⑥</w: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kern w:val="21"/>
          <w:highlight w:val="none"/>
          <w14:textFill>
            <w14:solidFill>
              <w14:schemeClr w14:val="tx1"/>
            </w14:solidFill>
          </w14:textFill>
        </w:rPr>
        <w:t>-</w: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kern w:val="21"/>
          <w:highlight w:val="none"/>
          <w14:textFill>
            <w14:solidFill>
              <w14:schemeClr w14:val="tx1"/>
            </w14:solidFill>
          </w14:textFill>
        </w:rPr>
        <w:instrText xml:space="preserve"> = 1 \* GB3 \* MERGEFORMAT </w:instrTex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separate"/>
      </w:r>
      <w:r>
        <w:rPr>
          <w:rFonts w:hint="default" w:ascii="Times New Roman" w:hAnsi="Times New Roman" w:cs="Times New Roman"/>
          <w:color w:val="000000" w:themeColor="text1"/>
          <w:highlight w:val="none"/>
          <w14:textFill>
            <w14:solidFill>
              <w14:schemeClr w14:val="tx1"/>
            </w14:solidFill>
          </w14:textFill>
        </w:rPr>
        <w:t>①</w:t>
      </w:r>
      <w:r>
        <w:rPr>
          <w:rFonts w:hint="default" w:ascii="Times New Roman" w:hAnsi="Times New Roman" w:cs="Times New Roman"/>
          <w:snapToGrid w:val="0"/>
          <w:color w:val="000000" w:themeColor="text1"/>
          <w:kern w:val="21"/>
          <w:highlight w:val="none"/>
          <w14:textFill>
            <w14:solidFill>
              <w14:schemeClr w14:val="tx1"/>
            </w14:solidFill>
          </w14:textFill>
        </w:rPr>
        <w:fldChar w:fldCharType="end"/>
      </w:r>
    </w:p>
    <w:sectPr>
      <w:pgSz w:w="16838" w:h="11905" w:orient="landscape"/>
      <w:pgMar w:top="1501" w:right="1417" w:bottom="1417" w:left="1417" w:header="851" w:footer="1077" w:gutter="0"/>
      <w:pgBorders w:offsetFrom="page">
        <w:top w:val="none" w:sz="0" w:space="0"/>
        <w:left w:val="none" w:sz="0" w:space="0"/>
        <w:bottom w:val="none" w:sz="0" w:space="0"/>
        <w:right w:val="none" w:sz="0" w:space="0"/>
      </w:pgBorders>
      <w:pgNumType w:fmt="decimal"/>
      <w:cols w:space="72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auto"/>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Wingdings 2">
    <w:panose1 w:val="05020102010507070707"/>
    <w:charset w:val="02"/>
    <w:family w:val="auto"/>
    <w:pitch w:val="default"/>
    <w:sig w:usb0="00000000" w:usb1="00000000" w:usb2="00000000" w:usb3="00000000" w:csb0="80000000" w:csb1="00000000"/>
  </w:font>
  <w:font w:name="MS Mincho">
    <w:panose1 w:val="02020609040205080304"/>
    <w:charset w:val="80"/>
    <w:family w:val="modern"/>
    <w:pitch w:val="default"/>
    <w:sig w:usb0="E00002FF" w:usb1="6AC7FDFB" w:usb2="00000012" w:usb3="00000000" w:csb0="4002009F" w:csb1="DFD70000"/>
  </w:font>
  <w:font w:name="Helvetica">
    <w:panose1 w:val="020B0604020202030204"/>
    <w:charset w:val="00"/>
    <w:family w:val="auto"/>
    <w:pitch w:val="default"/>
    <w:sig w:usb0="00000000" w:usb1="00000000" w:usb2="00000000" w:usb3="00000000" w:csb0="00000093" w:csb1="00000000"/>
  </w:font>
  <w:font w:name="Segoe UI">
    <w:panose1 w:val="020B0502040204020203"/>
    <w:charset w:val="00"/>
    <w:family w:val="auto"/>
    <w:pitch w:val="default"/>
    <w:sig w:usb0="E10022FF" w:usb1="C000E47F" w:usb2="00000029" w:usb3="00000000" w:csb0="200001DF" w:csb1="2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C7714">
    <w:pPr>
      <w:pStyle w:val="22"/>
      <w:framePr w:wrap="around" w:vAnchor="text" w:hAnchor="margin" w:xAlign="center" w:y="1"/>
      <w:rPr>
        <w:rStyle w:val="34"/>
      </w:rPr>
    </w:pPr>
    <w:r>
      <w:fldChar w:fldCharType="begin"/>
    </w:r>
    <w:r>
      <w:rPr>
        <w:rStyle w:val="34"/>
      </w:rPr>
      <w:instrText xml:space="preserve">PAGE  </w:instrText>
    </w:r>
    <w:r>
      <w:fldChar w:fldCharType="separate"/>
    </w:r>
    <w:r>
      <w:rPr>
        <w:rStyle w:val="34"/>
      </w:rPr>
      <w:t>3</w:t>
    </w:r>
    <w:r>
      <w:fldChar w:fldCharType="end"/>
    </w:r>
  </w:p>
  <w:p w14:paraId="116A8DFC">
    <w:pPr>
      <w:pStyle w:val="22"/>
      <w:framePr w:wrap="around" w:vAnchor="text" w:hAnchor="margin" w:xAlign="center" w:y="1"/>
      <w:rPr>
        <w:rStyle w:val="34"/>
      </w:rPr>
    </w:pPr>
  </w:p>
  <w:p w14:paraId="3B3010FB">
    <w:pPr>
      <w:pStyle w:val="22"/>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A868A">
    <w:pPr>
      <w:pStyle w:val="2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E2D7C">
    <w:pPr>
      <w:pStyle w:val="2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32621">
    <w:pPr>
      <w:pStyle w:val="22"/>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E3D6DA">
                          <w:pPr>
                            <w:pStyle w:val="22"/>
                            <w:rPr>
                              <w:rStyle w:val="34"/>
                            </w:rPr>
                          </w:pPr>
                          <w:r>
                            <w:fldChar w:fldCharType="begin"/>
                          </w:r>
                          <w:r>
                            <w:rPr>
                              <w:rStyle w:val="34"/>
                            </w:rPr>
                            <w:instrText xml:space="preserve">PAGE  </w:instrText>
                          </w:r>
                          <w:r>
                            <w:fldChar w:fldCharType="separate"/>
                          </w:r>
                          <w:r>
                            <w:rPr>
                              <w:rStyle w:val="34"/>
                            </w:rPr>
                            <w:t>36</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JeCRBrIAQAAmgMAAA4AAAAAAAAAAQAgAAAAHgEAAGRycy9lMm9Eb2Mu&#10;eG1sUEsFBgAAAAAGAAYAWQEAAFgFAAAAAA==&#10;">
              <v:fill on="f" focussize="0,0"/>
              <v:stroke on="f"/>
              <v:imagedata o:title=""/>
              <o:lock v:ext="edit" aspectratio="f"/>
              <v:textbox inset="0mm,0mm,0mm,0mm" style="mso-fit-shape-to-text:t;">
                <w:txbxContent>
                  <w:p w14:paraId="33E3D6DA">
                    <w:pPr>
                      <w:pStyle w:val="22"/>
                      <w:rPr>
                        <w:rStyle w:val="34"/>
                      </w:rPr>
                    </w:pPr>
                    <w:r>
                      <w:fldChar w:fldCharType="begin"/>
                    </w:r>
                    <w:r>
                      <w:rPr>
                        <w:rStyle w:val="34"/>
                      </w:rPr>
                      <w:instrText xml:space="preserve">PAGE  </w:instrText>
                    </w:r>
                    <w:r>
                      <w:fldChar w:fldCharType="separate"/>
                    </w:r>
                    <w:r>
                      <w:rPr>
                        <w:rStyle w:val="34"/>
                      </w:rPr>
                      <w:t>36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D2DA2">
    <w:pPr>
      <w:pStyle w:val="2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EFC283">
                          <w:pPr>
                            <w:pStyle w:val="2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Iy2sYzAEAAJ0DAAAOAAAAAAAAAAEAIAAAAB4BAABkcnMvZTJv&#10;RG9jLnhtbFBLBQYAAAAABgAGAFkBAABcBQAAAAA=&#10;">
              <v:fill on="f" focussize="0,0"/>
              <v:stroke on="f"/>
              <v:imagedata o:title=""/>
              <o:lock v:ext="edit" aspectratio="f"/>
              <v:textbox inset="0mm,0mm,0mm,0mm" style="mso-fit-shape-to-text:t;">
                <w:txbxContent>
                  <w:p w14:paraId="6CEFC283">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0896A">
    <w:pPr>
      <w:pStyle w:val="22"/>
      <w:rPr>
        <w:rStyle w:val="34"/>
        <w:szCs w:val="18"/>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01B4F2">
                          <w:pPr>
                            <w:pStyle w:val="22"/>
                          </w:pPr>
                          <w:r>
                            <w:fldChar w:fldCharType="begin"/>
                          </w:r>
                          <w:r>
                            <w:instrText xml:space="preserve"> PAGE  \* MERGEFORMAT </w:instrText>
                          </w:r>
                          <w:r>
                            <w:fldChar w:fldCharType="separate"/>
                          </w:r>
                          <w:r>
                            <w:t>66</w:t>
                          </w:r>
                          <w: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1i4FuzAEAAJ0DAAAOAAAAAAAAAAEAIAAAAB4BAABkcnMvZTJv&#10;RG9jLnhtbFBLBQYAAAAABgAGAFkBAABcBQAAAAA=&#10;">
              <v:fill on="f" focussize="0,0"/>
              <v:stroke on="f"/>
              <v:imagedata o:title=""/>
              <o:lock v:ext="edit" aspectratio="f"/>
              <v:textbox inset="0mm,0mm,0mm,0mm" style="mso-fit-shape-to-text:t;">
                <w:txbxContent>
                  <w:p w14:paraId="7201B4F2">
                    <w:pPr>
                      <w:pStyle w:val="22"/>
                    </w:pPr>
                    <w:r>
                      <w:fldChar w:fldCharType="begin"/>
                    </w:r>
                    <w:r>
                      <w:instrText xml:space="preserve"> PAGE  \* MERGEFORMAT </w:instrText>
                    </w:r>
                    <w:r>
                      <w:fldChar w:fldCharType="separate"/>
                    </w:r>
                    <w:r>
                      <w:t>66</w:t>
                    </w:r>
                    <w:r>
                      <w:fldChar w:fldCharType="end"/>
                    </w:r>
                  </w:p>
                </w:txbxContent>
              </v:textbox>
            </v:shape>
          </w:pict>
        </mc:Fallback>
      </mc:AlternateContent>
    </w:r>
    <w:r>
      <w:rPr>
        <w:rStyle w:val="34"/>
        <w:rFonts w:hint="eastAsia" w:ascii="宋体" w:hAnsi="宋体"/>
        <w:sz w:val="20"/>
      </w:rPr>
      <w:t xml:space="preserve"> </w:t>
    </w:r>
  </w:p>
  <w:p w14:paraId="6BAEE458">
    <w:pPr>
      <w:pStyle w:val="22"/>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611DD2"/>
    <w:multiLevelType w:val="singleLevel"/>
    <w:tmpl w:val="8E611DD2"/>
    <w:lvl w:ilvl="0" w:tentative="0">
      <w:start w:val="1"/>
      <w:numFmt w:val="decimal"/>
      <w:suff w:val="nothing"/>
      <w:lvlText w:val="（%1）"/>
      <w:lvlJc w:val="left"/>
    </w:lvl>
  </w:abstractNum>
  <w:abstractNum w:abstractNumId="1">
    <w:nsid w:val="9D708F1F"/>
    <w:multiLevelType w:val="singleLevel"/>
    <w:tmpl w:val="9D708F1F"/>
    <w:lvl w:ilvl="0" w:tentative="0">
      <w:start w:val="1"/>
      <w:numFmt w:val="bullet"/>
      <w:pStyle w:val="14"/>
      <w:lvlText w:val=""/>
      <w:lvlJc w:val="left"/>
      <w:pPr>
        <w:tabs>
          <w:tab w:val="left" w:pos="2040"/>
        </w:tabs>
        <w:ind w:left="2040" w:hanging="360"/>
      </w:pPr>
      <w:rPr>
        <w:rFonts w:hint="default" w:ascii="Wingdings" w:hAnsi="Wingdings"/>
      </w:rPr>
    </w:lvl>
  </w:abstractNum>
  <w:abstractNum w:abstractNumId="2">
    <w:nsid w:val="E32ABBBB"/>
    <w:multiLevelType w:val="singleLevel"/>
    <w:tmpl w:val="E32ABBBB"/>
    <w:lvl w:ilvl="0" w:tentative="0">
      <w:start w:val="1"/>
      <w:numFmt w:val="decimal"/>
      <w:suff w:val="nothing"/>
      <w:lvlText w:val="%1、"/>
      <w:lvlJc w:val="left"/>
    </w:lvl>
  </w:abstractNum>
  <w:abstractNum w:abstractNumId="3">
    <w:nsid w:val="00000015"/>
    <w:multiLevelType w:val="multilevel"/>
    <w:tmpl w:val="00000015"/>
    <w:lvl w:ilvl="0" w:tentative="0">
      <w:start w:val="1"/>
      <w:numFmt w:val="decimal"/>
      <w:suff w:val="space"/>
      <w:lvlText w:val="%1"/>
      <w:lvlJc w:val="left"/>
      <w:pPr>
        <w:ind w:left="0" w:firstLine="0"/>
      </w:pPr>
      <w:rPr>
        <w:rFonts w:hint="eastAsia" w:ascii="黑体" w:hAnsi="Times New Roman" w:eastAsia="黑体"/>
        <w:b/>
        <w:i w:val="0"/>
        <w:sz w:val="32"/>
        <w:szCs w:val="32"/>
      </w:rPr>
    </w:lvl>
    <w:lvl w:ilvl="1" w:tentative="0">
      <w:start w:val="2"/>
      <w:numFmt w:val="decimal"/>
      <w:pStyle w:val="3"/>
      <w:suff w:val="space"/>
      <w:lvlText w:val="%1.%2"/>
      <w:lvlJc w:val="left"/>
      <w:pPr>
        <w:ind w:left="0" w:firstLine="0"/>
      </w:pPr>
      <w:rPr>
        <w:rFonts w:ascii="黑体" w:hAnsi="黑体" w:eastAsia="黑体"/>
        <w:sz w:val="28"/>
        <w:szCs w:val="28"/>
      </w:rPr>
    </w:lvl>
    <w:lvl w:ilvl="2" w:tentative="0">
      <w:start w:val="1"/>
      <w:numFmt w:val="decimal"/>
      <w:suff w:val="space"/>
      <w:lvlText w:val="%1.%2.%3"/>
      <w:lvlJc w:val="left"/>
      <w:pPr>
        <w:ind w:left="710" w:firstLine="0"/>
      </w:pPr>
      <w:rPr>
        <w:rFonts w:hint="default" w:ascii="宋体" w:hAnsi="宋体" w:eastAsia="宋体"/>
        <w:b/>
        <w:i w:val="0"/>
        <w:caps w:val="0"/>
        <w:strike w:val="0"/>
        <w:dstrike w:val="0"/>
        <w:outline w:val="0"/>
        <w:shadow w:val="0"/>
        <w:emboss w:val="0"/>
        <w:imprint w:val="0"/>
        <w:snapToGrid w:val="0"/>
        <w:vanish w:val="0"/>
        <w:color w:val="auto"/>
        <w:kern w:val="0"/>
        <w:sz w:val="24"/>
        <w:szCs w:val="24"/>
        <w:u w:val="none"/>
        <w:vertAlign w:val="baseline"/>
      </w:rPr>
    </w:lvl>
    <w:lvl w:ilvl="3" w:tentative="0">
      <w:start w:val="1"/>
      <w:numFmt w:val="decimal"/>
      <w:lvlText w:val="%1.%2.%3.%4"/>
      <w:lvlJc w:val="left"/>
      <w:pPr>
        <w:tabs>
          <w:tab w:val="left" w:pos="1571"/>
        </w:tabs>
        <w:ind w:left="1571" w:hanging="851"/>
      </w:pPr>
      <w:rPr>
        <w:rFonts w:hint="default" w:ascii="Times New Roman" w:hAnsi="Times New Roman"/>
        <w:b w:val="0"/>
        <w:i w:val="0"/>
        <w:sz w:val="24"/>
        <w:szCs w:val="24"/>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782F626D"/>
    <w:multiLevelType w:val="singleLevel"/>
    <w:tmpl w:val="782F626D"/>
    <w:lvl w:ilvl="0" w:tentative="0">
      <w:start w:val="18"/>
      <w:numFmt w:val="decimal"/>
      <w:lvlText w:val="%1."/>
      <w:lvlJc w:val="left"/>
      <w:pPr>
        <w:tabs>
          <w:tab w:val="left" w:pos="312"/>
        </w:tabs>
      </w:pPr>
    </w:lvl>
  </w:abstractNum>
  <w:abstractNum w:abstractNumId="5">
    <w:nsid w:val="7CC1483F"/>
    <w:multiLevelType w:val="multilevel"/>
    <w:tmpl w:val="7CC1483F"/>
    <w:lvl w:ilvl="0" w:tentative="0">
      <w:start w:val="1"/>
      <w:numFmt w:val="decimal"/>
      <w:pStyle w:val="82"/>
      <w:lvlText w:val="表%1"/>
      <w:lvlJc w:val="left"/>
      <w:pPr>
        <w:ind w:left="420" w:hanging="420"/>
      </w:pPr>
      <w:rPr>
        <w:rFonts w:hint="eastAsia"/>
        <w:sz w:val="21"/>
        <w:szCs w:val="21"/>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1"/>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yNzVmNjAzOTliOWNjY2Y4OWE4YTgyZjYxNzVjMmYifQ=="/>
  </w:docVars>
  <w:rsids>
    <w:rsidRoot w:val="00172A27"/>
    <w:rsid w:val="00000CA5"/>
    <w:rsid w:val="00000D56"/>
    <w:rsid w:val="00001C73"/>
    <w:rsid w:val="00002C64"/>
    <w:rsid w:val="000056D9"/>
    <w:rsid w:val="000060B3"/>
    <w:rsid w:val="0000647C"/>
    <w:rsid w:val="00010EC5"/>
    <w:rsid w:val="0001151B"/>
    <w:rsid w:val="00011A1C"/>
    <w:rsid w:val="00011F19"/>
    <w:rsid w:val="00013FE6"/>
    <w:rsid w:val="00014BC8"/>
    <w:rsid w:val="0001527D"/>
    <w:rsid w:val="00015897"/>
    <w:rsid w:val="000159D8"/>
    <w:rsid w:val="0001712D"/>
    <w:rsid w:val="0001786C"/>
    <w:rsid w:val="000178D3"/>
    <w:rsid w:val="00017CD8"/>
    <w:rsid w:val="00017F74"/>
    <w:rsid w:val="00020A11"/>
    <w:rsid w:val="00021EE8"/>
    <w:rsid w:val="00024B32"/>
    <w:rsid w:val="00025119"/>
    <w:rsid w:val="00033D92"/>
    <w:rsid w:val="0003563F"/>
    <w:rsid w:val="0003606D"/>
    <w:rsid w:val="00037449"/>
    <w:rsid w:val="0004106E"/>
    <w:rsid w:val="0004364B"/>
    <w:rsid w:val="0004396A"/>
    <w:rsid w:val="000440BF"/>
    <w:rsid w:val="00046730"/>
    <w:rsid w:val="00046734"/>
    <w:rsid w:val="00047DCF"/>
    <w:rsid w:val="000501DA"/>
    <w:rsid w:val="000509F7"/>
    <w:rsid w:val="00051123"/>
    <w:rsid w:val="0005206C"/>
    <w:rsid w:val="00054D38"/>
    <w:rsid w:val="0005690B"/>
    <w:rsid w:val="00057C65"/>
    <w:rsid w:val="00060C57"/>
    <w:rsid w:val="00061444"/>
    <w:rsid w:val="00061697"/>
    <w:rsid w:val="00061B1F"/>
    <w:rsid w:val="000622B1"/>
    <w:rsid w:val="00063265"/>
    <w:rsid w:val="0006354F"/>
    <w:rsid w:val="00065B22"/>
    <w:rsid w:val="00066C68"/>
    <w:rsid w:val="00070234"/>
    <w:rsid w:val="00070946"/>
    <w:rsid w:val="00070B18"/>
    <w:rsid w:val="0007262C"/>
    <w:rsid w:val="000733C4"/>
    <w:rsid w:val="000734B6"/>
    <w:rsid w:val="000741D4"/>
    <w:rsid w:val="00074783"/>
    <w:rsid w:val="00075A2B"/>
    <w:rsid w:val="00075B7B"/>
    <w:rsid w:val="000764DB"/>
    <w:rsid w:val="000765EF"/>
    <w:rsid w:val="0007737D"/>
    <w:rsid w:val="0008070B"/>
    <w:rsid w:val="00080755"/>
    <w:rsid w:val="000810AC"/>
    <w:rsid w:val="0008123A"/>
    <w:rsid w:val="00081A02"/>
    <w:rsid w:val="00082231"/>
    <w:rsid w:val="0008223F"/>
    <w:rsid w:val="00084F6B"/>
    <w:rsid w:val="00086BB4"/>
    <w:rsid w:val="000879D6"/>
    <w:rsid w:val="00090398"/>
    <w:rsid w:val="0009055E"/>
    <w:rsid w:val="000918DB"/>
    <w:rsid w:val="00091B08"/>
    <w:rsid w:val="00092D38"/>
    <w:rsid w:val="00092D57"/>
    <w:rsid w:val="0009371A"/>
    <w:rsid w:val="0009377B"/>
    <w:rsid w:val="00097077"/>
    <w:rsid w:val="00097FB3"/>
    <w:rsid w:val="000A0E13"/>
    <w:rsid w:val="000A0EE4"/>
    <w:rsid w:val="000A20C9"/>
    <w:rsid w:val="000A2FCF"/>
    <w:rsid w:val="000A37ED"/>
    <w:rsid w:val="000A4308"/>
    <w:rsid w:val="000A5D96"/>
    <w:rsid w:val="000A7095"/>
    <w:rsid w:val="000B02FD"/>
    <w:rsid w:val="000B030F"/>
    <w:rsid w:val="000B058F"/>
    <w:rsid w:val="000B16BF"/>
    <w:rsid w:val="000B2FB6"/>
    <w:rsid w:val="000B4467"/>
    <w:rsid w:val="000B4DB9"/>
    <w:rsid w:val="000B660E"/>
    <w:rsid w:val="000C09AC"/>
    <w:rsid w:val="000C09B8"/>
    <w:rsid w:val="000C0D3C"/>
    <w:rsid w:val="000C3B68"/>
    <w:rsid w:val="000C3D59"/>
    <w:rsid w:val="000C4CB0"/>
    <w:rsid w:val="000C71CF"/>
    <w:rsid w:val="000C767F"/>
    <w:rsid w:val="000C7AF2"/>
    <w:rsid w:val="000D0B28"/>
    <w:rsid w:val="000D1BF7"/>
    <w:rsid w:val="000D5275"/>
    <w:rsid w:val="000D5A44"/>
    <w:rsid w:val="000D79F8"/>
    <w:rsid w:val="000E0928"/>
    <w:rsid w:val="000E1088"/>
    <w:rsid w:val="000E252D"/>
    <w:rsid w:val="000E30AB"/>
    <w:rsid w:val="000E3572"/>
    <w:rsid w:val="000E35EC"/>
    <w:rsid w:val="000E3A98"/>
    <w:rsid w:val="000E3ED2"/>
    <w:rsid w:val="000E4E71"/>
    <w:rsid w:val="000E6633"/>
    <w:rsid w:val="000E7801"/>
    <w:rsid w:val="000E7E70"/>
    <w:rsid w:val="000F01BF"/>
    <w:rsid w:val="000F0C72"/>
    <w:rsid w:val="000F5EAE"/>
    <w:rsid w:val="000F60C2"/>
    <w:rsid w:val="000F757D"/>
    <w:rsid w:val="00102AD0"/>
    <w:rsid w:val="0010481B"/>
    <w:rsid w:val="00104858"/>
    <w:rsid w:val="0010544C"/>
    <w:rsid w:val="00107599"/>
    <w:rsid w:val="001100A8"/>
    <w:rsid w:val="001102FD"/>
    <w:rsid w:val="0011103A"/>
    <w:rsid w:val="0011115E"/>
    <w:rsid w:val="00111E8F"/>
    <w:rsid w:val="00111ED5"/>
    <w:rsid w:val="00111F27"/>
    <w:rsid w:val="00114032"/>
    <w:rsid w:val="0011488E"/>
    <w:rsid w:val="00115095"/>
    <w:rsid w:val="001155DF"/>
    <w:rsid w:val="00117743"/>
    <w:rsid w:val="0012114C"/>
    <w:rsid w:val="00121D3E"/>
    <w:rsid w:val="001221D9"/>
    <w:rsid w:val="00122275"/>
    <w:rsid w:val="00122729"/>
    <w:rsid w:val="0012553F"/>
    <w:rsid w:val="00126230"/>
    <w:rsid w:val="00126640"/>
    <w:rsid w:val="00127D88"/>
    <w:rsid w:val="00131040"/>
    <w:rsid w:val="0013119F"/>
    <w:rsid w:val="00131F42"/>
    <w:rsid w:val="001321F0"/>
    <w:rsid w:val="0013342E"/>
    <w:rsid w:val="00133C83"/>
    <w:rsid w:val="0013508A"/>
    <w:rsid w:val="00135109"/>
    <w:rsid w:val="001356BD"/>
    <w:rsid w:val="001357F1"/>
    <w:rsid w:val="00135FCA"/>
    <w:rsid w:val="00136D30"/>
    <w:rsid w:val="00140643"/>
    <w:rsid w:val="00140B64"/>
    <w:rsid w:val="00140FA8"/>
    <w:rsid w:val="0014245D"/>
    <w:rsid w:val="00142FEB"/>
    <w:rsid w:val="00143A2D"/>
    <w:rsid w:val="00144671"/>
    <w:rsid w:val="0014482B"/>
    <w:rsid w:val="00145A41"/>
    <w:rsid w:val="00145F76"/>
    <w:rsid w:val="001472E2"/>
    <w:rsid w:val="00147569"/>
    <w:rsid w:val="00150416"/>
    <w:rsid w:val="00151013"/>
    <w:rsid w:val="00151675"/>
    <w:rsid w:val="0015398F"/>
    <w:rsid w:val="00153EDF"/>
    <w:rsid w:val="0015402B"/>
    <w:rsid w:val="0015478A"/>
    <w:rsid w:val="001547D0"/>
    <w:rsid w:val="00155CDE"/>
    <w:rsid w:val="00157435"/>
    <w:rsid w:val="0016143D"/>
    <w:rsid w:val="001617D2"/>
    <w:rsid w:val="00162A05"/>
    <w:rsid w:val="0016319E"/>
    <w:rsid w:val="00163D0E"/>
    <w:rsid w:val="00164B22"/>
    <w:rsid w:val="00164ECA"/>
    <w:rsid w:val="00165217"/>
    <w:rsid w:val="00166DA7"/>
    <w:rsid w:val="001676FA"/>
    <w:rsid w:val="00167B7D"/>
    <w:rsid w:val="001713D5"/>
    <w:rsid w:val="001716F3"/>
    <w:rsid w:val="00172223"/>
    <w:rsid w:val="001742B8"/>
    <w:rsid w:val="00174B69"/>
    <w:rsid w:val="00174F55"/>
    <w:rsid w:val="0017504D"/>
    <w:rsid w:val="001757B1"/>
    <w:rsid w:val="00175AA5"/>
    <w:rsid w:val="0017671A"/>
    <w:rsid w:val="00176BBA"/>
    <w:rsid w:val="00177422"/>
    <w:rsid w:val="00177E63"/>
    <w:rsid w:val="00180F19"/>
    <w:rsid w:val="00182B15"/>
    <w:rsid w:val="0018349A"/>
    <w:rsid w:val="00183ABE"/>
    <w:rsid w:val="00183CBC"/>
    <w:rsid w:val="00184590"/>
    <w:rsid w:val="001870D1"/>
    <w:rsid w:val="0018781E"/>
    <w:rsid w:val="00187F47"/>
    <w:rsid w:val="00190F23"/>
    <w:rsid w:val="0019262D"/>
    <w:rsid w:val="00192994"/>
    <w:rsid w:val="0019360A"/>
    <w:rsid w:val="00193BD5"/>
    <w:rsid w:val="00193FBF"/>
    <w:rsid w:val="00194F70"/>
    <w:rsid w:val="00195530"/>
    <w:rsid w:val="001955BE"/>
    <w:rsid w:val="00195B45"/>
    <w:rsid w:val="001960ED"/>
    <w:rsid w:val="001A0E22"/>
    <w:rsid w:val="001A1B35"/>
    <w:rsid w:val="001A277E"/>
    <w:rsid w:val="001A3714"/>
    <w:rsid w:val="001A428D"/>
    <w:rsid w:val="001A4549"/>
    <w:rsid w:val="001A48A2"/>
    <w:rsid w:val="001A5B94"/>
    <w:rsid w:val="001A6783"/>
    <w:rsid w:val="001A6F61"/>
    <w:rsid w:val="001A75D9"/>
    <w:rsid w:val="001A7D7A"/>
    <w:rsid w:val="001B08B6"/>
    <w:rsid w:val="001B0A30"/>
    <w:rsid w:val="001B0EAF"/>
    <w:rsid w:val="001B0F5E"/>
    <w:rsid w:val="001B1386"/>
    <w:rsid w:val="001B1DA8"/>
    <w:rsid w:val="001B3A64"/>
    <w:rsid w:val="001B3ADF"/>
    <w:rsid w:val="001B4A18"/>
    <w:rsid w:val="001B4A61"/>
    <w:rsid w:val="001B6654"/>
    <w:rsid w:val="001B72B8"/>
    <w:rsid w:val="001C25CE"/>
    <w:rsid w:val="001C3F35"/>
    <w:rsid w:val="001C5272"/>
    <w:rsid w:val="001C5B10"/>
    <w:rsid w:val="001C69B3"/>
    <w:rsid w:val="001C7498"/>
    <w:rsid w:val="001C74A7"/>
    <w:rsid w:val="001D0529"/>
    <w:rsid w:val="001D1909"/>
    <w:rsid w:val="001D1F97"/>
    <w:rsid w:val="001D27C5"/>
    <w:rsid w:val="001D31A0"/>
    <w:rsid w:val="001D3A23"/>
    <w:rsid w:val="001D5595"/>
    <w:rsid w:val="001D5E78"/>
    <w:rsid w:val="001D7874"/>
    <w:rsid w:val="001D79A4"/>
    <w:rsid w:val="001D7F22"/>
    <w:rsid w:val="001E0FE1"/>
    <w:rsid w:val="001E143F"/>
    <w:rsid w:val="001E2B07"/>
    <w:rsid w:val="001E3E02"/>
    <w:rsid w:val="001E437A"/>
    <w:rsid w:val="001E57CA"/>
    <w:rsid w:val="001E67B4"/>
    <w:rsid w:val="001E6BE5"/>
    <w:rsid w:val="001E7955"/>
    <w:rsid w:val="001E7F30"/>
    <w:rsid w:val="001F07DA"/>
    <w:rsid w:val="001F0F17"/>
    <w:rsid w:val="001F182F"/>
    <w:rsid w:val="001F3347"/>
    <w:rsid w:val="001F3BAD"/>
    <w:rsid w:val="001F3E34"/>
    <w:rsid w:val="001F5570"/>
    <w:rsid w:val="001F69E4"/>
    <w:rsid w:val="001F6CDE"/>
    <w:rsid w:val="002005A1"/>
    <w:rsid w:val="00200816"/>
    <w:rsid w:val="00202455"/>
    <w:rsid w:val="00205D48"/>
    <w:rsid w:val="00206F41"/>
    <w:rsid w:val="002100D4"/>
    <w:rsid w:val="00210BE9"/>
    <w:rsid w:val="00211A55"/>
    <w:rsid w:val="002125B4"/>
    <w:rsid w:val="002152AE"/>
    <w:rsid w:val="002155B8"/>
    <w:rsid w:val="00217ADD"/>
    <w:rsid w:val="002224AA"/>
    <w:rsid w:val="0022267D"/>
    <w:rsid w:val="002237A5"/>
    <w:rsid w:val="00224839"/>
    <w:rsid w:val="002249B2"/>
    <w:rsid w:val="00225653"/>
    <w:rsid w:val="00225B3E"/>
    <w:rsid w:val="00225DFB"/>
    <w:rsid w:val="00226574"/>
    <w:rsid w:val="002265B2"/>
    <w:rsid w:val="00226A36"/>
    <w:rsid w:val="002278EC"/>
    <w:rsid w:val="00231A31"/>
    <w:rsid w:val="0023280E"/>
    <w:rsid w:val="002331F6"/>
    <w:rsid w:val="002336C9"/>
    <w:rsid w:val="00233B63"/>
    <w:rsid w:val="00233EB7"/>
    <w:rsid w:val="002353CF"/>
    <w:rsid w:val="00235CF1"/>
    <w:rsid w:val="00235E53"/>
    <w:rsid w:val="00237709"/>
    <w:rsid w:val="002377D1"/>
    <w:rsid w:val="00237933"/>
    <w:rsid w:val="00242CB5"/>
    <w:rsid w:val="00243658"/>
    <w:rsid w:val="00243A3D"/>
    <w:rsid w:val="00243E19"/>
    <w:rsid w:val="00245499"/>
    <w:rsid w:val="00245E43"/>
    <w:rsid w:val="0024634F"/>
    <w:rsid w:val="0024757D"/>
    <w:rsid w:val="00250658"/>
    <w:rsid w:val="002506BC"/>
    <w:rsid w:val="00250A48"/>
    <w:rsid w:val="00250DF7"/>
    <w:rsid w:val="0025214B"/>
    <w:rsid w:val="00254345"/>
    <w:rsid w:val="002551DE"/>
    <w:rsid w:val="00261A7B"/>
    <w:rsid w:val="00261F6B"/>
    <w:rsid w:val="00264557"/>
    <w:rsid w:val="0026539A"/>
    <w:rsid w:val="002658C6"/>
    <w:rsid w:val="00266177"/>
    <w:rsid w:val="00266436"/>
    <w:rsid w:val="00267B31"/>
    <w:rsid w:val="00270739"/>
    <w:rsid w:val="00270EE3"/>
    <w:rsid w:val="00272848"/>
    <w:rsid w:val="00272D28"/>
    <w:rsid w:val="00273060"/>
    <w:rsid w:val="002736A6"/>
    <w:rsid w:val="0027410F"/>
    <w:rsid w:val="00274E25"/>
    <w:rsid w:val="00277B73"/>
    <w:rsid w:val="002805AB"/>
    <w:rsid w:val="00281383"/>
    <w:rsid w:val="002817AA"/>
    <w:rsid w:val="00282082"/>
    <w:rsid w:val="0028388B"/>
    <w:rsid w:val="00284204"/>
    <w:rsid w:val="00287049"/>
    <w:rsid w:val="00290BC6"/>
    <w:rsid w:val="00291773"/>
    <w:rsid w:val="00293EE1"/>
    <w:rsid w:val="00294074"/>
    <w:rsid w:val="002948DA"/>
    <w:rsid w:val="002959D0"/>
    <w:rsid w:val="00295AAA"/>
    <w:rsid w:val="00296E83"/>
    <w:rsid w:val="00297ECC"/>
    <w:rsid w:val="002A077B"/>
    <w:rsid w:val="002A0C60"/>
    <w:rsid w:val="002A1635"/>
    <w:rsid w:val="002A168C"/>
    <w:rsid w:val="002A296E"/>
    <w:rsid w:val="002A2A16"/>
    <w:rsid w:val="002A2B6D"/>
    <w:rsid w:val="002A3DC7"/>
    <w:rsid w:val="002A4026"/>
    <w:rsid w:val="002A581F"/>
    <w:rsid w:val="002A5AD1"/>
    <w:rsid w:val="002A63F6"/>
    <w:rsid w:val="002A6434"/>
    <w:rsid w:val="002A687C"/>
    <w:rsid w:val="002A6C24"/>
    <w:rsid w:val="002A7CC3"/>
    <w:rsid w:val="002B12EA"/>
    <w:rsid w:val="002B3D7C"/>
    <w:rsid w:val="002B3F66"/>
    <w:rsid w:val="002B49E2"/>
    <w:rsid w:val="002B6815"/>
    <w:rsid w:val="002B7B00"/>
    <w:rsid w:val="002B7C44"/>
    <w:rsid w:val="002C04FE"/>
    <w:rsid w:val="002C2B17"/>
    <w:rsid w:val="002C2B48"/>
    <w:rsid w:val="002C2B69"/>
    <w:rsid w:val="002C324C"/>
    <w:rsid w:val="002C52EF"/>
    <w:rsid w:val="002C565C"/>
    <w:rsid w:val="002C79AF"/>
    <w:rsid w:val="002D07DF"/>
    <w:rsid w:val="002D0B4B"/>
    <w:rsid w:val="002D22A1"/>
    <w:rsid w:val="002D2C1B"/>
    <w:rsid w:val="002D32A2"/>
    <w:rsid w:val="002D3DD0"/>
    <w:rsid w:val="002D4887"/>
    <w:rsid w:val="002D5342"/>
    <w:rsid w:val="002E1F3A"/>
    <w:rsid w:val="002E298A"/>
    <w:rsid w:val="002E4049"/>
    <w:rsid w:val="002E674A"/>
    <w:rsid w:val="002E67E4"/>
    <w:rsid w:val="002E6FCD"/>
    <w:rsid w:val="002E7028"/>
    <w:rsid w:val="002F0088"/>
    <w:rsid w:val="002F0446"/>
    <w:rsid w:val="002F0E13"/>
    <w:rsid w:val="002F1828"/>
    <w:rsid w:val="002F186F"/>
    <w:rsid w:val="002F1FE3"/>
    <w:rsid w:val="002F2965"/>
    <w:rsid w:val="002F483D"/>
    <w:rsid w:val="002F6238"/>
    <w:rsid w:val="002F63EB"/>
    <w:rsid w:val="002F6A3F"/>
    <w:rsid w:val="002F75C7"/>
    <w:rsid w:val="00300B87"/>
    <w:rsid w:val="00300E44"/>
    <w:rsid w:val="003013DD"/>
    <w:rsid w:val="00301978"/>
    <w:rsid w:val="00302CEB"/>
    <w:rsid w:val="00302D4B"/>
    <w:rsid w:val="0030332C"/>
    <w:rsid w:val="00303648"/>
    <w:rsid w:val="003042CC"/>
    <w:rsid w:val="00304C51"/>
    <w:rsid w:val="003051C2"/>
    <w:rsid w:val="0030605F"/>
    <w:rsid w:val="0030752A"/>
    <w:rsid w:val="003106AF"/>
    <w:rsid w:val="00310A55"/>
    <w:rsid w:val="0031163F"/>
    <w:rsid w:val="00312296"/>
    <w:rsid w:val="003122CA"/>
    <w:rsid w:val="00312399"/>
    <w:rsid w:val="00312F58"/>
    <w:rsid w:val="00314F0E"/>
    <w:rsid w:val="0031573C"/>
    <w:rsid w:val="00317C30"/>
    <w:rsid w:val="0032032D"/>
    <w:rsid w:val="0032095E"/>
    <w:rsid w:val="00321B63"/>
    <w:rsid w:val="00321D8E"/>
    <w:rsid w:val="00325311"/>
    <w:rsid w:val="00325928"/>
    <w:rsid w:val="00327F9D"/>
    <w:rsid w:val="00331624"/>
    <w:rsid w:val="00331672"/>
    <w:rsid w:val="00331D80"/>
    <w:rsid w:val="0033278C"/>
    <w:rsid w:val="00332863"/>
    <w:rsid w:val="00333188"/>
    <w:rsid w:val="00333E44"/>
    <w:rsid w:val="0033684D"/>
    <w:rsid w:val="0033694B"/>
    <w:rsid w:val="003369D9"/>
    <w:rsid w:val="0033793D"/>
    <w:rsid w:val="003379D9"/>
    <w:rsid w:val="00337B42"/>
    <w:rsid w:val="003406B3"/>
    <w:rsid w:val="00341391"/>
    <w:rsid w:val="00341B42"/>
    <w:rsid w:val="00342AF6"/>
    <w:rsid w:val="00342AF7"/>
    <w:rsid w:val="00342CE4"/>
    <w:rsid w:val="00342F58"/>
    <w:rsid w:val="0034314D"/>
    <w:rsid w:val="00343355"/>
    <w:rsid w:val="003433A9"/>
    <w:rsid w:val="0034348F"/>
    <w:rsid w:val="0034586E"/>
    <w:rsid w:val="00345980"/>
    <w:rsid w:val="00345DF3"/>
    <w:rsid w:val="00346143"/>
    <w:rsid w:val="0034691A"/>
    <w:rsid w:val="00346ADC"/>
    <w:rsid w:val="00346BF9"/>
    <w:rsid w:val="00347A9C"/>
    <w:rsid w:val="00350CD1"/>
    <w:rsid w:val="00351C4F"/>
    <w:rsid w:val="00353CE0"/>
    <w:rsid w:val="00354EC8"/>
    <w:rsid w:val="003555CF"/>
    <w:rsid w:val="00355985"/>
    <w:rsid w:val="00355A2C"/>
    <w:rsid w:val="00356653"/>
    <w:rsid w:val="00356BA6"/>
    <w:rsid w:val="00357233"/>
    <w:rsid w:val="0035743F"/>
    <w:rsid w:val="00357BE2"/>
    <w:rsid w:val="0036170C"/>
    <w:rsid w:val="00361FE9"/>
    <w:rsid w:val="00363FEE"/>
    <w:rsid w:val="003642EF"/>
    <w:rsid w:val="00366E0F"/>
    <w:rsid w:val="00367761"/>
    <w:rsid w:val="00367FF9"/>
    <w:rsid w:val="0037213F"/>
    <w:rsid w:val="003733F4"/>
    <w:rsid w:val="0037380F"/>
    <w:rsid w:val="003753A6"/>
    <w:rsid w:val="00376570"/>
    <w:rsid w:val="00376A43"/>
    <w:rsid w:val="00381986"/>
    <w:rsid w:val="00381A72"/>
    <w:rsid w:val="003831DD"/>
    <w:rsid w:val="003840DB"/>
    <w:rsid w:val="0038410A"/>
    <w:rsid w:val="003841E8"/>
    <w:rsid w:val="00384676"/>
    <w:rsid w:val="003846FF"/>
    <w:rsid w:val="0038510D"/>
    <w:rsid w:val="00387FF2"/>
    <w:rsid w:val="00390857"/>
    <w:rsid w:val="00390D09"/>
    <w:rsid w:val="00390D73"/>
    <w:rsid w:val="00391FF2"/>
    <w:rsid w:val="00393A8A"/>
    <w:rsid w:val="00394407"/>
    <w:rsid w:val="00394588"/>
    <w:rsid w:val="00394719"/>
    <w:rsid w:val="00394B78"/>
    <w:rsid w:val="00396B40"/>
    <w:rsid w:val="00396D9C"/>
    <w:rsid w:val="00396F4C"/>
    <w:rsid w:val="00397EC5"/>
    <w:rsid w:val="003A14E4"/>
    <w:rsid w:val="003A22E6"/>
    <w:rsid w:val="003A2364"/>
    <w:rsid w:val="003A2B31"/>
    <w:rsid w:val="003A4BF3"/>
    <w:rsid w:val="003A5FE1"/>
    <w:rsid w:val="003B0B4B"/>
    <w:rsid w:val="003B0E16"/>
    <w:rsid w:val="003B1D28"/>
    <w:rsid w:val="003B1FA5"/>
    <w:rsid w:val="003B23CA"/>
    <w:rsid w:val="003B3B79"/>
    <w:rsid w:val="003B420D"/>
    <w:rsid w:val="003B54F2"/>
    <w:rsid w:val="003B76C5"/>
    <w:rsid w:val="003B794C"/>
    <w:rsid w:val="003B7EF9"/>
    <w:rsid w:val="003C0953"/>
    <w:rsid w:val="003C0A0E"/>
    <w:rsid w:val="003C2A39"/>
    <w:rsid w:val="003C327E"/>
    <w:rsid w:val="003C3811"/>
    <w:rsid w:val="003C5180"/>
    <w:rsid w:val="003C660A"/>
    <w:rsid w:val="003C6C16"/>
    <w:rsid w:val="003D1FFE"/>
    <w:rsid w:val="003D2EBB"/>
    <w:rsid w:val="003D3DAA"/>
    <w:rsid w:val="003D5541"/>
    <w:rsid w:val="003D794D"/>
    <w:rsid w:val="003E1565"/>
    <w:rsid w:val="003E26F9"/>
    <w:rsid w:val="003E3058"/>
    <w:rsid w:val="003E4434"/>
    <w:rsid w:val="003E547F"/>
    <w:rsid w:val="003E5FA7"/>
    <w:rsid w:val="003E6384"/>
    <w:rsid w:val="003E76A9"/>
    <w:rsid w:val="003F0809"/>
    <w:rsid w:val="003F0BEF"/>
    <w:rsid w:val="003F1675"/>
    <w:rsid w:val="003F2082"/>
    <w:rsid w:val="003F2426"/>
    <w:rsid w:val="003F3219"/>
    <w:rsid w:val="003F3622"/>
    <w:rsid w:val="003F3739"/>
    <w:rsid w:val="003F38F0"/>
    <w:rsid w:val="003F6A8C"/>
    <w:rsid w:val="003F755C"/>
    <w:rsid w:val="0040195F"/>
    <w:rsid w:val="00401BD9"/>
    <w:rsid w:val="00401D8F"/>
    <w:rsid w:val="00402261"/>
    <w:rsid w:val="004066B5"/>
    <w:rsid w:val="0040686A"/>
    <w:rsid w:val="00406F01"/>
    <w:rsid w:val="004100D0"/>
    <w:rsid w:val="00411C37"/>
    <w:rsid w:val="00412349"/>
    <w:rsid w:val="00413992"/>
    <w:rsid w:val="004142B8"/>
    <w:rsid w:val="004148CB"/>
    <w:rsid w:val="004155E3"/>
    <w:rsid w:val="00416D50"/>
    <w:rsid w:val="00416FD5"/>
    <w:rsid w:val="00417772"/>
    <w:rsid w:val="004203AA"/>
    <w:rsid w:val="0042052A"/>
    <w:rsid w:val="0042084A"/>
    <w:rsid w:val="00420E6A"/>
    <w:rsid w:val="00421C69"/>
    <w:rsid w:val="00422940"/>
    <w:rsid w:val="00422CD1"/>
    <w:rsid w:val="00425A9E"/>
    <w:rsid w:val="00425D7A"/>
    <w:rsid w:val="00426145"/>
    <w:rsid w:val="00426C39"/>
    <w:rsid w:val="00426D6B"/>
    <w:rsid w:val="00430BB5"/>
    <w:rsid w:val="00431E6C"/>
    <w:rsid w:val="00433CE7"/>
    <w:rsid w:val="00435803"/>
    <w:rsid w:val="00435DD0"/>
    <w:rsid w:val="00436996"/>
    <w:rsid w:val="00436AA9"/>
    <w:rsid w:val="00441BD2"/>
    <w:rsid w:val="00442A0A"/>
    <w:rsid w:val="0044472C"/>
    <w:rsid w:val="004451E6"/>
    <w:rsid w:val="004453A3"/>
    <w:rsid w:val="0044579F"/>
    <w:rsid w:val="004461B5"/>
    <w:rsid w:val="00446C73"/>
    <w:rsid w:val="00450EA2"/>
    <w:rsid w:val="00450FE2"/>
    <w:rsid w:val="00452738"/>
    <w:rsid w:val="00452E71"/>
    <w:rsid w:val="004538F9"/>
    <w:rsid w:val="00455264"/>
    <w:rsid w:val="00456091"/>
    <w:rsid w:val="00457644"/>
    <w:rsid w:val="00460281"/>
    <w:rsid w:val="00464A41"/>
    <w:rsid w:val="00466321"/>
    <w:rsid w:val="00470045"/>
    <w:rsid w:val="00471F50"/>
    <w:rsid w:val="0047371E"/>
    <w:rsid w:val="00476002"/>
    <w:rsid w:val="00477F13"/>
    <w:rsid w:val="00480EF3"/>
    <w:rsid w:val="00483594"/>
    <w:rsid w:val="00483804"/>
    <w:rsid w:val="00484B9B"/>
    <w:rsid w:val="00484DDA"/>
    <w:rsid w:val="00485409"/>
    <w:rsid w:val="0048545F"/>
    <w:rsid w:val="004855F6"/>
    <w:rsid w:val="00485DDA"/>
    <w:rsid w:val="004860CD"/>
    <w:rsid w:val="0048661E"/>
    <w:rsid w:val="00493F6B"/>
    <w:rsid w:val="00494670"/>
    <w:rsid w:val="00494E21"/>
    <w:rsid w:val="00494E45"/>
    <w:rsid w:val="00496310"/>
    <w:rsid w:val="00497121"/>
    <w:rsid w:val="004A1159"/>
    <w:rsid w:val="004A1380"/>
    <w:rsid w:val="004A1712"/>
    <w:rsid w:val="004A1B9E"/>
    <w:rsid w:val="004A2434"/>
    <w:rsid w:val="004A27D6"/>
    <w:rsid w:val="004A3823"/>
    <w:rsid w:val="004A3C39"/>
    <w:rsid w:val="004A41A5"/>
    <w:rsid w:val="004A46D3"/>
    <w:rsid w:val="004A4CC8"/>
    <w:rsid w:val="004A505C"/>
    <w:rsid w:val="004A6804"/>
    <w:rsid w:val="004A7180"/>
    <w:rsid w:val="004B0A39"/>
    <w:rsid w:val="004B0B1C"/>
    <w:rsid w:val="004B29E3"/>
    <w:rsid w:val="004B39BD"/>
    <w:rsid w:val="004B3B60"/>
    <w:rsid w:val="004B5F15"/>
    <w:rsid w:val="004B63B0"/>
    <w:rsid w:val="004B68EC"/>
    <w:rsid w:val="004C0CCE"/>
    <w:rsid w:val="004C1756"/>
    <w:rsid w:val="004C1843"/>
    <w:rsid w:val="004C2AF2"/>
    <w:rsid w:val="004C40EE"/>
    <w:rsid w:val="004C51E5"/>
    <w:rsid w:val="004C53EB"/>
    <w:rsid w:val="004C7943"/>
    <w:rsid w:val="004D0425"/>
    <w:rsid w:val="004D263D"/>
    <w:rsid w:val="004D58F0"/>
    <w:rsid w:val="004D7F52"/>
    <w:rsid w:val="004E1D9A"/>
    <w:rsid w:val="004E3DC3"/>
    <w:rsid w:val="004E6946"/>
    <w:rsid w:val="004E6DC9"/>
    <w:rsid w:val="004E70FB"/>
    <w:rsid w:val="004E7D9F"/>
    <w:rsid w:val="004F0C21"/>
    <w:rsid w:val="004F1197"/>
    <w:rsid w:val="004F14E0"/>
    <w:rsid w:val="004F1AD8"/>
    <w:rsid w:val="004F5D13"/>
    <w:rsid w:val="004F5F66"/>
    <w:rsid w:val="004F7592"/>
    <w:rsid w:val="0050160E"/>
    <w:rsid w:val="00501DFF"/>
    <w:rsid w:val="00502311"/>
    <w:rsid w:val="0050275F"/>
    <w:rsid w:val="005039CB"/>
    <w:rsid w:val="005042BC"/>
    <w:rsid w:val="00504D31"/>
    <w:rsid w:val="0050558F"/>
    <w:rsid w:val="00505B4F"/>
    <w:rsid w:val="00506286"/>
    <w:rsid w:val="00507490"/>
    <w:rsid w:val="005078CD"/>
    <w:rsid w:val="00510813"/>
    <w:rsid w:val="00511146"/>
    <w:rsid w:val="005115A8"/>
    <w:rsid w:val="005116CA"/>
    <w:rsid w:val="00511990"/>
    <w:rsid w:val="00511DE0"/>
    <w:rsid w:val="00514870"/>
    <w:rsid w:val="00514B9B"/>
    <w:rsid w:val="00516909"/>
    <w:rsid w:val="005170BD"/>
    <w:rsid w:val="00517F02"/>
    <w:rsid w:val="005202D3"/>
    <w:rsid w:val="0052143C"/>
    <w:rsid w:val="005228CD"/>
    <w:rsid w:val="00523906"/>
    <w:rsid w:val="00524303"/>
    <w:rsid w:val="00524404"/>
    <w:rsid w:val="005254B6"/>
    <w:rsid w:val="005258A2"/>
    <w:rsid w:val="00525E7A"/>
    <w:rsid w:val="005268C2"/>
    <w:rsid w:val="005269A7"/>
    <w:rsid w:val="00527067"/>
    <w:rsid w:val="00527308"/>
    <w:rsid w:val="00530272"/>
    <w:rsid w:val="0053166D"/>
    <w:rsid w:val="00531B80"/>
    <w:rsid w:val="005321EB"/>
    <w:rsid w:val="00532E38"/>
    <w:rsid w:val="00533312"/>
    <w:rsid w:val="005366BC"/>
    <w:rsid w:val="005401AE"/>
    <w:rsid w:val="00542E07"/>
    <w:rsid w:val="00543301"/>
    <w:rsid w:val="005433CD"/>
    <w:rsid w:val="0054356B"/>
    <w:rsid w:val="005445AD"/>
    <w:rsid w:val="00545424"/>
    <w:rsid w:val="005456D9"/>
    <w:rsid w:val="00545BCC"/>
    <w:rsid w:val="0054679C"/>
    <w:rsid w:val="005468D2"/>
    <w:rsid w:val="00546C04"/>
    <w:rsid w:val="0054707C"/>
    <w:rsid w:val="005500FD"/>
    <w:rsid w:val="00551783"/>
    <w:rsid w:val="005519D4"/>
    <w:rsid w:val="00551E9A"/>
    <w:rsid w:val="005528DC"/>
    <w:rsid w:val="00552E4D"/>
    <w:rsid w:val="005530F3"/>
    <w:rsid w:val="005531A2"/>
    <w:rsid w:val="00554A7B"/>
    <w:rsid w:val="00554BC3"/>
    <w:rsid w:val="0055572C"/>
    <w:rsid w:val="005572BB"/>
    <w:rsid w:val="00557399"/>
    <w:rsid w:val="00557C79"/>
    <w:rsid w:val="00560941"/>
    <w:rsid w:val="0056106A"/>
    <w:rsid w:val="00561D58"/>
    <w:rsid w:val="005623BF"/>
    <w:rsid w:val="005635D6"/>
    <w:rsid w:val="00564815"/>
    <w:rsid w:val="0056682B"/>
    <w:rsid w:val="00566F96"/>
    <w:rsid w:val="005711AE"/>
    <w:rsid w:val="005720AE"/>
    <w:rsid w:val="0057286E"/>
    <w:rsid w:val="00573348"/>
    <w:rsid w:val="00573E7A"/>
    <w:rsid w:val="005751E5"/>
    <w:rsid w:val="00575503"/>
    <w:rsid w:val="00576B8D"/>
    <w:rsid w:val="00576F75"/>
    <w:rsid w:val="00577684"/>
    <w:rsid w:val="00577718"/>
    <w:rsid w:val="00577A39"/>
    <w:rsid w:val="00580260"/>
    <w:rsid w:val="005814FF"/>
    <w:rsid w:val="005833A4"/>
    <w:rsid w:val="00583C5A"/>
    <w:rsid w:val="0058719C"/>
    <w:rsid w:val="00590645"/>
    <w:rsid w:val="00590BD2"/>
    <w:rsid w:val="00590D35"/>
    <w:rsid w:val="0059107D"/>
    <w:rsid w:val="00591423"/>
    <w:rsid w:val="00591B1A"/>
    <w:rsid w:val="0059277A"/>
    <w:rsid w:val="00593421"/>
    <w:rsid w:val="00594382"/>
    <w:rsid w:val="00594D77"/>
    <w:rsid w:val="005962DB"/>
    <w:rsid w:val="005969E4"/>
    <w:rsid w:val="00596D8C"/>
    <w:rsid w:val="00597808"/>
    <w:rsid w:val="00597A32"/>
    <w:rsid w:val="005A06B7"/>
    <w:rsid w:val="005A09F1"/>
    <w:rsid w:val="005A11CF"/>
    <w:rsid w:val="005A1759"/>
    <w:rsid w:val="005A20DB"/>
    <w:rsid w:val="005A287B"/>
    <w:rsid w:val="005A68A7"/>
    <w:rsid w:val="005B0247"/>
    <w:rsid w:val="005B17C3"/>
    <w:rsid w:val="005B23E6"/>
    <w:rsid w:val="005B3700"/>
    <w:rsid w:val="005B3A47"/>
    <w:rsid w:val="005B69C5"/>
    <w:rsid w:val="005C0A1D"/>
    <w:rsid w:val="005C1E2F"/>
    <w:rsid w:val="005C3FD8"/>
    <w:rsid w:val="005C3FE0"/>
    <w:rsid w:val="005C68D9"/>
    <w:rsid w:val="005C6BA7"/>
    <w:rsid w:val="005C6CAF"/>
    <w:rsid w:val="005D02A1"/>
    <w:rsid w:val="005D144F"/>
    <w:rsid w:val="005D1B16"/>
    <w:rsid w:val="005D36AB"/>
    <w:rsid w:val="005D43D4"/>
    <w:rsid w:val="005D4D20"/>
    <w:rsid w:val="005D4FB5"/>
    <w:rsid w:val="005D5396"/>
    <w:rsid w:val="005D5410"/>
    <w:rsid w:val="005D5D9A"/>
    <w:rsid w:val="005D6A36"/>
    <w:rsid w:val="005D7BF9"/>
    <w:rsid w:val="005D7CD6"/>
    <w:rsid w:val="005D7F5C"/>
    <w:rsid w:val="005E01BA"/>
    <w:rsid w:val="005E2F06"/>
    <w:rsid w:val="005E3C4B"/>
    <w:rsid w:val="005E41FD"/>
    <w:rsid w:val="005E439B"/>
    <w:rsid w:val="005E4435"/>
    <w:rsid w:val="005E5844"/>
    <w:rsid w:val="005E5C1D"/>
    <w:rsid w:val="005E5C27"/>
    <w:rsid w:val="005E5DAE"/>
    <w:rsid w:val="005F1498"/>
    <w:rsid w:val="005F23E4"/>
    <w:rsid w:val="005F2DAE"/>
    <w:rsid w:val="005F38D4"/>
    <w:rsid w:val="005F3CC4"/>
    <w:rsid w:val="005F56DE"/>
    <w:rsid w:val="005F6F2F"/>
    <w:rsid w:val="0060075C"/>
    <w:rsid w:val="00600906"/>
    <w:rsid w:val="00601243"/>
    <w:rsid w:val="0060124F"/>
    <w:rsid w:val="0060268D"/>
    <w:rsid w:val="006029EA"/>
    <w:rsid w:val="0060516C"/>
    <w:rsid w:val="006054B0"/>
    <w:rsid w:val="006074FE"/>
    <w:rsid w:val="00607F3F"/>
    <w:rsid w:val="00610A1D"/>
    <w:rsid w:val="00611F73"/>
    <w:rsid w:val="00612D10"/>
    <w:rsid w:val="00613626"/>
    <w:rsid w:val="00615DB4"/>
    <w:rsid w:val="006166CB"/>
    <w:rsid w:val="00617BB7"/>
    <w:rsid w:val="00617CC3"/>
    <w:rsid w:val="00617E08"/>
    <w:rsid w:val="00620DED"/>
    <w:rsid w:val="00621638"/>
    <w:rsid w:val="00621B55"/>
    <w:rsid w:val="00622B8B"/>
    <w:rsid w:val="006230B6"/>
    <w:rsid w:val="00623A05"/>
    <w:rsid w:val="00624C8A"/>
    <w:rsid w:val="00626CD9"/>
    <w:rsid w:val="0062742F"/>
    <w:rsid w:val="006278B3"/>
    <w:rsid w:val="006324C6"/>
    <w:rsid w:val="00632FE4"/>
    <w:rsid w:val="0063579D"/>
    <w:rsid w:val="00635A03"/>
    <w:rsid w:val="00636B3D"/>
    <w:rsid w:val="00637093"/>
    <w:rsid w:val="006377A6"/>
    <w:rsid w:val="0063790B"/>
    <w:rsid w:val="00637A3D"/>
    <w:rsid w:val="00637D87"/>
    <w:rsid w:val="00640233"/>
    <w:rsid w:val="00640A0F"/>
    <w:rsid w:val="006411EF"/>
    <w:rsid w:val="006450B8"/>
    <w:rsid w:val="006454DD"/>
    <w:rsid w:val="006455CD"/>
    <w:rsid w:val="00646410"/>
    <w:rsid w:val="0064798D"/>
    <w:rsid w:val="0065013D"/>
    <w:rsid w:val="00650509"/>
    <w:rsid w:val="006515FF"/>
    <w:rsid w:val="006533F6"/>
    <w:rsid w:val="0065483A"/>
    <w:rsid w:val="00654EBE"/>
    <w:rsid w:val="006556A8"/>
    <w:rsid w:val="00655CA4"/>
    <w:rsid w:val="006570F1"/>
    <w:rsid w:val="00657615"/>
    <w:rsid w:val="00660724"/>
    <w:rsid w:val="006617F4"/>
    <w:rsid w:val="0066223A"/>
    <w:rsid w:val="006638EF"/>
    <w:rsid w:val="00663DE6"/>
    <w:rsid w:val="0066408C"/>
    <w:rsid w:val="00664287"/>
    <w:rsid w:val="00666891"/>
    <w:rsid w:val="00666F8B"/>
    <w:rsid w:val="006670D6"/>
    <w:rsid w:val="00670CEE"/>
    <w:rsid w:val="006715B7"/>
    <w:rsid w:val="00673907"/>
    <w:rsid w:val="00673E02"/>
    <w:rsid w:val="006748B8"/>
    <w:rsid w:val="0067506D"/>
    <w:rsid w:val="0067537F"/>
    <w:rsid w:val="006759C9"/>
    <w:rsid w:val="006764A4"/>
    <w:rsid w:val="00676D76"/>
    <w:rsid w:val="00676F73"/>
    <w:rsid w:val="006775C3"/>
    <w:rsid w:val="006776D1"/>
    <w:rsid w:val="0068473E"/>
    <w:rsid w:val="00685153"/>
    <w:rsid w:val="006861B9"/>
    <w:rsid w:val="00687008"/>
    <w:rsid w:val="00687DC2"/>
    <w:rsid w:val="00691871"/>
    <w:rsid w:val="006918AA"/>
    <w:rsid w:val="0069290A"/>
    <w:rsid w:val="0069292B"/>
    <w:rsid w:val="006954C6"/>
    <w:rsid w:val="0069566D"/>
    <w:rsid w:val="00695F0D"/>
    <w:rsid w:val="00696794"/>
    <w:rsid w:val="00696989"/>
    <w:rsid w:val="006974A1"/>
    <w:rsid w:val="0069775A"/>
    <w:rsid w:val="00697813"/>
    <w:rsid w:val="006A01A3"/>
    <w:rsid w:val="006A190B"/>
    <w:rsid w:val="006A19EE"/>
    <w:rsid w:val="006A1DD9"/>
    <w:rsid w:val="006A271A"/>
    <w:rsid w:val="006A2E3D"/>
    <w:rsid w:val="006A3EE8"/>
    <w:rsid w:val="006A5E98"/>
    <w:rsid w:val="006A72BF"/>
    <w:rsid w:val="006A7332"/>
    <w:rsid w:val="006A75B0"/>
    <w:rsid w:val="006B03F2"/>
    <w:rsid w:val="006B074B"/>
    <w:rsid w:val="006B07E0"/>
    <w:rsid w:val="006B1138"/>
    <w:rsid w:val="006B158C"/>
    <w:rsid w:val="006B36DE"/>
    <w:rsid w:val="006B37DC"/>
    <w:rsid w:val="006B48EF"/>
    <w:rsid w:val="006B4F68"/>
    <w:rsid w:val="006B5198"/>
    <w:rsid w:val="006B66EC"/>
    <w:rsid w:val="006B6B19"/>
    <w:rsid w:val="006C0592"/>
    <w:rsid w:val="006C07F3"/>
    <w:rsid w:val="006C0DE6"/>
    <w:rsid w:val="006C272E"/>
    <w:rsid w:val="006C3A9D"/>
    <w:rsid w:val="006C5479"/>
    <w:rsid w:val="006D055F"/>
    <w:rsid w:val="006D058A"/>
    <w:rsid w:val="006D06A8"/>
    <w:rsid w:val="006D13B5"/>
    <w:rsid w:val="006D13DB"/>
    <w:rsid w:val="006D1968"/>
    <w:rsid w:val="006D505C"/>
    <w:rsid w:val="006D6985"/>
    <w:rsid w:val="006D6B4F"/>
    <w:rsid w:val="006E025E"/>
    <w:rsid w:val="006E12FF"/>
    <w:rsid w:val="006E19C9"/>
    <w:rsid w:val="006E296E"/>
    <w:rsid w:val="006E607E"/>
    <w:rsid w:val="006F024A"/>
    <w:rsid w:val="006F0AAB"/>
    <w:rsid w:val="006F1256"/>
    <w:rsid w:val="006F20FD"/>
    <w:rsid w:val="006F2D26"/>
    <w:rsid w:val="006F32A6"/>
    <w:rsid w:val="006F4D93"/>
    <w:rsid w:val="00701098"/>
    <w:rsid w:val="007024A1"/>
    <w:rsid w:val="00702FD3"/>
    <w:rsid w:val="007035F8"/>
    <w:rsid w:val="007041EA"/>
    <w:rsid w:val="00706358"/>
    <w:rsid w:val="00706C5D"/>
    <w:rsid w:val="007074C0"/>
    <w:rsid w:val="00711E40"/>
    <w:rsid w:val="00712C67"/>
    <w:rsid w:val="00715DD0"/>
    <w:rsid w:val="00716394"/>
    <w:rsid w:val="00716B62"/>
    <w:rsid w:val="0071773E"/>
    <w:rsid w:val="00717FF6"/>
    <w:rsid w:val="00720500"/>
    <w:rsid w:val="00721F54"/>
    <w:rsid w:val="007239FF"/>
    <w:rsid w:val="00724E66"/>
    <w:rsid w:val="007256C1"/>
    <w:rsid w:val="00725E73"/>
    <w:rsid w:val="00726CBC"/>
    <w:rsid w:val="00727F0A"/>
    <w:rsid w:val="00730132"/>
    <w:rsid w:val="0073106E"/>
    <w:rsid w:val="00732922"/>
    <w:rsid w:val="0073571E"/>
    <w:rsid w:val="00737061"/>
    <w:rsid w:val="007406FC"/>
    <w:rsid w:val="00741349"/>
    <w:rsid w:val="00746619"/>
    <w:rsid w:val="00750FD2"/>
    <w:rsid w:val="0075162E"/>
    <w:rsid w:val="00751C78"/>
    <w:rsid w:val="00753132"/>
    <w:rsid w:val="00753652"/>
    <w:rsid w:val="007536C3"/>
    <w:rsid w:val="00753CC6"/>
    <w:rsid w:val="00754034"/>
    <w:rsid w:val="0075411F"/>
    <w:rsid w:val="00754360"/>
    <w:rsid w:val="0075439A"/>
    <w:rsid w:val="00754A3F"/>
    <w:rsid w:val="00755420"/>
    <w:rsid w:val="00756556"/>
    <w:rsid w:val="007565B2"/>
    <w:rsid w:val="00757974"/>
    <w:rsid w:val="0076032B"/>
    <w:rsid w:val="007616D8"/>
    <w:rsid w:val="007618C4"/>
    <w:rsid w:val="007642C4"/>
    <w:rsid w:val="00764587"/>
    <w:rsid w:val="00764A69"/>
    <w:rsid w:val="0076527D"/>
    <w:rsid w:val="0076542A"/>
    <w:rsid w:val="00765465"/>
    <w:rsid w:val="007655D6"/>
    <w:rsid w:val="00765E26"/>
    <w:rsid w:val="007668F0"/>
    <w:rsid w:val="007669E3"/>
    <w:rsid w:val="00767980"/>
    <w:rsid w:val="00770B19"/>
    <w:rsid w:val="0077188C"/>
    <w:rsid w:val="00773BA9"/>
    <w:rsid w:val="00773E01"/>
    <w:rsid w:val="0077426C"/>
    <w:rsid w:val="0077438F"/>
    <w:rsid w:val="0077463F"/>
    <w:rsid w:val="00774651"/>
    <w:rsid w:val="00775377"/>
    <w:rsid w:val="00775822"/>
    <w:rsid w:val="007761E7"/>
    <w:rsid w:val="00781AB5"/>
    <w:rsid w:val="00781B9D"/>
    <w:rsid w:val="00782497"/>
    <w:rsid w:val="007826EA"/>
    <w:rsid w:val="00782719"/>
    <w:rsid w:val="007835FF"/>
    <w:rsid w:val="007836EA"/>
    <w:rsid w:val="00783A5A"/>
    <w:rsid w:val="00784CDA"/>
    <w:rsid w:val="00786B9A"/>
    <w:rsid w:val="00786D72"/>
    <w:rsid w:val="0079043B"/>
    <w:rsid w:val="007906C4"/>
    <w:rsid w:val="00791186"/>
    <w:rsid w:val="007922C7"/>
    <w:rsid w:val="007940EA"/>
    <w:rsid w:val="00795A45"/>
    <w:rsid w:val="00795AB1"/>
    <w:rsid w:val="00795F41"/>
    <w:rsid w:val="007967E8"/>
    <w:rsid w:val="007A1606"/>
    <w:rsid w:val="007A2170"/>
    <w:rsid w:val="007A22BF"/>
    <w:rsid w:val="007A2493"/>
    <w:rsid w:val="007A2EB9"/>
    <w:rsid w:val="007A3323"/>
    <w:rsid w:val="007A3346"/>
    <w:rsid w:val="007A3406"/>
    <w:rsid w:val="007A3A8F"/>
    <w:rsid w:val="007A4315"/>
    <w:rsid w:val="007A63A6"/>
    <w:rsid w:val="007A6597"/>
    <w:rsid w:val="007A73C7"/>
    <w:rsid w:val="007B07EA"/>
    <w:rsid w:val="007B132F"/>
    <w:rsid w:val="007B1D71"/>
    <w:rsid w:val="007B1E7F"/>
    <w:rsid w:val="007B292E"/>
    <w:rsid w:val="007B3CC8"/>
    <w:rsid w:val="007B5BEB"/>
    <w:rsid w:val="007B72B8"/>
    <w:rsid w:val="007B7A58"/>
    <w:rsid w:val="007C0353"/>
    <w:rsid w:val="007C0966"/>
    <w:rsid w:val="007C0CF4"/>
    <w:rsid w:val="007C21B5"/>
    <w:rsid w:val="007C25DB"/>
    <w:rsid w:val="007C3988"/>
    <w:rsid w:val="007C4082"/>
    <w:rsid w:val="007C5C72"/>
    <w:rsid w:val="007D0AEB"/>
    <w:rsid w:val="007D2A72"/>
    <w:rsid w:val="007D32EA"/>
    <w:rsid w:val="007D385E"/>
    <w:rsid w:val="007D4DA8"/>
    <w:rsid w:val="007D667A"/>
    <w:rsid w:val="007D7098"/>
    <w:rsid w:val="007E1B16"/>
    <w:rsid w:val="007E23FF"/>
    <w:rsid w:val="007E2492"/>
    <w:rsid w:val="007E46D5"/>
    <w:rsid w:val="007E4AC0"/>
    <w:rsid w:val="007E4BD2"/>
    <w:rsid w:val="007E5AE7"/>
    <w:rsid w:val="007E6619"/>
    <w:rsid w:val="007F3694"/>
    <w:rsid w:val="007F4730"/>
    <w:rsid w:val="007F5046"/>
    <w:rsid w:val="007F5E38"/>
    <w:rsid w:val="007F60B6"/>
    <w:rsid w:val="007F6444"/>
    <w:rsid w:val="007F6469"/>
    <w:rsid w:val="007F688C"/>
    <w:rsid w:val="007F70C8"/>
    <w:rsid w:val="007F7C5E"/>
    <w:rsid w:val="00801393"/>
    <w:rsid w:val="0080261A"/>
    <w:rsid w:val="00802D97"/>
    <w:rsid w:val="00802F88"/>
    <w:rsid w:val="00805671"/>
    <w:rsid w:val="00805BCE"/>
    <w:rsid w:val="0080697C"/>
    <w:rsid w:val="00810998"/>
    <w:rsid w:val="00812406"/>
    <w:rsid w:val="0081293E"/>
    <w:rsid w:val="00812B82"/>
    <w:rsid w:val="00813396"/>
    <w:rsid w:val="00813489"/>
    <w:rsid w:val="0081352D"/>
    <w:rsid w:val="008141D1"/>
    <w:rsid w:val="00815465"/>
    <w:rsid w:val="008161E3"/>
    <w:rsid w:val="00816A1C"/>
    <w:rsid w:val="00817E9A"/>
    <w:rsid w:val="00820FBC"/>
    <w:rsid w:val="00822C69"/>
    <w:rsid w:val="008306BD"/>
    <w:rsid w:val="008306EB"/>
    <w:rsid w:val="00830E81"/>
    <w:rsid w:val="00831A80"/>
    <w:rsid w:val="00831C33"/>
    <w:rsid w:val="00833743"/>
    <w:rsid w:val="008339FC"/>
    <w:rsid w:val="008340A4"/>
    <w:rsid w:val="00834165"/>
    <w:rsid w:val="00835453"/>
    <w:rsid w:val="008356D1"/>
    <w:rsid w:val="008362CA"/>
    <w:rsid w:val="008402FE"/>
    <w:rsid w:val="00840669"/>
    <w:rsid w:val="008408D8"/>
    <w:rsid w:val="00843216"/>
    <w:rsid w:val="00843A11"/>
    <w:rsid w:val="008442AB"/>
    <w:rsid w:val="0084446B"/>
    <w:rsid w:val="00844A21"/>
    <w:rsid w:val="0084573B"/>
    <w:rsid w:val="008467B9"/>
    <w:rsid w:val="00846EA0"/>
    <w:rsid w:val="00847313"/>
    <w:rsid w:val="0085017C"/>
    <w:rsid w:val="00855E59"/>
    <w:rsid w:val="00856295"/>
    <w:rsid w:val="008612AA"/>
    <w:rsid w:val="008616BD"/>
    <w:rsid w:val="00861F80"/>
    <w:rsid w:val="008658C0"/>
    <w:rsid w:val="00865D12"/>
    <w:rsid w:val="008669C2"/>
    <w:rsid w:val="00866FF4"/>
    <w:rsid w:val="00870293"/>
    <w:rsid w:val="008712D0"/>
    <w:rsid w:val="0087135F"/>
    <w:rsid w:val="00871959"/>
    <w:rsid w:val="00871B6E"/>
    <w:rsid w:val="00872B46"/>
    <w:rsid w:val="00872D94"/>
    <w:rsid w:val="0087531C"/>
    <w:rsid w:val="00875760"/>
    <w:rsid w:val="00875ECB"/>
    <w:rsid w:val="00876175"/>
    <w:rsid w:val="008779E5"/>
    <w:rsid w:val="00880364"/>
    <w:rsid w:val="00882851"/>
    <w:rsid w:val="008829DA"/>
    <w:rsid w:val="00891592"/>
    <w:rsid w:val="00891A8B"/>
    <w:rsid w:val="00891E9E"/>
    <w:rsid w:val="00893267"/>
    <w:rsid w:val="008A1E90"/>
    <w:rsid w:val="008A2F68"/>
    <w:rsid w:val="008A321D"/>
    <w:rsid w:val="008A3AB8"/>
    <w:rsid w:val="008A5573"/>
    <w:rsid w:val="008A5A50"/>
    <w:rsid w:val="008A5AAE"/>
    <w:rsid w:val="008A68AD"/>
    <w:rsid w:val="008B0C86"/>
    <w:rsid w:val="008B4FA6"/>
    <w:rsid w:val="008B5204"/>
    <w:rsid w:val="008B5282"/>
    <w:rsid w:val="008B536C"/>
    <w:rsid w:val="008B610A"/>
    <w:rsid w:val="008B65BF"/>
    <w:rsid w:val="008B7C17"/>
    <w:rsid w:val="008C0A49"/>
    <w:rsid w:val="008C0CBD"/>
    <w:rsid w:val="008C2435"/>
    <w:rsid w:val="008C2635"/>
    <w:rsid w:val="008C2D01"/>
    <w:rsid w:val="008C40E6"/>
    <w:rsid w:val="008C4EEE"/>
    <w:rsid w:val="008C69B4"/>
    <w:rsid w:val="008D0004"/>
    <w:rsid w:val="008D03EB"/>
    <w:rsid w:val="008D0F7A"/>
    <w:rsid w:val="008D16A7"/>
    <w:rsid w:val="008D230E"/>
    <w:rsid w:val="008D3993"/>
    <w:rsid w:val="008D43BE"/>
    <w:rsid w:val="008D68E4"/>
    <w:rsid w:val="008D6FEE"/>
    <w:rsid w:val="008E0506"/>
    <w:rsid w:val="008E0CFF"/>
    <w:rsid w:val="008E145D"/>
    <w:rsid w:val="008E17D1"/>
    <w:rsid w:val="008E35EF"/>
    <w:rsid w:val="008E4013"/>
    <w:rsid w:val="008E446F"/>
    <w:rsid w:val="008E44A5"/>
    <w:rsid w:val="008E5D6B"/>
    <w:rsid w:val="008E628C"/>
    <w:rsid w:val="008E76F0"/>
    <w:rsid w:val="008E7835"/>
    <w:rsid w:val="008E7E31"/>
    <w:rsid w:val="008F0211"/>
    <w:rsid w:val="008F15FE"/>
    <w:rsid w:val="008F2D29"/>
    <w:rsid w:val="008F5187"/>
    <w:rsid w:val="008F5431"/>
    <w:rsid w:val="008F60D8"/>
    <w:rsid w:val="008F7125"/>
    <w:rsid w:val="0090029B"/>
    <w:rsid w:val="00902727"/>
    <w:rsid w:val="00902FCB"/>
    <w:rsid w:val="0090312B"/>
    <w:rsid w:val="0090435A"/>
    <w:rsid w:val="00905BA8"/>
    <w:rsid w:val="009067B1"/>
    <w:rsid w:val="00910DB9"/>
    <w:rsid w:val="00912430"/>
    <w:rsid w:val="00914528"/>
    <w:rsid w:val="00914FE5"/>
    <w:rsid w:val="0091538C"/>
    <w:rsid w:val="0091736D"/>
    <w:rsid w:val="00917C79"/>
    <w:rsid w:val="00917F42"/>
    <w:rsid w:val="00921E45"/>
    <w:rsid w:val="00923AAB"/>
    <w:rsid w:val="00923D6C"/>
    <w:rsid w:val="00923EB7"/>
    <w:rsid w:val="0092488B"/>
    <w:rsid w:val="00925AD2"/>
    <w:rsid w:val="00925D01"/>
    <w:rsid w:val="00925D8B"/>
    <w:rsid w:val="00925DF4"/>
    <w:rsid w:val="00927428"/>
    <w:rsid w:val="0093037A"/>
    <w:rsid w:val="00930511"/>
    <w:rsid w:val="00930571"/>
    <w:rsid w:val="00930F9E"/>
    <w:rsid w:val="0093289E"/>
    <w:rsid w:val="00932D43"/>
    <w:rsid w:val="00932EA6"/>
    <w:rsid w:val="00933FE1"/>
    <w:rsid w:val="009348F2"/>
    <w:rsid w:val="00935F58"/>
    <w:rsid w:val="00936EF7"/>
    <w:rsid w:val="00937786"/>
    <w:rsid w:val="00940850"/>
    <w:rsid w:val="0094154D"/>
    <w:rsid w:val="009418E4"/>
    <w:rsid w:val="00941BBE"/>
    <w:rsid w:val="00942E0B"/>
    <w:rsid w:val="00943F82"/>
    <w:rsid w:val="00944299"/>
    <w:rsid w:val="009453A1"/>
    <w:rsid w:val="00945CFA"/>
    <w:rsid w:val="009508C2"/>
    <w:rsid w:val="0095155F"/>
    <w:rsid w:val="00952744"/>
    <w:rsid w:val="00952C30"/>
    <w:rsid w:val="00952DE5"/>
    <w:rsid w:val="00953BB1"/>
    <w:rsid w:val="00954429"/>
    <w:rsid w:val="009563CE"/>
    <w:rsid w:val="00956F67"/>
    <w:rsid w:val="0095734D"/>
    <w:rsid w:val="0095755A"/>
    <w:rsid w:val="00957656"/>
    <w:rsid w:val="00961E2C"/>
    <w:rsid w:val="00961F4D"/>
    <w:rsid w:val="00962818"/>
    <w:rsid w:val="00963F54"/>
    <w:rsid w:val="00964433"/>
    <w:rsid w:val="0096481D"/>
    <w:rsid w:val="00964F29"/>
    <w:rsid w:val="0096655F"/>
    <w:rsid w:val="00966D3F"/>
    <w:rsid w:val="00970C60"/>
    <w:rsid w:val="00970C72"/>
    <w:rsid w:val="00970F54"/>
    <w:rsid w:val="00971F2E"/>
    <w:rsid w:val="00971FEF"/>
    <w:rsid w:val="00975098"/>
    <w:rsid w:val="00975710"/>
    <w:rsid w:val="00976328"/>
    <w:rsid w:val="0097680D"/>
    <w:rsid w:val="009778E3"/>
    <w:rsid w:val="0098013A"/>
    <w:rsid w:val="009801B3"/>
    <w:rsid w:val="00980F0B"/>
    <w:rsid w:val="00981762"/>
    <w:rsid w:val="00982438"/>
    <w:rsid w:val="0098396F"/>
    <w:rsid w:val="00983C6C"/>
    <w:rsid w:val="00983E9B"/>
    <w:rsid w:val="0098404C"/>
    <w:rsid w:val="009850F2"/>
    <w:rsid w:val="009850F8"/>
    <w:rsid w:val="00985283"/>
    <w:rsid w:val="00986738"/>
    <w:rsid w:val="0099093C"/>
    <w:rsid w:val="00991EE3"/>
    <w:rsid w:val="00992C9E"/>
    <w:rsid w:val="009954E3"/>
    <w:rsid w:val="00995588"/>
    <w:rsid w:val="00995992"/>
    <w:rsid w:val="00995C88"/>
    <w:rsid w:val="009967B4"/>
    <w:rsid w:val="00997760"/>
    <w:rsid w:val="0099791F"/>
    <w:rsid w:val="009A02EF"/>
    <w:rsid w:val="009A03E5"/>
    <w:rsid w:val="009A0F3B"/>
    <w:rsid w:val="009A10BE"/>
    <w:rsid w:val="009A1709"/>
    <w:rsid w:val="009A1A96"/>
    <w:rsid w:val="009A1BB4"/>
    <w:rsid w:val="009A2628"/>
    <w:rsid w:val="009A3200"/>
    <w:rsid w:val="009A3481"/>
    <w:rsid w:val="009A4801"/>
    <w:rsid w:val="009A4ADD"/>
    <w:rsid w:val="009A51E9"/>
    <w:rsid w:val="009A6135"/>
    <w:rsid w:val="009B0897"/>
    <w:rsid w:val="009B133E"/>
    <w:rsid w:val="009B2956"/>
    <w:rsid w:val="009B34F4"/>
    <w:rsid w:val="009B3D13"/>
    <w:rsid w:val="009B5F2D"/>
    <w:rsid w:val="009B6134"/>
    <w:rsid w:val="009B6A88"/>
    <w:rsid w:val="009B7917"/>
    <w:rsid w:val="009B7BD9"/>
    <w:rsid w:val="009C2907"/>
    <w:rsid w:val="009C3A91"/>
    <w:rsid w:val="009C544A"/>
    <w:rsid w:val="009C62FE"/>
    <w:rsid w:val="009C6737"/>
    <w:rsid w:val="009C674A"/>
    <w:rsid w:val="009C7C41"/>
    <w:rsid w:val="009C7DD5"/>
    <w:rsid w:val="009D00AE"/>
    <w:rsid w:val="009D0CA2"/>
    <w:rsid w:val="009D2D3B"/>
    <w:rsid w:val="009D43FF"/>
    <w:rsid w:val="009D4823"/>
    <w:rsid w:val="009D6C53"/>
    <w:rsid w:val="009D6D48"/>
    <w:rsid w:val="009D781D"/>
    <w:rsid w:val="009D7ED7"/>
    <w:rsid w:val="009E1D0B"/>
    <w:rsid w:val="009E227D"/>
    <w:rsid w:val="009E23FE"/>
    <w:rsid w:val="009E25C0"/>
    <w:rsid w:val="009E2B05"/>
    <w:rsid w:val="009E2C91"/>
    <w:rsid w:val="009E2DF3"/>
    <w:rsid w:val="009E3D60"/>
    <w:rsid w:val="009E5019"/>
    <w:rsid w:val="009E5E1C"/>
    <w:rsid w:val="009E6254"/>
    <w:rsid w:val="009E7A8E"/>
    <w:rsid w:val="009E7AF2"/>
    <w:rsid w:val="009F0079"/>
    <w:rsid w:val="009F0639"/>
    <w:rsid w:val="009F0FB6"/>
    <w:rsid w:val="009F1B3C"/>
    <w:rsid w:val="009F1D64"/>
    <w:rsid w:val="009F3563"/>
    <w:rsid w:val="009F39C0"/>
    <w:rsid w:val="009F4E62"/>
    <w:rsid w:val="009F58F4"/>
    <w:rsid w:val="009F5BC4"/>
    <w:rsid w:val="009F6428"/>
    <w:rsid w:val="009F6FC2"/>
    <w:rsid w:val="009F75B9"/>
    <w:rsid w:val="00A0140E"/>
    <w:rsid w:val="00A03A02"/>
    <w:rsid w:val="00A04F1B"/>
    <w:rsid w:val="00A0501B"/>
    <w:rsid w:val="00A0529B"/>
    <w:rsid w:val="00A053FE"/>
    <w:rsid w:val="00A058D0"/>
    <w:rsid w:val="00A07534"/>
    <w:rsid w:val="00A07691"/>
    <w:rsid w:val="00A129EE"/>
    <w:rsid w:val="00A12C87"/>
    <w:rsid w:val="00A132E9"/>
    <w:rsid w:val="00A13630"/>
    <w:rsid w:val="00A14947"/>
    <w:rsid w:val="00A16E50"/>
    <w:rsid w:val="00A20F1F"/>
    <w:rsid w:val="00A2108F"/>
    <w:rsid w:val="00A21E3B"/>
    <w:rsid w:val="00A24BC6"/>
    <w:rsid w:val="00A263E9"/>
    <w:rsid w:val="00A2642D"/>
    <w:rsid w:val="00A268FA"/>
    <w:rsid w:val="00A27D0D"/>
    <w:rsid w:val="00A305FC"/>
    <w:rsid w:val="00A31548"/>
    <w:rsid w:val="00A31E07"/>
    <w:rsid w:val="00A320BE"/>
    <w:rsid w:val="00A32A83"/>
    <w:rsid w:val="00A3354D"/>
    <w:rsid w:val="00A3358E"/>
    <w:rsid w:val="00A34D36"/>
    <w:rsid w:val="00A35425"/>
    <w:rsid w:val="00A35A71"/>
    <w:rsid w:val="00A368DB"/>
    <w:rsid w:val="00A36BDB"/>
    <w:rsid w:val="00A3797A"/>
    <w:rsid w:val="00A42111"/>
    <w:rsid w:val="00A423AA"/>
    <w:rsid w:val="00A43FB6"/>
    <w:rsid w:val="00A44143"/>
    <w:rsid w:val="00A4439E"/>
    <w:rsid w:val="00A44F4F"/>
    <w:rsid w:val="00A46493"/>
    <w:rsid w:val="00A50BAB"/>
    <w:rsid w:val="00A52507"/>
    <w:rsid w:val="00A52D1D"/>
    <w:rsid w:val="00A53EC6"/>
    <w:rsid w:val="00A5452F"/>
    <w:rsid w:val="00A55C0F"/>
    <w:rsid w:val="00A55D8B"/>
    <w:rsid w:val="00A5673E"/>
    <w:rsid w:val="00A56D52"/>
    <w:rsid w:val="00A605F0"/>
    <w:rsid w:val="00A60CCB"/>
    <w:rsid w:val="00A61C6B"/>
    <w:rsid w:val="00A626BB"/>
    <w:rsid w:val="00A62ADA"/>
    <w:rsid w:val="00A63F7C"/>
    <w:rsid w:val="00A6578E"/>
    <w:rsid w:val="00A6678A"/>
    <w:rsid w:val="00A668E6"/>
    <w:rsid w:val="00A67863"/>
    <w:rsid w:val="00A67890"/>
    <w:rsid w:val="00A7002E"/>
    <w:rsid w:val="00A7090B"/>
    <w:rsid w:val="00A717C4"/>
    <w:rsid w:val="00A721BA"/>
    <w:rsid w:val="00A721E2"/>
    <w:rsid w:val="00A7287C"/>
    <w:rsid w:val="00A75447"/>
    <w:rsid w:val="00A75791"/>
    <w:rsid w:val="00A75D47"/>
    <w:rsid w:val="00A76B2A"/>
    <w:rsid w:val="00A77E42"/>
    <w:rsid w:val="00A8034D"/>
    <w:rsid w:val="00A80CD9"/>
    <w:rsid w:val="00A81C5E"/>
    <w:rsid w:val="00A82F61"/>
    <w:rsid w:val="00A83DEF"/>
    <w:rsid w:val="00A83EC2"/>
    <w:rsid w:val="00A8442E"/>
    <w:rsid w:val="00A852B2"/>
    <w:rsid w:val="00A858EC"/>
    <w:rsid w:val="00A86F03"/>
    <w:rsid w:val="00A8713F"/>
    <w:rsid w:val="00A87399"/>
    <w:rsid w:val="00A90BA1"/>
    <w:rsid w:val="00A92011"/>
    <w:rsid w:val="00A92302"/>
    <w:rsid w:val="00A94F04"/>
    <w:rsid w:val="00A970B0"/>
    <w:rsid w:val="00A97143"/>
    <w:rsid w:val="00A97A9A"/>
    <w:rsid w:val="00AA0671"/>
    <w:rsid w:val="00AA07EA"/>
    <w:rsid w:val="00AA0C6C"/>
    <w:rsid w:val="00AA1CAF"/>
    <w:rsid w:val="00AA2531"/>
    <w:rsid w:val="00AA30ED"/>
    <w:rsid w:val="00AA3411"/>
    <w:rsid w:val="00AA67E3"/>
    <w:rsid w:val="00AA6A87"/>
    <w:rsid w:val="00AA74F3"/>
    <w:rsid w:val="00AB01DD"/>
    <w:rsid w:val="00AB1E09"/>
    <w:rsid w:val="00AB2814"/>
    <w:rsid w:val="00AB298E"/>
    <w:rsid w:val="00AB303F"/>
    <w:rsid w:val="00AB3066"/>
    <w:rsid w:val="00AB43E3"/>
    <w:rsid w:val="00AB44AE"/>
    <w:rsid w:val="00AB477A"/>
    <w:rsid w:val="00AB5330"/>
    <w:rsid w:val="00AB7508"/>
    <w:rsid w:val="00AB7747"/>
    <w:rsid w:val="00AC10FD"/>
    <w:rsid w:val="00AC14CE"/>
    <w:rsid w:val="00AC186F"/>
    <w:rsid w:val="00AC1AA5"/>
    <w:rsid w:val="00AC2A56"/>
    <w:rsid w:val="00AC3F82"/>
    <w:rsid w:val="00AC46CC"/>
    <w:rsid w:val="00AC5973"/>
    <w:rsid w:val="00AC5F7D"/>
    <w:rsid w:val="00AC7267"/>
    <w:rsid w:val="00AC798E"/>
    <w:rsid w:val="00AD055E"/>
    <w:rsid w:val="00AD47A7"/>
    <w:rsid w:val="00AD615E"/>
    <w:rsid w:val="00AD624E"/>
    <w:rsid w:val="00AD6416"/>
    <w:rsid w:val="00AD68F6"/>
    <w:rsid w:val="00AE02AC"/>
    <w:rsid w:val="00AE0BB3"/>
    <w:rsid w:val="00AE17CB"/>
    <w:rsid w:val="00AE1C90"/>
    <w:rsid w:val="00AE1DDD"/>
    <w:rsid w:val="00AE39A0"/>
    <w:rsid w:val="00AE3C66"/>
    <w:rsid w:val="00AE657B"/>
    <w:rsid w:val="00AE6D78"/>
    <w:rsid w:val="00AF0CBF"/>
    <w:rsid w:val="00AF1935"/>
    <w:rsid w:val="00AF257F"/>
    <w:rsid w:val="00AF33CF"/>
    <w:rsid w:val="00AF390F"/>
    <w:rsid w:val="00AF3EEB"/>
    <w:rsid w:val="00AF3FC1"/>
    <w:rsid w:val="00AF4304"/>
    <w:rsid w:val="00AF44BC"/>
    <w:rsid w:val="00AF4D50"/>
    <w:rsid w:val="00AF4DEF"/>
    <w:rsid w:val="00AF6179"/>
    <w:rsid w:val="00B00962"/>
    <w:rsid w:val="00B00DBD"/>
    <w:rsid w:val="00B019AD"/>
    <w:rsid w:val="00B03677"/>
    <w:rsid w:val="00B0369B"/>
    <w:rsid w:val="00B037EC"/>
    <w:rsid w:val="00B054D2"/>
    <w:rsid w:val="00B0555A"/>
    <w:rsid w:val="00B06933"/>
    <w:rsid w:val="00B06F1E"/>
    <w:rsid w:val="00B07E2F"/>
    <w:rsid w:val="00B10040"/>
    <w:rsid w:val="00B10FD7"/>
    <w:rsid w:val="00B11DFE"/>
    <w:rsid w:val="00B1295A"/>
    <w:rsid w:val="00B138A8"/>
    <w:rsid w:val="00B17692"/>
    <w:rsid w:val="00B2000C"/>
    <w:rsid w:val="00B2088A"/>
    <w:rsid w:val="00B20A45"/>
    <w:rsid w:val="00B20C88"/>
    <w:rsid w:val="00B210EE"/>
    <w:rsid w:val="00B213AA"/>
    <w:rsid w:val="00B21D8D"/>
    <w:rsid w:val="00B22600"/>
    <w:rsid w:val="00B22C5C"/>
    <w:rsid w:val="00B24085"/>
    <w:rsid w:val="00B24F30"/>
    <w:rsid w:val="00B2762B"/>
    <w:rsid w:val="00B30CAA"/>
    <w:rsid w:val="00B31594"/>
    <w:rsid w:val="00B31ABF"/>
    <w:rsid w:val="00B324CB"/>
    <w:rsid w:val="00B3281F"/>
    <w:rsid w:val="00B32B50"/>
    <w:rsid w:val="00B3349F"/>
    <w:rsid w:val="00B33860"/>
    <w:rsid w:val="00B33BE3"/>
    <w:rsid w:val="00B36A19"/>
    <w:rsid w:val="00B36AAD"/>
    <w:rsid w:val="00B371FB"/>
    <w:rsid w:val="00B37755"/>
    <w:rsid w:val="00B40B1D"/>
    <w:rsid w:val="00B4181F"/>
    <w:rsid w:val="00B421EA"/>
    <w:rsid w:val="00B42B21"/>
    <w:rsid w:val="00B43A2B"/>
    <w:rsid w:val="00B43ABD"/>
    <w:rsid w:val="00B46A84"/>
    <w:rsid w:val="00B47639"/>
    <w:rsid w:val="00B47B95"/>
    <w:rsid w:val="00B514AF"/>
    <w:rsid w:val="00B52190"/>
    <w:rsid w:val="00B53857"/>
    <w:rsid w:val="00B53B5D"/>
    <w:rsid w:val="00B54293"/>
    <w:rsid w:val="00B54B97"/>
    <w:rsid w:val="00B5638B"/>
    <w:rsid w:val="00B6055E"/>
    <w:rsid w:val="00B60EB9"/>
    <w:rsid w:val="00B61B84"/>
    <w:rsid w:val="00B6317D"/>
    <w:rsid w:val="00B63519"/>
    <w:rsid w:val="00B648C1"/>
    <w:rsid w:val="00B64BDB"/>
    <w:rsid w:val="00B66443"/>
    <w:rsid w:val="00B70720"/>
    <w:rsid w:val="00B712A5"/>
    <w:rsid w:val="00B72217"/>
    <w:rsid w:val="00B72832"/>
    <w:rsid w:val="00B72B33"/>
    <w:rsid w:val="00B73F67"/>
    <w:rsid w:val="00B754FA"/>
    <w:rsid w:val="00B75793"/>
    <w:rsid w:val="00B76DD5"/>
    <w:rsid w:val="00B76F8C"/>
    <w:rsid w:val="00B7723F"/>
    <w:rsid w:val="00B8007E"/>
    <w:rsid w:val="00B80534"/>
    <w:rsid w:val="00B8072C"/>
    <w:rsid w:val="00B81391"/>
    <w:rsid w:val="00B82B38"/>
    <w:rsid w:val="00B83940"/>
    <w:rsid w:val="00B83C20"/>
    <w:rsid w:val="00B8433C"/>
    <w:rsid w:val="00B84490"/>
    <w:rsid w:val="00B84D23"/>
    <w:rsid w:val="00B86329"/>
    <w:rsid w:val="00B86A36"/>
    <w:rsid w:val="00B87491"/>
    <w:rsid w:val="00B87AA4"/>
    <w:rsid w:val="00B93334"/>
    <w:rsid w:val="00B93595"/>
    <w:rsid w:val="00B93911"/>
    <w:rsid w:val="00B94761"/>
    <w:rsid w:val="00B947D2"/>
    <w:rsid w:val="00B94A15"/>
    <w:rsid w:val="00B95924"/>
    <w:rsid w:val="00B95CEE"/>
    <w:rsid w:val="00B972BE"/>
    <w:rsid w:val="00B9784A"/>
    <w:rsid w:val="00B97C21"/>
    <w:rsid w:val="00BA07B8"/>
    <w:rsid w:val="00BA0A03"/>
    <w:rsid w:val="00BA0BBF"/>
    <w:rsid w:val="00BA29E9"/>
    <w:rsid w:val="00BA7142"/>
    <w:rsid w:val="00BA7285"/>
    <w:rsid w:val="00BA73F3"/>
    <w:rsid w:val="00BA7F86"/>
    <w:rsid w:val="00BB01BA"/>
    <w:rsid w:val="00BB18B5"/>
    <w:rsid w:val="00BB237C"/>
    <w:rsid w:val="00BB2B72"/>
    <w:rsid w:val="00BB41A3"/>
    <w:rsid w:val="00BC1575"/>
    <w:rsid w:val="00BC1C20"/>
    <w:rsid w:val="00BC1FEA"/>
    <w:rsid w:val="00BC32DC"/>
    <w:rsid w:val="00BC35AC"/>
    <w:rsid w:val="00BC35B6"/>
    <w:rsid w:val="00BC4C79"/>
    <w:rsid w:val="00BC5429"/>
    <w:rsid w:val="00BC6722"/>
    <w:rsid w:val="00BC6A29"/>
    <w:rsid w:val="00BC7401"/>
    <w:rsid w:val="00BC7E6D"/>
    <w:rsid w:val="00BD0111"/>
    <w:rsid w:val="00BD1B51"/>
    <w:rsid w:val="00BD4596"/>
    <w:rsid w:val="00BD5638"/>
    <w:rsid w:val="00BD5D53"/>
    <w:rsid w:val="00BE08DB"/>
    <w:rsid w:val="00BE1405"/>
    <w:rsid w:val="00BE2B5B"/>
    <w:rsid w:val="00BE312D"/>
    <w:rsid w:val="00BE46BB"/>
    <w:rsid w:val="00BE6627"/>
    <w:rsid w:val="00BE6826"/>
    <w:rsid w:val="00BE7FA9"/>
    <w:rsid w:val="00BF04ED"/>
    <w:rsid w:val="00BF0B4E"/>
    <w:rsid w:val="00BF0C5A"/>
    <w:rsid w:val="00BF0F88"/>
    <w:rsid w:val="00BF164A"/>
    <w:rsid w:val="00BF1C20"/>
    <w:rsid w:val="00BF259D"/>
    <w:rsid w:val="00BF27A2"/>
    <w:rsid w:val="00BF32F5"/>
    <w:rsid w:val="00BF5A7F"/>
    <w:rsid w:val="00BF6B36"/>
    <w:rsid w:val="00BF7FFB"/>
    <w:rsid w:val="00C00FE6"/>
    <w:rsid w:val="00C02D59"/>
    <w:rsid w:val="00C030A5"/>
    <w:rsid w:val="00C037E6"/>
    <w:rsid w:val="00C0478D"/>
    <w:rsid w:val="00C060CC"/>
    <w:rsid w:val="00C0618A"/>
    <w:rsid w:val="00C10578"/>
    <w:rsid w:val="00C108EB"/>
    <w:rsid w:val="00C10A3B"/>
    <w:rsid w:val="00C1189D"/>
    <w:rsid w:val="00C135BC"/>
    <w:rsid w:val="00C13671"/>
    <w:rsid w:val="00C13FC8"/>
    <w:rsid w:val="00C14C54"/>
    <w:rsid w:val="00C15C95"/>
    <w:rsid w:val="00C1605D"/>
    <w:rsid w:val="00C2159B"/>
    <w:rsid w:val="00C217A1"/>
    <w:rsid w:val="00C21AC7"/>
    <w:rsid w:val="00C22BB0"/>
    <w:rsid w:val="00C22C27"/>
    <w:rsid w:val="00C23002"/>
    <w:rsid w:val="00C232C6"/>
    <w:rsid w:val="00C24A56"/>
    <w:rsid w:val="00C255B6"/>
    <w:rsid w:val="00C2596A"/>
    <w:rsid w:val="00C26565"/>
    <w:rsid w:val="00C27537"/>
    <w:rsid w:val="00C27C31"/>
    <w:rsid w:val="00C30CB2"/>
    <w:rsid w:val="00C32634"/>
    <w:rsid w:val="00C328FE"/>
    <w:rsid w:val="00C33507"/>
    <w:rsid w:val="00C33661"/>
    <w:rsid w:val="00C33F2E"/>
    <w:rsid w:val="00C34AAE"/>
    <w:rsid w:val="00C37267"/>
    <w:rsid w:val="00C37AC3"/>
    <w:rsid w:val="00C4035B"/>
    <w:rsid w:val="00C41804"/>
    <w:rsid w:val="00C429C8"/>
    <w:rsid w:val="00C43061"/>
    <w:rsid w:val="00C4409D"/>
    <w:rsid w:val="00C4438E"/>
    <w:rsid w:val="00C44E72"/>
    <w:rsid w:val="00C45A06"/>
    <w:rsid w:val="00C45B4C"/>
    <w:rsid w:val="00C45FC9"/>
    <w:rsid w:val="00C47E5B"/>
    <w:rsid w:val="00C50E16"/>
    <w:rsid w:val="00C54647"/>
    <w:rsid w:val="00C55674"/>
    <w:rsid w:val="00C55E5A"/>
    <w:rsid w:val="00C567CF"/>
    <w:rsid w:val="00C56BBE"/>
    <w:rsid w:val="00C56CD8"/>
    <w:rsid w:val="00C57A3F"/>
    <w:rsid w:val="00C61E4B"/>
    <w:rsid w:val="00C622E5"/>
    <w:rsid w:val="00C62356"/>
    <w:rsid w:val="00C6326B"/>
    <w:rsid w:val="00C63F7C"/>
    <w:rsid w:val="00C64AB6"/>
    <w:rsid w:val="00C64BFF"/>
    <w:rsid w:val="00C65FE3"/>
    <w:rsid w:val="00C663AA"/>
    <w:rsid w:val="00C66736"/>
    <w:rsid w:val="00C66E9C"/>
    <w:rsid w:val="00C67CE3"/>
    <w:rsid w:val="00C704E9"/>
    <w:rsid w:val="00C70CFD"/>
    <w:rsid w:val="00C70F0D"/>
    <w:rsid w:val="00C719A5"/>
    <w:rsid w:val="00C71FF5"/>
    <w:rsid w:val="00C738AF"/>
    <w:rsid w:val="00C73A1D"/>
    <w:rsid w:val="00C73C62"/>
    <w:rsid w:val="00C74303"/>
    <w:rsid w:val="00C744A8"/>
    <w:rsid w:val="00C76048"/>
    <w:rsid w:val="00C763C9"/>
    <w:rsid w:val="00C77A9A"/>
    <w:rsid w:val="00C77F41"/>
    <w:rsid w:val="00C80057"/>
    <w:rsid w:val="00C8070F"/>
    <w:rsid w:val="00C80AA1"/>
    <w:rsid w:val="00C82232"/>
    <w:rsid w:val="00C82913"/>
    <w:rsid w:val="00C834CB"/>
    <w:rsid w:val="00C84692"/>
    <w:rsid w:val="00C86328"/>
    <w:rsid w:val="00C87148"/>
    <w:rsid w:val="00C916FA"/>
    <w:rsid w:val="00C91960"/>
    <w:rsid w:val="00C91F9D"/>
    <w:rsid w:val="00C9339C"/>
    <w:rsid w:val="00C951DD"/>
    <w:rsid w:val="00C95392"/>
    <w:rsid w:val="00C95DE5"/>
    <w:rsid w:val="00C9710A"/>
    <w:rsid w:val="00C972B1"/>
    <w:rsid w:val="00C9764F"/>
    <w:rsid w:val="00CA1452"/>
    <w:rsid w:val="00CA2CB5"/>
    <w:rsid w:val="00CA2CCE"/>
    <w:rsid w:val="00CA43FD"/>
    <w:rsid w:val="00CA4536"/>
    <w:rsid w:val="00CA45D7"/>
    <w:rsid w:val="00CA4D03"/>
    <w:rsid w:val="00CA5671"/>
    <w:rsid w:val="00CA7CA7"/>
    <w:rsid w:val="00CA7EF8"/>
    <w:rsid w:val="00CB0FF1"/>
    <w:rsid w:val="00CB2CFF"/>
    <w:rsid w:val="00CB2EB0"/>
    <w:rsid w:val="00CB3394"/>
    <w:rsid w:val="00CB493A"/>
    <w:rsid w:val="00CB54F8"/>
    <w:rsid w:val="00CB5BFF"/>
    <w:rsid w:val="00CB6421"/>
    <w:rsid w:val="00CB77BA"/>
    <w:rsid w:val="00CC019F"/>
    <w:rsid w:val="00CC1D6B"/>
    <w:rsid w:val="00CC2E73"/>
    <w:rsid w:val="00CC3475"/>
    <w:rsid w:val="00CC3E32"/>
    <w:rsid w:val="00CC43E2"/>
    <w:rsid w:val="00CC489B"/>
    <w:rsid w:val="00CC49AA"/>
    <w:rsid w:val="00CC5478"/>
    <w:rsid w:val="00CC54D8"/>
    <w:rsid w:val="00CC66DA"/>
    <w:rsid w:val="00CD0160"/>
    <w:rsid w:val="00CD27C5"/>
    <w:rsid w:val="00CD2BCD"/>
    <w:rsid w:val="00CD2F6F"/>
    <w:rsid w:val="00CD3A4C"/>
    <w:rsid w:val="00CD54A9"/>
    <w:rsid w:val="00CD5A4C"/>
    <w:rsid w:val="00CD67E6"/>
    <w:rsid w:val="00CE0B84"/>
    <w:rsid w:val="00CE10E9"/>
    <w:rsid w:val="00CE22D0"/>
    <w:rsid w:val="00CE2910"/>
    <w:rsid w:val="00CE2925"/>
    <w:rsid w:val="00CE35A4"/>
    <w:rsid w:val="00CE45F0"/>
    <w:rsid w:val="00CE5393"/>
    <w:rsid w:val="00CE542E"/>
    <w:rsid w:val="00CE5526"/>
    <w:rsid w:val="00CE5E19"/>
    <w:rsid w:val="00CE5E38"/>
    <w:rsid w:val="00CE6C9F"/>
    <w:rsid w:val="00CF0095"/>
    <w:rsid w:val="00CF13DA"/>
    <w:rsid w:val="00CF16E3"/>
    <w:rsid w:val="00CF1E3F"/>
    <w:rsid w:val="00CF3618"/>
    <w:rsid w:val="00CF36BE"/>
    <w:rsid w:val="00CF3CE6"/>
    <w:rsid w:val="00CF4EB0"/>
    <w:rsid w:val="00CF52CB"/>
    <w:rsid w:val="00CF5F69"/>
    <w:rsid w:val="00CF6000"/>
    <w:rsid w:val="00CF6DDD"/>
    <w:rsid w:val="00CF6E72"/>
    <w:rsid w:val="00D003F3"/>
    <w:rsid w:val="00D0062D"/>
    <w:rsid w:val="00D009EC"/>
    <w:rsid w:val="00D012EA"/>
    <w:rsid w:val="00D01547"/>
    <w:rsid w:val="00D01B95"/>
    <w:rsid w:val="00D02282"/>
    <w:rsid w:val="00D02370"/>
    <w:rsid w:val="00D0364F"/>
    <w:rsid w:val="00D045DF"/>
    <w:rsid w:val="00D04FAA"/>
    <w:rsid w:val="00D05D8C"/>
    <w:rsid w:val="00D06834"/>
    <w:rsid w:val="00D06906"/>
    <w:rsid w:val="00D0739E"/>
    <w:rsid w:val="00D10DD6"/>
    <w:rsid w:val="00D11A24"/>
    <w:rsid w:val="00D138A7"/>
    <w:rsid w:val="00D14A3E"/>
    <w:rsid w:val="00D20208"/>
    <w:rsid w:val="00D21015"/>
    <w:rsid w:val="00D2172E"/>
    <w:rsid w:val="00D21BC8"/>
    <w:rsid w:val="00D254BC"/>
    <w:rsid w:val="00D25A93"/>
    <w:rsid w:val="00D25EE4"/>
    <w:rsid w:val="00D26275"/>
    <w:rsid w:val="00D26CC9"/>
    <w:rsid w:val="00D2775B"/>
    <w:rsid w:val="00D308ED"/>
    <w:rsid w:val="00D30ABC"/>
    <w:rsid w:val="00D30EAF"/>
    <w:rsid w:val="00D31479"/>
    <w:rsid w:val="00D33DA3"/>
    <w:rsid w:val="00D3482B"/>
    <w:rsid w:val="00D35748"/>
    <w:rsid w:val="00D3628A"/>
    <w:rsid w:val="00D3634B"/>
    <w:rsid w:val="00D36D86"/>
    <w:rsid w:val="00D40C92"/>
    <w:rsid w:val="00D40D9E"/>
    <w:rsid w:val="00D417BF"/>
    <w:rsid w:val="00D41A19"/>
    <w:rsid w:val="00D428AA"/>
    <w:rsid w:val="00D43B8F"/>
    <w:rsid w:val="00D4409D"/>
    <w:rsid w:val="00D46488"/>
    <w:rsid w:val="00D4763D"/>
    <w:rsid w:val="00D50872"/>
    <w:rsid w:val="00D50A34"/>
    <w:rsid w:val="00D51EDF"/>
    <w:rsid w:val="00D520A2"/>
    <w:rsid w:val="00D52553"/>
    <w:rsid w:val="00D53118"/>
    <w:rsid w:val="00D53EFA"/>
    <w:rsid w:val="00D542DD"/>
    <w:rsid w:val="00D54423"/>
    <w:rsid w:val="00D54A21"/>
    <w:rsid w:val="00D55184"/>
    <w:rsid w:val="00D557C2"/>
    <w:rsid w:val="00D56058"/>
    <w:rsid w:val="00D57EC6"/>
    <w:rsid w:val="00D60228"/>
    <w:rsid w:val="00D640A3"/>
    <w:rsid w:val="00D64447"/>
    <w:rsid w:val="00D6541E"/>
    <w:rsid w:val="00D6723D"/>
    <w:rsid w:val="00D67718"/>
    <w:rsid w:val="00D706B0"/>
    <w:rsid w:val="00D72601"/>
    <w:rsid w:val="00D72638"/>
    <w:rsid w:val="00D73502"/>
    <w:rsid w:val="00D737A5"/>
    <w:rsid w:val="00D74122"/>
    <w:rsid w:val="00D74989"/>
    <w:rsid w:val="00D75F04"/>
    <w:rsid w:val="00D7752C"/>
    <w:rsid w:val="00D7783D"/>
    <w:rsid w:val="00D77E8C"/>
    <w:rsid w:val="00D803F7"/>
    <w:rsid w:val="00D81AEB"/>
    <w:rsid w:val="00D82298"/>
    <w:rsid w:val="00D82DD6"/>
    <w:rsid w:val="00D842E6"/>
    <w:rsid w:val="00D863E9"/>
    <w:rsid w:val="00D9081C"/>
    <w:rsid w:val="00D917A2"/>
    <w:rsid w:val="00D91C78"/>
    <w:rsid w:val="00D94619"/>
    <w:rsid w:val="00D94A7C"/>
    <w:rsid w:val="00D956AE"/>
    <w:rsid w:val="00D95804"/>
    <w:rsid w:val="00D9583D"/>
    <w:rsid w:val="00D95896"/>
    <w:rsid w:val="00D974CE"/>
    <w:rsid w:val="00D97A3B"/>
    <w:rsid w:val="00DA0D23"/>
    <w:rsid w:val="00DA1557"/>
    <w:rsid w:val="00DA1EEF"/>
    <w:rsid w:val="00DA2DD9"/>
    <w:rsid w:val="00DA4886"/>
    <w:rsid w:val="00DA4A34"/>
    <w:rsid w:val="00DA5955"/>
    <w:rsid w:val="00DA7051"/>
    <w:rsid w:val="00DB02A3"/>
    <w:rsid w:val="00DB2983"/>
    <w:rsid w:val="00DC0621"/>
    <w:rsid w:val="00DC0A4C"/>
    <w:rsid w:val="00DC0C1F"/>
    <w:rsid w:val="00DC0D2C"/>
    <w:rsid w:val="00DC1257"/>
    <w:rsid w:val="00DC1266"/>
    <w:rsid w:val="00DC1FDB"/>
    <w:rsid w:val="00DC2547"/>
    <w:rsid w:val="00DC27D5"/>
    <w:rsid w:val="00DC2BC7"/>
    <w:rsid w:val="00DC3DC0"/>
    <w:rsid w:val="00DC4B1C"/>
    <w:rsid w:val="00DC5B2B"/>
    <w:rsid w:val="00DC6429"/>
    <w:rsid w:val="00DD0321"/>
    <w:rsid w:val="00DD0F51"/>
    <w:rsid w:val="00DD176E"/>
    <w:rsid w:val="00DD1D73"/>
    <w:rsid w:val="00DD2A98"/>
    <w:rsid w:val="00DD318D"/>
    <w:rsid w:val="00DD51F2"/>
    <w:rsid w:val="00DD5914"/>
    <w:rsid w:val="00DD71AB"/>
    <w:rsid w:val="00DE06D9"/>
    <w:rsid w:val="00DE0BA0"/>
    <w:rsid w:val="00DE1399"/>
    <w:rsid w:val="00DE14A3"/>
    <w:rsid w:val="00DE1A55"/>
    <w:rsid w:val="00DE1CC9"/>
    <w:rsid w:val="00DE2027"/>
    <w:rsid w:val="00DE2360"/>
    <w:rsid w:val="00DE2431"/>
    <w:rsid w:val="00DE2F4C"/>
    <w:rsid w:val="00DE6333"/>
    <w:rsid w:val="00DF1041"/>
    <w:rsid w:val="00DF1045"/>
    <w:rsid w:val="00DF10AF"/>
    <w:rsid w:val="00DF17CD"/>
    <w:rsid w:val="00DF2E12"/>
    <w:rsid w:val="00DF314D"/>
    <w:rsid w:val="00DF397B"/>
    <w:rsid w:val="00DF4BDB"/>
    <w:rsid w:val="00DF514A"/>
    <w:rsid w:val="00DF6690"/>
    <w:rsid w:val="00DF6804"/>
    <w:rsid w:val="00DF683C"/>
    <w:rsid w:val="00E00571"/>
    <w:rsid w:val="00E0152B"/>
    <w:rsid w:val="00E02453"/>
    <w:rsid w:val="00E03022"/>
    <w:rsid w:val="00E0358D"/>
    <w:rsid w:val="00E035E6"/>
    <w:rsid w:val="00E04323"/>
    <w:rsid w:val="00E059F9"/>
    <w:rsid w:val="00E070A2"/>
    <w:rsid w:val="00E073EB"/>
    <w:rsid w:val="00E115E3"/>
    <w:rsid w:val="00E11645"/>
    <w:rsid w:val="00E128FF"/>
    <w:rsid w:val="00E152D3"/>
    <w:rsid w:val="00E15F3A"/>
    <w:rsid w:val="00E16E48"/>
    <w:rsid w:val="00E2104A"/>
    <w:rsid w:val="00E211E7"/>
    <w:rsid w:val="00E22601"/>
    <w:rsid w:val="00E23C3F"/>
    <w:rsid w:val="00E2656A"/>
    <w:rsid w:val="00E26FE3"/>
    <w:rsid w:val="00E2774F"/>
    <w:rsid w:val="00E277F8"/>
    <w:rsid w:val="00E30585"/>
    <w:rsid w:val="00E30DA9"/>
    <w:rsid w:val="00E3138A"/>
    <w:rsid w:val="00E3241B"/>
    <w:rsid w:val="00E33684"/>
    <w:rsid w:val="00E33703"/>
    <w:rsid w:val="00E373B1"/>
    <w:rsid w:val="00E376DF"/>
    <w:rsid w:val="00E412D0"/>
    <w:rsid w:val="00E41F83"/>
    <w:rsid w:val="00E42404"/>
    <w:rsid w:val="00E4241A"/>
    <w:rsid w:val="00E42E1F"/>
    <w:rsid w:val="00E439E2"/>
    <w:rsid w:val="00E462A2"/>
    <w:rsid w:val="00E467B4"/>
    <w:rsid w:val="00E5025D"/>
    <w:rsid w:val="00E5056B"/>
    <w:rsid w:val="00E50600"/>
    <w:rsid w:val="00E5184A"/>
    <w:rsid w:val="00E51945"/>
    <w:rsid w:val="00E53CC4"/>
    <w:rsid w:val="00E53FB2"/>
    <w:rsid w:val="00E542C7"/>
    <w:rsid w:val="00E5555F"/>
    <w:rsid w:val="00E55EB5"/>
    <w:rsid w:val="00E56322"/>
    <w:rsid w:val="00E57375"/>
    <w:rsid w:val="00E60982"/>
    <w:rsid w:val="00E61C87"/>
    <w:rsid w:val="00E62C62"/>
    <w:rsid w:val="00E62E0B"/>
    <w:rsid w:val="00E635AD"/>
    <w:rsid w:val="00E638C5"/>
    <w:rsid w:val="00E6497A"/>
    <w:rsid w:val="00E654C1"/>
    <w:rsid w:val="00E65559"/>
    <w:rsid w:val="00E655FD"/>
    <w:rsid w:val="00E65D97"/>
    <w:rsid w:val="00E6670C"/>
    <w:rsid w:val="00E70B09"/>
    <w:rsid w:val="00E713E4"/>
    <w:rsid w:val="00E72A5A"/>
    <w:rsid w:val="00E73354"/>
    <w:rsid w:val="00E73631"/>
    <w:rsid w:val="00E7364F"/>
    <w:rsid w:val="00E73A66"/>
    <w:rsid w:val="00E769EC"/>
    <w:rsid w:val="00E80DF2"/>
    <w:rsid w:val="00E80FAA"/>
    <w:rsid w:val="00E81009"/>
    <w:rsid w:val="00E81771"/>
    <w:rsid w:val="00E8212D"/>
    <w:rsid w:val="00E82136"/>
    <w:rsid w:val="00E826C6"/>
    <w:rsid w:val="00E82ABB"/>
    <w:rsid w:val="00E84EF9"/>
    <w:rsid w:val="00E85585"/>
    <w:rsid w:val="00E907EB"/>
    <w:rsid w:val="00E9242D"/>
    <w:rsid w:val="00E92E9B"/>
    <w:rsid w:val="00E93F17"/>
    <w:rsid w:val="00E940AD"/>
    <w:rsid w:val="00E972F4"/>
    <w:rsid w:val="00E975BE"/>
    <w:rsid w:val="00E976A9"/>
    <w:rsid w:val="00E97844"/>
    <w:rsid w:val="00EA0FD8"/>
    <w:rsid w:val="00EA13BB"/>
    <w:rsid w:val="00EA3C8D"/>
    <w:rsid w:val="00EA5F62"/>
    <w:rsid w:val="00EB3A34"/>
    <w:rsid w:val="00EB4BC6"/>
    <w:rsid w:val="00EB5255"/>
    <w:rsid w:val="00EB5C47"/>
    <w:rsid w:val="00EB5FA2"/>
    <w:rsid w:val="00EC08A6"/>
    <w:rsid w:val="00EC0F60"/>
    <w:rsid w:val="00EC1522"/>
    <w:rsid w:val="00EC20E7"/>
    <w:rsid w:val="00EC3A4B"/>
    <w:rsid w:val="00EC41CA"/>
    <w:rsid w:val="00EC48C3"/>
    <w:rsid w:val="00EC4D8A"/>
    <w:rsid w:val="00EC56BE"/>
    <w:rsid w:val="00EC5FBC"/>
    <w:rsid w:val="00EC6FFC"/>
    <w:rsid w:val="00ED0639"/>
    <w:rsid w:val="00ED0AFB"/>
    <w:rsid w:val="00ED1911"/>
    <w:rsid w:val="00ED29E6"/>
    <w:rsid w:val="00ED33E7"/>
    <w:rsid w:val="00ED523E"/>
    <w:rsid w:val="00ED5D3B"/>
    <w:rsid w:val="00ED7E44"/>
    <w:rsid w:val="00EE0032"/>
    <w:rsid w:val="00EE336F"/>
    <w:rsid w:val="00EE3A9D"/>
    <w:rsid w:val="00EE5AEF"/>
    <w:rsid w:val="00EE5B89"/>
    <w:rsid w:val="00EE6598"/>
    <w:rsid w:val="00EF2068"/>
    <w:rsid w:val="00EF286F"/>
    <w:rsid w:val="00EF325B"/>
    <w:rsid w:val="00EF4755"/>
    <w:rsid w:val="00EF569F"/>
    <w:rsid w:val="00EF6362"/>
    <w:rsid w:val="00EF681A"/>
    <w:rsid w:val="00EF7135"/>
    <w:rsid w:val="00F0038A"/>
    <w:rsid w:val="00F00622"/>
    <w:rsid w:val="00F01943"/>
    <w:rsid w:val="00F024A8"/>
    <w:rsid w:val="00F027DB"/>
    <w:rsid w:val="00F02A6B"/>
    <w:rsid w:val="00F03189"/>
    <w:rsid w:val="00F031BD"/>
    <w:rsid w:val="00F03534"/>
    <w:rsid w:val="00F03594"/>
    <w:rsid w:val="00F036FF"/>
    <w:rsid w:val="00F03CF2"/>
    <w:rsid w:val="00F04ABE"/>
    <w:rsid w:val="00F04B59"/>
    <w:rsid w:val="00F0503A"/>
    <w:rsid w:val="00F057A3"/>
    <w:rsid w:val="00F058F7"/>
    <w:rsid w:val="00F05B53"/>
    <w:rsid w:val="00F0717C"/>
    <w:rsid w:val="00F128BD"/>
    <w:rsid w:val="00F12DF5"/>
    <w:rsid w:val="00F14A7A"/>
    <w:rsid w:val="00F161C4"/>
    <w:rsid w:val="00F17BAF"/>
    <w:rsid w:val="00F17D56"/>
    <w:rsid w:val="00F20ED0"/>
    <w:rsid w:val="00F211DC"/>
    <w:rsid w:val="00F21C0A"/>
    <w:rsid w:val="00F22985"/>
    <w:rsid w:val="00F23205"/>
    <w:rsid w:val="00F249E9"/>
    <w:rsid w:val="00F24ECE"/>
    <w:rsid w:val="00F256FA"/>
    <w:rsid w:val="00F27DF6"/>
    <w:rsid w:val="00F30C94"/>
    <w:rsid w:val="00F32FA5"/>
    <w:rsid w:val="00F3383E"/>
    <w:rsid w:val="00F3446A"/>
    <w:rsid w:val="00F34D44"/>
    <w:rsid w:val="00F3585A"/>
    <w:rsid w:val="00F35C28"/>
    <w:rsid w:val="00F40515"/>
    <w:rsid w:val="00F407EB"/>
    <w:rsid w:val="00F41E61"/>
    <w:rsid w:val="00F42089"/>
    <w:rsid w:val="00F42316"/>
    <w:rsid w:val="00F4357E"/>
    <w:rsid w:val="00F435DB"/>
    <w:rsid w:val="00F44252"/>
    <w:rsid w:val="00F465A7"/>
    <w:rsid w:val="00F46D1F"/>
    <w:rsid w:val="00F46FA0"/>
    <w:rsid w:val="00F50B7C"/>
    <w:rsid w:val="00F520BD"/>
    <w:rsid w:val="00F53548"/>
    <w:rsid w:val="00F550E4"/>
    <w:rsid w:val="00F550E6"/>
    <w:rsid w:val="00F55E5C"/>
    <w:rsid w:val="00F60291"/>
    <w:rsid w:val="00F64A29"/>
    <w:rsid w:val="00F64D16"/>
    <w:rsid w:val="00F657CB"/>
    <w:rsid w:val="00F66B05"/>
    <w:rsid w:val="00F67281"/>
    <w:rsid w:val="00F72242"/>
    <w:rsid w:val="00F72A6A"/>
    <w:rsid w:val="00F7341A"/>
    <w:rsid w:val="00F74345"/>
    <w:rsid w:val="00F7485B"/>
    <w:rsid w:val="00F76A6C"/>
    <w:rsid w:val="00F77A0A"/>
    <w:rsid w:val="00F8025C"/>
    <w:rsid w:val="00F80A0A"/>
    <w:rsid w:val="00F810CB"/>
    <w:rsid w:val="00F81612"/>
    <w:rsid w:val="00F81DAD"/>
    <w:rsid w:val="00F82157"/>
    <w:rsid w:val="00F8269C"/>
    <w:rsid w:val="00F82B19"/>
    <w:rsid w:val="00F83AFC"/>
    <w:rsid w:val="00F84C4A"/>
    <w:rsid w:val="00F85129"/>
    <w:rsid w:val="00F8552A"/>
    <w:rsid w:val="00F85755"/>
    <w:rsid w:val="00F857E3"/>
    <w:rsid w:val="00F85D47"/>
    <w:rsid w:val="00F8603C"/>
    <w:rsid w:val="00F8673B"/>
    <w:rsid w:val="00F87CB5"/>
    <w:rsid w:val="00F90446"/>
    <w:rsid w:val="00F904C1"/>
    <w:rsid w:val="00F90AFF"/>
    <w:rsid w:val="00F92103"/>
    <w:rsid w:val="00F9212D"/>
    <w:rsid w:val="00F94814"/>
    <w:rsid w:val="00F95A9D"/>
    <w:rsid w:val="00F95DCB"/>
    <w:rsid w:val="00F965DA"/>
    <w:rsid w:val="00F9703F"/>
    <w:rsid w:val="00F97222"/>
    <w:rsid w:val="00FA01AE"/>
    <w:rsid w:val="00FA03E1"/>
    <w:rsid w:val="00FA06B9"/>
    <w:rsid w:val="00FA0A67"/>
    <w:rsid w:val="00FA0BD5"/>
    <w:rsid w:val="00FA1922"/>
    <w:rsid w:val="00FA406A"/>
    <w:rsid w:val="00FA431C"/>
    <w:rsid w:val="00FA5667"/>
    <w:rsid w:val="00FA5927"/>
    <w:rsid w:val="00FB0B07"/>
    <w:rsid w:val="00FB1842"/>
    <w:rsid w:val="00FB18D2"/>
    <w:rsid w:val="00FB25EB"/>
    <w:rsid w:val="00FB503A"/>
    <w:rsid w:val="00FB516C"/>
    <w:rsid w:val="00FB71A1"/>
    <w:rsid w:val="00FB759E"/>
    <w:rsid w:val="00FB790A"/>
    <w:rsid w:val="00FC03C0"/>
    <w:rsid w:val="00FC1CF8"/>
    <w:rsid w:val="00FC406D"/>
    <w:rsid w:val="00FC583E"/>
    <w:rsid w:val="00FC7730"/>
    <w:rsid w:val="00FC7F25"/>
    <w:rsid w:val="00FD0236"/>
    <w:rsid w:val="00FD0B23"/>
    <w:rsid w:val="00FD18F4"/>
    <w:rsid w:val="00FD1B71"/>
    <w:rsid w:val="00FD3F5C"/>
    <w:rsid w:val="00FD54DB"/>
    <w:rsid w:val="00FD5D0A"/>
    <w:rsid w:val="00FD619F"/>
    <w:rsid w:val="00FD655D"/>
    <w:rsid w:val="00FD6817"/>
    <w:rsid w:val="00FD758D"/>
    <w:rsid w:val="00FE03E3"/>
    <w:rsid w:val="00FE05E5"/>
    <w:rsid w:val="00FE2D4B"/>
    <w:rsid w:val="00FE583A"/>
    <w:rsid w:val="00FE67AC"/>
    <w:rsid w:val="00FE7CBE"/>
    <w:rsid w:val="00FF1F4D"/>
    <w:rsid w:val="00FF1F93"/>
    <w:rsid w:val="00FF2770"/>
    <w:rsid w:val="00FF360A"/>
    <w:rsid w:val="00FF3C56"/>
    <w:rsid w:val="00FF4D34"/>
    <w:rsid w:val="00FF516F"/>
    <w:rsid w:val="00FF786B"/>
    <w:rsid w:val="01131B48"/>
    <w:rsid w:val="01290F7E"/>
    <w:rsid w:val="015D1E09"/>
    <w:rsid w:val="018A0E13"/>
    <w:rsid w:val="01D9765D"/>
    <w:rsid w:val="01EC338C"/>
    <w:rsid w:val="025C5FF2"/>
    <w:rsid w:val="02697903"/>
    <w:rsid w:val="02B87151"/>
    <w:rsid w:val="02C979FA"/>
    <w:rsid w:val="02F12611"/>
    <w:rsid w:val="02F9373E"/>
    <w:rsid w:val="02F96569"/>
    <w:rsid w:val="02FA4BF1"/>
    <w:rsid w:val="03382E07"/>
    <w:rsid w:val="036A05D8"/>
    <w:rsid w:val="03910325"/>
    <w:rsid w:val="03934A8B"/>
    <w:rsid w:val="039936FA"/>
    <w:rsid w:val="03C9507D"/>
    <w:rsid w:val="03EA7B21"/>
    <w:rsid w:val="03F84282"/>
    <w:rsid w:val="04282BEA"/>
    <w:rsid w:val="04415D9F"/>
    <w:rsid w:val="045F77E1"/>
    <w:rsid w:val="048B2596"/>
    <w:rsid w:val="04AE2176"/>
    <w:rsid w:val="051D3C9A"/>
    <w:rsid w:val="05216546"/>
    <w:rsid w:val="052B261E"/>
    <w:rsid w:val="054E549E"/>
    <w:rsid w:val="055F54B4"/>
    <w:rsid w:val="05657434"/>
    <w:rsid w:val="05A74E87"/>
    <w:rsid w:val="05BC695E"/>
    <w:rsid w:val="05DA659E"/>
    <w:rsid w:val="05DD10B9"/>
    <w:rsid w:val="05F83EAE"/>
    <w:rsid w:val="060F608F"/>
    <w:rsid w:val="061B72CB"/>
    <w:rsid w:val="062D0C53"/>
    <w:rsid w:val="063E7D85"/>
    <w:rsid w:val="064D67D9"/>
    <w:rsid w:val="06555F67"/>
    <w:rsid w:val="065E0562"/>
    <w:rsid w:val="066E1058"/>
    <w:rsid w:val="069F5975"/>
    <w:rsid w:val="06A60915"/>
    <w:rsid w:val="06C324FD"/>
    <w:rsid w:val="06F408BE"/>
    <w:rsid w:val="07174993"/>
    <w:rsid w:val="07191034"/>
    <w:rsid w:val="07293586"/>
    <w:rsid w:val="07295285"/>
    <w:rsid w:val="072C4001"/>
    <w:rsid w:val="07636392"/>
    <w:rsid w:val="07770C56"/>
    <w:rsid w:val="077D5288"/>
    <w:rsid w:val="078F22DF"/>
    <w:rsid w:val="07B91A3F"/>
    <w:rsid w:val="07BF2129"/>
    <w:rsid w:val="07E21B99"/>
    <w:rsid w:val="08236B0E"/>
    <w:rsid w:val="082C54AC"/>
    <w:rsid w:val="08501855"/>
    <w:rsid w:val="0869241D"/>
    <w:rsid w:val="087A7E9E"/>
    <w:rsid w:val="08A8746C"/>
    <w:rsid w:val="08B17BE1"/>
    <w:rsid w:val="08DD11B6"/>
    <w:rsid w:val="08E72C70"/>
    <w:rsid w:val="08EA67D6"/>
    <w:rsid w:val="090E293E"/>
    <w:rsid w:val="092217DD"/>
    <w:rsid w:val="093A7294"/>
    <w:rsid w:val="094E030B"/>
    <w:rsid w:val="09502548"/>
    <w:rsid w:val="09561E7D"/>
    <w:rsid w:val="09682211"/>
    <w:rsid w:val="09685549"/>
    <w:rsid w:val="097642D4"/>
    <w:rsid w:val="09F45FD8"/>
    <w:rsid w:val="09F84285"/>
    <w:rsid w:val="0A1512FA"/>
    <w:rsid w:val="0A263993"/>
    <w:rsid w:val="0A2D3AC2"/>
    <w:rsid w:val="0A483AEC"/>
    <w:rsid w:val="0A5C6CA9"/>
    <w:rsid w:val="0A60794D"/>
    <w:rsid w:val="0A830071"/>
    <w:rsid w:val="0AA755DF"/>
    <w:rsid w:val="0AB34B49"/>
    <w:rsid w:val="0AC260D6"/>
    <w:rsid w:val="0AD54635"/>
    <w:rsid w:val="0AFD0A0F"/>
    <w:rsid w:val="0B120D44"/>
    <w:rsid w:val="0B1560D8"/>
    <w:rsid w:val="0B1D1819"/>
    <w:rsid w:val="0B3A7DD4"/>
    <w:rsid w:val="0B3E4DAE"/>
    <w:rsid w:val="0B4235B1"/>
    <w:rsid w:val="0B4235F7"/>
    <w:rsid w:val="0B5C5EF7"/>
    <w:rsid w:val="0B6C486F"/>
    <w:rsid w:val="0B8C227D"/>
    <w:rsid w:val="0B8F6296"/>
    <w:rsid w:val="0BD27BF6"/>
    <w:rsid w:val="0BEF52E7"/>
    <w:rsid w:val="0C032502"/>
    <w:rsid w:val="0C191002"/>
    <w:rsid w:val="0C3B3C7D"/>
    <w:rsid w:val="0C6C454B"/>
    <w:rsid w:val="0C833643"/>
    <w:rsid w:val="0C9971E0"/>
    <w:rsid w:val="0CA70B60"/>
    <w:rsid w:val="0CAB2EAE"/>
    <w:rsid w:val="0CDE59CC"/>
    <w:rsid w:val="0CEE13B3"/>
    <w:rsid w:val="0D16756A"/>
    <w:rsid w:val="0D26730B"/>
    <w:rsid w:val="0D326C19"/>
    <w:rsid w:val="0D3341FE"/>
    <w:rsid w:val="0D4D2DC9"/>
    <w:rsid w:val="0D621C7D"/>
    <w:rsid w:val="0D847152"/>
    <w:rsid w:val="0D89184E"/>
    <w:rsid w:val="0DA062A7"/>
    <w:rsid w:val="0DC56F16"/>
    <w:rsid w:val="0DD15EA3"/>
    <w:rsid w:val="0E6F39AF"/>
    <w:rsid w:val="0E73034D"/>
    <w:rsid w:val="0E9B1118"/>
    <w:rsid w:val="0E9E6512"/>
    <w:rsid w:val="0EA83D1F"/>
    <w:rsid w:val="0EAD2BF9"/>
    <w:rsid w:val="0EBD548B"/>
    <w:rsid w:val="0EC41D3D"/>
    <w:rsid w:val="0EF56D77"/>
    <w:rsid w:val="0F13775A"/>
    <w:rsid w:val="0F1E5939"/>
    <w:rsid w:val="0F452E31"/>
    <w:rsid w:val="0F5F45FE"/>
    <w:rsid w:val="0F7A0D2D"/>
    <w:rsid w:val="0F9A112B"/>
    <w:rsid w:val="0FF351FD"/>
    <w:rsid w:val="100225D6"/>
    <w:rsid w:val="10340719"/>
    <w:rsid w:val="10624CD2"/>
    <w:rsid w:val="106D2F64"/>
    <w:rsid w:val="108F039F"/>
    <w:rsid w:val="10A13B38"/>
    <w:rsid w:val="10B16378"/>
    <w:rsid w:val="10B63710"/>
    <w:rsid w:val="10C20D77"/>
    <w:rsid w:val="10F10820"/>
    <w:rsid w:val="10F9573E"/>
    <w:rsid w:val="10FE653E"/>
    <w:rsid w:val="111C2F7A"/>
    <w:rsid w:val="113E5671"/>
    <w:rsid w:val="11432D5B"/>
    <w:rsid w:val="11665CA1"/>
    <w:rsid w:val="116812B1"/>
    <w:rsid w:val="118E6F11"/>
    <w:rsid w:val="11AC24E6"/>
    <w:rsid w:val="11C80677"/>
    <w:rsid w:val="11C92944"/>
    <w:rsid w:val="11D2515D"/>
    <w:rsid w:val="11EB0E0E"/>
    <w:rsid w:val="11EE4D51"/>
    <w:rsid w:val="120C511D"/>
    <w:rsid w:val="12165F88"/>
    <w:rsid w:val="12CF1B39"/>
    <w:rsid w:val="12D26338"/>
    <w:rsid w:val="12EA7F78"/>
    <w:rsid w:val="13275B9E"/>
    <w:rsid w:val="13511DA5"/>
    <w:rsid w:val="136A754E"/>
    <w:rsid w:val="13910535"/>
    <w:rsid w:val="13951726"/>
    <w:rsid w:val="13B77825"/>
    <w:rsid w:val="13C752BD"/>
    <w:rsid w:val="13CC53F7"/>
    <w:rsid w:val="13D0750A"/>
    <w:rsid w:val="13E72581"/>
    <w:rsid w:val="13F2658A"/>
    <w:rsid w:val="141554C8"/>
    <w:rsid w:val="14187679"/>
    <w:rsid w:val="141F1312"/>
    <w:rsid w:val="14396509"/>
    <w:rsid w:val="1483317E"/>
    <w:rsid w:val="14C41BF4"/>
    <w:rsid w:val="14D47131"/>
    <w:rsid w:val="14DD2C3C"/>
    <w:rsid w:val="14E005F3"/>
    <w:rsid w:val="14EF7AC7"/>
    <w:rsid w:val="14F615C1"/>
    <w:rsid w:val="15355167"/>
    <w:rsid w:val="154C2AA3"/>
    <w:rsid w:val="15510782"/>
    <w:rsid w:val="15983279"/>
    <w:rsid w:val="15B02AA9"/>
    <w:rsid w:val="15CB38D4"/>
    <w:rsid w:val="15D075D8"/>
    <w:rsid w:val="15E5170F"/>
    <w:rsid w:val="16087E1D"/>
    <w:rsid w:val="16113A6D"/>
    <w:rsid w:val="16264485"/>
    <w:rsid w:val="16334545"/>
    <w:rsid w:val="16893CBD"/>
    <w:rsid w:val="16895989"/>
    <w:rsid w:val="16D2791F"/>
    <w:rsid w:val="16F77891"/>
    <w:rsid w:val="171E68BB"/>
    <w:rsid w:val="17410382"/>
    <w:rsid w:val="17511D3C"/>
    <w:rsid w:val="1752309E"/>
    <w:rsid w:val="17614481"/>
    <w:rsid w:val="17701D14"/>
    <w:rsid w:val="17735226"/>
    <w:rsid w:val="17765B21"/>
    <w:rsid w:val="17905A13"/>
    <w:rsid w:val="17D03547"/>
    <w:rsid w:val="17D64F6F"/>
    <w:rsid w:val="17E15CCC"/>
    <w:rsid w:val="183C107A"/>
    <w:rsid w:val="189F624C"/>
    <w:rsid w:val="18B77C98"/>
    <w:rsid w:val="18EF15E5"/>
    <w:rsid w:val="191716B1"/>
    <w:rsid w:val="19393A07"/>
    <w:rsid w:val="193C34F7"/>
    <w:rsid w:val="19443AC4"/>
    <w:rsid w:val="19873411"/>
    <w:rsid w:val="198979E9"/>
    <w:rsid w:val="19946411"/>
    <w:rsid w:val="19BC3BD8"/>
    <w:rsid w:val="19C257AA"/>
    <w:rsid w:val="19CA019D"/>
    <w:rsid w:val="19DB70B5"/>
    <w:rsid w:val="1A145BC4"/>
    <w:rsid w:val="1A1C66C0"/>
    <w:rsid w:val="1A1C744E"/>
    <w:rsid w:val="1A3F01F5"/>
    <w:rsid w:val="1A42393B"/>
    <w:rsid w:val="1A937147"/>
    <w:rsid w:val="1A986135"/>
    <w:rsid w:val="1AAD45DE"/>
    <w:rsid w:val="1AED79D1"/>
    <w:rsid w:val="1B046F80"/>
    <w:rsid w:val="1B3267B5"/>
    <w:rsid w:val="1B40161D"/>
    <w:rsid w:val="1B423B1B"/>
    <w:rsid w:val="1B441859"/>
    <w:rsid w:val="1B4B7A22"/>
    <w:rsid w:val="1B6606B1"/>
    <w:rsid w:val="1B661443"/>
    <w:rsid w:val="1B9E1299"/>
    <w:rsid w:val="1C054074"/>
    <w:rsid w:val="1C0D174F"/>
    <w:rsid w:val="1C362480"/>
    <w:rsid w:val="1C3A4061"/>
    <w:rsid w:val="1C3A53FB"/>
    <w:rsid w:val="1C5E7925"/>
    <w:rsid w:val="1C6E36D6"/>
    <w:rsid w:val="1C701805"/>
    <w:rsid w:val="1CA25394"/>
    <w:rsid w:val="1CD15EBE"/>
    <w:rsid w:val="1CD60593"/>
    <w:rsid w:val="1CE84096"/>
    <w:rsid w:val="1CFD070F"/>
    <w:rsid w:val="1D5F6196"/>
    <w:rsid w:val="1D6132A5"/>
    <w:rsid w:val="1D6A4769"/>
    <w:rsid w:val="1D8E56D5"/>
    <w:rsid w:val="1D912315"/>
    <w:rsid w:val="1DDF6823"/>
    <w:rsid w:val="1DFC2661"/>
    <w:rsid w:val="1E01086B"/>
    <w:rsid w:val="1E232DE7"/>
    <w:rsid w:val="1E4120B4"/>
    <w:rsid w:val="1E575C9E"/>
    <w:rsid w:val="1E581E28"/>
    <w:rsid w:val="1E7A43DA"/>
    <w:rsid w:val="1F0E26C1"/>
    <w:rsid w:val="1F1613EB"/>
    <w:rsid w:val="1F251F55"/>
    <w:rsid w:val="1F301408"/>
    <w:rsid w:val="1F340117"/>
    <w:rsid w:val="1F513E14"/>
    <w:rsid w:val="1F5C08C8"/>
    <w:rsid w:val="1F6948CA"/>
    <w:rsid w:val="1FB857A3"/>
    <w:rsid w:val="1FE1032A"/>
    <w:rsid w:val="1FE7539E"/>
    <w:rsid w:val="1FEB5538"/>
    <w:rsid w:val="1FF00B97"/>
    <w:rsid w:val="201B6903"/>
    <w:rsid w:val="202B59D7"/>
    <w:rsid w:val="20671BE0"/>
    <w:rsid w:val="206C677F"/>
    <w:rsid w:val="20731D8B"/>
    <w:rsid w:val="20795EDE"/>
    <w:rsid w:val="20963CB8"/>
    <w:rsid w:val="209F4A2C"/>
    <w:rsid w:val="20A81A1B"/>
    <w:rsid w:val="20B07FB6"/>
    <w:rsid w:val="20B646FB"/>
    <w:rsid w:val="20D01DCF"/>
    <w:rsid w:val="20D60F79"/>
    <w:rsid w:val="20DD40D7"/>
    <w:rsid w:val="20E424AA"/>
    <w:rsid w:val="20F70991"/>
    <w:rsid w:val="210C3E27"/>
    <w:rsid w:val="211C60E8"/>
    <w:rsid w:val="213B74B1"/>
    <w:rsid w:val="215A2310"/>
    <w:rsid w:val="2168547C"/>
    <w:rsid w:val="21A61571"/>
    <w:rsid w:val="21CE57A6"/>
    <w:rsid w:val="21DE318A"/>
    <w:rsid w:val="21E24303"/>
    <w:rsid w:val="21EF5B80"/>
    <w:rsid w:val="22123A01"/>
    <w:rsid w:val="2224381A"/>
    <w:rsid w:val="224354C2"/>
    <w:rsid w:val="22446A3F"/>
    <w:rsid w:val="224D5CAF"/>
    <w:rsid w:val="22576990"/>
    <w:rsid w:val="22D1652E"/>
    <w:rsid w:val="22E46712"/>
    <w:rsid w:val="22F47480"/>
    <w:rsid w:val="22FA1721"/>
    <w:rsid w:val="233F60BE"/>
    <w:rsid w:val="235D4796"/>
    <w:rsid w:val="237621D9"/>
    <w:rsid w:val="237C57A8"/>
    <w:rsid w:val="23DE1C48"/>
    <w:rsid w:val="23E01DFF"/>
    <w:rsid w:val="23EC3A91"/>
    <w:rsid w:val="240210CD"/>
    <w:rsid w:val="2438604E"/>
    <w:rsid w:val="247A5CA9"/>
    <w:rsid w:val="249C4E4A"/>
    <w:rsid w:val="24B20679"/>
    <w:rsid w:val="24BF09F7"/>
    <w:rsid w:val="24C1126B"/>
    <w:rsid w:val="24CA3C90"/>
    <w:rsid w:val="25001CD9"/>
    <w:rsid w:val="250764FC"/>
    <w:rsid w:val="251D41DD"/>
    <w:rsid w:val="25261BD3"/>
    <w:rsid w:val="252D53FE"/>
    <w:rsid w:val="25333A00"/>
    <w:rsid w:val="253F254E"/>
    <w:rsid w:val="259F05D7"/>
    <w:rsid w:val="25E154EE"/>
    <w:rsid w:val="25EC2D81"/>
    <w:rsid w:val="263A491A"/>
    <w:rsid w:val="266D4CF0"/>
    <w:rsid w:val="26A96EED"/>
    <w:rsid w:val="26AF32F4"/>
    <w:rsid w:val="26B26793"/>
    <w:rsid w:val="270E3B22"/>
    <w:rsid w:val="2726739B"/>
    <w:rsid w:val="277057A2"/>
    <w:rsid w:val="27A10DC8"/>
    <w:rsid w:val="28180235"/>
    <w:rsid w:val="281827A2"/>
    <w:rsid w:val="283F090E"/>
    <w:rsid w:val="28611182"/>
    <w:rsid w:val="28835DCC"/>
    <w:rsid w:val="28B43AB0"/>
    <w:rsid w:val="2900433A"/>
    <w:rsid w:val="290659FC"/>
    <w:rsid w:val="291F0D4E"/>
    <w:rsid w:val="29206EB8"/>
    <w:rsid w:val="29595666"/>
    <w:rsid w:val="295A5E0D"/>
    <w:rsid w:val="296B10DB"/>
    <w:rsid w:val="29874881"/>
    <w:rsid w:val="29E325E0"/>
    <w:rsid w:val="29F75336"/>
    <w:rsid w:val="2A18452A"/>
    <w:rsid w:val="2A435A2A"/>
    <w:rsid w:val="2A452503"/>
    <w:rsid w:val="2A4E3A0F"/>
    <w:rsid w:val="2A637432"/>
    <w:rsid w:val="2A7C519C"/>
    <w:rsid w:val="2A8101B9"/>
    <w:rsid w:val="2A9E7FD5"/>
    <w:rsid w:val="2ABC2634"/>
    <w:rsid w:val="2AC31C08"/>
    <w:rsid w:val="2ACD6A87"/>
    <w:rsid w:val="2AD67958"/>
    <w:rsid w:val="2AE52EC1"/>
    <w:rsid w:val="2AFD492E"/>
    <w:rsid w:val="2B0528EF"/>
    <w:rsid w:val="2B0F416E"/>
    <w:rsid w:val="2B23418E"/>
    <w:rsid w:val="2B261911"/>
    <w:rsid w:val="2B2B0B9C"/>
    <w:rsid w:val="2BA936A8"/>
    <w:rsid w:val="2C315A5A"/>
    <w:rsid w:val="2C4B1C25"/>
    <w:rsid w:val="2C595428"/>
    <w:rsid w:val="2C5B6C3F"/>
    <w:rsid w:val="2C884632"/>
    <w:rsid w:val="2C9344EE"/>
    <w:rsid w:val="2CA74CBF"/>
    <w:rsid w:val="2CB95615"/>
    <w:rsid w:val="2CC93D5E"/>
    <w:rsid w:val="2CD86C3B"/>
    <w:rsid w:val="2D02355D"/>
    <w:rsid w:val="2D082E08"/>
    <w:rsid w:val="2D1B4A8C"/>
    <w:rsid w:val="2D275EBA"/>
    <w:rsid w:val="2D2C3EAD"/>
    <w:rsid w:val="2D4B7F4D"/>
    <w:rsid w:val="2D5A5ACF"/>
    <w:rsid w:val="2D5F261A"/>
    <w:rsid w:val="2D682FA8"/>
    <w:rsid w:val="2D7F266D"/>
    <w:rsid w:val="2D9E56F5"/>
    <w:rsid w:val="2DA95544"/>
    <w:rsid w:val="2DB66F7C"/>
    <w:rsid w:val="2DBE5581"/>
    <w:rsid w:val="2DFD50AA"/>
    <w:rsid w:val="2E197F71"/>
    <w:rsid w:val="2E354F10"/>
    <w:rsid w:val="2E577083"/>
    <w:rsid w:val="2E667F96"/>
    <w:rsid w:val="2E6F468C"/>
    <w:rsid w:val="2E732D7E"/>
    <w:rsid w:val="2E7C72C4"/>
    <w:rsid w:val="2E8226AB"/>
    <w:rsid w:val="2ED367A2"/>
    <w:rsid w:val="2ED91124"/>
    <w:rsid w:val="2F1A4693"/>
    <w:rsid w:val="2F440E1F"/>
    <w:rsid w:val="2F4C1EBE"/>
    <w:rsid w:val="2F656CE0"/>
    <w:rsid w:val="2F7958D1"/>
    <w:rsid w:val="2F971BB8"/>
    <w:rsid w:val="2FD065E6"/>
    <w:rsid w:val="2FD96870"/>
    <w:rsid w:val="3038636F"/>
    <w:rsid w:val="30580BC9"/>
    <w:rsid w:val="305C56E5"/>
    <w:rsid w:val="30CC5FB6"/>
    <w:rsid w:val="30F878AC"/>
    <w:rsid w:val="30FB7161"/>
    <w:rsid w:val="31003DB8"/>
    <w:rsid w:val="311E2ED7"/>
    <w:rsid w:val="31273277"/>
    <w:rsid w:val="315619EE"/>
    <w:rsid w:val="315C449C"/>
    <w:rsid w:val="3185332A"/>
    <w:rsid w:val="31AE1307"/>
    <w:rsid w:val="31B82709"/>
    <w:rsid w:val="31C21AA8"/>
    <w:rsid w:val="31D05482"/>
    <w:rsid w:val="31E47943"/>
    <w:rsid w:val="32217791"/>
    <w:rsid w:val="3222632F"/>
    <w:rsid w:val="32400B34"/>
    <w:rsid w:val="324273DC"/>
    <w:rsid w:val="327279EF"/>
    <w:rsid w:val="328D777F"/>
    <w:rsid w:val="32951856"/>
    <w:rsid w:val="329E6876"/>
    <w:rsid w:val="32A95302"/>
    <w:rsid w:val="32B80903"/>
    <w:rsid w:val="32C3123D"/>
    <w:rsid w:val="32EB3B6C"/>
    <w:rsid w:val="333015F2"/>
    <w:rsid w:val="334B6320"/>
    <w:rsid w:val="33D934D4"/>
    <w:rsid w:val="33EC7B9C"/>
    <w:rsid w:val="33FE2F6A"/>
    <w:rsid w:val="340E07E5"/>
    <w:rsid w:val="34235BF7"/>
    <w:rsid w:val="34281B8A"/>
    <w:rsid w:val="34684D49"/>
    <w:rsid w:val="347D72A6"/>
    <w:rsid w:val="347F5EFC"/>
    <w:rsid w:val="34A2025B"/>
    <w:rsid w:val="34B64014"/>
    <w:rsid w:val="34BC099C"/>
    <w:rsid w:val="34CE72A2"/>
    <w:rsid w:val="34D32303"/>
    <w:rsid w:val="34DE67A6"/>
    <w:rsid w:val="34FD1603"/>
    <w:rsid w:val="351E29D4"/>
    <w:rsid w:val="352A76F3"/>
    <w:rsid w:val="353A59CF"/>
    <w:rsid w:val="355F763A"/>
    <w:rsid w:val="356F09EB"/>
    <w:rsid w:val="35824BFA"/>
    <w:rsid w:val="358C5FA8"/>
    <w:rsid w:val="35A973C7"/>
    <w:rsid w:val="35B764A1"/>
    <w:rsid w:val="35C15DF1"/>
    <w:rsid w:val="35FE7713"/>
    <w:rsid w:val="3602542B"/>
    <w:rsid w:val="36074A7F"/>
    <w:rsid w:val="360B2817"/>
    <w:rsid w:val="361B30F9"/>
    <w:rsid w:val="36662D3E"/>
    <w:rsid w:val="367C5D10"/>
    <w:rsid w:val="36923549"/>
    <w:rsid w:val="36AA291D"/>
    <w:rsid w:val="36B160A4"/>
    <w:rsid w:val="36B75FBF"/>
    <w:rsid w:val="36BD0C45"/>
    <w:rsid w:val="36E732E4"/>
    <w:rsid w:val="370A7282"/>
    <w:rsid w:val="37145F5F"/>
    <w:rsid w:val="37537F32"/>
    <w:rsid w:val="375B6B4D"/>
    <w:rsid w:val="377D0B0B"/>
    <w:rsid w:val="3781285B"/>
    <w:rsid w:val="378D7CC6"/>
    <w:rsid w:val="379569FE"/>
    <w:rsid w:val="37C86D00"/>
    <w:rsid w:val="37CC2F9B"/>
    <w:rsid w:val="37E00298"/>
    <w:rsid w:val="38106D71"/>
    <w:rsid w:val="38113686"/>
    <w:rsid w:val="38195813"/>
    <w:rsid w:val="38196A86"/>
    <w:rsid w:val="38B302F9"/>
    <w:rsid w:val="38DE55D9"/>
    <w:rsid w:val="38F12CD3"/>
    <w:rsid w:val="38F94775"/>
    <w:rsid w:val="392971ED"/>
    <w:rsid w:val="39325651"/>
    <w:rsid w:val="395D0799"/>
    <w:rsid w:val="3972488B"/>
    <w:rsid w:val="3990340A"/>
    <w:rsid w:val="39A10074"/>
    <w:rsid w:val="39B61E02"/>
    <w:rsid w:val="39B62169"/>
    <w:rsid w:val="3A2B4A80"/>
    <w:rsid w:val="3A872856"/>
    <w:rsid w:val="3B180405"/>
    <w:rsid w:val="3B2D64FF"/>
    <w:rsid w:val="3B3763D1"/>
    <w:rsid w:val="3B602CD2"/>
    <w:rsid w:val="3B6A55BB"/>
    <w:rsid w:val="3B731AB5"/>
    <w:rsid w:val="3B826DCB"/>
    <w:rsid w:val="3BA069B6"/>
    <w:rsid w:val="3BA37B6F"/>
    <w:rsid w:val="3BD979AE"/>
    <w:rsid w:val="3BE517E8"/>
    <w:rsid w:val="3BE528E6"/>
    <w:rsid w:val="3BFA65CD"/>
    <w:rsid w:val="3BFF15A9"/>
    <w:rsid w:val="3C187054"/>
    <w:rsid w:val="3C2B6D87"/>
    <w:rsid w:val="3C2F6E1E"/>
    <w:rsid w:val="3C3976F6"/>
    <w:rsid w:val="3C47343B"/>
    <w:rsid w:val="3C4F296C"/>
    <w:rsid w:val="3C4F64BA"/>
    <w:rsid w:val="3C5158A1"/>
    <w:rsid w:val="3C544530"/>
    <w:rsid w:val="3C617B5E"/>
    <w:rsid w:val="3C793F97"/>
    <w:rsid w:val="3C7F3809"/>
    <w:rsid w:val="3C921F26"/>
    <w:rsid w:val="3C9B6812"/>
    <w:rsid w:val="3CA57581"/>
    <w:rsid w:val="3CC628E8"/>
    <w:rsid w:val="3CDA245A"/>
    <w:rsid w:val="3D0755F1"/>
    <w:rsid w:val="3D1E06B7"/>
    <w:rsid w:val="3D535FDC"/>
    <w:rsid w:val="3DCB25D0"/>
    <w:rsid w:val="3DDE696D"/>
    <w:rsid w:val="3DED2C53"/>
    <w:rsid w:val="3E224C86"/>
    <w:rsid w:val="3E2972F7"/>
    <w:rsid w:val="3E3170D5"/>
    <w:rsid w:val="3E805BD6"/>
    <w:rsid w:val="3EB1425C"/>
    <w:rsid w:val="3EBC7EA2"/>
    <w:rsid w:val="3EBF26D7"/>
    <w:rsid w:val="3ECB39C4"/>
    <w:rsid w:val="3EDA0523"/>
    <w:rsid w:val="3EFA3A97"/>
    <w:rsid w:val="3F1E727C"/>
    <w:rsid w:val="3F337FF6"/>
    <w:rsid w:val="3FDE5C3F"/>
    <w:rsid w:val="40356427"/>
    <w:rsid w:val="407A6407"/>
    <w:rsid w:val="408E40D6"/>
    <w:rsid w:val="40A16021"/>
    <w:rsid w:val="40CF55D8"/>
    <w:rsid w:val="40DC4AF4"/>
    <w:rsid w:val="40EA519B"/>
    <w:rsid w:val="40EE236D"/>
    <w:rsid w:val="41187B37"/>
    <w:rsid w:val="416219AA"/>
    <w:rsid w:val="419A7707"/>
    <w:rsid w:val="41A1079C"/>
    <w:rsid w:val="41C647A1"/>
    <w:rsid w:val="41D84409"/>
    <w:rsid w:val="41DC4305"/>
    <w:rsid w:val="41EF31A0"/>
    <w:rsid w:val="41FD2F74"/>
    <w:rsid w:val="4200449D"/>
    <w:rsid w:val="423160D6"/>
    <w:rsid w:val="423A3BCC"/>
    <w:rsid w:val="424E57D2"/>
    <w:rsid w:val="4254350E"/>
    <w:rsid w:val="425D1C65"/>
    <w:rsid w:val="4268561C"/>
    <w:rsid w:val="42862617"/>
    <w:rsid w:val="429A140C"/>
    <w:rsid w:val="42A46E2E"/>
    <w:rsid w:val="42B26C49"/>
    <w:rsid w:val="42C340FA"/>
    <w:rsid w:val="42E6299D"/>
    <w:rsid w:val="43004CED"/>
    <w:rsid w:val="4301248F"/>
    <w:rsid w:val="433A6FE6"/>
    <w:rsid w:val="43480868"/>
    <w:rsid w:val="4350713C"/>
    <w:rsid w:val="436653E0"/>
    <w:rsid w:val="43942225"/>
    <w:rsid w:val="439873F8"/>
    <w:rsid w:val="43C4431A"/>
    <w:rsid w:val="43CB0DDB"/>
    <w:rsid w:val="43D95C8B"/>
    <w:rsid w:val="440270AE"/>
    <w:rsid w:val="441412B7"/>
    <w:rsid w:val="442C492F"/>
    <w:rsid w:val="443A225E"/>
    <w:rsid w:val="444459DA"/>
    <w:rsid w:val="445439A1"/>
    <w:rsid w:val="4464774B"/>
    <w:rsid w:val="44844CDB"/>
    <w:rsid w:val="44847772"/>
    <w:rsid w:val="44910A36"/>
    <w:rsid w:val="44A74FCA"/>
    <w:rsid w:val="44B951CC"/>
    <w:rsid w:val="44CD14E0"/>
    <w:rsid w:val="44F20B0B"/>
    <w:rsid w:val="450C3AC5"/>
    <w:rsid w:val="45153461"/>
    <w:rsid w:val="45206FDC"/>
    <w:rsid w:val="452E5F4C"/>
    <w:rsid w:val="45612018"/>
    <w:rsid w:val="458946E9"/>
    <w:rsid w:val="45A47C0E"/>
    <w:rsid w:val="45B30F35"/>
    <w:rsid w:val="45CA3E9D"/>
    <w:rsid w:val="45DE61A5"/>
    <w:rsid w:val="45EA4025"/>
    <w:rsid w:val="462B0BD3"/>
    <w:rsid w:val="46577FD6"/>
    <w:rsid w:val="465E062E"/>
    <w:rsid w:val="46684CE4"/>
    <w:rsid w:val="46696E2A"/>
    <w:rsid w:val="4693710B"/>
    <w:rsid w:val="46C61000"/>
    <w:rsid w:val="46D955A7"/>
    <w:rsid w:val="46ED54EC"/>
    <w:rsid w:val="47133957"/>
    <w:rsid w:val="4714323A"/>
    <w:rsid w:val="473B112C"/>
    <w:rsid w:val="47640900"/>
    <w:rsid w:val="477C56AC"/>
    <w:rsid w:val="47A07E0C"/>
    <w:rsid w:val="47AC3F5B"/>
    <w:rsid w:val="47B642F1"/>
    <w:rsid w:val="47CC1972"/>
    <w:rsid w:val="47D23130"/>
    <w:rsid w:val="47DE1152"/>
    <w:rsid w:val="47E0136E"/>
    <w:rsid w:val="4806703D"/>
    <w:rsid w:val="483E6094"/>
    <w:rsid w:val="484464F8"/>
    <w:rsid w:val="48487C9B"/>
    <w:rsid w:val="484B4B61"/>
    <w:rsid w:val="486C3763"/>
    <w:rsid w:val="4870272E"/>
    <w:rsid w:val="487D77CB"/>
    <w:rsid w:val="48835AC0"/>
    <w:rsid w:val="48CE566A"/>
    <w:rsid w:val="48DC52F3"/>
    <w:rsid w:val="48F40FCD"/>
    <w:rsid w:val="490E0B4B"/>
    <w:rsid w:val="493F7494"/>
    <w:rsid w:val="499B507E"/>
    <w:rsid w:val="49B50AB0"/>
    <w:rsid w:val="49BE748D"/>
    <w:rsid w:val="49D9711D"/>
    <w:rsid w:val="49DC7715"/>
    <w:rsid w:val="49EE2E0B"/>
    <w:rsid w:val="49F76A1B"/>
    <w:rsid w:val="4A023139"/>
    <w:rsid w:val="4A264637"/>
    <w:rsid w:val="4A2A68D0"/>
    <w:rsid w:val="4A2F038B"/>
    <w:rsid w:val="4A3D165A"/>
    <w:rsid w:val="4A7B576F"/>
    <w:rsid w:val="4A8331E9"/>
    <w:rsid w:val="4AA86674"/>
    <w:rsid w:val="4AC66034"/>
    <w:rsid w:val="4AEF30EF"/>
    <w:rsid w:val="4AF561A9"/>
    <w:rsid w:val="4AF56EDE"/>
    <w:rsid w:val="4AFC2C15"/>
    <w:rsid w:val="4B490BBD"/>
    <w:rsid w:val="4B616557"/>
    <w:rsid w:val="4B8A1104"/>
    <w:rsid w:val="4BC029A0"/>
    <w:rsid w:val="4BD90EFA"/>
    <w:rsid w:val="4C105929"/>
    <w:rsid w:val="4C107D48"/>
    <w:rsid w:val="4C1D697A"/>
    <w:rsid w:val="4C384DDE"/>
    <w:rsid w:val="4C4A0649"/>
    <w:rsid w:val="4C6D519A"/>
    <w:rsid w:val="4C721B3C"/>
    <w:rsid w:val="4C7E5ECA"/>
    <w:rsid w:val="4C876AA5"/>
    <w:rsid w:val="4C904D73"/>
    <w:rsid w:val="4CB161E9"/>
    <w:rsid w:val="4CBC4968"/>
    <w:rsid w:val="4CFC7915"/>
    <w:rsid w:val="4D0E00FB"/>
    <w:rsid w:val="4D176606"/>
    <w:rsid w:val="4D284ECA"/>
    <w:rsid w:val="4D711924"/>
    <w:rsid w:val="4DA447B8"/>
    <w:rsid w:val="4DEC4FB0"/>
    <w:rsid w:val="4DF45702"/>
    <w:rsid w:val="4E075D8A"/>
    <w:rsid w:val="4E1A56BA"/>
    <w:rsid w:val="4E3449A7"/>
    <w:rsid w:val="4E573638"/>
    <w:rsid w:val="4E60254D"/>
    <w:rsid w:val="4E611AB9"/>
    <w:rsid w:val="4E816CDB"/>
    <w:rsid w:val="4EC00FAD"/>
    <w:rsid w:val="4ED17C62"/>
    <w:rsid w:val="4EE72FE2"/>
    <w:rsid w:val="4F015E8B"/>
    <w:rsid w:val="4F624D5E"/>
    <w:rsid w:val="4F6771FC"/>
    <w:rsid w:val="4F6A7E91"/>
    <w:rsid w:val="4F76363C"/>
    <w:rsid w:val="4F7E172F"/>
    <w:rsid w:val="4F9843DC"/>
    <w:rsid w:val="4FB82BD0"/>
    <w:rsid w:val="4FC62A8C"/>
    <w:rsid w:val="4FD911B3"/>
    <w:rsid w:val="4FE146DA"/>
    <w:rsid w:val="4FE20F0D"/>
    <w:rsid w:val="4FE51552"/>
    <w:rsid w:val="4FFF25AD"/>
    <w:rsid w:val="50017B1C"/>
    <w:rsid w:val="50105081"/>
    <w:rsid w:val="50446F33"/>
    <w:rsid w:val="50504C4B"/>
    <w:rsid w:val="50516B44"/>
    <w:rsid w:val="509C6E7C"/>
    <w:rsid w:val="50CF6C60"/>
    <w:rsid w:val="51030A1F"/>
    <w:rsid w:val="510C4D12"/>
    <w:rsid w:val="513F4814"/>
    <w:rsid w:val="515106B1"/>
    <w:rsid w:val="515B42AA"/>
    <w:rsid w:val="5162104E"/>
    <w:rsid w:val="51657F8C"/>
    <w:rsid w:val="517E4880"/>
    <w:rsid w:val="51862EB9"/>
    <w:rsid w:val="519C08F1"/>
    <w:rsid w:val="51D86E81"/>
    <w:rsid w:val="522021B9"/>
    <w:rsid w:val="522E4CA5"/>
    <w:rsid w:val="52347F15"/>
    <w:rsid w:val="52636E74"/>
    <w:rsid w:val="5269228D"/>
    <w:rsid w:val="530F0D59"/>
    <w:rsid w:val="532C3A30"/>
    <w:rsid w:val="53342DD7"/>
    <w:rsid w:val="53540668"/>
    <w:rsid w:val="537475E0"/>
    <w:rsid w:val="537D5FD6"/>
    <w:rsid w:val="53955D73"/>
    <w:rsid w:val="539D45B7"/>
    <w:rsid w:val="53A039CC"/>
    <w:rsid w:val="53A1505A"/>
    <w:rsid w:val="53A94D0A"/>
    <w:rsid w:val="53E6102F"/>
    <w:rsid w:val="53E87F34"/>
    <w:rsid w:val="53EA0E7E"/>
    <w:rsid w:val="53EF7960"/>
    <w:rsid w:val="53F04D60"/>
    <w:rsid w:val="54063E08"/>
    <w:rsid w:val="54083DC9"/>
    <w:rsid w:val="54104779"/>
    <w:rsid w:val="543437E8"/>
    <w:rsid w:val="54C90F9E"/>
    <w:rsid w:val="54D2310B"/>
    <w:rsid w:val="54F11560"/>
    <w:rsid w:val="54F73313"/>
    <w:rsid w:val="54F80955"/>
    <w:rsid w:val="55027C53"/>
    <w:rsid w:val="55115E79"/>
    <w:rsid w:val="55134624"/>
    <w:rsid w:val="552A452C"/>
    <w:rsid w:val="55417A82"/>
    <w:rsid w:val="555170A7"/>
    <w:rsid w:val="5587536D"/>
    <w:rsid w:val="559B174B"/>
    <w:rsid w:val="55B9151A"/>
    <w:rsid w:val="55CE0CF4"/>
    <w:rsid w:val="55E40084"/>
    <w:rsid w:val="561F0B31"/>
    <w:rsid w:val="562A59EC"/>
    <w:rsid w:val="563303E7"/>
    <w:rsid w:val="56405C90"/>
    <w:rsid w:val="568217BC"/>
    <w:rsid w:val="5690156A"/>
    <w:rsid w:val="56B22A9C"/>
    <w:rsid w:val="56BF7C72"/>
    <w:rsid w:val="56F664B8"/>
    <w:rsid w:val="570F1328"/>
    <w:rsid w:val="57470A90"/>
    <w:rsid w:val="575C7BD0"/>
    <w:rsid w:val="57867BCE"/>
    <w:rsid w:val="57AF68E8"/>
    <w:rsid w:val="57B72A76"/>
    <w:rsid w:val="57C3426C"/>
    <w:rsid w:val="57CE1F93"/>
    <w:rsid w:val="582E1C82"/>
    <w:rsid w:val="58300991"/>
    <w:rsid w:val="58584F50"/>
    <w:rsid w:val="587003DF"/>
    <w:rsid w:val="58770836"/>
    <w:rsid w:val="588743D1"/>
    <w:rsid w:val="5887701A"/>
    <w:rsid w:val="589B323E"/>
    <w:rsid w:val="58B116FF"/>
    <w:rsid w:val="58CA66C7"/>
    <w:rsid w:val="58D77C23"/>
    <w:rsid w:val="591C47C5"/>
    <w:rsid w:val="59226D3A"/>
    <w:rsid w:val="592D714D"/>
    <w:rsid w:val="59340BFF"/>
    <w:rsid w:val="5945374D"/>
    <w:rsid w:val="595206F0"/>
    <w:rsid w:val="59603671"/>
    <w:rsid w:val="59741128"/>
    <w:rsid w:val="597E2795"/>
    <w:rsid w:val="598E1B7C"/>
    <w:rsid w:val="598F49A2"/>
    <w:rsid w:val="59BC4EE8"/>
    <w:rsid w:val="59C0439F"/>
    <w:rsid w:val="59CA3C2C"/>
    <w:rsid w:val="59D6457B"/>
    <w:rsid w:val="5A1B7FE4"/>
    <w:rsid w:val="5A1F6894"/>
    <w:rsid w:val="5A3E2773"/>
    <w:rsid w:val="5A873491"/>
    <w:rsid w:val="5AAC0347"/>
    <w:rsid w:val="5AB81BD1"/>
    <w:rsid w:val="5ABE2233"/>
    <w:rsid w:val="5ACF3F53"/>
    <w:rsid w:val="5AFD0A41"/>
    <w:rsid w:val="5B535772"/>
    <w:rsid w:val="5B9B08BB"/>
    <w:rsid w:val="5BA3489D"/>
    <w:rsid w:val="5BD00FBC"/>
    <w:rsid w:val="5BDF5D95"/>
    <w:rsid w:val="5BFE7528"/>
    <w:rsid w:val="5C611888"/>
    <w:rsid w:val="5C8E2CEF"/>
    <w:rsid w:val="5CA4167C"/>
    <w:rsid w:val="5CCA026C"/>
    <w:rsid w:val="5CDC29CB"/>
    <w:rsid w:val="5CDD3C76"/>
    <w:rsid w:val="5CE60D7D"/>
    <w:rsid w:val="5CE90BED"/>
    <w:rsid w:val="5CF54B1C"/>
    <w:rsid w:val="5D521F6E"/>
    <w:rsid w:val="5D624BB2"/>
    <w:rsid w:val="5D697DC5"/>
    <w:rsid w:val="5D8B2D0B"/>
    <w:rsid w:val="5D96548B"/>
    <w:rsid w:val="5DAB5B22"/>
    <w:rsid w:val="5DBB244F"/>
    <w:rsid w:val="5DE03A1E"/>
    <w:rsid w:val="5E053485"/>
    <w:rsid w:val="5E2467F1"/>
    <w:rsid w:val="5E48449A"/>
    <w:rsid w:val="5E6860E5"/>
    <w:rsid w:val="5E7514A4"/>
    <w:rsid w:val="5E8A356A"/>
    <w:rsid w:val="5ECC5796"/>
    <w:rsid w:val="5ECF727A"/>
    <w:rsid w:val="5ED137AD"/>
    <w:rsid w:val="5F1A2B43"/>
    <w:rsid w:val="5F2D2945"/>
    <w:rsid w:val="5F4C03B4"/>
    <w:rsid w:val="5F9B7003"/>
    <w:rsid w:val="5FB837BB"/>
    <w:rsid w:val="5FE52181"/>
    <w:rsid w:val="6023751F"/>
    <w:rsid w:val="60296393"/>
    <w:rsid w:val="60433DF0"/>
    <w:rsid w:val="60455B3F"/>
    <w:rsid w:val="604C4297"/>
    <w:rsid w:val="608F2ABA"/>
    <w:rsid w:val="609066B8"/>
    <w:rsid w:val="60CC405A"/>
    <w:rsid w:val="60DF7FBD"/>
    <w:rsid w:val="60E14BBD"/>
    <w:rsid w:val="60FF1991"/>
    <w:rsid w:val="61316D67"/>
    <w:rsid w:val="614C3178"/>
    <w:rsid w:val="61643340"/>
    <w:rsid w:val="61720808"/>
    <w:rsid w:val="61C14D93"/>
    <w:rsid w:val="61C609B4"/>
    <w:rsid w:val="61E215D8"/>
    <w:rsid w:val="62037CDB"/>
    <w:rsid w:val="620D10BB"/>
    <w:rsid w:val="621B3775"/>
    <w:rsid w:val="6228685B"/>
    <w:rsid w:val="62364782"/>
    <w:rsid w:val="624A1CA0"/>
    <w:rsid w:val="62817C8D"/>
    <w:rsid w:val="62A61922"/>
    <w:rsid w:val="63017972"/>
    <w:rsid w:val="633D5E8C"/>
    <w:rsid w:val="634D0AF4"/>
    <w:rsid w:val="634F4E67"/>
    <w:rsid w:val="63561EA2"/>
    <w:rsid w:val="63590B31"/>
    <w:rsid w:val="6394356A"/>
    <w:rsid w:val="63BD202A"/>
    <w:rsid w:val="63C61B2C"/>
    <w:rsid w:val="63D33C9F"/>
    <w:rsid w:val="63D40BE9"/>
    <w:rsid w:val="63E40C68"/>
    <w:rsid w:val="63ED6339"/>
    <w:rsid w:val="64102431"/>
    <w:rsid w:val="644771FB"/>
    <w:rsid w:val="644A0841"/>
    <w:rsid w:val="646027A1"/>
    <w:rsid w:val="64A30DAC"/>
    <w:rsid w:val="64A353AA"/>
    <w:rsid w:val="64A5243A"/>
    <w:rsid w:val="64C75775"/>
    <w:rsid w:val="64D3411F"/>
    <w:rsid w:val="64F531DE"/>
    <w:rsid w:val="6531690D"/>
    <w:rsid w:val="65373578"/>
    <w:rsid w:val="655A2308"/>
    <w:rsid w:val="655E09B0"/>
    <w:rsid w:val="65707A92"/>
    <w:rsid w:val="658906FF"/>
    <w:rsid w:val="6591708B"/>
    <w:rsid w:val="65C36BC1"/>
    <w:rsid w:val="66374284"/>
    <w:rsid w:val="66497FC9"/>
    <w:rsid w:val="66630D48"/>
    <w:rsid w:val="669D21BD"/>
    <w:rsid w:val="66C0263F"/>
    <w:rsid w:val="670E577B"/>
    <w:rsid w:val="671F124A"/>
    <w:rsid w:val="673C35B0"/>
    <w:rsid w:val="675B37A5"/>
    <w:rsid w:val="677A33C6"/>
    <w:rsid w:val="677F1C35"/>
    <w:rsid w:val="67A437C0"/>
    <w:rsid w:val="67DE2ED0"/>
    <w:rsid w:val="681F6961"/>
    <w:rsid w:val="6853443D"/>
    <w:rsid w:val="68610A2F"/>
    <w:rsid w:val="68805514"/>
    <w:rsid w:val="68965EDB"/>
    <w:rsid w:val="68B539BE"/>
    <w:rsid w:val="68C8445A"/>
    <w:rsid w:val="69316E2F"/>
    <w:rsid w:val="693F2629"/>
    <w:rsid w:val="694E2071"/>
    <w:rsid w:val="69745286"/>
    <w:rsid w:val="69766163"/>
    <w:rsid w:val="697A3B33"/>
    <w:rsid w:val="69BB0E9B"/>
    <w:rsid w:val="69D44760"/>
    <w:rsid w:val="69FB1A96"/>
    <w:rsid w:val="6A0F527F"/>
    <w:rsid w:val="6A1D5F1C"/>
    <w:rsid w:val="6A520EC7"/>
    <w:rsid w:val="6ABE03A7"/>
    <w:rsid w:val="6ACB15B2"/>
    <w:rsid w:val="6AE535DA"/>
    <w:rsid w:val="6AF87E20"/>
    <w:rsid w:val="6B0E7F32"/>
    <w:rsid w:val="6B322639"/>
    <w:rsid w:val="6B3872C7"/>
    <w:rsid w:val="6B6F4AFA"/>
    <w:rsid w:val="6BB7457A"/>
    <w:rsid w:val="6C1E028A"/>
    <w:rsid w:val="6C262865"/>
    <w:rsid w:val="6C3D203B"/>
    <w:rsid w:val="6C3D58A2"/>
    <w:rsid w:val="6C636C38"/>
    <w:rsid w:val="6C706F4E"/>
    <w:rsid w:val="6CA10756"/>
    <w:rsid w:val="6CD74DD0"/>
    <w:rsid w:val="6CEA68AF"/>
    <w:rsid w:val="6D6B3388"/>
    <w:rsid w:val="6D722492"/>
    <w:rsid w:val="6D7375AD"/>
    <w:rsid w:val="6D7A61C9"/>
    <w:rsid w:val="6D7B7A45"/>
    <w:rsid w:val="6D840D64"/>
    <w:rsid w:val="6D8D5019"/>
    <w:rsid w:val="6DA43E20"/>
    <w:rsid w:val="6DB24F06"/>
    <w:rsid w:val="6DB34098"/>
    <w:rsid w:val="6DB545B6"/>
    <w:rsid w:val="6DB76D79"/>
    <w:rsid w:val="6DE02FB4"/>
    <w:rsid w:val="6DE85FD7"/>
    <w:rsid w:val="6E1C7AC7"/>
    <w:rsid w:val="6E283495"/>
    <w:rsid w:val="6E421B8B"/>
    <w:rsid w:val="6E4F657B"/>
    <w:rsid w:val="6E514CED"/>
    <w:rsid w:val="6E8470C0"/>
    <w:rsid w:val="6E89799E"/>
    <w:rsid w:val="6EB563D5"/>
    <w:rsid w:val="6ED66434"/>
    <w:rsid w:val="6ED92677"/>
    <w:rsid w:val="6EE61EE2"/>
    <w:rsid w:val="6EE906E1"/>
    <w:rsid w:val="6EEF6EAB"/>
    <w:rsid w:val="6EF00649"/>
    <w:rsid w:val="6EFB0B7A"/>
    <w:rsid w:val="6F03131A"/>
    <w:rsid w:val="6F10242F"/>
    <w:rsid w:val="6F103A37"/>
    <w:rsid w:val="6F225983"/>
    <w:rsid w:val="6F511B0F"/>
    <w:rsid w:val="6FA0300D"/>
    <w:rsid w:val="6FA83FB5"/>
    <w:rsid w:val="6FAD4E03"/>
    <w:rsid w:val="6FD62193"/>
    <w:rsid w:val="6FD76303"/>
    <w:rsid w:val="6FD974BC"/>
    <w:rsid w:val="6FE8536D"/>
    <w:rsid w:val="6FFC5590"/>
    <w:rsid w:val="700E3D4B"/>
    <w:rsid w:val="701679A4"/>
    <w:rsid w:val="70505412"/>
    <w:rsid w:val="706D1DD0"/>
    <w:rsid w:val="707120B4"/>
    <w:rsid w:val="707439C5"/>
    <w:rsid w:val="707F5D11"/>
    <w:rsid w:val="7085106F"/>
    <w:rsid w:val="70856B87"/>
    <w:rsid w:val="708E10B8"/>
    <w:rsid w:val="709D2EA4"/>
    <w:rsid w:val="709E7A60"/>
    <w:rsid w:val="70D527EE"/>
    <w:rsid w:val="71167BC1"/>
    <w:rsid w:val="712A5987"/>
    <w:rsid w:val="715B5300"/>
    <w:rsid w:val="71723296"/>
    <w:rsid w:val="71884514"/>
    <w:rsid w:val="719C045A"/>
    <w:rsid w:val="71A417CF"/>
    <w:rsid w:val="71B56C98"/>
    <w:rsid w:val="71D27F8A"/>
    <w:rsid w:val="71E95F43"/>
    <w:rsid w:val="71F47184"/>
    <w:rsid w:val="72070B3D"/>
    <w:rsid w:val="720A6E64"/>
    <w:rsid w:val="721A6F80"/>
    <w:rsid w:val="72240C7E"/>
    <w:rsid w:val="722632D4"/>
    <w:rsid w:val="72553024"/>
    <w:rsid w:val="7265189C"/>
    <w:rsid w:val="72706BE8"/>
    <w:rsid w:val="72746CAA"/>
    <w:rsid w:val="72B23536"/>
    <w:rsid w:val="72EE73DA"/>
    <w:rsid w:val="72F2143E"/>
    <w:rsid w:val="73122968"/>
    <w:rsid w:val="731F5D5E"/>
    <w:rsid w:val="735217E4"/>
    <w:rsid w:val="735C2097"/>
    <w:rsid w:val="735E5CD8"/>
    <w:rsid w:val="736D1D34"/>
    <w:rsid w:val="73734FD8"/>
    <w:rsid w:val="73996187"/>
    <w:rsid w:val="739B6209"/>
    <w:rsid w:val="73A509C5"/>
    <w:rsid w:val="73AA6208"/>
    <w:rsid w:val="73B64906"/>
    <w:rsid w:val="73BB6668"/>
    <w:rsid w:val="73C51AD5"/>
    <w:rsid w:val="73DD0AD4"/>
    <w:rsid w:val="73DE4104"/>
    <w:rsid w:val="73E72BD1"/>
    <w:rsid w:val="741719EE"/>
    <w:rsid w:val="741E793C"/>
    <w:rsid w:val="743025EA"/>
    <w:rsid w:val="744F5002"/>
    <w:rsid w:val="74566B7F"/>
    <w:rsid w:val="745E3944"/>
    <w:rsid w:val="74BE6CC0"/>
    <w:rsid w:val="74D6770C"/>
    <w:rsid w:val="74EC1187"/>
    <w:rsid w:val="75115B06"/>
    <w:rsid w:val="75754748"/>
    <w:rsid w:val="757973BE"/>
    <w:rsid w:val="7580184A"/>
    <w:rsid w:val="758479F0"/>
    <w:rsid w:val="75F145C2"/>
    <w:rsid w:val="75FF76C8"/>
    <w:rsid w:val="76097B18"/>
    <w:rsid w:val="762545EC"/>
    <w:rsid w:val="7635099D"/>
    <w:rsid w:val="764608FB"/>
    <w:rsid w:val="764F7C06"/>
    <w:rsid w:val="766B3A51"/>
    <w:rsid w:val="768111EB"/>
    <w:rsid w:val="76817D38"/>
    <w:rsid w:val="7699792B"/>
    <w:rsid w:val="76CA6CE3"/>
    <w:rsid w:val="77153FA2"/>
    <w:rsid w:val="774339C0"/>
    <w:rsid w:val="77762421"/>
    <w:rsid w:val="779C41BC"/>
    <w:rsid w:val="77B56B1F"/>
    <w:rsid w:val="780642A5"/>
    <w:rsid w:val="780F09F4"/>
    <w:rsid w:val="783F5D76"/>
    <w:rsid w:val="78645BBA"/>
    <w:rsid w:val="78A90480"/>
    <w:rsid w:val="78B95A64"/>
    <w:rsid w:val="78D8053F"/>
    <w:rsid w:val="78F87306"/>
    <w:rsid w:val="795E731F"/>
    <w:rsid w:val="79692435"/>
    <w:rsid w:val="7981604F"/>
    <w:rsid w:val="798D0CAB"/>
    <w:rsid w:val="79E03CB4"/>
    <w:rsid w:val="7A080AFF"/>
    <w:rsid w:val="7A364017"/>
    <w:rsid w:val="7A3B23D1"/>
    <w:rsid w:val="7A3F5317"/>
    <w:rsid w:val="7A467DD9"/>
    <w:rsid w:val="7A5332F3"/>
    <w:rsid w:val="7A654DDF"/>
    <w:rsid w:val="7A8265E1"/>
    <w:rsid w:val="7ACF0C4A"/>
    <w:rsid w:val="7ADF3AC1"/>
    <w:rsid w:val="7AFC0C52"/>
    <w:rsid w:val="7AFF5F1B"/>
    <w:rsid w:val="7B3A016C"/>
    <w:rsid w:val="7B3F5288"/>
    <w:rsid w:val="7B543166"/>
    <w:rsid w:val="7B686D42"/>
    <w:rsid w:val="7B841746"/>
    <w:rsid w:val="7BA60E80"/>
    <w:rsid w:val="7BAA235B"/>
    <w:rsid w:val="7BDA39F5"/>
    <w:rsid w:val="7BDC4057"/>
    <w:rsid w:val="7BEF3E34"/>
    <w:rsid w:val="7BF173CC"/>
    <w:rsid w:val="7BFB398B"/>
    <w:rsid w:val="7C2B1266"/>
    <w:rsid w:val="7C324FED"/>
    <w:rsid w:val="7C3323AA"/>
    <w:rsid w:val="7C55014E"/>
    <w:rsid w:val="7C5A0E1C"/>
    <w:rsid w:val="7C6678A7"/>
    <w:rsid w:val="7C6C5AC7"/>
    <w:rsid w:val="7C820061"/>
    <w:rsid w:val="7CB43C54"/>
    <w:rsid w:val="7CC6544B"/>
    <w:rsid w:val="7CD103EC"/>
    <w:rsid w:val="7CE65BF7"/>
    <w:rsid w:val="7D0239FF"/>
    <w:rsid w:val="7D0A7614"/>
    <w:rsid w:val="7D465AEA"/>
    <w:rsid w:val="7D5E40CD"/>
    <w:rsid w:val="7D6438CC"/>
    <w:rsid w:val="7DA8414A"/>
    <w:rsid w:val="7DB42611"/>
    <w:rsid w:val="7DCD56F2"/>
    <w:rsid w:val="7DF46F3B"/>
    <w:rsid w:val="7E025B35"/>
    <w:rsid w:val="7E497ECD"/>
    <w:rsid w:val="7E5C742E"/>
    <w:rsid w:val="7E6346E1"/>
    <w:rsid w:val="7E634995"/>
    <w:rsid w:val="7E685554"/>
    <w:rsid w:val="7E687B9D"/>
    <w:rsid w:val="7E821057"/>
    <w:rsid w:val="7EAD1E63"/>
    <w:rsid w:val="7EE85947"/>
    <w:rsid w:val="7EF3673E"/>
    <w:rsid w:val="7F001CE7"/>
    <w:rsid w:val="7F5E3DF5"/>
    <w:rsid w:val="7FAD5E8A"/>
    <w:rsid w:val="7FB23EF6"/>
    <w:rsid w:val="7FC5605C"/>
    <w:rsid w:val="7FE354AD"/>
    <w:rsid w:val="7FE47E50"/>
    <w:rsid w:val="7FF562F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qFormat="1"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unhideWhenUsed="0" w:uiPriority="0" w:semiHidden="0" w:name="Body Text First Indent 2" w:locked="1"/>
    <w:lsdException w:qFormat="1" w:uiPriority="99"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unhideWhenUsed="0" w:uiPriority="0" w:semiHidden="0" w:name="Body Text Indent 3" w:locked="1"/>
    <w:lsdException w:qFormat="1" w:unhideWhenUsed="0" w:uiPriority="99"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0"/>
    <w:pPr>
      <w:numPr>
        <w:ilvl w:val="1"/>
        <w:numId w:val="1"/>
      </w:numPr>
      <w:ind w:firstLineChars="0"/>
      <w:jc w:val="left"/>
      <w:outlineLvl w:val="1"/>
    </w:pPr>
    <w:rPr>
      <w:rFonts w:eastAsia="黑体"/>
      <w:b/>
      <w:snapToGrid w:val="0"/>
      <w:sz w:val="28"/>
      <w:szCs w:val="24"/>
    </w:rPr>
  </w:style>
  <w:style w:type="paragraph" w:styleId="4">
    <w:name w:val="heading 3"/>
    <w:basedOn w:val="1"/>
    <w:next w:val="1"/>
    <w:unhideWhenUsed/>
    <w:qFormat/>
    <w:locked/>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basedOn w:val="1"/>
    <w:next w:val="1"/>
    <w:qFormat/>
    <w:locked/>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31">
    <w:name w:val="Default Paragraph Font"/>
    <w:link w:val="32"/>
    <w:semiHidden/>
    <w:qFormat/>
    <w:uiPriority w:val="0"/>
  </w:style>
  <w:style w:type="table" w:default="1" w:styleId="2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6">
    <w:name w:val="Note Heading"/>
    <w:basedOn w:val="1"/>
    <w:next w:val="1"/>
    <w:unhideWhenUsed/>
    <w:qFormat/>
    <w:locked/>
    <w:uiPriority w:val="99"/>
    <w:pPr>
      <w:jc w:val="center"/>
    </w:pPr>
    <w:rPr>
      <w:szCs w:val="20"/>
    </w:rPr>
  </w:style>
  <w:style w:type="paragraph" w:styleId="7">
    <w:name w:val="Normal Indent"/>
    <w:basedOn w:val="1"/>
    <w:next w:val="1"/>
    <w:link w:val="40"/>
    <w:qFormat/>
    <w:locked/>
    <w:uiPriority w:val="0"/>
    <w:pPr>
      <w:ind w:firstLine="420"/>
    </w:pPr>
    <w:rPr>
      <w:szCs w:val="20"/>
    </w:rPr>
  </w:style>
  <w:style w:type="paragraph" w:styleId="8">
    <w:name w:val="index 5"/>
    <w:basedOn w:val="1"/>
    <w:next w:val="1"/>
    <w:qFormat/>
    <w:locked/>
    <w:uiPriority w:val="0"/>
    <w:pPr>
      <w:ind w:left="800" w:leftChars="800"/>
    </w:pPr>
  </w:style>
  <w:style w:type="paragraph" w:styleId="9">
    <w:name w:val="annotation text"/>
    <w:basedOn w:val="1"/>
    <w:link w:val="41"/>
    <w:semiHidden/>
    <w:qFormat/>
    <w:uiPriority w:val="0"/>
    <w:pPr>
      <w:jc w:val="left"/>
    </w:pPr>
    <w:rPr>
      <w:kern w:val="0"/>
      <w:sz w:val="24"/>
      <w:szCs w:val="20"/>
    </w:rPr>
  </w:style>
  <w:style w:type="paragraph" w:styleId="10">
    <w:name w:val="Body Text"/>
    <w:basedOn w:val="1"/>
    <w:next w:val="1"/>
    <w:link w:val="42"/>
    <w:qFormat/>
    <w:uiPriority w:val="0"/>
    <w:pPr>
      <w:widowControl/>
      <w:snapToGrid w:val="0"/>
      <w:spacing w:before="60" w:after="160" w:line="259" w:lineRule="auto"/>
      <w:ind w:right="113"/>
    </w:pPr>
    <w:rPr>
      <w:kern w:val="0"/>
      <w:sz w:val="18"/>
      <w:szCs w:val="20"/>
    </w:rPr>
  </w:style>
  <w:style w:type="paragraph" w:styleId="11">
    <w:name w:val="Body Text Indent"/>
    <w:basedOn w:val="1"/>
    <w:next w:val="10"/>
    <w:link w:val="43"/>
    <w:qFormat/>
    <w:uiPriority w:val="0"/>
    <w:pPr>
      <w:spacing w:after="120"/>
      <w:ind w:left="420" w:leftChars="200"/>
    </w:pPr>
    <w:rPr>
      <w:kern w:val="0"/>
      <w:sz w:val="24"/>
      <w:szCs w:val="20"/>
    </w:rPr>
  </w:style>
  <w:style w:type="paragraph" w:styleId="12">
    <w:name w:val="Block Text"/>
    <w:basedOn w:val="1"/>
    <w:next w:val="1"/>
    <w:qFormat/>
    <w:locked/>
    <w:uiPriority w:val="99"/>
    <w:pPr>
      <w:autoSpaceDE w:val="0"/>
      <w:autoSpaceDN w:val="0"/>
      <w:adjustRightInd w:val="0"/>
      <w:snapToGrid w:val="0"/>
      <w:spacing w:line="408" w:lineRule="auto"/>
      <w:ind w:left="-113" w:right="-510" w:firstLine="510" w:firstLineChars="0"/>
      <w:jc w:val="left"/>
    </w:pPr>
    <w:rPr>
      <w:kern w:val="0"/>
      <w:sz w:val="24"/>
      <w:szCs w:val="20"/>
    </w:rPr>
  </w:style>
  <w:style w:type="paragraph" w:styleId="13">
    <w:name w:val="Plain Text"/>
    <w:basedOn w:val="1"/>
    <w:link w:val="44"/>
    <w:qFormat/>
    <w:locked/>
    <w:uiPriority w:val="0"/>
    <w:rPr>
      <w:rFonts w:ascii="宋体" w:hAnsi="Courier New"/>
      <w:szCs w:val="20"/>
    </w:rPr>
  </w:style>
  <w:style w:type="paragraph" w:styleId="14">
    <w:name w:val="List Bullet 5"/>
    <w:basedOn w:val="1"/>
    <w:qFormat/>
    <w:locked/>
    <w:uiPriority w:val="0"/>
    <w:pPr>
      <w:numPr>
        <w:ilvl w:val="0"/>
        <w:numId w:val="2"/>
      </w:numPr>
    </w:pPr>
  </w:style>
  <w:style w:type="paragraph" w:styleId="15">
    <w:name w:val="Date"/>
    <w:basedOn w:val="1"/>
    <w:next w:val="1"/>
    <w:link w:val="45"/>
    <w:qFormat/>
    <w:uiPriority w:val="0"/>
    <w:pPr>
      <w:ind w:left="100" w:leftChars="2500"/>
    </w:pPr>
    <w:rPr>
      <w:kern w:val="0"/>
      <w:sz w:val="24"/>
      <w:szCs w:val="20"/>
    </w:rPr>
  </w:style>
  <w:style w:type="paragraph" w:styleId="16">
    <w:name w:val="Body Text Indent 2"/>
    <w:basedOn w:val="17"/>
    <w:next w:val="1"/>
    <w:qFormat/>
    <w:locked/>
    <w:uiPriority w:val="0"/>
    <w:pPr>
      <w:spacing w:after="120" w:afterLines="0" w:line="480" w:lineRule="auto"/>
      <w:ind w:left="420" w:leftChars="200"/>
    </w:pPr>
  </w:style>
  <w:style w:type="paragraph" w:customStyle="1" w:styleId="17">
    <w:name w:val="表头"/>
    <w:basedOn w:val="18"/>
    <w:next w:val="20"/>
    <w:qFormat/>
    <w:uiPriority w:val="0"/>
    <w:pPr>
      <w:spacing w:line="360" w:lineRule="auto"/>
      <w:jc w:val="center"/>
    </w:pPr>
    <w:rPr>
      <w:b/>
      <w:sz w:val="24"/>
    </w:rPr>
  </w:style>
  <w:style w:type="paragraph" w:customStyle="1" w:styleId="18">
    <w:name w:val="表内"/>
    <w:basedOn w:val="19"/>
    <w:qFormat/>
    <w:uiPriority w:val="0"/>
    <w:pPr>
      <w:spacing w:line="240" w:lineRule="auto"/>
      <w:ind w:left="0" w:leftChars="0" w:firstLine="0" w:firstLineChars="0"/>
      <w:jc w:val="center"/>
    </w:pPr>
    <w:rPr>
      <w:sz w:val="21"/>
      <w:szCs w:val="21"/>
    </w:rPr>
  </w:style>
  <w:style w:type="paragraph" w:styleId="19">
    <w:name w:val="toc 2"/>
    <w:basedOn w:val="1"/>
    <w:next w:val="1"/>
    <w:qFormat/>
    <w:locked/>
    <w:uiPriority w:val="0"/>
    <w:pPr>
      <w:ind w:left="420" w:leftChars="200"/>
    </w:pPr>
  </w:style>
  <w:style w:type="paragraph" w:customStyle="1" w:styleId="20">
    <w:name w:val="1-表内"/>
    <w:basedOn w:val="1"/>
    <w:qFormat/>
    <w:uiPriority w:val="0"/>
    <w:pPr>
      <w:tabs>
        <w:tab w:val="left" w:pos="3960"/>
      </w:tabs>
      <w:spacing w:line="240" w:lineRule="auto"/>
      <w:ind w:firstLine="0" w:firstLineChars="0"/>
      <w:jc w:val="center"/>
    </w:pPr>
    <w:rPr>
      <w:rFonts w:ascii="Times New Roman" w:hAnsi="Times New Roman"/>
      <w:sz w:val="21"/>
      <w:szCs w:val="21"/>
    </w:rPr>
  </w:style>
  <w:style w:type="paragraph" w:styleId="21">
    <w:name w:val="Balloon Text"/>
    <w:basedOn w:val="1"/>
    <w:link w:val="46"/>
    <w:semiHidden/>
    <w:qFormat/>
    <w:uiPriority w:val="0"/>
    <w:rPr>
      <w:kern w:val="0"/>
      <w:sz w:val="18"/>
      <w:szCs w:val="20"/>
    </w:rPr>
  </w:style>
  <w:style w:type="paragraph" w:styleId="22">
    <w:name w:val="footer"/>
    <w:basedOn w:val="1"/>
    <w:link w:val="47"/>
    <w:qFormat/>
    <w:uiPriority w:val="99"/>
    <w:pPr>
      <w:tabs>
        <w:tab w:val="center" w:pos="4153"/>
        <w:tab w:val="right" w:pos="8306"/>
      </w:tabs>
      <w:snapToGrid w:val="0"/>
      <w:jc w:val="left"/>
    </w:pPr>
    <w:rPr>
      <w:kern w:val="0"/>
      <w:sz w:val="18"/>
      <w:szCs w:val="20"/>
    </w:rPr>
  </w:style>
  <w:style w:type="paragraph" w:styleId="23">
    <w:name w:val="header"/>
    <w:basedOn w:val="1"/>
    <w:link w:val="48"/>
    <w:qFormat/>
    <w:uiPriority w:val="0"/>
    <w:pPr>
      <w:pBdr>
        <w:bottom w:val="single" w:color="auto" w:sz="6" w:space="1"/>
      </w:pBdr>
      <w:tabs>
        <w:tab w:val="center" w:pos="4153"/>
        <w:tab w:val="right" w:pos="8306"/>
      </w:tabs>
      <w:snapToGrid w:val="0"/>
      <w:jc w:val="center"/>
    </w:pPr>
    <w:rPr>
      <w:kern w:val="0"/>
      <w:sz w:val="18"/>
      <w:szCs w:val="20"/>
    </w:rPr>
  </w:style>
  <w:style w:type="paragraph" w:styleId="24">
    <w:name w:val="toc 1"/>
    <w:basedOn w:val="1"/>
    <w:next w:val="1"/>
    <w:semiHidden/>
    <w:qFormat/>
    <w:locked/>
    <w:uiPriority w:val="0"/>
  </w:style>
  <w:style w:type="paragraph" w:styleId="25">
    <w:name w:val="List"/>
    <w:basedOn w:val="1"/>
    <w:qFormat/>
    <w:locked/>
    <w:uiPriority w:val="0"/>
    <w:pPr>
      <w:ind w:left="200" w:hanging="200" w:hangingChars="200"/>
    </w:pPr>
  </w:style>
  <w:style w:type="paragraph" w:styleId="26">
    <w:name w:val="Normal (Web)"/>
    <w:basedOn w:val="1"/>
    <w:link w:val="49"/>
    <w:qFormat/>
    <w:uiPriority w:val="0"/>
    <w:pPr>
      <w:widowControl/>
      <w:spacing w:before="100" w:beforeAutospacing="1" w:after="100" w:afterAutospacing="1"/>
      <w:jc w:val="left"/>
    </w:pPr>
    <w:rPr>
      <w:rFonts w:ascii="宋体" w:hAnsi="宋体"/>
      <w:kern w:val="0"/>
      <w:sz w:val="24"/>
      <w:szCs w:val="20"/>
    </w:rPr>
  </w:style>
  <w:style w:type="paragraph" w:styleId="27">
    <w:name w:val="annotation subject"/>
    <w:basedOn w:val="9"/>
    <w:next w:val="9"/>
    <w:link w:val="50"/>
    <w:semiHidden/>
    <w:qFormat/>
    <w:uiPriority w:val="0"/>
    <w:rPr>
      <w:b/>
      <w:sz w:val="24"/>
      <w:szCs w:val="20"/>
    </w:rPr>
  </w:style>
  <w:style w:type="paragraph" w:styleId="28">
    <w:name w:val="Body Text First Indent"/>
    <w:basedOn w:val="10"/>
    <w:qFormat/>
    <w:locked/>
    <w:uiPriority w:val="0"/>
    <w:pPr>
      <w:widowControl w:val="0"/>
      <w:snapToGrid/>
      <w:spacing w:before="0" w:after="120" w:line="240" w:lineRule="auto"/>
      <w:ind w:right="0" w:firstLine="420" w:firstLineChars="100"/>
    </w:pPr>
    <w:rPr>
      <w:kern w:val="2"/>
      <w:sz w:val="21"/>
      <w:szCs w:val="24"/>
    </w:rPr>
  </w:style>
  <w:style w:type="table" w:styleId="30">
    <w:name w:val="Table Grid"/>
    <w:basedOn w:val="29"/>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2">
    <w:name w:val="_Style 31"/>
    <w:basedOn w:val="1"/>
    <w:link w:val="31"/>
    <w:qFormat/>
    <w:uiPriority w:val="0"/>
  </w:style>
  <w:style w:type="character" w:styleId="33">
    <w:name w:val="Strong"/>
    <w:basedOn w:val="31"/>
    <w:qFormat/>
    <w:locked/>
    <w:uiPriority w:val="0"/>
    <w:rPr>
      <w:b/>
      <w:bCs/>
    </w:rPr>
  </w:style>
  <w:style w:type="character" w:styleId="34">
    <w:name w:val="page number"/>
    <w:basedOn w:val="31"/>
    <w:qFormat/>
    <w:locked/>
    <w:uiPriority w:val="0"/>
  </w:style>
  <w:style w:type="character" w:styleId="35">
    <w:name w:val="Emphasis"/>
    <w:basedOn w:val="31"/>
    <w:qFormat/>
    <w:locked/>
    <w:uiPriority w:val="0"/>
    <w:rPr>
      <w:i/>
    </w:rPr>
  </w:style>
  <w:style w:type="character" w:styleId="36">
    <w:name w:val="Hyperlink"/>
    <w:basedOn w:val="31"/>
    <w:qFormat/>
    <w:locked/>
    <w:uiPriority w:val="0"/>
    <w:rPr>
      <w:color w:val="0000FF"/>
      <w:u w:val="single"/>
    </w:rPr>
  </w:style>
  <w:style w:type="character" w:styleId="37">
    <w:name w:val="annotation reference"/>
    <w:semiHidden/>
    <w:qFormat/>
    <w:uiPriority w:val="0"/>
    <w:rPr>
      <w:sz w:val="21"/>
    </w:rPr>
  </w:style>
  <w:style w:type="paragraph" w:customStyle="1" w:styleId="38">
    <w:name w:val="Default"/>
    <w:basedOn w:val="39"/>
    <w:next w:val="13"/>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39">
    <w:name w:val="标题 段落4级"/>
    <w:autoRedefine/>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character" w:customStyle="1" w:styleId="40">
    <w:name w:val="表正文 Char"/>
    <w:link w:val="7"/>
    <w:qFormat/>
    <w:locked/>
    <w:uiPriority w:val="0"/>
    <w:rPr>
      <w:rFonts w:eastAsia="宋体"/>
      <w:kern w:val="2"/>
      <w:sz w:val="21"/>
      <w:lang w:val="en-US" w:eastAsia="zh-CN" w:bidi="ar-SA"/>
    </w:rPr>
  </w:style>
  <w:style w:type="character" w:customStyle="1" w:styleId="41">
    <w:name w:val="批注文字 Char"/>
    <w:link w:val="9"/>
    <w:qFormat/>
    <w:locked/>
    <w:uiPriority w:val="0"/>
    <w:rPr>
      <w:rFonts w:ascii="Times New Roman" w:hAnsi="Times New Roman" w:eastAsia="宋体"/>
      <w:sz w:val="24"/>
    </w:rPr>
  </w:style>
  <w:style w:type="character" w:customStyle="1" w:styleId="42">
    <w:name w:val="正文文本 Char"/>
    <w:link w:val="10"/>
    <w:qFormat/>
    <w:locked/>
    <w:uiPriority w:val="0"/>
    <w:rPr>
      <w:sz w:val="18"/>
    </w:rPr>
  </w:style>
  <w:style w:type="character" w:customStyle="1" w:styleId="43">
    <w:name w:val="正文文本缩进 Char"/>
    <w:link w:val="11"/>
    <w:semiHidden/>
    <w:qFormat/>
    <w:locked/>
    <w:uiPriority w:val="0"/>
    <w:rPr>
      <w:rFonts w:ascii="Times New Roman" w:hAnsi="Times New Roman" w:eastAsia="宋体"/>
      <w:sz w:val="24"/>
    </w:rPr>
  </w:style>
  <w:style w:type="character" w:customStyle="1" w:styleId="44">
    <w:name w:val="普通文字 Char3"/>
    <w:link w:val="13"/>
    <w:qFormat/>
    <w:uiPriority w:val="0"/>
    <w:rPr>
      <w:rFonts w:ascii="宋体" w:hAnsi="Courier New" w:eastAsia="宋体"/>
      <w:kern w:val="2"/>
      <w:sz w:val="21"/>
      <w:lang w:val="en-US" w:eastAsia="zh-CN" w:bidi="ar-SA"/>
    </w:rPr>
  </w:style>
  <w:style w:type="character" w:customStyle="1" w:styleId="45">
    <w:name w:val="日期 Char"/>
    <w:link w:val="15"/>
    <w:qFormat/>
    <w:locked/>
    <w:uiPriority w:val="0"/>
    <w:rPr>
      <w:rFonts w:ascii="Times New Roman" w:hAnsi="Times New Roman" w:eastAsia="宋体"/>
      <w:sz w:val="24"/>
    </w:rPr>
  </w:style>
  <w:style w:type="character" w:customStyle="1" w:styleId="46">
    <w:name w:val="批注框文本 Char"/>
    <w:link w:val="21"/>
    <w:semiHidden/>
    <w:qFormat/>
    <w:locked/>
    <w:uiPriority w:val="0"/>
    <w:rPr>
      <w:rFonts w:ascii="Times New Roman" w:hAnsi="Times New Roman" w:eastAsia="宋体"/>
      <w:sz w:val="18"/>
    </w:rPr>
  </w:style>
  <w:style w:type="character" w:customStyle="1" w:styleId="47">
    <w:name w:val="页脚 Char"/>
    <w:link w:val="22"/>
    <w:qFormat/>
    <w:locked/>
    <w:uiPriority w:val="99"/>
    <w:rPr>
      <w:sz w:val="18"/>
    </w:rPr>
  </w:style>
  <w:style w:type="character" w:customStyle="1" w:styleId="48">
    <w:name w:val="页眉 Char"/>
    <w:link w:val="23"/>
    <w:qFormat/>
    <w:locked/>
    <w:uiPriority w:val="0"/>
    <w:rPr>
      <w:sz w:val="18"/>
    </w:rPr>
  </w:style>
  <w:style w:type="character" w:customStyle="1" w:styleId="49">
    <w:name w:val="普通(网站) Char"/>
    <w:link w:val="26"/>
    <w:qFormat/>
    <w:locked/>
    <w:uiPriority w:val="0"/>
    <w:rPr>
      <w:rFonts w:ascii="宋体" w:hAnsi="宋体" w:eastAsia="宋体"/>
      <w:sz w:val="24"/>
    </w:rPr>
  </w:style>
  <w:style w:type="character" w:customStyle="1" w:styleId="50">
    <w:name w:val="批注主题 Char"/>
    <w:link w:val="27"/>
    <w:semiHidden/>
    <w:qFormat/>
    <w:locked/>
    <w:uiPriority w:val="0"/>
    <w:rPr>
      <w:rFonts w:ascii="Times New Roman" w:hAnsi="Times New Roman" w:eastAsia="宋体"/>
      <w:b/>
      <w:kern w:val="2"/>
      <w:sz w:val="24"/>
    </w:rPr>
  </w:style>
  <w:style w:type="character" w:customStyle="1" w:styleId="51">
    <w:name w:val="doc_title fs_c_76"/>
    <w:basedOn w:val="31"/>
    <w:qFormat/>
    <w:uiPriority w:val="0"/>
  </w:style>
  <w:style w:type="character" w:customStyle="1" w:styleId="52">
    <w:name w:val="表格 Char Char"/>
    <w:qFormat/>
    <w:locked/>
    <w:uiPriority w:val="0"/>
    <w:rPr>
      <w:rFonts w:ascii="宋体" w:hAnsi="宋体" w:eastAsia="宋体"/>
      <w:sz w:val="21"/>
      <w:lang w:val="en-US" w:eastAsia="zh-CN" w:bidi="ar-SA"/>
    </w:rPr>
  </w:style>
  <w:style w:type="character" w:customStyle="1" w:styleId="53">
    <w:name w:val="Char Char3"/>
    <w:basedOn w:val="31"/>
    <w:qFormat/>
    <w:locked/>
    <w:uiPriority w:val="0"/>
    <w:rPr>
      <w:kern w:val="2"/>
      <w:sz w:val="21"/>
      <w:lang w:bidi="ar-SA"/>
    </w:rPr>
  </w:style>
  <w:style w:type="character" w:customStyle="1" w:styleId="54">
    <w:name w:val="普通文字 Char2"/>
    <w:qFormat/>
    <w:locked/>
    <w:uiPriority w:val="0"/>
    <w:rPr>
      <w:rFonts w:ascii="宋体" w:hAnsi="Courier New" w:eastAsia="宋体"/>
      <w:kern w:val="2"/>
      <w:sz w:val="21"/>
      <w:lang w:val="en-US" w:eastAsia="zh-CN" w:bidi="ar-SA"/>
    </w:rPr>
  </w:style>
  <w:style w:type="character" w:customStyle="1" w:styleId="55">
    <w:name w:val="批注文字 字符1"/>
    <w:semiHidden/>
    <w:qFormat/>
    <w:uiPriority w:val="0"/>
    <w:rPr>
      <w:rFonts w:ascii="Times New Roman" w:hAnsi="Times New Roman" w:eastAsia="宋体"/>
      <w:sz w:val="24"/>
    </w:rPr>
  </w:style>
  <w:style w:type="character" w:customStyle="1" w:styleId="56">
    <w:name w:val="页脚 字符"/>
    <w:basedOn w:val="31"/>
    <w:qFormat/>
    <w:uiPriority w:val="99"/>
  </w:style>
  <w:style w:type="character" w:customStyle="1" w:styleId="57">
    <w:name w:val="正文文本 字符1"/>
    <w:semiHidden/>
    <w:qFormat/>
    <w:uiPriority w:val="0"/>
    <w:rPr>
      <w:rFonts w:ascii="Times New Roman" w:hAnsi="Times New Roman" w:eastAsia="宋体"/>
      <w:sz w:val="24"/>
    </w:rPr>
  </w:style>
  <w:style w:type="character" w:customStyle="1" w:styleId="58">
    <w:name w:val="普通文字 Char1"/>
    <w:qFormat/>
    <w:uiPriority w:val="0"/>
    <w:rPr>
      <w:rFonts w:ascii="宋体" w:hAnsi="Courier New" w:eastAsia="宋体"/>
      <w:kern w:val="2"/>
      <w:sz w:val="21"/>
      <w:lang w:val="en-US" w:eastAsia="zh-CN" w:bidi="ar-SA"/>
    </w:rPr>
  </w:style>
  <w:style w:type="character" w:customStyle="1" w:styleId="59">
    <w:name w:val="日期 字符"/>
    <w:semiHidden/>
    <w:qFormat/>
    <w:uiPriority w:val="0"/>
    <w:rPr>
      <w:rFonts w:ascii="Times New Roman" w:hAnsi="Times New Roman" w:eastAsia="宋体"/>
      <w:sz w:val="24"/>
    </w:rPr>
  </w:style>
  <w:style w:type="character" w:customStyle="1" w:styleId="60">
    <w:name w:val=" Char Char4"/>
    <w:qFormat/>
    <w:uiPriority w:val="0"/>
    <w:rPr>
      <w:rFonts w:ascii="宋体" w:hAnsi="Courier New" w:eastAsia="宋体"/>
      <w:kern w:val="2"/>
      <w:sz w:val="21"/>
      <w:lang w:val="en-US" w:eastAsia="zh-CN" w:bidi="ar-SA"/>
    </w:rPr>
  </w:style>
  <w:style w:type="character" w:customStyle="1" w:styleId="61">
    <w:name w:val="15"/>
    <w:basedOn w:val="31"/>
    <w:qFormat/>
    <w:uiPriority w:val="0"/>
    <w:rPr>
      <w:rFonts w:hint="default" w:ascii="Times New Roman" w:hAnsi="Times New Roman" w:cs="Times New Roman"/>
      <w:color w:val="000000"/>
      <w:sz w:val="24"/>
      <w:szCs w:val="24"/>
    </w:rPr>
  </w:style>
  <w:style w:type="character" w:customStyle="1" w:styleId="62">
    <w:name w:val="表格 Char"/>
    <w:link w:val="63"/>
    <w:qFormat/>
    <w:locked/>
    <w:uiPriority w:val="0"/>
    <w:rPr>
      <w:rFonts w:ascii="宋体"/>
      <w:sz w:val="21"/>
    </w:rPr>
  </w:style>
  <w:style w:type="paragraph" w:customStyle="1" w:styleId="63">
    <w:name w:val="表格"/>
    <w:basedOn w:val="7"/>
    <w:next w:val="1"/>
    <w:link w:val="62"/>
    <w:qFormat/>
    <w:uiPriority w:val="0"/>
    <w:pPr>
      <w:adjustRightInd w:val="0"/>
      <w:snapToGrid w:val="0"/>
      <w:spacing w:beforeLines="10" w:afterLines="10" w:line="259" w:lineRule="auto"/>
      <w:jc w:val="center"/>
    </w:pPr>
    <w:rPr>
      <w:rFonts w:ascii="宋体"/>
      <w:kern w:val="0"/>
      <w:szCs w:val="20"/>
    </w:rPr>
  </w:style>
  <w:style w:type="character" w:customStyle="1" w:styleId="64">
    <w:name w:val="网格型c Char"/>
    <w:qFormat/>
    <w:uiPriority w:val="0"/>
    <w:rPr>
      <w:rFonts w:eastAsia="宋体"/>
      <w:kern w:val="2"/>
      <w:sz w:val="21"/>
      <w:szCs w:val="21"/>
      <w:lang w:val="en-US" w:eastAsia="zh-CN" w:bidi="ar-SA"/>
    </w:rPr>
  </w:style>
  <w:style w:type="character" w:customStyle="1" w:styleId="65">
    <w:name w:val="报告正文 Char Char"/>
    <w:link w:val="66"/>
    <w:qFormat/>
    <w:locked/>
    <w:uiPriority w:val="0"/>
    <w:rPr>
      <w:rFonts w:ascii="宋体" w:hAnsi="宋体" w:eastAsia="宋体"/>
      <w:snapToGrid w:val="0"/>
      <w:kern w:val="24"/>
      <w:sz w:val="24"/>
      <w:szCs w:val="21"/>
      <w:lang w:val="en-US" w:eastAsia="zh-CN" w:bidi="ar-SA"/>
    </w:rPr>
  </w:style>
  <w:style w:type="paragraph" w:customStyle="1" w:styleId="66">
    <w:name w:val="报告正文"/>
    <w:basedOn w:val="1"/>
    <w:link w:val="65"/>
    <w:qFormat/>
    <w:uiPriority w:val="0"/>
    <w:pPr>
      <w:adjustRightInd w:val="0"/>
      <w:snapToGrid w:val="0"/>
      <w:spacing w:beforeLines="25" w:line="360" w:lineRule="auto"/>
      <w:ind w:firstLine="482"/>
    </w:pPr>
    <w:rPr>
      <w:rFonts w:ascii="宋体" w:hAnsi="宋体"/>
      <w:snapToGrid w:val="0"/>
      <w:kern w:val="24"/>
      <w:sz w:val="24"/>
      <w:szCs w:val="21"/>
    </w:rPr>
  </w:style>
  <w:style w:type="paragraph" w:customStyle="1" w:styleId="67">
    <w:name w:val="Char"/>
    <w:basedOn w:val="1"/>
    <w:qFormat/>
    <w:uiPriority w:val="0"/>
    <w:rPr>
      <w:rFonts w:ascii="宋体" w:hAnsi="宋体"/>
      <w:szCs w:val="20"/>
    </w:rPr>
  </w:style>
  <w:style w:type="paragraph" w:customStyle="1" w:styleId="68">
    <w:name w:val="_Style 32"/>
    <w:basedOn w:val="1"/>
    <w:qFormat/>
    <w:uiPriority w:val="0"/>
  </w:style>
  <w:style w:type="paragraph" w:customStyle="1" w:styleId="69">
    <w:name w:val="p0"/>
    <w:basedOn w:val="1"/>
    <w:qFormat/>
    <w:uiPriority w:val="0"/>
    <w:pPr>
      <w:widowControl/>
    </w:pPr>
    <w:rPr>
      <w:kern w:val="0"/>
      <w:sz w:val="32"/>
      <w:szCs w:val="32"/>
    </w:rPr>
  </w:style>
  <w:style w:type="paragraph" w:customStyle="1" w:styleId="70">
    <w:name w:val="报告表正文格式"/>
    <w:basedOn w:val="1"/>
    <w:qFormat/>
    <w:uiPriority w:val="0"/>
    <w:pPr>
      <w:widowControl/>
      <w:tabs>
        <w:tab w:val="center" w:pos="0"/>
      </w:tabs>
      <w:spacing w:line="520" w:lineRule="exact"/>
      <w:ind w:firstLine="640" w:firstLineChars="200"/>
      <w:jc w:val="left"/>
    </w:pPr>
    <w:rPr>
      <w:sz w:val="24"/>
      <w:szCs w:val="20"/>
    </w:rPr>
  </w:style>
  <w:style w:type="paragraph" w:customStyle="1" w:styleId="71">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2">
    <w:name w:val="表内 定"/>
    <w:basedOn w:val="1"/>
    <w:qFormat/>
    <w:uiPriority w:val="0"/>
    <w:pPr>
      <w:jc w:val="left"/>
    </w:pPr>
    <w:rPr>
      <w:rFonts w:eastAsia="仿宋"/>
      <w:color w:val="000000"/>
      <w:kern w:val="0"/>
      <w:sz w:val="24"/>
    </w:rPr>
  </w:style>
  <w:style w:type="paragraph" w:customStyle="1" w:styleId="73">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74">
    <w:name w:val="表格式"/>
    <w:basedOn w:val="25"/>
    <w:qFormat/>
    <w:uiPriority w:val="0"/>
    <w:pPr>
      <w:widowControl/>
      <w:spacing w:line="400" w:lineRule="exact"/>
      <w:ind w:left="0" w:firstLine="0" w:firstLineChars="0"/>
      <w:contextualSpacing/>
      <w:jc w:val="center"/>
    </w:pPr>
    <w:rPr>
      <w:rFonts w:ascii="宋体" w:hAnsi="宋体" w:cs="宋体"/>
      <w:kern w:val="0"/>
      <w:sz w:val="24"/>
    </w:rPr>
  </w:style>
  <w:style w:type="paragraph" w:customStyle="1" w:styleId="75">
    <w:name w:val="TableStyle12"/>
    <w:basedOn w:val="1"/>
    <w:qFormat/>
    <w:uiPriority w:val="0"/>
    <w:pPr>
      <w:jc w:val="center"/>
    </w:pPr>
    <w:rPr>
      <w:kern w:val="0"/>
      <w:sz w:val="24"/>
      <w:szCs w:val="22"/>
    </w:rPr>
  </w:style>
  <w:style w:type="paragraph" w:customStyle="1" w:styleId="76">
    <w:name w:val="Char Char Char Char Char Char Char"/>
    <w:basedOn w:val="1"/>
    <w:qFormat/>
    <w:uiPriority w:val="0"/>
  </w:style>
  <w:style w:type="paragraph" w:customStyle="1" w:styleId="77">
    <w:name w:val="Normal"/>
    <w:qFormat/>
    <w:uiPriority w:val="0"/>
    <w:pPr>
      <w:jc w:val="both"/>
    </w:pPr>
    <w:rPr>
      <w:rFonts w:ascii="Times New Roman" w:hAnsi="Times New Roman" w:eastAsia="宋体" w:cs="Times New Roman"/>
      <w:kern w:val="2"/>
      <w:sz w:val="21"/>
      <w:szCs w:val="21"/>
      <w:lang w:val="en-US" w:eastAsia="zh-CN" w:bidi="ar-SA"/>
    </w:rPr>
  </w:style>
  <w:style w:type="paragraph" w:customStyle="1" w:styleId="78">
    <w:name w:val="报告表表格文字"/>
    <w:basedOn w:val="1"/>
    <w:qFormat/>
    <w:uiPriority w:val="0"/>
    <w:pPr>
      <w:autoSpaceDE w:val="0"/>
      <w:autoSpaceDN w:val="0"/>
      <w:adjustRightInd w:val="0"/>
      <w:snapToGrid w:val="0"/>
      <w:spacing w:line="360" w:lineRule="exact"/>
      <w:jc w:val="center"/>
      <w:textAlignment w:val="baseline"/>
    </w:pPr>
    <w:rPr>
      <w:color w:val="000000"/>
      <w:kern w:val="0"/>
      <w:szCs w:val="21"/>
    </w:rPr>
  </w:style>
  <w:style w:type="character" w:customStyle="1" w:styleId="79">
    <w:name w:val="10"/>
    <w:basedOn w:val="31"/>
    <w:qFormat/>
    <w:uiPriority w:val="0"/>
    <w:rPr>
      <w:rFonts w:hint="default" w:ascii="Times New Roman" w:hAnsi="Times New Roman" w:cs="Times New Roman"/>
    </w:rPr>
  </w:style>
  <w:style w:type="character" w:customStyle="1" w:styleId="80">
    <w:name w:val="fontstyle01"/>
    <w:basedOn w:val="31"/>
    <w:qFormat/>
    <w:uiPriority w:val="0"/>
    <w:rPr>
      <w:rFonts w:hint="eastAsia" w:ascii="宋体" w:hAnsi="宋体" w:eastAsia="宋体"/>
      <w:color w:val="000000"/>
      <w:sz w:val="24"/>
      <w:szCs w:val="24"/>
    </w:rPr>
  </w:style>
  <w:style w:type="character" w:customStyle="1" w:styleId="81">
    <w:name w:val="fontstyle21"/>
    <w:basedOn w:val="31"/>
    <w:qFormat/>
    <w:uiPriority w:val="0"/>
    <w:rPr>
      <w:rFonts w:ascii="TimesNewRomanPSMT" w:hAnsi="TimesNewRomanPSMT" w:eastAsia="TimesNewRomanPSMT" w:cs="TimesNewRomanPSMT"/>
      <w:color w:val="000000"/>
      <w:sz w:val="28"/>
      <w:szCs w:val="28"/>
    </w:rPr>
  </w:style>
  <w:style w:type="paragraph" w:customStyle="1" w:styleId="82">
    <w:name w:val="00000"/>
    <w:basedOn w:val="1"/>
    <w:qFormat/>
    <w:uiPriority w:val="0"/>
    <w:pPr>
      <w:numPr>
        <w:ilvl w:val="0"/>
        <w:numId w:val="3"/>
      </w:numPr>
      <w:spacing w:before="50" w:beforeLines="50"/>
      <w:jc w:val="center"/>
      <w:outlineLvl w:val="2"/>
    </w:pPr>
    <w:rPr>
      <w:b/>
      <w:bCs/>
    </w:rPr>
  </w:style>
  <w:style w:type="paragraph" w:customStyle="1" w:styleId="83">
    <w:name w:val="List Paragraph"/>
    <w:basedOn w:val="1"/>
    <w:qFormat/>
    <w:uiPriority w:val="34"/>
    <w:pPr>
      <w:ind w:firstLine="420" w:firstLineChars="200"/>
    </w:pPr>
  </w:style>
  <w:style w:type="paragraph" w:customStyle="1" w:styleId="84">
    <w:name w:val="biaotou"/>
    <w:basedOn w:val="85"/>
    <w:qFormat/>
    <w:uiPriority w:val="99"/>
    <w:pPr>
      <w:autoSpaceDE w:val="0"/>
      <w:autoSpaceDN w:val="0"/>
      <w:adjustRightInd w:val="0"/>
      <w:spacing w:after="50" w:afterLines="50" w:line="240" w:lineRule="auto"/>
      <w:ind w:firstLine="0" w:firstLineChars="0"/>
      <w:jc w:val="center"/>
    </w:pPr>
    <w:rPr>
      <w:rFonts w:ascii="黑体" w:hAnsi="宋体" w:eastAsia="黑体"/>
      <w:sz w:val="22"/>
      <w:lang w:val="zh-CN"/>
    </w:rPr>
  </w:style>
  <w:style w:type="paragraph" w:customStyle="1" w:styleId="85">
    <w:name w:val="正"/>
    <w:basedOn w:val="1"/>
    <w:qFormat/>
    <w:uiPriority w:val="0"/>
    <w:pPr>
      <w:adjustRightInd w:val="0"/>
      <w:ind w:left="23" w:leftChars="11" w:firstLine="480"/>
      <w:jc w:val="both"/>
    </w:pPr>
  </w:style>
  <w:style w:type="paragraph" w:customStyle="1" w:styleId="86">
    <w:name w:val="表内式样"/>
    <w:qFormat/>
    <w:uiPriority w:val="0"/>
    <w:pPr>
      <w:widowControl w:val="0"/>
      <w:spacing w:line="320" w:lineRule="exact"/>
      <w:jc w:val="center"/>
    </w:pPr>
    <w:rPr>
      <w:rFonts w:ascii="Calibri" w:hAnsi="Calibri" w:eastAsia="宋体" w:cs="Times New Roman"/>
      <w:color w:val="000000"/>
      <w:kern w:val="2"/>
      <w:sz w:val="21"/>
      <w:szCs w:val="21"/>
      <w:lang w:val="en-US" w:eastAsia="zh-CN" w:bidi="ar-SA"/>
    </w:rPr>
  </w:style>
  <w:style w:type="paragraph" w:customStyle="1" w:styleId="87">
    <w:name w:val="表格标题"/>
    <w:basedOn w:val="88"/>
    <w:qFormat/>
    <w:uiPriority w:val="0"/>
    <w:pPr>
      <w:spacing w:line="360" w:lineRule="auto"/>
      <w:ind w:firstLine="482" w:firstLineChars="200"/>
      <w:jc w:val="left"/>
    </w:pPr>
    <w:rPr>
      <w:rFonts w:ascii="Times New Roman" w:hAnsi="Times New Roman" w:eastAsia="仿宋" w:cs="Times New Roman"/>
      <w:b/>
      <w:sz w:val="24"/>
      <w:szCs w:val="28"/>
    </w:rPr>
  </w:style>
  <w:style w:type="paragraph" w:customStyle="1" w:styleId="88">
    <w:name w:val="表格内容"/>
    <w:basedOn w:val="1"/>
    <w:qFormat/>
    <w:uiPriority w:val="0"/>
    <w:pPr>
      <w:spacing w:line="240" w:lineRule="auto"/>
      <w:ind w:firstLine="0" w:firstLineChars="0"/>
      <w:jc w:val="center"/>
    </w:pPr>
    <w:rPr>
      <w:bCs/>
      <w:sz w:val="21"/>
    </w:rPr>
  </w:style>
  <w:style w:type="paragraph" w:customStyle="1" w:styleId="89">
    <w:name w:val="表格啊啊"/>
    <w:basedOn w:val="1"/>
    <w:qFormat/>
    <w:uiPriority w:val="0"/>
    <w:pPr>
      <w:autoSpaceDE w:val="0"/>
      <w:autoSpaceDN w:val="0"/>
      <w:adjustRightInd w:val="0"/>
      <w:snapToGrid w:val="0"/>
      <w:jc w:val="center"/>
    </w:pPr>
    <w:rPr>
      <w:rFonts w:hAnsi="宋体"/>
      <w:szCs w:val="21"/>
    </w:rPr>
  </w:style>
  <w:style w:type="paragraph" w:customStyle="1" w:styleId="90">
    <w:name w:val="Table Paragraph"/>
    <w:basedOn w:val="1"/>
    <w:qFormat/>
    <w:uiPriority w:val="1"/>
    <w:pPr>
      <w:jc w:val="center"/>
    </w:pPr>
    <w:rPr>
      <w:rFonts w:ascii="Times New Roman" w:hAnsi="Times New Roman" w:eastAsia="Times New Roman" w:cs="Times New Roman"/>
      <w:lang w:val="zh-CN" w:eastAsia="zh-CN" w:bidi="zh-CN"/>
    </w:rPr>
  </w:style>
  <w:style w:type="character" w:customStyle="1" w:styleId="91">
    <w:name w:val="title"/>
    <w:basedOn w:val="31"/>
    <w:qFormat/>
    <w:uiPriority w:val="0"/>
  </w:style>
  <w:style w:type="paragraph" w:customStyle="1" w:styleId="92">
    <w:name w:val="6666666段落"/>
    <w:qFormat/>
    <w:uiPriority w:val="0"/>
    <w:pPr>
      <w:spacing w:line="360" w:lineRule="auto"/>
      <w:ind w:firstLine="720" w:firstLineChars="200"/>
      <w:jc w:val="both"/>
    </w:pPr>
    <w:rPr>
      <w:rFonts w:ascii="Times New Roman" w:hAnsi="Times New Roman" w:eastAsia="宋体" w:cs="Times New Roman"/>
      <w:sz w:val="21"/>
      <w:lang w:val="en-US" w:eastAsia="zh-CN" w:bidi="ar-SA"/>
    </w:rPr>
  </w:style>
  <w:style w:type="paragraph" w:customStyle="1" w:styleId="93">
    <w:name w:val="Normal (Web)"/>
    <w:basedOn w:val="1"/>
    <w:qFormat/>
    <w:uiPriority w:val="0"/>
    <w:pPr>
      <w:widowControl/>
      <w:autoSpaceDE/>
      <w:autoSpaceDN/>
      <w:snapToGrid/>
      <w:spacing w:before="100" w:beforeLines="0" w:beforeAutospacing="1" w:after="100" w:afterLines="0" w:afterAutospacing="1" w:line="240" w:lineRule="auto"/>
      <w:ind w:firstLine="0"/>
      <w:jc w:val="left"/>
    </w:pPr>
    <w:rPr>
      <w:rFonts w:hint="eastAsia" w:ascii="宋体" w:hAnsi="宋体" w:eastAsia="宋体"/>
      <w:sz w:val="24"/>
    </w:rPr>
  </w:style>
  <w:style w:type="paragraph" w:customStyle="1" w:styleId="94">
    <w:name w:val="中祥表标题"/>
    <w:qFormat/>
    <w:uiPriority w:val="0"/>
    <w:pPr>
      <w:widowControl w:val="0"/>
      <w:spacing w:line="320" w:lineRule="exact"/>
      <w:ind w:firstLine="542"/>
      <w:jc w:val="center"/>
    </w:pPr>
    <w:rPr>
      <w:rFonts w:ascii="Calibri" w:hAnsi="Calibri" w:eastAsia="宋体" w:cs="Times New Roman"/>
      <w:b/>
      <w:color w:val="000000"/>
      <w:kern w:val="0"/>
      <w:sz w:val="21"/>
      <w:szCs w:val="22"/>
      <w:lang w:val="en-US" w:eastAsia="zh-CN" w:bidi="ar-SA"/>
    </w:rPr>
  </w:style>
  <w:style w:type="paragraph" w:customStyle="1" w:styleId="95">
    <w:name w:val="永通表格样式"/>
    <w:basedOn w:val="1"/>
    <w:qFormat/>
    <w:uiPriority w:val="0"/>
    <w:pPr>
      <w:autoSpaceDE w:val="0"/>
      <w:autoSpaceDN w:val="0"/>
      <w:spacing w:line="240" w:lineRule="auto"/>
      <w:ind w:firstLine="0" w:firstLineChars="0"/>
      <w:jc w:val="center"/>
      <w:textAlignment w:val="baseline"/>
    </w:pPr>
    <w:rPr>
      <w:rFonts w:hint="eastAsia" w:cs="Times New Roman"/>
      <w:color w:val="auto"/>
      <w:sz w:val="21"/>
      <w:szCs w:val="21"/>
      <w:u w:val="none" w:color="auto"/>
    </w:rPr>
  </w:style>
  <w:style w:type="paragraph" w:customStyle="1" w:styleId="96">
    <w:name w:val="正文东铝"/>
    <w:basedOn w:val="1"/>
    <w:qFormat/>
    <w:uiPriority w:val="0"/>
    <w:pPr>
      <w:spacing w:line="520" w:lineRule="exact"/>
      <w:ind w:firstLine="200" w:firstLineChars="200"/>
      <w:jc w:val="left"/>
    </w:pPr>
    <w:rPr>
      <w:rFonts w:ascii="Times New Roman" w:hAnsi="Times New Roman"/>
      <w:color w:val="000000"/>
      <w:sz w:val="24"/>
    </w:rPr>
  </w:style>
  <w:style w:type="table" w:customStyle="1" w:styleId="97">
    <w:name w:val="Table Normal"/>
    <w:basedOn w:val="29"/>
    <w:unhideWhenUsed/>
    <w:qFormat/>
    <w:uiPriority w:val="2"/>
    <w:pPr>
      <w:widowControl w:val="0"/>
    </w:pPr>
    <w:rPr>
      <w:sz w:val="22"/>
      <w:lang w:val="en-US" w:eastAsia="en-US" w:bidi="ar-SA"/>
    </w:rPr>
    <w:tblPr>
      <w:tblCellMar>
        <w:top w:w="0" w:type="dxa"/>
        <w:left w:w="0" w:type="dxa"/>
        <w:bottom w:w="0" w:type="dxa"/>
        <w:right w:w="0" w:type="dxa"/>
      </w:tblCellMar>
    </w:tblPr>
  </w:style>
  <w:style w:type="paragraph" w:customStyle="1" w:styleId="9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ndlR055YlhKaFJuZDNNekl5TVRFd0pUSXlKVE5CSlRkQ0pUSXlhV1FsTWpJbE0wRWxNakp3ZUdOeWJYSmhSbmQzTXpJeU1URXd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UlpaM1ZEVFhsdWFYb3lOVFExTXpFbE1qSWxOMFFsTWtNbE4wSWxNakp1WVcxbEpUSXlKVE5CSlRJeUpVVTFKVGt3SlRoRUpVVTNKVUUzSlVJd0pUSXlKVEpESlRJeWRIbHdaU1V5TWlVelFTVXlNbk4wY21sdVp5VXlNaVV5UXlVeU1uWmhiSFZsSlRJeUpUTkJKVEl5SlRJeUpUSkRKVEl5WTJGMFpXZHZjbmtsTWpJbE0wRWxNakprWldaaGRXeDBKVEl5SlRKREpUSXlhV1FsTWpJbE0wRWxNakpPVjFSSGVIRjNjVTE2TXpBd056YzV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kpUazJKVUl3SlVVNUpVSXlKVGxE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SV1JKV2t0TFlXUjFiREEzTXpnME9TVXlNaVV6UVNVM1FpVXlNbWxrSlRJeUpUTkJKVEl5UldSSldrdExZV1IxYkRBM016ZzBPU1V5TWlVeVF5VXlNbTVoYldVbE1qSWxNMEVsTWpKeWIzVnVaRkpsWTNSaGJtZHNaU1V5TWlVeVF5VXlNblJwZEd4bEpUSXlKVE5CSlRJeUpVVTFKVGxESlRnMkpVVTRKVUUzSlRr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kSlJuRkpWVzVYYUhBNE16QXlPRE1sTWpJbE4wUWxNa01sTjBJbE1qSnVZVzFsSlRJeUpUTkJKVEl5SlVVMUpUa3dKVGhFSlVVM0pVRTNKVUl3SlRJeUpUSkRKVEl5ZEhsd1pTVXlNaVV6UVNVeU1uTjBjbWx1WnlVeU1pVXlReVV5TW5aaGJIVmxKVEl5SlROQkpUSXlKVEl5SlRKREpUSXlZMkYwWldkdmNua2xNaklsTTBFbE1qSmtaV1poZFd4MEpUSXlKVEpESlRJeWFXUWxNaklsTTBFbE1qSlVRa04xU2tsdlJsaEdOVEEyT1RjN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UpUZzJKVUkzSlVVMUpUaEVKVUkw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ZMGhSYW5sT1FucDZZak15TURjek5pVXlNaVV6UVNVM1FpVXlNbWxrSlRJeUpUTkJKVEl5WTBoUmFubE9RbnA2WWpNeU1EY3pOa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1kR3BrYzJWTlJYVjNNVE0xTkRjekpUSXlKVGRFSlRKREpUZENKVEl5Ym1GdFpTVXlNaVV6UVNVeU1pVkZOU1U1TUNVNFJDVkZOeVZCTnlWQ01DVXlNaVV5UXlVeU1uUjVjR1VsTWpJbE0wRWxNakp6ZEhKcGJtY2xNaklsTWtNbE1qSjJZV3gxWlNVeU1pVXpRU1V5TWlVeU1pVXlReVV5TW1OaGRHVm5iM0o1SlRJeUpUTkJKVEl5WkdWbVlYVnNkQ1V5TWlVeVF5VXlNbWxrSlRJeUpUTkJKVEl5VTFCRFoybEZWSEZJVERrM05qTXhOe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5VTVOQ1U1UmlWRk5pVkNOQ1ZDUWlWRk55VTVOQ1ZCT0NWRk5pVkNNQ1ZDTk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Wh4Y2xkbFNtWnNZMVF5T0Rnek1qRWxNaklsTTBFbE4wSWxNakpwWkNVeU1pVXpRU1V5TW1oeGNsZGxTbVpzWTFReU9EZ3pNakV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lRmxQY2xWdGFVSjVSamd6TlRJeU9TVXlNaVUzUkNVeVF5VTNRaVV5TW01aGJXVWxNaklsTTBFbE1qSWxSVFVsT1RBbE9FUWxSVGNsUVRjbFFqQWxNaklsTWtNbE1qSjBlWEJsSlRJeUpUTkJKVEl5YzNSeWFXNW5KVEl5SlRKREpUSXlkbUZzZFdVbE1qSWxNMEVsTWpJbE1qSWxNa01sTWpKallYUmxaMjl5ZVNVeU1pVXpRU1V5TW1SbFptRjFiSFFsTWpJbE1rTWxNakpwWkNVeU1pVXpRU1V5TW5KYWVFdEVZV0poZDJJM01EQTRNel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VWxPRFVsUWpZbFJUUWxRa0lsT1RZbFJUY2xPVFFsT1VZbFJUWWxRalFsUWtJbFJUY2xPVFFsUVRnbFJUWWxRakFsUWp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VVG5CU2RHTlRXbkZuT1RNNU5URTNKVEl5SlROQkpUZENKVEl5YVdRbE1qSWxNMEVsTWpKVVRuQlNkR05UV25Gbk9UTTVOVEUz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SFdFcHpRMkZIUzNaa05EWTNOakkzSlRJeUpUZEVKVEpESlRkQ0pUSXlibUZ0WlNVeU1pVXpRU1V5TWlWRk5TVTVNQ1U0UkNWRk55VkJOeVZDTUNVeU1pVXlReVV5TW5SNWNHVWxNaklsTTBFbE1qSnpkSEpwYm1jbE1qSWxNa01sTWpKMllXeDFaU1V5TWlVelFTVXlNaVV5TWlVeVF5VXlNbU5oZEdWbmIzSjVKVEl5SlROQkpUSXlaR1ZtWVhWc2RDVXlNaVV5UXlVeU1tbGtKVEl5SlROQkpUSXljMWwwYjJoeVQxUnVjak13TWpjeE9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kpUaEVKVGxHSlVVNEpUZ3dKVGsz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VMEZNY25WSFJHdEdhekF3T0RVeU1TVXlNaVV6UVNVM1FpVXlNbWxrSlRJeUpUTkJKVEl5VTBGTWNuVkhSR3RHYXpBd09EVXlNU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NaM0ZCYW5OMlMwUlpNVFkyTURFd0pUSXlKVGRFSlRKREpUZENKVEl5Ym1GdFpTVXlNaVV6UVNVeU1pVkZOU1U1TUNVNFJDVkZOeVZCTnlWQ01DVXlNaVV5UXlVeU1uUjVjR1VsTWpJbE0wRWxNakp6ZEhKcGJtY2xNaklsTWtNbE1qSjJZV3gxWlNVeU1pVXpRU1V5TWlVeU1pVXlReVV5TW1OaGRHVm5iM0o1SlRJeUpUTkJKVEl5WkdWbVlYVnNkQ1V5TWlVeVF5VXlNbWxrSlRJeUpUTkJKVEl5ZFdabWRFbDJVRVJKZVRjMk9UY3l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a2xRVE1sT1VZbFJUVWxRVEFsT0RJbFJUY2xPVFFsUVRnbFJUWWxRakFsUWp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WVjBkc1JFbGxTWEpDTnpRd01UYzBKVEl5SlROQkpUZENKVEl5YVdRbE1qSWxNMEVsTWpKVlYwZHNSRWxsU1hKQ056UXdNVGMw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mxSWkdod2EzUlhhbU00TkRrM05qa2xNaklsTjBRbE1rTWxOMElsTWpKdVlXMWxKVEl5SlROQkpUSXlKVVUxSlRrd0pUaEVKVVUzSlVFM0pVSXdKVEl5SlRKREpUSXlkSGx3WlNVeU1pVXpRU1V5TW5OMGNtbHVaeVV5TWlVeVF5VXlNblpoYkhWbEpUSXlKVE5CSlRJeUpUSXlKVEpESlRJeVkyRjBaV2R2Y25rbE1qSWxNMEVsTWpKa1pXWmhkV3gwSlRJeUpUSkRKVEl5YVdRbE1qSWxNMEVsTWpKVVRHNVNRbnAwUjFaNE5ETTFNelky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GtsT1VFbE9UUWxSVFlsUWpJbFFqa2xSVFlsUWpFbFFU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RWRYQlVUVVprUVdsRU5qYzBPRFV5SlRJeUpUTkJKVGRDSlRJeWFXUWxNaklsTTBFbE1qSkVkWEJVVFVaa1FXbEVOamMwT0RVeU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GVFdHbFdaMUZaUkdnM09UTTNOalVsTWpJbE4wUWxNa01sTjBJbE1qSnVZVzFsSlRJeUpUTkJKVEl5SlVVMUpUa3dKVGhFSlVVM0pVRTNKVUl3SlRJeUpUSkRKVEl5ZEhsd1pTVXlNaVV6UVNVeU1uTjBjbWx1WnlVeU1pVXlReVV5TW5aaGJIVmxKVEl5SlROQkpUSXlKVEl5SlRKREpUSXlZMkYwWldkdmNua2xNaklsTTBFbE1qSmtaV1poZFd4MEpUSXlKVEpESlRJeWFXUWxNaklsTTBFbE1qSmxVRTlwVFdKNGIyMVBOVEUxTWpnM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aVZGTlNVNFF5VTVOaVZGTnlWQ01pVkJRU1ZGTmlWQ01TVkJN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Vm9UR1Z5ZW05RmMwa3lPVEEyTXpRbE1qSWxNMEVsTjBJbE1qSnBaQ1V5TWlVelFTVXlNbVZvVEdWeWVtOUZjMGt5T1RBMk16U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0pXVUUxS1ZrcEZRbFE0TlRVMk9EUWxNaklsTjBRbE1rTWxOMElsTWpKdVlXMWxKVEl5SlROQkpUSXlKVVUxSlRrd0pUaEVKVVUzSlVFM0pVSXdKVEl5SlRKREpUSXlkSGx3WlNVeU1pVXpRU1V5TW5OMGNtbHVaeVV5TWlVeVF5VXlNblpoYkhWbEpUSXlKVE5CSlRJeUpUSXlKVEpESlRJeVkyRjBaV2R2Y25rbE1qSWxNMEVsTWpKa1pXWmhkV3gwSlRJeUpUSkRKVEl5YVdRbE1qSWxNMEVsTWpKb2VWcEVjRWRNZFc5TE5qTXdNVE14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ZbFFqRWxRVFFsUlRrbE9UZ2xRalFsUlRVbFFUUWxRVGtsUlRrbE9VSWxRVGdsUlRZbFFqRWxRVEVsUlRZbFFqQWxRalFsUlRVbE9EY2xPREFsUlRVbE9FTWxPVFlsUlRZbE9VTWxPRGtsUlRrbE9Ua2xPVEFsUlRVbE9EVWxRVU1sUlRVbE9FWWxRamd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mhTbk51YWtGT1dtOUdOVE15T0RrMUpUSXlKVE5CSlRkQ0pUSXlhV1FsTWpJbE0wRWxNakpoU25OdWFrRk9XbTlHTlRNeU9EazF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SV1dkTlNrOWlUV2xOTVRNM05qazVKVEl5SlRkRUpUSkRKVGRDSlRJeWJtRnRaU1V5TWlVelFTVXlNaVZGTlNVNU1DVTRSQ1ZGTnlWQk55VkNNQ1V5TWlVeVF5VXlNblI1Y0dVbE1qSWxNMEVsTWpKemRISnBibWNsTWpJbE1rTWxNakoyWVd4MVpTVXlNaVV6UVNVeU1pVXlNaVV5UXlVeU1tTmhkR1ZuYjNKNUpUSXlKVE5CSlRJeVpHVm1ZWFZzZENVeU1pVXlReVV5TW1sa0pUSXlKVE5CSlRJeVprdFdWVWgxV1hSbFN6TXhOekUxTm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VZGTmlVNFJDVTVSaVZGT0NVNE1DVTVOe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bEVia0Z5ZVVobVJFbzNOelE1TnpJbE1qSWxNMEVsTjBJbE1qSnBaQ1V5TWlVelFTVXlNa2xFYmtGeWVVaG1SRW8zTnpRNU56S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XhwUTBkWVYwVk5RVlV4T1RjME9Ea2xNaklsTjBRbE1rTWxOMElsTWpKdVlXMWxKVEl5SlROQkpUSXlKVVUxSlRrd0pUaEVKVVUzSlVFM0pVSXdKVEl5SlRKREpUSXlkSGx3WlNVeU1pVXpRU1V5TW5OMGNtbHVaeVV5TWlVeVF5VXlNblpoYkhWbEpUSXlKVE5CSlRJeUpUSXlKVEpESlRJeVkyRjBaV2R2Y25rbE1qSWxNMEVsTWpKa1pXWmhkV3gwSlRJeUpUSkRKVEl5YVdRbE1qSWxNMEVsTWpKV1RWcFpaRnAyUWtGWU56STBPREky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KVVUySlRoRUpUbEdKVVU0SlRnd0pUazN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"/>
    </extobj>
    <extobj name="E657119C-6982-421D-8BA7-E74DEB70A7D9-2">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jVTWFZRYUVaTlNHaHNNak0yTWpBekpUSXlKVE5CSlRkQ0pUSXlhV1FsTWpJbE0wRWxNako1U1hWUWFFWk5TR2hzTWpNMk1qQXp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aG9ZbTVyWkZScGVuVXlORGd6TVRnbE1qSWxOMFFsTWtNbE4wSWxNakp1WVcxbEpUSXlKVE5CSlRJeUpVVTFKVGt3SlRoRUpVVTNKVUUzSlVJd0pUSXlKVEpESlRJeWRIbHdaU1V5TWlVelFTVXlNbk4wY21sdVp5VXlNaVV5UXlVeU1uWmhiSFZsSlRJeUpUTkJKVEl5SlRJeUpUSkRKVEl5WTJGMFpXZHZjbmtsTWpJbE0wRWxNakprWldaaGRXeDBKVEl5SlRKREpUSXlhV1FsTWpJbE0wRWxNakowV1ZGMGJVeHBRblp5T0RjeU9USTV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NEpUZ3hKVGxCSlVVMEpVSTVKVGs1SlVVM0pUZ3pKVUZHSlVVNUpVRXlKVGszSlVVM0pVSXlKVGt5SlVVekpUZ3dKVGd4SlVVM0pUZ3pKVUZFSlVVM0pUZzJKVGswSlVVNEpUZ3pKVUkySlVVNUpVRXlKVGszSlVVM0pVSXlKVGt5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WTB4d1kxaE1TSFp5VERBMU56VXdNaVV5TWlVM1JDVXlReVUzUWlVeU1tNWhiV1VsTWpJbE0wRWxNaklsUlRVbE9UQWxPRVFsUlRjbFFUY2xRakFsTWpJbE1rTWxNakowZVhCbEpUSXlKVE5CSlRJeWMzUnlhVzVuSlRJeUpUSkRKVEl5ZG1Gc2RXVWxNaklsTTBFbE1qSWxNaklsTWtNbE1qSmpZWFJsWjI5eWVTVXlNaVV6UVNVeU1tUmxabUYxYkhRbE1qSWxNa01sTWpKcFpDVXlNaVV6UVNVeU1tMUtaRmhCUVVaUlJFczNOVGswTlRV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FlsT0VNbFFUUWxSVFVsT0RjbFFrRWxSVVlsUWtNbE9EZ2xSVFVsT1RBbFFqa2xSVGdsT0RZbE9VTWxSVVlsUWtNbE9Ea2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jRUMlYyZGtScmExTlVORE0wTWpJMEpUSXlKVGRFSlRKREpUZENKVEl5Ym1GdFpTVXlNaVV6UVNVeU1pVkZOU1U1TUNVNFJDVkZOeVZCTnlWQ01DVXlNaVV5UXlVeU1uUjVjR1VsTWpJbE0wRWxNakp6ZEhKcGJtY2xNaklsTWtNbE1qSjJZV3gxWlNVeU1pVXpRU1V5TWlVeU1pVXlReVV5TW1OaGRHVm5iM0o1SlRJeUpUTkJKVEl5WkdWbVlYVnNkQ1V5TWlVeVF5VXlNbWxrSlRJeUpUTkJKVEl5V1ZKQmEwNTFjbGRuYkRNNE56WTBOe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5VkNReVU1TmlWRk55VkNRaVU0Tn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KVVFsRlBTVUpUYUdZeE9UYzJNRFlsTWpJbE4wUWxNa01sTjBJbE1qSnVZVzFsSlRJeUpUTkJKVEl5SlVVMUpUa3dKVGhFSlVVM0pVRTNKVUl3SlRJeUpUSkRKVEl5ZEhsd1pTVXlNaVV6UVNVeU1uTjBjbWx1WnlVeU1pVXlReVV5TW5aaGJIVmxKVEl5SlROQkpUSXlKVEl5SlRKREpUSXlZMkYwWldkdmNua2xNaklsTTBFbE1qSmtaV1poZFd4MEpUSXlKVEpESlRJeWFXUWxNaklsTTBFbE1qSkhRa2hrVmtsVFYzTlhNVEkyTnpJd0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1SlVGQ0pUazRKVVU1SlVFeUpUa3hKVVUxSlVFMEpUaEVKVVUxSlRrd0pUZzRKVVV6SlRnd0pUZ3hKVVUzSlVJeUpUazRKVVUxSlRrd0pUZzR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kR2hvV1VwcGRVNVRkRFk1T0RNMU1DVXlNaVUzUkNVeVF5VTNRaVV5TW01aGJXVWxNaklsTTBFbE1qSWxSVFVsT1RBbE9FUWxSVGNsUVRjbFFqQWxNaklsTWtNbE1qSjBlWEJsSlRJeUpUTkJKVEl5YzNSeWFXNW5KVEl5SlRKREpUSXlkbUZzZFdVbE1qSWxNMEVsTWpJbE1qSWxNa01sTWpKallYUmxaMjl5ZVNVeU1pVXpRU1V5TW1SbFptRjFiSFFsTWpJbE1rTWxNakpwWkNVeU1pVXpRU1V5TW5KTFowMTRjRVZtUlZnek16YzVPVGN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WWxPVFFsUWpZbFJUVWxPRVFsUWp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YwSk9VMlZUU20xdlVUSTRNakkwTVNVeU1pVTNSQ1V5UXlVM1FpVXlNbTVoYldVbE1qSWxNMEVsTWpJbFJUVWxPVEFsT0VRbFJUY2xRVGNsUWpBbE1qSWxNa01sTWpKMGVYQmxKVEl5SlROQkpUSXljM1J5YVc1bkpUSXlKVEpESlRJeWRtRnNkV1VsTWpJbE0wRWxNaklsTWpJbE1rTWxNakpqWVhSbFoyOXllU1V5TWlVelFTVXlNbVJsWm1GMWJIUWxNaklsTWtNbE1qSnBaQ1V5TWlVelFTVXlNbVZNWlhaU1MyUnllSGszTkRjeE9ES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NEpVRTJKVGcySlVVNEpUZzJKVGxESlVVekpUZ3dKVGd4SlVVMUpUazJKVUkzSlVVM0pVRXdKVGd4SlVVekpUZ3dKVGd4SlVVMUpUaERKVGcxSlVVNEpVRXpKVGcx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TM0ZrYkZwamFGSlllRE0xT1Rjek5DVXlNaVV6UVNVM1FpVXlNbWxrSlRJeUpUTkJKVEl5UzNGa2JGcGphRkpZZURNMU9UY3pO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5Tblp4UVdwUFNsUktORFF4TkRBMkpUSXlKVGRFSlRKREpUZENKVEl5Ym1GdFpTVXlNaVV6UVNVeU1pVkZOU1U1TUNVNFJDVkZOeVZCTnlWQ01DVXlNaVV5UXlVeU1uUjVjR1VsTWpJbE0wRWxNakp6ZEhKcGJtY2xNaklsTWtNbE1qSjJZV3gxWlNVeU1pVXpRU1V5TWlVeU1pVXlReVV5TW1OaGRHVm5iM0o1SlRJeUpUTkJKVEl5WkdWbVlYVnNkQ1V5TWlVeVF5VXlNbWxrSlRJeUpUTkJKVEl5VTA5a1JWVkNRMjVLUlRjeU16VXhP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Z2xPREVsT1VFbFJUUWxRamtsT1RrbFJUY2xPRE1sUVVZbFJUUWxRamdsT1VRbFJUTWxPREFsT0RFbFJUUWxRamdsT1RrbFJUY2xRa0VsUWpZbFJUUWxRamdsT1V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hSFJEV0dKNlptSmFXakE1T0RRNE55VXlNaVUzUkNVeVF5VTNRaVV5TW01aGJXVWxNaklsTTBFbE1qSWxSVFVsT1RBbE9FUWxSVGNsUVRjbFFqQWxNaklsTWtNbE1qSjBlWEJsSlRJeUpUTkJKVEl5YzNSeWFXNW5KVEl5SlRKREpUSXlkbUZzZFdVbE1qSWxNMEVsTWpJbE1qSWxNa01sTWpKallYUmxaMjl5ZVNVeU1pVXpRU1V5TW1SbFptRjFiSFFsTWpJbE1rTWxNakpwWkNVeU1pVXpRU1V5TW5kWFRtdEpVRU5pU0ZnMU5qQTVNRF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pVVTFKVUpCSlRsR0pVVTJKVUl3SlRrMEpVVXpKVGd3SlRneEpVVTFKVGs1SlVGQkpVVTFKVUV6SlVJ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1ZGNGVuaHhWRlJuVmpBeU5URXpNaVV5TWlVelFTVTNRaVV5TW1sa0pUSXlKVE5CSlRJeVdWRjRlbmh4VkZSblZqQXlOVEV6TW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2ZEVKNFdrbG5ZbFprTnpVek1qYzBKVEl5SlRkRUpUSkRKVGRDSlRJeWJtRnRaU1V5TWlVelFTVXlNaVZGTlNVNU1DVTRSQ1ZGTnlWQk55VkNNQ1V5TWlVeVF5VXlNblI1Y0dVbE1qSWxNMEVsTWpKemRISnBibWNsTWpJbE1rTWxNakoyWVd4MVpTVXlNaVV6UVNVeU1pVXlNaVV5UXlVeU1tTmhkR1ZuYjNKNUpUSXlKVE5CSlRJeVpHVm1ZWFZzZENVeU1pVXlReVV5TW1sa0pUSXlKVE5CSlRJeVpFOU5ZbnBqVGxGbFREY3dOakE0TX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FVsT1RrbFFVRWxSVFVsUVRNbFFqQWxSVE1sT0RBbE9ERWxSVFVsT1VJbFFrRWxSVFVsUWtFbE9V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IxcHBTMFY2Wm10MFlqa3lPREl4TUNVeU1pVTNSQ1V5UXlVM1FpVXlNbTVoYldVbE1qSWxNMEVsTWpJbFJUVWxPVEFsT0VRbFJUY2xRVGNsUWpBbE1qSWxNa01sTWpKMGVYQmxKVEl5SlROQkpUSXljM1J5YVc1bkpUSXlKVEpESlRJeWRtRnNkV1VsTWpJbE0wRWxNaklsTWpJbE1rTWxNakpqWVhSbFoyOXllU1V5TWlVelFTVXlNbVJsWm1GMWJIUWxNaklsTWtNbE1qSnBaQ1V5TWlVelFTVXlNazVRZEZsemMyUm1ZWGszTlRNeE1EZ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UpVSkJKVGxHSlVVMkpVSXdKVGswSlVVekpUZ3dKVGd4SlVVMUpUazVKVUZCSlVVMUpVRXpKVUl3SlVVekpUZ3dKVGd4SlVVMUpUbENKVUpCSlVVMUpVSkJKVGxH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pIaFRTRzlIWkhWaWNERTRPVE01TmlVeU1pVTNSQ1V5UXlVM1FpVXlNbTVoYldVbE1qSWxNMEVsTWpJbFJUVWxPVEFsT0VRbFJUY2xRVGNsUWpBbE1qSWxNa01sTWpKMGVYQmxKVEl5SlROQkpUSXljM1J5YVc1bkpUSXlKVEpESlRJeWRtRnNkV1VsTWpJbE0wRWxNaklsTWpJbE1rTWxNakpqWVhSbFoyOXllU1V5TWlVelFTVXlNbVJsWm1GMWJIUWxNaklsTWtNbE1qSnBaQ1V5TWlVelFTVXlNbEpCUmtKb1oxSmpWWGs0TVRNMU1UU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UpUazVKVUZCSlVVMUpVRXpKVUl3SlVVekpUZ3dKVGd4SlVVMUpUbENKVUpCSlVVMUpVSkJKVGxH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VM05OYWtaVWRrOTZjREkyT1RBd015VXlNaVV6UVNVM1FpVXlNbWxrSlRJeUpUTkJKVEl5VTNOTmFrWlVkazk2Y0RJMk9UQXdNe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lZVTlYYTNadGVuQmlORGcwTXprMUpUSXlKVGRFSlRKREpUZENKVEl5Ym1GdFpTVXlNaVV6UVNVeU1pVkZOU1U1TUNVNFJDVkZOeVZCTnlWQ01DVXlNaVV5UXlVeU1uUjVjR1VsTWpJbE0wRWxNakp6ZEhKcGJtY2xNaklsTWtNbE1qSjJZV3gxWlNVeU1pVXpRU1V5TWlVeU1pVXlReVV5TW1OaGRHVm5iM0o1SlRJeUpUTkJKVEl5WkdWbVlYVnNkQ1V5TWlVeVF5VXlNbWxrSlRJeUpUTkJKVEl5VDJkTGNGVk1aSFZPZFRFek16UXhO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VWxRa0VsT1VZbFJUWWxRakFsT1RRbFJUTWxPREFsT0RFbFJUVWxPVGtsUVVFbFJUVWxRVE1sUWpBbFJUTWxPREFsT0RFbFJUVWxPVUlsUWtFbFJUVWxRa0VsT1VZ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"/>
    </extobj>
  </extobjs>
</s:customData>
</file>

<file path=customXml/item2.xml><?xml version="1.0" encoding="utf-8"?>
<contractReview xmlns="http://schemas.wps.cn/vas-ai-hub/contract-review">
  <reviewItems>
    <reviewItem>
      <errorID>898e27d3-446a-4986-9ecf-cff06cfa8532</errorID>
      <errorWord>-</errorWord>
      <group>L1_Format</group>
      <groupName>格式问题</groupName>
      <ability>L2_HalfPunc_CN</ability>
      <abilityName>全半角检查</abilityName>
      <candidateList>
        <item>－</item>
      </candidateList>
      <explain>文本全半角错误。</explain>
      <paraID>2D2E43F4</paraID>
      <start>27</start>
      <end>28</end>
      <status>ignored</status>
      <modifiedWord/>
      <trackRevisions>false</trackRevisions>
    </reviewItem>
    <reviewItem>
      <errorID>6b1e21d3-8ffc-444d-b3f2-cef0f2a655c2</errorID>
      <errorWord>科技技术</errorWord>
      <group>L1_Word</group>
      <groupName>字词问题</groupName>
      <ability>L2_Typo</ability>
      <abilityName>字词错误</abilityName>
      <candidateList>
        <item>科学技术</item>
      </candidateList>
      <explain/>
      <paraID>31F756F4</paraID>
      <start>4</start>
      <end>8</end>
      <status>ignored</status>
      <modifiedWord/>
      <trackRevisions>false</trackRevisions>
    </reviewItem>
    <reviewItem>
      <errorID>30dad7f8-b511-4167-9a1c-3dca83e66b43</errorID>
      <errorWord>科技技术</errorWord>
      <group>L1_Word</group>
      <groupName>字词问题</groupName>
      <ability>L2_Typo</ability>
      <abilityName>字词错误</abilityName>
      <candidateList>
        <item>科学技术</item>
      </candidateList>
      <explain/>
      <paraID>3EF1EE92</paraID>
      <start>7</start>
      <end>11</end>
      <status>ignored</status>
      <modifiedWord/>
      <trackRevisions>false</trackRevisions>
    </reviewItem>
    <reviewItem>
      <errorID>99a2d80b-3f0b-427d-981b-93986e68f7f0</errorID>
      <errorWord>(</errorWord>
      <group>L1_Format</group>
      <groupName>格式问题</groupName>
      <ability>L2_HalfPunc_CN</ability>
      <abilityName>全半角检查</abilityName>
      <candidateList>
        <item>（</item>
      </candidateList>
      <explain>文本全半角错误。</explain>
      <paraID>5464B4DF</paraID>
      <start>45</start>
      <end>46</end>
      <status>ignored</status>
      <modifiedWord/>
      <trackRevisions>false</trackRevisions>
    </reviewItem>
    <reviewItem>
      <errorID>c46cbfe8-f3e6-4f26-9868-af2c07cd022d</errorID>
      <errorWord>)</errorWord>
      <group>L1_Format</group>
      <groupName>格式问题</groupName>
      <ability>L2_HalfPunc_CN</ability>
      <abilityName>全半角检查</abilityName>
      <candidateList>
        <item>）</item>
      </candidateList>
      <explain>文本全半角错误。</explain>
      <paraID>5464B4DF</paraID>
      <start>48</start>
      <end>49</end>
      <status>ignored</status>
      <modifiedWord/>
      <trackRevisions>false</trackRevisions>
    </reviewItem>
    <reviewItem>
      <errorID>6d4ca30d-c8b4-4000-9307-1cae635cc561</errorID>
      <errorWord>科技技术</errorWord>
      <group>L1_Word</group>
      <groupName>字词问题</groupName>
      <ability>L2_Typo</ability>
      <abilityName>字词错误</abilityName>
      <candidateList>
        <item>科学技术</item>
      </candidateList>
      <explain/>
      <paraID>7F8C42DA</paraID>
      <start>43</start>
      <end>47</end>
      <status>ignored</status>
      <modifiedWord/>
      <trackRevisions>false</trackRevisions>
    </reviewItem>
    <reviewItem>
      <errorID>96ce420d-6a9e-4af0-8117-6830e11451e4</errorID>
      <errorWord>(</errorWord>
      <group>L1_Format</group>
      <groupName>格式问题</groupName>
      <ability>L2_HalfPunc_CN</ability>
      <abilityName>全半角检查</abilityName>
      <candidateList>
        <item>（</item>
      </candidateList>
      <explain>文本全半角错误。</explain>
      <paraID>72A6D2DF</paraID>
      <start>36</start>
      <end>37</end>
      <status>ignored</status>
      <modifiedWord/>
      <trackRevisions>false</trackRevisions>
    </reviewItem>
    <reviewItem>
      <errorID>59b3f066-5b9f-45da-a6ce-0fe3e6b1a82c</errorID>
      <errorWord>)</errorWord>
      <group>L1_Format</group>
      <groupName>格式问题</groupName>
      <ability>L2_HalfPunc_CN</ability>
      <abilityName>全半角检查</abilityName>
      <candidateList>
        <item>）</item>
      </candidateList>
      <explain>文本全半角错误。</explain>
      <paraID>72A6D2DF</paraID>
      <start>39</start>
      <end>40</end>
      <status>ignored</status>
      <modifiedWord/>
      <trackRevisions>false</trackRevisions>
    </reviewItem>
    <reviewItem>
      <errorID>a1cb31ba-4a2d-4e78-9af6-49fb51ef6f93</errorID>
      <errorWord>科技技术</errorWord>
      <group>L1_Word</group>
      <groupName>字词问题</groupName>
      <ability>L2_Typo</ability>
      <abilityName>字词错误</abilityName>
      <candidateList>
        <item>科学技术</item>
      </candidateList>
      <explain/>
      <paraID>38C0FA86</paraID>
      <start>11</start>
      <end>15</end>
      <status>ignored</status>
      <modifiedWord/>
      <trackRevisions>false</trackRevisions>
    </reviewItem>
    <reviewItem>
      <errorID>d861fe16-a4f5-475c-9fed-b1e3a4636ad7</errorID>
      <errorWord>(</errorWord>
      <group>L1_Format</group>
      <groupName>格式问题</groupName>
      <ability>L2_HalfPunc_CN</ability>
      <abilityName>全半角检查</abilityName>
      <candidateList>
        <item>（</item>
      </candidateList>
      <explain>文本全半角错误。</explain>
      <paraID>4AF8943A</paraID>
      <start>5</start>
      <end>6</end>
      <status>ignored</status>
      <modifiedWord/>
      <trackRevisions>false</trackRevisions>
    </reviewItem>
    <reviewItem>
      <errorID>34f6c9e9-1e52-49f2-9e71-ef2e5620b807</errorID>
      <errorWord>)</errorWord>
      <group>L1_Format</group>
      <groupName>格式问题</groupName>
      <ability>L2_HalfPunc_CN</ability>
      <abilityName>全半角检查</abilityName>
      <candidateList>
        <item>）</item>
      </candidateList>
      <explain>文本全半角错误。</explain>
      <paraID>4AF8943A</paraID>
      <start>8</start>
      <end>9</end>
      <status>ignored</status>
      <modifiedWord/>
      <trackRevisions>false</trackRevisions>
    </reviewItem>
    <reviewItem>
      <errorID>f6c4a29c-c55f-4574-9329-167712f8e58a</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4D979E9A</paraID>
      <start>8</start>
      <end>12</end>
      <status>ignored</status>
      <modifiedWord/>
      <trackRevisions>false</trackRevisions>
    </reviewItem>
    <reviewItem>
      <errorID>97e9facd-b1de-4a92-bb7f-4c7edace2885</errorID>
      <errorWord>-</errorWord>
      <group>L1_Format</group>
      <groupName>格式问题</groupName>
      <ability>L2_HalfPunc_CN</ability>
      <abilityName>全半角检查</abilityName>
      <candidateList>
        <item>－</item>
      </candidateList>
      <explain>文本全半角错误。</explain>
      <paraID>5AD13C1F</paraID>
      <start>26</start>
      <end>27</end>
      <status>ignored</status>
      <modifiedWord/>
      <trackRevisions>false</trackRevisions>
    </reviewItem>
    <reviewItem>
      <errorID>602df08c-1f57-4a37-ae8e-abc4440975cd</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4956869B</paraID>
      <start>136</start>
      <end>137</end>
      <status>ignored</status>
      <modifiedWord/>
      <trackRevisions>false</trackRevisions>
    </reviewItem>
    <reviewItem>
      <errorID>21aa0032-3cd3-494e-86f6-5227549b0803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4956869B</paraID>
      <start>150</start>
      <end>151</end>
      <status>ignored</status>
      <modifiedWord/>
      <trackRevisions>false</trackRevisions>
    </reviewItem>
    <reviewItem>
      <errorID>95b9c233-1db2-4c1d-8268-930b2bddd0b8</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4956869B</paraID>
      <start>164</start>
      <end>165</end>
      <status>ignored</status>
      <modifiedWord/>
      <trackRevisions>false</trackRevisions>
    </reviewItem>
    <reviewItem>
      <errorID>9bef1fa3-f3f7-49a1-8d5d-7028e4309d05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6B5C4541</paraID>
      <start>0</start>
      <end>2</end>
      <status>ignored</status>
      <modifiedWord/>
      <trackRevisions>false</trackRevisions>
    </reviewItem>
    <reviewItem>
      <errorID>de719ee8-dc5d-4ccf-be27-bdd7ea1d62e4</errorID>
      <errorWord>也</errorWord>
      <group>L1_Word</group>
      <groupName>字词问题</groupName>
      <ability>L2_Typo</ability>
      <abilityName>字词错误</abilityName>
      <candidateList>
        <item>也有</item>
      </candidateList>
      <explain/>
      <paraID>39700B39</paraID>
      <start>288</start>
      <end>289</end>
      <status>unmodified</status>
      <modifiedWord/>
      <trackRevisions>false</trackRevisions>
    </reviewItem>
    <reviewItem>
      <errorID>57e32d5a-10c4-4c30-ad41-35e5ad6830e4</errorID>
      <errorWord>伏道</errorWord>
      <group>L1_Word</group>
      <groupName>字词问题</groupName>
      <ability>L2_Typo</ability>
      <abilityName>字词错误</abilityName>
      <candidateList>
        <item>通道</item>
      </candidateList>
      <explain/>
      <paraID>39700B39</paraID>
      <start>349</start>
      <end>351</end>
      <status>unmodified</status>
      <modifiedWord/>
      <trackRevisions>false</trackRevisions>
    </reviewItem>
    <reviewItem>
      <errorID>cedab18c-bbcb-4af4-a8c9-04c03337ebdd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590CBBA9</paraID>
      <start>0</start>
      <end>2</end>
      <status>unmodified</status>
      <modifiedWord/>
      <trackRevisions>false</trackRevisions>
    </reviewItem>
    <reviewItem>
      <errorID>57dad0c7-49c3-4d1b-a9fb-d109df93fe45</errorID>
      <errorWord>--</errorWord>
      <group>L1_Punc</group>
      <groupName>标点问题</groupName>
      <ability>L2_Punc_CN</ability>
      <abilityName>标点符号检查</abilityName>
      <candidateList>
        <item>——</item>
      </candidateList>
      <explain>破折号或连接号疑似使用错误。</explain>
      <paraID> 653BC11</paraID>
      <start>148</start>
      <end>150</end>
      <status>unmodified</status>
      <modifiedWord/>
      <trackRevisions>false</trackRevisions>
    </reviewItem>
    <reviewItem>
      <errorID>d652e73a-fa1d-4d34-a9ba-1f06b4387879</errorID>
      <errorWord>。。</errorWord>
      <group>L1_Punc</group>
      <groupName>标点问题</groupName>
      <ability>L2_Punc_CN</ability>
      <abilityName>标点符号检查</abilityName>
      <candidateList>
        <item>。</item>
      </candidateList>
      <explain/>
      <paraID>4DD1FFA6</paraID>
      <start>39</start>
      <end>41</end>
      <status>unmodified</status>
      <modifiedWord/>
      <trackRevisions>false</trackRevisions>
    </reviewItem>
    <reviewItem>
      <errorID>b36714b0-d459-4ac5-b7ea-1835d4c4b197</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1CF623E2</paraID>
      <start>52</start>
      <end>53</end>
      <status>unmodified</status>
      <modifiedWord/>
      <trackRevisions>false</trackRevisions>
    </reviewItem>
    <reviewItem>
      <errorID>7d1a5f39-727a-49c5-aa7c-2dfbaa918b8e</errorID>
      <errorWord>胶粘剂</errorWord>
      <group>L1_Word</group>
      <groupName>字词问题</groupName>
      <ability>L2_Typo</ability>
      <abilityName>字词错误</abilityName>
      <candidateList>
        <item>胶黏剂</item>
      </candidateList>
      <explain/>
      <paraID>6D01C98A</paraID>
      <start>46</start>
      <end>49</end>
      <status>unmodified</status>
      <modifiedWord/>
      <trackRevisions>false</trackRevisions>
    </reviewItem>
    <reviewItem>
      <errorID>021ee457-fa6c-4def-9bf4-fd88df4d3aaf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1180E9A1</paraID>
      <start>0</start>
      <end>2</end>
      <status>unmodified</status>
      <modifiedWord/>
      <trackRevisions>false</trackRevisions>
    </reviewItem>
    <reviewItem>
      <errorID>68f6c14c-bb45-4695-b593-c97bf43f70b8</errorID>
      <errorWord>两高项目</errorWord>
      <group>L1_Political</group>
      <groupName>政治性问题</groupName>
      <ability>L2_Keyword</ability>
      <abilityName>固定表述</abilityName>
      <candidateList>
        <item>“两高”项目</item>
      </candidateList>
      <explain>注意检查当前固定表述标点是否使用规范。</explain>
      <paraID>1180E9A1</paraID>
      <start>8</start>
      <end>12</end>
      <status>unmodified</status>
      <modifiedWord/>
      <trackRevisions>false</trackRevisions>
    </reviewItem>
    <reviewItem>
      <errorID>13e16682-21c0-40a9-9eb3-bd5ba4f5c129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6D0DEBD5</paraID>
      <start>0</start>
      <end>2</end>
      <status>unmodified</status>
      <modifiedWord/>
      <trackRevisions>false</trackRevisions>
    </reviewItem>
    <reviewItem>
      <errorID>1f6f17d3-e580-4dfa-b864-6826665ab626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2C96D83C</paraID>
      <start>0</start>
      <end>2</end>
      <status>unmodified</status>
      <modifiedWord/>
      <trackRevisions>false</trackRevisions>
    </reviewItem>
    <reviewItem>
      <errorID>522fa83f-1257-4c9c-8f3c-34f398ea5f70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6FB860AA</paraID>
      <start>0</start>
      <end>2</end>
      <status>unmodified</status>
      <modifiedWord/>
      <trackRevisions>false</trackRevisions>
    </reviewItem>
    <reviewItem>
      <errorID>2830c9a7-ac50-4fda-a8ca-231ffa9a7c88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2548EE16</paraID>
      <start>0</start>
      <end>2</end>
      <status>unmodified</status>
      <modifiedWord/>
      <trackRevisions>false</trackRevisions>
    </reviewItem>
    <reviewItem>
      <errorID>3846b205-4cd9-46cb-b986-bc0443b11b04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2F837616</paraID>
      <start>0</start>
      <end>2</end>
      <status>unmodified</status>
      <modifiedWord/>
      <trackRevisions>false</trackRevisions>
    </reviewItem>
    <reviewItem>
      <errorID>806f2b10-9932-4f7e-b074-7304baeaad19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2AF83C6B</paraID>
      <start>0</start>
      <end>2</end>
      <status>unmodified</status>
      <modifiedWord/>
      <trackRevisions>false</trackRevisions>
    </reviewItem>
    <reviewItem>
      <errorID>355e2b42-532b-4948-a8c3-414995709f0c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19117695</paraID>
      <start>0</start>
      <end>2</end>
      <status>unmodified</status>
      <modifiedWord/>
      <trackRevisions>false</trackRevisions>
    </reviewItem>
    <reviewItem>
      <errorID>2617ca6e-0c36-4a34-8561-0c2d285fc92d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298B2DB9</paraID>
      <start>0</start>
      <end>2</end>
      <status>unmodified</status>
      <modifiedWord/>
      <trackRevisions>false</trackRevisions>
    </reviewItem>
    <reviewItem>
      <errorID>4d327bb2-3cb8-47be-959e-17321e35fba4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18A17619</paraID>
      <start>0</start>
      <end>2</end>
      <status>unmodified</status>
      <modifiedWord/>
      <trackRevisions>false</trackRevisions>
    </reviewItem>
    <reviewItem>
      <errorID>2cf2d2fe-a69a-4f4b-a8d9-6014dca37afc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8301F13</paraID>
      <start>0</start>
      <end>2</end>
      <status>unmodified</status>
      <modifiedWord/>
      <trackRevisions>false</trackRevisions>
    </reviewItem>
    <reviewItem>
      <errorID>806e4db4-a2eb-4659-802c-ab637a14fd28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7505314E</paraID>
      <start>0</start>
      <end>2</end>
      <status>unmodified</status>
      <modifiedWord/>
      <trackRevisions>false</trackRevisions>
    </reviewItem>
    <reviewItem>
      <errorID>35c56049-86c9-4cce-84f6-849b82661781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3DD94146</paraID>
      <start>0</start>
      <end>2</end>
      <status>unmodified</status>
      <modifiedWord/>
      <trackRevisions>false</trackRevisions>
    </reviewItem>
    <reviewItem>
      <errorID>e54466de-ed33-4bf1-a742-0b1638892ca8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37EA6E8B</paraID>
      <start>0</start>
      <end>2</end>
      <status>unmodified</status>
      <modifiedWord/>
      <trackRevisions>false</trackRevisions>
    </reviewItem>
    <reviewItem>
      <errorID>6c0f3260-8f34-4a47-ab09-d1280fa2e2e0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766CD3C3</paraID>
      <start>0</start>
      <end>2</end>
      <status>unmodified</status>
      <modifiedWord/>
      <trackRevisions>false</trackRevisions>
    </reviewItem>
    <reviewItem>
      <errorID>449251cf-9925-46b5-b317-d0bc7e388e5e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146C6718</paraID>
      <start>0</start>
      <end>2</end>
      <status>unmodified</status>
      <modifiedWord/>
      <trackRevisions>false</trackRevisions>
    </reviewItem>
    <reviewItem>
      <errorID>983baaec-b4fa-4c01-b21c-d288d9261128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6547F9BA</paraID>
      <start>0</start>
      <end>2</end>
      <status>unmodified</status>
      <modifiedWord/>
      <trackRevisions>false</trackRevisions>
    </reviewItem>
    <reviewItem>
      <errorID>254cc8a5-c082-4bde-bc88-9cbb54820dd8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74BEB849</paraID>
      <start>0</start>
      <end>2</end>
      <status>unmodified</status>
      <modifiedWord/>
      <trackRevisions>false</trackRevisions>
    </reviewItem>
    <reviewItem>
      <errorID>49c9e0d1-8d26-4d49-aac6-94f239ce0d1e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6CE04A6C</paraID>
      <start>0</start>
      <end>2</end>
      <status>unmodified</status>
      <modifiedWord/>
      <trackRevisions>false</trackRevisions>
    </reviewItem>
    <reviewItem>
      <errorID>91c8ed01-6294-4088-8798-c344a7e3c439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EDE6FA0</paraID>
      <start>0</start>
      <end>3</end>
      <status>unmodified</status>
      <modifiedWord/>
      <trackRevisions>false</trackRevisions>
    </reviewItem>
    <reviewItem>
      <errorID>00b6a453-48ef-4d4a-ab71-b3c0ac13dd31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799AF159</paraID>
      <start>0</start>
      <end>3</end>
      <status>unmodified</status>
      <modifiedWord/>
      <trackRevisions>false</trackRevisions>
    </reviewItem>
    <reviewItem>
      <errorID>a0910943-6283-403d-9ef8-d554e0da9993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47C5DD1C</paraID>
      <start>0</start>
      <end>3</end>
      <status>unmodified</status>
      <modifiedWord/>
      <trackRevisions>false</trackRevisions>
    </reviewItem>
    <reviewItem>
      <errorID>7253045b-37a7-4f66-8bae-33e25b261f14</errorID>
      <errorWord>应对</errorWord>
      <group>L1_Word</group>
      <groupName>字词问题</groupName>
      <ability>L2_Typo</ability>
      <abilityName>字词错误</abilityName>
      <candidateList>
        <item>应当</item>
      </candidateList>
      <explain/>
      <paraID>47C5DD1C</paraID>
      <start>9</start>
      <end>11</end>
      <status>unmodified</status>
      <modifiedWord/>
      <trackRevisions>false</trackRevisions>
    </reviewItem>
    <reviewItem>
      <errorID>502a29c0-b446-4a52-ad6c-0e8513b74718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7A4BF213</paraID>
      <start>0</start>
      <end>3</end>
      <status>unmodified</status>
      <modifiedWord/>
      <trackRevisions>false</trackRevisions>
    </reviewItem>
    <reviewItem>
      <errorID>19379124-af62-43ee-bb5a-b59cffcd3ec2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1F209411</paraID>
      <start>0</start>
      <end>3</end>
      <status>unmodified</status>
      <modifiedWord/>
      <trackRevisions>false</trackRevisions>
    </reviewItem>
    <reviewItem>
      <errorID>2e34f02c-ea2b-4417-b388-494a48d594cc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70A279EE</paraID>
      <start>0</start>
      <end>3</end>
      <status>unmodified</status>
      <modifiedWord/>
      <trackRevisions>false</trackRevisions>
    </reviewItem>
    <reviewItem>
      <errorID>1551e258-6a33-45ad-bc01-c7b847b7bf8e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1A24B0F2</paraID>
      <start>0</start>
      <end>3</end>
      <status>unmodified</status>
      <modifiedWord/>
      <trackRevisions>false</trackRevisions>
    </reviewItem>
    <reviewItem>
      <errorID>0aedab9f-1441-401e-a893-d9371b80ae35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8A9FEBD</paraID>
      <start>0</start>
      <end>3</end>
      <status>unmodified</status>
      <modifiedWord/>
      <trackRevisions>false</trackRevisions>
    </reviewItem>
    <reviewItem>
      <errorID>f085fa7e-54d6-47bc-a70b-72b9bb3558c5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61A0CCB6</paraID>
      <start>0</start>
      <end>3</end>
      <status>unmodified</status>
      <modifiedWord/>
      <trackRevisions>false</trackRevisions>
    </reviewItem>
    <reviewItem>
      <errorID>bc32049d-4eed-4b10-9b02-08fc3de79588</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702C3333</paraID>
      <start>0</start>
      <end>3</end>
      <status>unmodified</status>
      <modifiedWord/>
      <trackRevisions>false</trackRevisions>
    </reviewItem>
    <reviewItem>
      <errorID>3bc1450a-8a6c-4b8f-a328-05396ae3cdb6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4331F734</paraID>
      <start>0</start>
      <end>3</end>
      <status>unmodified</status>
      <modifiedWord/>
      <trackRevisions>false</trackRevisions>
    </reviewItem>
    <reviewItem>
      <errorID>3037f873-63de-4a2e-a460-922fc72259bf</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37A578F4</paraID>
      <start>0</start>
      <end>3</end>
      <status>unmodified</status>
      <modifiedWord/>
      <trackRevisions>false</trackRevisions>
    </reviewItem>
    <reviewItem>
      <errorID>cb2d0279-dbc7-49e7-938e-36ef66972862</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45337A0E</paraID>
      <start>0</start>
      <end>3</end>
      <status>unmodified</status>
      <modifiedWord/>
      <trackRevisions>false</trackRevisions>
    </reviewItem>
    <reviewItem>
      <errorID>fe208424-0b80-422f-a495-b74b6be465e4</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17A50E11</paraID>
      <start>0</start>
      <end>3</end>
      <status>unmodified</status>
      <modifiedWord/>
      <trackRevisions>false</trackRevisions>
    </reviewItem>
    <reviewItem>
      <errorID>206ff4a4-18f3-46a6-b180-971cb669250b</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61DF3125</paraID>
      <start>0</start>
      <end>3</end>
      <status>unmodified</status>
      <modifiedWord/>
      <trackRevisions>false</trackRevisions>
    </reviewItem>
    <reviewItem>
      <errorID>f38ebca0-01ef-45b6-9d23-e2c5d08f737f</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1D1667DE</paraID>
      <start>0</start>
      <end>3</end>
      <status>unmodified</status>
      <modifiedWord/>
      <trackRevisions>false</trackRevisions>
    </reviewItem>
    <reviewItem>
      <errorID>9fd9d713-0c0b-4f11-826f-4ee0e36ad3c6</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3F759A88</paraID>
      <start>0</start>
      <end>3</end>
      <status>unmodified</status>
      <modifiedWord/>
      <trackRevisions>false</trackRevisions>
    </reviewItem>
    <reviewItem>
      <errorID>2ff795b2-3cae-4948-b849-8a94916fbae9</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48F4E518</paraID>
      <start>0</start>
      <end>3</end>
      <status>unmodified</status>
      <modifiedWord/>
      <trackRevisions>false</trackRevisions>
    </reviewItem>
    <reviewItem>
      <errorID>87e27ffa-23fd-4bb0-96c0-230d25f65478</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2F8EC63D</paraID>
      <start>0</start>
      <end>3</end>
      <status>unmodified</status>
      <modifiedWord/>
      <trackRevisions>false</trackRevisions>
    </reviewItem>
    <reviewItem>
      <errorID>70a7dfec-439b-48a6-b318-915be81e9bf0</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33F0A6A0</paraID>
      <start>0</start>
      <end>3</end>
      <status>unmodified</status>
      <modifiedWord/>
      <trackRevisions>false</trackRevisions>
    </reviewItem>
    <reviewItem>
      <errorID>cd2441a5-029f-4578-a961-0eef0dd35add</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26F2E305</paraID>
      <start>0</start>
      <end>3</end>
      <status>unmodified</status>
      <modifiedWord/>
      <trackRevisions>false</trackRevisions>
    </reviewItem>
    <reviewItem>
      <errorID>fda3b280-2172-4995-9fc3-71064f34555b</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69A744A9</paraID>
      <start>0</start>
      <end>3</end>
      <status>unmodified</status>
      <modifiedWord/>
      <trackRevisions>false</trackRevisions>
    </reviewItem>
    <reviewItem>
      <errorID>d5db55a6-e713-4614-97a5-089a8ff53079</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21B87552</paraID>
      <start>0</start>
      <end>3</end>
      <status>unmodified</status>
      <modifiedWord/>
      <trackRevisions>false</trackRevisions>
    </reviewItem>
    <reviewItem>
      <errorID>d7294152-8f37-4ffe-bff3-867e8545e549</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68DC6B87</paraID>
      <start>0</start>
      <end>3</end>
      <status>unmodified</status>
      <modifiedWord/>
      <trackRevisions>false</trackRevisions>
    </reviewItem>
    <reviewItem>
      <errorID>1986374b-09f0-43f3-a6f6-4ab91576e8b4</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71C7DE35</paraID>
      <start>0</start>
      <end>3</end>
      <status>unmodified</status>
      <modifiedWord/>
      <trackRevisions>false</trackRevisions>
    </reviewItem>
    <reviewItem>
      <errorID>397ee40c-ff5c-4190-8e24-145c2a62cb9f</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2FB3ACC9</paraID>
      <start>0</start>
      <end>3</end>
      <status>unmodified</status>
      <modifiedWord/>
      <trackRevisions>false</trackRevisions>
    </reviewItem>
    <reviewItem>
      <errorID>187ea83a-e522-45c9-a73b-893a39893a5e</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6A55F311</paraID>
      <start>0</start>
      <end>3</end>
      <status>unmodified</status>
      <modifiedWord/>
      <trackRevisions>false</trackRevisions>
    </reviewItem>
    <reviewItem>
      <errorID>6bf3d7b8-d658-44a7-b188-e3a59afd0d17</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775117FD</paraID>
      <start>0</start>
      <end>3</end>
      <status>unmodified</status>
      <modifiedWord/>
      <trackRevisions>false</trackRevisions>
    </reviewItem>
    <reviewItem>
      <errorID>915cbd68-6a90-426d-af09-c1abdaa297da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1B5CA41C</paraID>
      <start>0</start>
      <end>2</end>
      <status>unmodified</status>
      <modifiedWord/>
      <trackRevisions>false</trackRevisions>
    </reviewItem>
    <reviewItem>
      <errorID>528c5697-a6bc-44b6-af9e-12581a85d4de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233B7D62</paraID>
      <start>0</start>
      <end>2</end>
      <status>unmodified</status>
      <modifiedWord/>
      <trackRevisions>false</trackRevisions>
    </reviewItem>
    <reviewItem>
      <errorID>53c726b1-31ba-475e-b3ea-d1e043b6a12b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7215E4FC</paraID>
      <start>0</start>
      <end>2</end>
      <status>unmodified</status>
      <modifiedWord/>
      <trackRevisions>false</trackRevisions>
    </reviewItem>
    <reviewItem>
      <errorID>dab199bc-cbf9-4f80-9e25-5c0bac347f51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256F82F3</paraID>
      <start>0</start>
      <end>2</end>
      <status>unmodified</status>
      <modifiedWord/>
      <trackRevisions>false</trackRevisions>
    </reviewItem>
    <reviewItem>
      <errorID>001aeeff-8a43-4697-8757-b6e8cd3776f7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790934AF</paraID>
      <start>0</start>
      <end>2</end>
      <status>unmodified</status>
      <modifiedWord/>
      <trackRevisions>false</trackRevisions>
    </reviewItem>
    <reviewItem>
      <errorID>47d234d0-fdc5-4805-b1e4-7d75bbc3554b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113A788A</paraID>
      <start>0</start>
      <end>2</end>
      <status>unmodified</status>
      <modifiedWord/>
      <trackRevisions>false</trackRevisions>
    </reviewItem>
    <reviewItem>
      <errorID>c85bf8ba-e353-4aae-af9b-4898ee3216fe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1E25859B</paraID>
      <start>0</start>
      <end>2</end>
      <status>unmodified</status>
      <modifiedWord/>
      <trackRevisions>false</trackRevisions>
    </reviewItem>
    <reviewItem>
      <errorID>e096d5f3-8184-4507-a187-86dc0e1f4536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2B371E3F</paraID>
      <start>0</start>
      <end>2</end>
      <status>unmodified</status>
      <modifiedWord/>
      <trackRevisions>false</trackRevisions>
    </reviewItem>
    <reviewItem>
      <errorID>253da585-20a3-472f-8d45-d939400fa2dd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5C247724</paraID>
      <start>0</start>
      <end>2</end>
      <status>unmodified</status>
      <modifiedWord/>
      <trackRevisions>false</trackRevisions>
    </reviewItem>
    <reviewItem>
      <errorID>e9d70b05-83f8-4df3-b115-169e2689e15f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24393473</paraID>
      <start>0</start>
      <end>2</end>
      <status>unmodified</status>
      <modifiedWord/>
      <trackRevisions>false</trackRevisions>
    </reviewItem>
    <reviewItem>
      <errorID>b9883daf-ab41-4129-9aed-52a40aaf9fea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72285ED1</paraID>
      <start>0</start>
      <end>2</end>
      <status>unmodified</status>
      <modifiedWord/>
      <trackRevisions>false</trackRevisions>
    </reviewItem>
    <reviewItem>
      <errorID>4fdf0cdc-30fc-46a7-9f5e-33bad7dfbd01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7EB2898A</paraID>
      <start>0</start>
      <end>2</end>
      <status>unmodified</status>
      <modifiedWord/>
      <trackRevisions>false</trackRevisions>
    </reviewItem>
    <reviewItem>
      <errorID>d7feb5be-88a7-4665-867b-03ac5261c0f8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7B6B38C9</paraID>
      <start>0</start>
      <end>2</end>
      <status>unmodified</status>
      <modifiedWord/>
      <trackRevisions>false</trackRevisions>
    </reviewItem>
    <reviewItem>
      <errorID>9505a4be-77f4-41a9-9bbe-d03339415b81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417A210F</paraID>
      <start>0</start>
      <end>2</end>
      <status>unmodified</status>
      <modifiedWord/>
      <trackRevisions>false</trackRevisions>
    </reviewItem>
    <reviewItem>
      <errorID>6da0b68a-adc2-49b1-8ee1-6e6cd6e000c3</errorID>
      <errorWord>十四五期间</errorWord>
      <group>L1_Political</group>
      <groupName>政治性问题</groupName>
      <ability>L2_Keyword</ability>
      <abilityName>固定表述</abilityName>
      <candidateList>
        <item>“十四五”期间</item>
      </candidateList>
      <explain>注意检查当前固定表述标点是否使用规范。</explain>
      <paraID>417A210F</paraID>
      <start>2</start>
      <end>7</end>
      <status>unmodified</status>
      <modifiedWord/>
      <trackRevisions>false</trackRevisions>
    </reviewItem>
    <reviewItem>
      <errorID>b9246601-a34a-41d8-8127-0232cda6cf82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3B2215F3</paraID>
      <start>0</start>
      <end>2</end>
      <status>unmodified</status>
      <modifiedWord/>
      <trackRevisions>false</trackRevisions>
    </reviewItem>
    <reviewItem>
      <errorID>e53686a3-4184-438a-a8b0-e6ea8d914a34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409D94B0</paraID>
      <start>0</start>
      <end>2</end>
      <status>unmodified</status>
      <modifiedWord/>
      <trackRevisions>false</trackRevisions>
    </reviewItem>
    <reviewItem>
      <errorID>56cff1f7-f64f-413a-ba5c-bee81764513b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5F89CA26</paraID>
      <start>0</start>
      <end>2</end>
      <status>unmodified</status>
      <modifiedWord/>
      <trackRevisions>false</trackRevisions>
    </reviewItem>
    <reviewItem>
      <errorID>664a7059-3ede-4fa3-8df6-fd42a2b0a3c8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6A259C2F</paraID>
      <start>0</start>
      <end>2</end>
      <status>unmodified</status>
      <modifiedWord/>
      <trackRevisions>false</trackRevisions>
    </reviewItem>
    <reviewItem>
      <errorID>4891b095-ede8-43c9-8f70-d8eeb637493b</errorID>
      <errorWord>秸杆</errorWord>
      <group>L1_Word</group>
      <groupName>字词问题</groupName>
      <ability>L2_Typo</ability>
      <abilityName>字词错误</abilityName>
      <candidateList>
        <item>秸秆</item>
      </candidateList>
      <explain>〈名〉农作物脱粒后剩下的茎。</explain>
      <paraID>6A259C2F</paraID>
      <start>67</start>
      <end>69</end>
      <status>unmodified</status>
      <modifiedWord/>
      <trackRevisions>false</trackRevisions>
    </reviewItem>
    <reviewItem>
      <errorID>3f6fc983-c8b0-4e57-955c-5930774e2804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221BF3CB</paraID>
      <start>0</start>
      <end>2</end>
      <status>unmodified</status>
      <modifiedWord/>
      <trackRevisions>false</trackRevisions>
    </reviewItem>
    <reviewItem>
      <errorID>5097557c-feb5-454b-b36f-83a836ce1095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62C9EFF5</paraID>
      <start>0</start>
      <end>2</end>
      <status>unmodified</status>
      <modifiedWord/>
      <trackRevisions>false</trackRevisions>
    </reviewItem>
    <reviewItem>
      <errorID>908a32cc-7832-4280-82b8-69e77bb87bfa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152E8BDD</paraID>
      <start>0</start>
      <end>2</end>
      <status>unmodified</status>
      <modifiedWord/>
      <trackRevisions>false</trackRevisions>
    </reviewItem>
    <reviewItem>
      <errorID>84efb98f-d262-4bc9-b2c2-d5558d1cc233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33710529</paraID>
      <start>0</start>
      <end>2</end>
      <status>unmodified</status>
      <modifiedWord/>
      <trackRevisions>false</trackRevisions>
    </reviewItem>
    <reviewItem>
      <errorID>abce316a-6332-4ad9-880c-2729757d4655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293964EB</paraID>
      <start>0</start>
      <end>2</end>
      <status>unmodified</status>
      <modifiedWord/>
      <trackRevisions>false</trackRevisions>
    </reviewItem>
    <reviewItem>
      <errorID>d4963e67-79d7-4e69-b3eb-1e5934863751</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51DCB0D3</paraID>
      <start>24</start>
      <end>25</end>
      <status>unmodified</status>
      <modifiedWord/>
      <trackRevisions>false</trackRevisions>
    </reviewItem>
    <reviewItem>
      <errorID>2ca43ad7-96a6-4624-af6c-6d53f796a260</errorID>
      <errorWord>两高”项目</errorWord>
      <group>L1_Political</group>
      <groupName>政治性问题</groupName>
      <ability>L2_Keyword</ability>
      <abilityName>固定表述</abilityName>
      <candidateList>
        <item>“两高”项目</item>
      </candidateList>
      <explain>注意检查当前固定表述标点是否使用规范。</explain>
      <paraID>51DCB0D3</paraID>
      <start>25</start>
      <end>30</end>
      <status>unmodified</status>
      <modifiedWord/>
      <trackRevisions>false</trackRevisions>
    </reviewItem>
    <reviewItem>
      <errorID>80f9192d-7201-40e4-97c5-9958fdd52d1f</errorID>
      <errorWord>/。</errorWord>
      <group>L1_Punc</group>
      <groupName>标点问题</groupName>
      <ability>L2_Punc_CN</ability>
      <abilityName>标点符号检查</abilityName>
      <candidateList>
        <item>/</item>
      </candidateList>
      <explain/>
      <paraID> 64B5636</paraID>
      <start>0</start>
      <end>2</end>
      <status>unmodified</status>
      <modifiedWord/>
      <trackRevisions>false</trackRevisions>
    </reviewItem>
    <reviewItem>
      <errorID>0c2c294f-34c4-48af-9a90-9dbaa261e58a</errorID>
      <errorWord>方</errorWord>
      <group>L1_Word</group>
      <groupName>字词问题</groupName>
      <ability>L2_Typo</ability>
      <abilityName>字词错误</abilityName>
      <candidateList>
        <item>方米</item>
      </candidateList>
      <explain/>
      <paraID>3C38FADF</paraID>
      <start>65</start>
      <end>66</end>
      <status>unmodified</status>
      <modifiedWord/>
      <trackRevisions>false</trackRevisions>
    </reviewItem>
    <reviewItem>
      <errorID>6fc73f01-b045-45ac-bcce-32f780d267fb</errorID>
      <errorWord>胶粘剂</errorWord>
      <group>L1_Word</group>
      <groupName>字词问题</groupName>
      <ability>L2_Typo</ability>
      <abilityName>字词错误</abilityName>
      <candidateList>
        <item>胶黏剂</item>
      </candidateList>
      <explain/>
      <paraID>3675C6C3</paraID>
      <start>28</start>
      <end>31</end>
      <status>unmodified</status>
      <modifiedWord/>
      <trackRevisions>false</trackRevisions>
    </reviewItem>
    <reviewItem>
      <errorID>4cf65234-d748-4db5-955b-ccec00c6e79b</errorID>
      <errorWord>胶粘剂</errorWord>
      <group>L1_Word</group>
      <groupName>字词问题</groupName>
      <ability>L2_Typo</ability>
      <abilityName>字词错误</abilityName>
      <candidateList>
        <item>胶黏剂</item>
      </candidateList>
      <explain/>
      <paraID>17150B4B</paraID>
      <start>32</start>
      <end>35</end>
      <status>unmodified</status>
      <modifiedWord/>
      <trackRevisions>false</trackRevisions>
    </reviewItem>
    <reviewItem>
      <errorID>f0c5cf85-3ccc-4122-964d-1ec0dd1521e7</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7C16402C</paraID>
      <start>25</start>
      <end>26</end>
      <status>ignored</status>
      <modifiedWord/>
      <trackRevisions>false</trackRevisions>
    </reviewItem>
    <reviewItem>
      <errorID>00107827-cd03-4580-99d6-6717186b8511</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7C16402C</paraID>
      <start>72</start>
      <end>73</end>
      <status>ignored</status>
      <modifiedWord/>
      <trackRevisions>false</trackRevisions>
    </reviewItem>
    <reviewItem>
      <errorID>e2e978db-f41d-431d-9a19-1334ea1e1961</errorID>
      <errorWord>)</errorWord>
      <group>L1_Format</group>
      <groupName>格式问题</groupName>
      <ability>L2_HalfPunc_CN</ability>
      <abilityName>全半角检查</abilityName>
      <candidateList>
        <item>）</item>
      </candidateList>
      <explain>文本全半角错误。</explain>
      <paraID>7C16402C</paraID>
      <start>78</start>
      <end>79</end>
      <status>ignored</status>
      <modifiedWord/>
      <trackRevisions>false</trackRevisions>
    </reviewItem>
    <reviewItem>
      <errorID>3b586567-6362-4b6e-aa74-097362d2a9cf</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7C16402C</paraID>
      <start>122</start>
      <end>123</end>
      <status>ignored</status>
      <modifiedWord/>
      <trackRevisions>false</trackRevisions>
    </reviewItem>
    <reviewItem>
      <errorID>042c2fec-112e-4702-a57d-e35359cef536</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65469726</paraID>
      <start>3</start>
      <end>4</end>
      <status>ignored</status>
      <modifiedWord/>
      <trackRevisions>false</trackRevisions>
    </reviewItem>
    <reviewItem>
      <errorID>fde2f254-4697-4e4e-983c-e313328efdac</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21FFE654</paraID>
      <start>0</start>
      <end>3</end>
      <status>unmodified</status>
      <modifiedWord/>
      <trackRevisions>false</trackRevisions>
    </reviewItem>
    <reviewItem>
      <errorID>c8492b22-edd6-4901-a2c9-0a3c9d37e142</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26EF21E7</paraID>
      <start>32</start>
      <end>33</end>
      <status>ignored</status>
      <modifiedWord/>
      <trackRevisions>false</trackRevisions>
    </reviewItem>
    <reviewItem>
      <errorID>20402a55-f01d-4d07-82fa-b5373963ed9b</errorID>
      <errorWord>(</errorWord>
      <group>L1_Format</group>
      <groupName>格式问题</groupName>
      <ability>L2_HalfPunc_CN</ability>
      <abilityName>全半角检查</abilityName>
      <candidateList>
        <item>（</item>
      </candidateList>
      <explain>文本全半角错误。</explain>
      <paraID>13E21645</paraID>
      <start>15</start>
      <end>16</end>
      <status>ignored</status>
      <modifiedWord/>
      <trackRevisions>false</trackRevisions>
    </reviewItem>
    <reviewItem>
      <errorID>185679ce-9005-453c-b248-9372174bdc34</errorID>
      <errorWord>)</errorWord>
      <group>L1_Format</group>
      <groupName>格式问题</groupName>
      <ability>L2_HalfPunc_CN</ability>
      <abilityName>全半角检查</abilityName>
      <candidateList>
        <item>）</item>
      </candidateList>
      <explain>文本全半角错误。</explain>
      <paraID>13E21645</paraID>
      <start>22</start>
      <end>23</end>
      <status>ignored</status>
      <modifiedWord/>
      <trackRevisions>false</trackRevisions>
    </reviewItem>
    <reviewItem>
      <errorID>a8774a2f-4131-49c2-98eb-ec6afe023734</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3058EA1F</paraID>
      <start>23</start>
      <end>26</end>
      <status>unmodified</status>
      <modifiedWord/>
      <trackRevisions>false</trackRevisions>
    </reviewItem>
    <reviewItem>
      <errorID>e6175033-7ec6-4e35-a91d-5fc33c120e69</errorID>
      <errorWord>固此</errorWord>
      <group>L1_Word</group>
      <groupName>字词问题</groupName>
      <ability>L2_Typo</ability>
      <abilityName>字词错误</abilityName>
      <candidateList>
        <item>故此</item>
      </candidateList>
      <explain>存在发音相同字词的误用。</explain>
      <paraID>69F490B7</paraID>
      <start>201</start>
      <end>203</end>
      <status>unmodified</status>
      <modifiedWord/>
      <trackRevisions>false</trackRevisions>
    </reviewItem>
    <reviewItem>
      <errorID>9aa9c3b9-3207-45d5-8d3b-75f7ccbe504b</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283EB682</paraID>
      <start>8</start>
      <end>9</end>
      <status>ignored</status>
      <modifiedWord/>
      <trackRevisions>false</trackRevisions>
    </reviewItem>
    <reviewItem>
      <errorID>405f6e0a-390e-4a16-9404-d1059958ba57</errorID>
      <errorWord>应</errorWord>
      <group>L1_Word</group>
      <groupName>字词问题</groupName>
      <ability>L2_Typo</ability>
      <abilityName>字词错误</abilityName>
      <candidateList>
        <item>应在</item>
      </candidateList>
      <explain/>
      <paraID>2949F699</paraID>
      <start>6</start>
      <end>7</end>
      <status>unmodified</status>
      <modifiedWord/>
      <trackRevisions>false</trackRevisions>
    </reviewItem>
    <reviewItem>
      <errorID>0d64d4f5-8629-4b4f-a388-6b6dd581495d</errorID>
      <errorWord>转移</errorWord>
      <group>L1_Word</group>
      <groupName>字词问题</groupName>
      <ability>L2_Typo</ability>
      <abilityName>字词错误</abilityName>
      <candidateList>
        <item>装运</item>
      </candidateList>
      <explain/>
      <paraID>6FB6A48E</paraID>
      <start>12</start>
      <end>14</end>
      <status>unmodified</status>
      <modifiedWord/>
      <trackRevisions>false</trackRevisions>
    </reviewItem>
    <reviewItem>
      <errorID>5f1d900c-455d-482f-ab01-a1f3a1efe955</errorID>
      <errorWord>；</errorWord>
      <group>L1_Word</group>
      <groupName>字词问题</groupName>
      <ability>L2_Typo</ability>
      <abilityName>字词错误</abilityName>
      <candidateList>
        <item>；在</item>
      </candidateList>
      <explain/>
      <paraID>7FCA1191</paraID>
      <start>58</start>
      <end>59</end>
      <status>unmodified</status>
      <modifiedWord/>
      <trackRevisions>false</trackRevisions>
    </reviewItem>
    <reviewItem>
      <errorID>ed5271af-ff66-4968-b853-15b3ea1e1abe</errorID>
      <errorWord>（</errorWord>
      <group>L1_Punc</group>
      <groupName>标点问题</groupName>
      <ability>L2_Punc_CN</ability>
      <abilityName>标点符号检查</abilityName>
      <candidateList/>
      <explain>同一形式括号套用。</explain>
      <paraID>1421CAB2</paraID>
      <start>73</start>
      <end>74</end>
      <status>unmodified</status>
      <modifiedWord/>
      <trackRevisions>false</trackRevisions>
    </reviewItem>
    <reviewItem>
      <errorID>41fc025a-c739-4f76-8f09-8451bb23f1e3</errorID>
      <errorWord>）</errorWord>
      <group>L1_Punc</group>
      <groupName>标点问题</groupName>
      <ability>L2_Punc_CN</ability>
      <abilityName>标点符号检查</abilityName>
      <candidateList/>
      <explain>同一形式括号套用。</explain>
      <paraID>1421CAB2</paraID>
      <start>95</start>
      <end>96</end>
      <status>unmodified</status>
      <modifiedWord/>
      <trackRevisions>false</trackRevisions>
    </reviewItem>
    <reviewItem>
      <errorID>951ccbfa-ffcf-496e-9864-d9754de8de1c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1D7FC145</paraID>
      <start>0</start>
      <end>2</end>
      <status>unmodified</status>
      <modifiedWord/>
      <trackRevisions>false</trackRevisions>
    </reviewItem>
    <reviewItem>
      <errorID>a011f35e-9016-4324-acef-c6febb0ad3b0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5BD593BB</paraID>
      <start>0</start>
      <end>2</end>
      <status>unmodified</status>
      <modifiedWord/>
      <trackRevisions>false</trackRevisions>
    </reviewItem>
    <reviewItem>
      <errorID>c99ca77c-d59e-4a97-a195-7c7dcb2c3ea5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290F41D2</paraID>
      <start>0</start>
      <end>3</end>
      <status>unmodified</status>
      <modifiedWord/>
      <trackRevisions>false</trackRevisions>
    </reviewItem>
    <reviewItem>
      <errorID>cc766d94-c7b6-446f-a8bd-7c2937165bdc</errorID>
      <errorWord>~</errorWord>
      <group>L1_Format</group>
      <groupName>格式问题</groupName>
      <ability>L2_HalfPunc_CN</ability>
      <abilityName>全半角检查</abilityName>
      <candidateList>
        <item>～</item>
      </candidateList>
      <explain>文本全半角错误。</explain>
      <paraID>290F41D2</paraID>
      <start>4</start>
      <end>5</end>
      <status>unmodified</status>
      <modifiedWord/>
      <trackRevisions>false</trackRevisions>
    </reviewItem>
    <reviewItem>
      <errorID>9c388e88-d0ca-4b2f-9c27-c039fbba1e90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71D1DB78</paraID>
      <start>0</start>
      <end>3</end>
      <status>unmodified</status>
      <modifiedWord/>
      <trackRevisions>false</trackRevisions>
    </reviewItem>
    <reviewItem>
      <errorID>546ed468-f8d4-49a5-8b77-480f724c1cf2</errorID>
      <errorWord>~</errorWord>
      <group>L1_Format</group>
      <groupName>格式问题</groupName>
      <ability>L2_HalfPunc_CN</ability>
      <abilityName>全半角检查</abilityName>
      <candidateList>
        <item>～</item>
      </candidateList>
      <explain>文本全半角错误。</explain>
      <paraID>71D1DB78</paraID>
      <start>4</start>
      <end>5</end>
      <status>unmodified</status>
      <modifiedWord/>
      <trackRevisions>false</trackRevisions>
    </reviewItem>
    <reviewItem>
      <errorID>c80693e4-8d6a-4320-9fbe-7a3101eccef5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254AA9D2</paraID>
      <start>0</start>
      <end>3</end>
      <status>unmodified</status>
      <modifiedWord/>
      <trackRevisions>false</trackRevisions>
    </reviewItem>
    <reviewItem>
      <errorID>432a1345-0320-4264-84b2-4ed71a80ca74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30C10977</paraID>
      <start>0</start>
      <end>2</end>
      <status>unmodified</status>
      <modifiedWord/>
      <trackRevisions>false</trackRevisions>
    </reviewItem>
    <reviewItem>
      <errorID>238ee320-1342-400c-b1a7-3ccf267cef83</errorID>
      <errorWord>(</errorWord>
      <group>L1_Format</group>
      <groupName>格式问题</groupName>
      <ability>L2_HalfPunc_CN</ability>
      <abilityName>全半角检查</abilityName>
      <candidateList>
        <item>（</item>
      </candidateList>
      <explain>文本全半角错误。</explain>
      <paraID>30C10977</paraID>
      <start>200</start>
      <end>201</end>
      <status>ignored</status>
      <modifiedWord/>
      <trackRevisions>false</trackRevisions>
    </reviewItem>
    <reviewItem>
      <errorID>aefab8c3-6718-4225-85af-60202dde3c7f</errorID>
      <errorWord>)</errorWord>
      <group>L1_Format</group>
      <groupName>格式问题</groupName>
      <ability>L2_HalfPunc_CN</ability>
      <abilityName>全半角检查</abilityName>
      <candidateList>
        <item>）</item>
      </candidateList>
      <explain>文本全半角错误。</explain>
      <paraID>30C10977</paraID>
      <start>203</start>
      <end>204</end>
      <status>ignored</status>
      <modifiedWord/>
      <trackRevisions>false</trackRevisions>
    </reviewItem>
    <reviewItem>
      <errorID>42ac5ae2-ef8a-4b89-8042-c00d6e60ac41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20B240EA</paraID>
      <start>0</start>
      <end>3</end>
      <status>unmodified</status>
      <modifiedWord/>
      <trackRevisions>false</trackRevisions>
    </reviewItem>
    <reviewItem>
      <errorID>599358d3-8779-4e74-b99a-441b62bd6642</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5F95174D</paraID>
      <start>0</start>
      <end>3</end>
      <status>unmodified</status>
      <modifiedWord/>
      <trackRevisions>false</trackRevisions>
    </reviewItem>
    <reviewItem>
      <errorID>39b4d76c-998a-4c61-874e-af503d411c66</errorID>
      <errorWord>胶粘剂</errorWord>
      <group>L1_Word</group>
      <groupName>字词问题</groupName>
      <ability>L2_Typo</ability>
      <abilityName>字词错误</abilityName>
      <candidateList>
        <item>胶黏剂</item>
      </candidateList>
      <explain/>
      <paraID>5F95174D</paraID>
      <start>94</start>
      <end>97</end>
      <status>unmodified</status>
      <modifiedWord/>
      <trackRevisions>false</trackRevisions>
    </reviewItem>
    <reviewItem>
      <errorID>7bc17f50-f40f-400f-a451-538708ab0f2e</errorID>
      <errorWord>(</errorWord>
      <group>L1_Format</group>
      <groupName>格式问题</groupName>
      <ability>L2_HalfPunc_CN</ability>
      <abilityName>全半角检查</abilityName>
      <candidateList>
        <item>（</item>
      </candidateList>
      <explain>文本全半角错误。</explain>
      <paraID>5F95174D</paraID>
      <start>216</start>
      <end>217</end>
      <status>ignored</status>
      <modifiedWord/>
      <trackRevisions>false</trackRevisions>
    </reviewItem>
    <reviewItem>
      <errorID>21f77364-e5e6-456b-a273-a2dd6e868c8e</errorID>
      <errorWord>)</errorWord>
      <group>L1_Format</group>
      <groupName>格式问题</groupName>
      <ability>L2_HalfPunc_CN</ability>
      <abilityName>全半角检查</abilityName>
      <candidateList>
        <item>）</item>
      </candidateList>
      <explain>文本全半角错误。</explain>
      <paraID>5F95174D</paraID>
      <start>221</start>
      <end>222</end>
      <status>ignored</status>
      <modifiedWord/>
      <trackRevisions>false</trackRevisions>
    </reviewItem>
    <reviewItem>
      <errorID>1b2b52ef-458a-45a5-b6c8-150b3ec67b07</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D910B2</paraID>
      <start>0</start>
      <end>3</end>
      <status>unmodified</status>
      <modifiedWord/>
      <trackRevisions>false</trackRevisions>
    </reviewItem>
    <reviewItem>
      <errorID>f2e22afe-928a-4527-8a27-fba4236cbfde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46B910A5</paraID>
      <start>0</start>
      <end>2</end>
      <status>unmodified</status>
      <modifiedWord/>
      <trackRevisions>false</trackRevisions>
    </reviewItem>
    <reviewItem>
      <errorID>1c2b24db-ebf1-4ec3-b270-0b0de31c9c6c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15490A1F</paraID>
      <start>0</start>
      <end>2</end>
      <status>unmodified</status>
      <modifiedWord/>
      <trackRevisions>false</trackRevisions>
    </reviewItem>
    <reviewItem>
      <errorID>66f08d04-4537-4b95-b594-d810713206ec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39EAC2A4</paraID>
      <start>0</start>
      <end>3</end>
      <status>unmodified</status>
      <modifiedWord/>
      <trackRevisions>false</trackRevisions>
    </reviewItem>
    <reviewItem>
      <errorID>14783c7d-3f66-40fa-873d-53c07aec5a38</errorID>
      <errorWord>;</errorWord>
      <group>L1_Format</group>
      <groupName>格式问题</groupName>
      <ability>L2_HalfPunc_CN</ability>
      <abilityName>全半角检查</abilityName>
      <candidateList>
        <item>；</item>
      </candidateList>
      <explain>文本全半角错误。</explain>
      <paraID>39EAC2A4</paraID>
      <start>60</start>
      <end>61</end>
      <status>unmodified</status>
      <modifiedWord/>
      <trackRevisions>false</trackRevisions>
    </reviewItem>
    <reviewItem>
      <errorID>ae0367c8-3502-4b50-a666-053398f8ff1b</errorID>
      <errorWord>;</errorWord>
      <group>L1_Format</group>
      <groupName>格式问题</groupName>
      <ability>L2_HalfPunc_CN</ability>
      <abilityName>全半角检查</abilityName>
      <candidateList>
        <item>；</item>
      </candidateList>
      <explain>文本全半角错误。</explain>
      <paraID>39EAC2A4</paraID>
      <start>112</start>
      <end>113</end>
      <status>unmodified</status>
      <modifiedWord/>
      <trackRevisions>false</trackRevisions>
    </reviewItem>
    <reviewItem>
      <errorID>a03800dc-2890-4410-ac25-f65d82401a24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4889E9AA</paraID>
      <start>0</start>
      <end>2</end>
      <status>unmodified</status>
      <modifiedWord/>
      <trackRevisions>false</trackRevisions>
    </reviewItem>
    <reviewItem>
      <errorID>41bce9eb-6c70-490d-bf7a-f9d5da2889a7</errorID>
      <errorWord>;</errorWord>
      <group>L1_Format</group>
      <groupName>格式问题</groupName>
      <ability>L2_HalfPunc_CN</ability>
      <abilityName>全半角检查</abilityName>
      <candidateList>
        <item>；</item>
      </candidateList>
      <explain>文本全半角错误。</explain>
      <paraID>4889E9AA</paraID>
      <start>189</start>
      <end>190</end>
      <status>unmodified</status>
      <modifiedWord/>
      <trackRevisions>false</trackRevisions>
    </reviewItem>
    <reviewItem>
      <errorID>5f65d2e8-118c-480d-ad8f-820ed6388030</errorID>
      <errorWord>污染治理攻坚战</errorWord>
      <group>L1_Political</group>
      <groupName>政治性问题</groupName>
      <ability>L2_Keyword</ability>
      <abilityName>固定表述</abilityName>
      <candidateList>
        <item>污染防治攻坚战</item>
      </candidateList>
      <explain>词汇“污染防治攻坚战”在特定场景下为固定表述形式，请确认此处的“污染治理攻坚战”是否存在不当。</explain>
      <paraID>505415F5</paraID>
      <start>12</start>
      <end>19</end>
      <status>unmodified</status>
      <modifiedWord/>
      <trackRevisions>false</trackRevisions>
    </reviewItem>
    <reviewItem>
      <errorID>48c71cb8-5a2f-4617-a8db-6aff12a4ecb1</errorID>
      <errorWord>源</errorWord>
      <group>L1_Word</group>
      <groupName>字词问题</groupName>
      <ability>L2_Typo</ability>
      <abilityName>字词错误</abilityName>
      <candidateList>
        <item>源汽</item>
      </candidateList>
      <explain/>
      <paraID>12E1B277</paraID>
      <start>20</start>
      <end>21</end>
      <status>unmodified</status>
      <modifiedWord/>
      <trackRevisions>false</trackRevisions>
    </reviewItem>
    <reviewItem>
      <errorID>b10636c1-6ac8-4326-a105-126063f4c5de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14FD293B</paraID>
      <start>0</start>
      <end>3</end>
      <status>unmodified</status>
      <modifiedWord/>
      <trackRevisions>false</trackRevisions>
    </reviewItem>
    <reviewItem>
      <errorID>e2b1dee6-1647-4de0-b05d-b3e8a62e67b6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2223D17C</paraID>
      <start>0</start>
      <end>3</end>
      <status>unmodified</status>
      <modifiedWord/>
      <trackRevisions>false</trackRevisions>
    </reviewItem>
    <reviewItem>
      <errorID>be1020b9-7f18-4c4e-9e84-99f9672dc37e</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240230CE</paraID>
      <start>0</start>
      <end>3</end>
      <status>unmodified</status>
      <modifiedWord/>
      <trackRevisions>false</trackRevisions>
    </reviewItem>
    <reviewItem>
      <errorID>b03a9c66-887e-46d3-9a17-3f95780de7de</errorID>
      <errorWord>-</errorWord>
      <group>L1_Format</group>
      <groupName>格式问题</groupName>
      <ability>L2_HalfPunc_CN</ability>
      <abilityName>全半角检查</abilityName>
      <candidateList>
        <item>－</item>
      </candidateList>
      <explain>文本全半角错误。</explain>
      <paraID>3292FDD2</paraID>
      <start>55</start>
      <end>56</end>
      <status>ignored</status>
      <modifiedWord/>
      <trackRevisions>false</trackRevisions>
    </reviewItem>
    <reviewItem>
      <errorID>2920df43-f2e4-4208-955d-39c0341788f8</errorID>
      <errorWord>-</errorWord>
      <group>L1_Format</group>
      <groupName>格式问题</groupName>
      <ability>L2_HalfPunc_CN</ability>
      <abilityName>全半角检查</abilityName>
      <candidateList>
        <item>－</item>
      </candidateList>
      <explain>文本全半角错误。</explain>
      <paraID>3292FDD2</paraID>
      <start>58</start>
      <end>59</end>
      <status>ignored</status>
      <modifiedWord/>
      <trackRevisions>false</trackRevisions>
    </reviewItem>
    <reviewItem>
      <errorID>3be5eb9d-beed-480a-94c7-3b6e1870b2af</errorID>
      <errorWord>-</errorWord>
      <group>L1_Format</group>
      <groupName>格式问题</groupName>
      <ability>L2_HalfPunc_CN</ability>
      <abilityName>全半角检查</abilityName>
      <candidateList>
        <item>－</item>
      </candidateList>
      <explain>文本全半角错误。</explain>
      <paraID>3292FDD2</paraID>
      <start>61</start>
      <end>62</end>
      <status>ignored</status>
      <modifiedWord/>
      <trackRevisions>false</trackRevisions>
    </reviewItem>
    <reviewItem>
      <errorID>b9ae0cc4-d396-4893-a18d-e87bdfa1317b</errorID>
      <errorWord>-</errorWord>
      <group>L1_Format</group>
      <groupName>格式问题</groupName>
      <ability>L2_HalfPunc_CN</ability>
      <abilityName>全半角检查</abilityName>
      <candidateList>
        <item>－</item>
      </candidateList>
      <explain>文本全半角错误。</explain>
      <paraID>3292FDD2</paraID>
      <start>68</start>
      <end>69</end>
      <status>ignored</status>
      <modifiedWord/>
      <trackRevisions>false</trackRevisions>
    </reviewItem>
    <reviewItem>
      <errorID>c9ae9197-95c3-43dd-b4dc-3acbd10dd87a</errorID>
      <errorWord>-</errorWord>
      <group>L1_Format</group>
      <groupName>格式问题</groupName>
      <ability>L2_HalfPunc_CN</ability>
      <abilityName>全半角检查</abilityName>
      <candidateList>
        <item>－</item>
      </candidateList>
      <explain>文本全半角错误。</explain>
      <paraID>3292FDD2</paraID>
      <start>71</start>
      <end>72</end>
      <status>ignored</status>
      <modifiedWord/>
      <trackRevisions>false</trackRevisions>
    </reviewItem>
    <reviewItem>
      <errorID>0ebca379-2002-4b0b-abc0-b447285b5508</errorID>
      <errorWord>-</errorWord>
      <group>L1_Format</group>
      <groupName>格式问题</groupName>
      <ability>L2_HalfPunc_CN</ability>
      <abilityName>全半角检查</abilityName>
      <candidateList>
        <item>－</item>
      </candidateList>
      <explain>文本全半角错误。</explain>
      <paraID>3292FDD2</paraID>
      <start>74</start>
      <end>75</end>
      <status>ignored</status>
      <modifiedWord/>
      <trackRevisions>false</trackRevisions>
    </reviewItem>
    <reviewItem>
      <errorID>056d69f7-aa92-4251-ace9-f0be7c265ce9</errorID>
      <errorWord>-</errorWord>
      <group>L1_Format</group>
      <groupName>格式问题</groupName>
      <ability>L2_HalfPunc_CN</ability>
      <abilityName>全半角检查</abilityName>
      <candidateList>
        <item>－</item>
      </candidateList>
      <explain>文本全半角错误。</explain>
      <paraID>3292FDD2</paraID>
      <start>77</start>
      <end>78</end>
      <status>ignored</status>
      <modifiedWord/>
      <trackRevisions>false</trackRevisions>
    </reviewItem>
    <reviewItem>
      <errorID>fbc9f830-0706-4f53-8190-5a7270d5e250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3292FDD2</paraID>
      <start>127</start>
      <end>128</end>
      <status>ignored</status>
      <modifiedWord/>
      <trackRevisions>false</trackRevisions>
    </reviewItem>
    <reviewItem>
      <errorID>7af59597-5d9d-4579-bb25-2a8c421f91e0</errorID>
      <errorWord>-</errorWord>
      <group>L1_Format</group>
      <groupName>格式问题</groupName>
      <ability>L2_HalfPunc_CN</ability>
      <abilityName>全半角检查</abilityName>
      <candidateList>
        <item>－</item>
      </candidateList>
      <explain>文本全半角错误。</explain>
      <paraID>2A2C86FE</paraID>
      <start>55</start>
      <end>56</end>
      <status>ignored</status>
      <modifiedWord/>
      <trackRevisions>false</trackRevisions>
    </reviewItem>
    <reviewItem>
      <errorID>021cce38-ca90-4ea5-86a9-1dacc135c2fe</errorID>
      <errorWord>-</errorWord>
      <group>L1_Format</group>
      <groupName>格式问题</groupName>
      <ability>L2_HalfPunc_CN</ability>
      <abilityName>全半角检查</abilityName>
      <candidateList>
        <item>－</item>
      </candidateList>
      <explain>文本全半角错误。</explain>
      <paraID>2A2C86FE</paraID>
      <start>58</start>
      <end>59</end>
      <status>ignored</status>
      <modifiedWord/>
      <trackRevisions>false</trackRevisions>
    </reviewItem>
    <reviewItem>
      <errorID>7cafae63-4820-425c-a8fa-00361ceea604</errorID>
      <errorWord>-</errorWord>
      <group>L1_Format</group>
      <groupName>格式问题</groupName>
      <ability>L2_HalfPunc_CN</ability>
      <abilityName>全半角检查</abilityName>
      <candidateList>
        <item>－</item>
      </candidateList>
      <explain>文本全半角错误。</explain>
      <paraID>2A2C86FE</paraID>
      <start>61</start>
      <end>62</end>
      <status>ignored</status>
      <modifiedWord/>
      <trackRevisions>false</trackRevisions>
    </reviewItem>
    <reviewItem>
      <errorID>3c221bbe-de0f-4ebd-b0c0-29320a1d5d0d</errorID>
      <errorWord>-</errorWord>
      <group>L1_Format</group>
      <groupName>格式问题</groupName>
      <ability>L2_HalfPunc_CN</ability>
      <abilityName>全半角检查</abilityName>
      <candidateList>
        <item>－</item>
      </candidateList>
      <explain>文本全半角错误。</explain>
      <paraID>2A2C86FE</paraID>
      <start>68</start>
      <end>69</end>
      <status>ignored</status>
      <modifiedWord/>
      <trackRevisions>false</trackRevisions>
    </reviewItem>
    <reviewItem>
      <errorID>dda6b1a6-d2e7-438f-8b48-33e127925642</errorID>
      <errorWord>-</errorWord>
      <group>L1_Format</group>
      <groupName>格式问题</groupName>
      <ability>L2_HalfPunc_CN</ability>
      <abilityName>全半角检查</abilityName>
      <candidateList>
        <item>－</item>
      </candidateList>
      <explain>文本全半角错误。</explain>
      <paraID>2A2C86FE</paraID>
      <start>71</start>
      <end>72</end>
      <status>ignored</status>
      <modifiedWord/>
      <trackRevisions>false</trackRevisions>
    </reviewItem>
    <reviewItem>
      <errorID>1fb0882e-e96b-4036-8711-6126462fbaf8</errorID>
      <errorWord>-</errorWord>
      <group>L1_Format</group>
      <groupName>格式问题</groupName>
      <ability>L2_HalfPunc_CN</ability>
      <abilityName>全半角检查</abilityName>
      <candidateList>
        <item>－</item>
      </candidateList>
      <explain>文本全半角错误。</explain>
      <paraID>2A2C86FE</paraID>
      <start>74</start>
      <end>75</end>
      <status>ignored</status>
      <modifiedWord/>
      <trackRevisions>false</trackRevisions>
    </reviewItem>
    <reviewItem>
      <errorID>1743b24f-5389-4a34-8a6c-6d39e1f80fb8</errorID>
      <errorWord>-</errorWord>
      <group>L1_Format</group>
      <groupName>格式问题</groupName>
      <ability>L2_HalfPunc_CN</ability>
      <abilityName>全半角检查</abilityName>
      <candidateList>
        <item>－</item>
      </candidateList>
      <explain>文本全半角错误。</explain>
      <paraID>2A2C86FE</paraID>
      <start>77</start>
      <end>78</end>
      <status>ignored</status>
      <modifiedWord/>
      <trackRevisions>false</trackRevisions>
    </reviewItem>
    <reviewItem>
      <errorID>aa0480a4-1c9d-4de8-a735-7cf036d2bfa3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2A2C86FE</paraID>
      <start>127</start>
      <end>128</end>
      <status>ignored</status>
      <modifiedWord/>
      <trackRevisions>false</trackRevisions>
    </reviewItem>
    <reviewItem>
      <errorID>04a289de-a373-42ee-aea3-7d80ac526121</errorID>
      <errorWord>与</errorWord>
      <group>L1_Word</group>
      <groupName>字词问题</groupName>
      <ability>L2_Typo</ability>
      <abilityName>字词错误</abilityName>
      <candidateList>
        <item>于</item>
      </candidateList>
      <explain>（於）yú❶〈介〉a）在：她生～1949年｜来信已～日前收到｜黄河发源～青海。b）向：问道～盲｜告慰～知己｜求救～人。c）给：嫁祸～人｜献身～科学事业。d）对；对于：忠～祖国｜有益～人民｜形势～我们有利。e）自；从：青出～蓝｜出～自愿。f）表示比较：大～｜少～｜高～｜低～。g）表示被动：见笑～大方之家。</explain>
      <paraID>39BC9503</paraID>
      <start>203</start>
      <end>204</end>
      <status>unmodified</status>
      <modifiedWord/>
      <trackRevisions>false</trackRevisions>
    </reviewItem>
    <reviewItem>
      <errorID>b68502a2-e864-4d97-b978-893d7f5932cd</errorID>
      <errorWord>与</errorWord>
      <group>L1_Word</group>
      <groupName>字词问题</groupName>
      <ability>L2_Typo</ability>
      <abilityName>字词错误</abilityName>
      <candidateList>
        <item>和</item>
      </candidateList>
      <explain>〈量〉用于洗东西换水的次数或一剂药煎的次数：衣裳已经洗了三～｜二～药。</explain>
      <paraID>39BC9503</paraID>
      <start>219</start>
      <end>220</end>
      <status>unmodified</status>
      <modifiedWord/>
      <trackRevisions>false</trackRevisions>
    </reviewItem>
    <reviewItem>
      <errorID>e0c35492-965e-4380-bf72-3306296853dc</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5D2683C6</paraID>
      <start>17</start>
      <end>20</end>
      <status>unmodified</status>
      <modifiedWord/>
      <trackRevisions>false</trackRevisions>
    </reviewItem>
    <reviewItem>
      <errorID>db862e3e-b56b-4850-82d4-a197efca6a40</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5D2683C6</paraID>
      <start>32</start>
      <end>35</end>
      <status>unmodified</status>
      <modifiedWord/>
      <trackRevisions>false</trackRevisions>
    </reviewItem>
    <reviewItem>
      <errorID>2ae900cc-83ac-4308-9e2a-e0a4fb377106</errorID>
      <errorWord>法律、法规</errorWord>
      <group>L1_Word</group>
      <groupName>字词问题</groupName>
      <ability>L2_Typo</ability>
      <abilityName>字词错误</abilityName>
      <candidateList>
        <item>法律法规</item>
      </candidateList>
      <explain/>
      <paraID>5D2683C6</paraID>
      <start>50</start>
      <end>55</end>
      <status>unmodified</status>
      <modifiedWord/>
      <trackRevisions>false</trackRevisions>
    </reviewItem>
    <reviewItem>
      <errorID>a08dad14-3463-4cee-85b4-8c6a1cc4db90</errorID>
      <errorWord>（</errorWord>
      <group>L1_Format</group>
      <groupName>格式问题</groupName>
      <ability>L2_HalfPunc_CN</ability>
      <abilityName>全半角检查</abilityName>
      <candidateList>
        <item>(</item>
      </candidateList>
      <explain>文本全半角错误。</explain>
      <paraID>230A1201</paraID>
      <start>7</start>
      <end>8</end>
      <status>unmodified</status>
      <modifiedWord/>
      <trackRevisions>false</trackRevisions>
    </reviewItem>
    <reviewItem>
      <errorID>74a5603a-b6b7-44d1-9899-0a90fc673818</errorID>
      <errorWord>）</errorWord>
      <group>L1_Format</group>
      <groupName>格式问题</groupName>
      <ability>L2_HalfPunc_CN</ability>
      <abilityName>全半角检查</abilityName>
      <candidateList>
        <item>)</item>
      </candidateList>
      <explain>文本全半角错误。</explain>
      <paraID>230A1201</paraID>
      <start>13</start>
      <end>14</end>
      <status>unmodified</status>
      <modifiedWord/>
      <trackRevisions>false</trackRevisions>
    </reviewItem>
    <reviewItem>
      <errorID>526b95e9-2906-45f7-be95-9d484139a33d</errorID>
      <errorWord>（</errorWord>
      <group>L1_Format</group>
      <groupName>格式问题</groupName>
      <ability>L2_HalfPunc_CN</ability>
      <abilityName>全半角检查</abilityName>
      <candidateList>
        <item>(</item>
      </candidateList>
      <explain>文本全半角错误。</explain>
      <paraID>2D3DE36C</paraID>
      <start>7</start>
      <end>8</end>
      <status>unmodified</status>
      <modifiedWord/>
      <trackRevisions>false</trackRevisions>
    </reviewItem>
    <reviewItem>
      <errorID>d42787c0-3501-4466-92e9-e15d20da265a</errorID>
      <errorWord>）</errorWord>
      <group>L1_Format</group>
      <groupName>格式问题</groupName>
      <ability>L2_HalfPunc_CN</ability>
      <abilityName>全半角检查</abilityName>
      <candidateList>
        <item>)</item>
      </candidateList>
      <explain>文本全半角错误。</explain>
      <paraID>2D3DE36C</paraID>
      <start>13</start>
      <end>14</end>
      <status>unmodified</status>
      <modifiedWord/>
      <trackRevisions>false</trackRevisions>
    </reviewItem>
    <reviewItem>
      <errorID>b757d725-9725-49b3-8236-4ffae8470398</errorID>
      <errorWord>（</errorWord>
      <group>L1_Format</group>
      <groupName>格式问题</groupName>
      <ability>L2_HalfPunc_CN</ability>
      <abilityName>全半角检查</abilityName>
      <candidateList>
        <item>(</item>
      </candidateList>
      <explain>文本全半角错误。</explain>
      <paraID>588BB0E5</paraID>
      <start>7</start>
      <end>8</end>
      <status>unmodified</status>
      <modifiedWord/>
      <trackRevisions>false</trackRevisions>
    </reviewItem>
    <reviewItem>
      <errorID>3548e0ec-632e-4b21-9bcf-04c41469f0f2</errorID>
      <errorWord>）</errorWord>
      <group>L1_Format</group>
      <groupName>格式问题</groupName>
      <ability>L2_HalfPunc_CN</ability>
      <abilityName>全半角检查</abilityName>
      <candidateList>
        <item>)</item>
      </candidateList>
      <explain>文本全半角错误。</explain>
      <paraID>588BB0E5</paraID>
      <start>13</start>
      <end>14</end>
      <status>unmodified</status>
      <modifiedWord/>
      <trackRevisions>false</trackRevisions>
    </reviewItem>
    <reviewItem>
      <errorID>7dde1ec9-04f1-4897-b3e7-4c7ae15e359c</errorID>
      <errorWord>对用</errorWord>
      <group>L1_Word</group>
      <groupName>字词问题</groupName>
      <ability>L2_Typo</ability>
      <abilityName>字词错误</abilityName>
      <candidateList>
        <item>对应</item>
      </candidateList>
      <explain/>
      <paraID>44AC6707</paraID>
      <start>98</start>
      <end>100</end>
      <status>unmodified</status>
      <modifiedWord/>
      <trackRevisions>false</trackRevisions>
    </reviewItem>
    <reviewItem>
      <errorID>cd3ea7d2-1bc3-49d6-bfea-fef51d36af74</errorID>
      <errorWord>粘度</errorWord>
      <group>L1_Word</group>
      <groupName>字词问题</groupName>
      <ability>L2_Alias</ability>
      <abilityName>也作/曾用词</abilityName>
      <candidateList>
        <item>黏度</item>
      </candidateList>
      <explain>词汇[粘度]为不规范表述或旧称，其规范书面表述为[黏度]。</explain>
      <paraID>2280EE2B</paraID>
      <start>32</start>
      <end>34</end>
      <status>unmodified</status>
      <modifiedWord/>
      <trackRevisions>false</trackRevisions>
    </reviewItem>
    <reviewItem>
      <errorID>7435262d-f85f-4c4d-8b18-1457b496f1b2</errorID>
      <errorWord>成份</errorWord>
      <group>L1_Word</group>
      <groupName>字词问题</groupName>
      <ability>L2_Typo</ability>
      <abilityName>字词错误</abilityName>
      <candidateList>
        <item>成分</item>
      </candidateList>
      <explain>（成份）chénɡ•fèn〈名〉❶指构成事物的各种不同的物质或因素：化学～｜营养～｜减轻了心里不安的～。❷指个人早先的主要经历或职业：工人～｜他的个人～是学生。</explain>
      <paraID>1CB204AC</paraID>
      <start>66</start>
      <end>68</end>
      <status>unmodified</status>
      <modifiedWord/>
      <trackRevisions>false</trackRevisions>
    </reviewItem>
    <reviewItem>
      <errorID>f3c186cb-0b9a-4c89-ab6f-4d6190d0b009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63CAAB3A</paraID>
      <start>4</start>
      <end>5</end>
      <status>ignored</status>
      <modifiedWord/>
      <trackRevisions>false</trackRevisions>
    </reviewItem>
    <reviewItem>
      <errorID>183a2e89-a89f-404c-9de1-10fc05475529</errorID>
      <errorWord>（</errorWord>
      <group>L1_Format</group>
      <groupName>格式问题</groupName>
      <ability>L2_HalfPunc_CN</ability>
      <abilityName>全半角检查</abilityName>
      <candidateList>
        <item>(</item>
      </candidateList>
      <explain>文本全半角错误。</explain>
      <paraID>11946B10</paraID>
      <start>1</start>
      <end>2</end>
      <status>unmodified</status>
      <modifiedWord/>
      <trackRevisions>false</trackRevisions>
    </reviewItem>
    <reviewItem>
      <errorID>1356e928-0248-4eef-933a-6f432f8fd2c6</errorID>
      <errorWord>）</errorWord>
      <group>L1_Format</group>
      <groupName>格式问题</groupName>
      <ability>L2_HalfPunc_CN</ability>
      <abilityName>全半角检查</abilityName>
      <candidateList>
        <item>)</item>
      </candidateList>
      <explain>文本全半角错误。</explain>
      <paraID>11946B10</paraID>
      <start>5</start>
      <end>6</end>
      <status>unmodified</status>
      <modifiedWord/>
      <trackRevisions>false</trackRevisions>
    </reviewItem>
    <reviewItem>
      <errorID>8d08dcc4-8765-41fb-b0db-dab074447e45</errorID>
      <errorWord>粘合</errorWord>
      <group>L1_Word</group>
      <groupName>字词问题</groupName>
      <ability>L2_Alias</ability>
      <abilityName>也作/曾用词</abilityName>
      <candidateList>
        <item>黏合</item>
      </candidateList>
      <explain>词汇[粘合]为不规范表述或旧称，其规范书面表述为[黏合]。</explain>
      <paraID>36AA6A19</paraID>
      <start>13</start>
      <end>15</end>
      <status>unmodified</status>
      <modifiedWord/>
      <trackRevisions>false</trackRevisions>
    </reviewItem>
    <reviewItem>
      <errorID>c0ce18c5-a570-450a-9390-7a7f63559583</errorID>
      <errorWord>粘合在一起</errorWord>
      <group>L1_Word</group>
      <groupName>字词问题</groupName>
      <ability>L2_Alias</ability>
      <abilityName>也作/曾用词</abilityName>
      <candidateList>
        <item>黏合在一起</item>
      </candidateList>
      <explain>词汇[粘合在一起]为不规范表述或旧称，其规范书面表述为[黏合在一起]。</explain>
      <paraID>36AA6A19</paraID>
      <start>206</start>
      <end>211</end>
      <status>unmodified</status>
      <modifiedWord/>
      <trackRevisions>false</trackRevisions>
    </reviewItem>
    <reviewItem>
      <errorID>6ad58444-1ba0-4a69-a16f-82b19177823c</errorID>
      <errorWord>粘合</errorWord>
      <group>L1_Word</group>
      <groupName>字词问题</groupName>
      <ability>L2_Alias</ability>
      <abilityName>也作/曾用词</abilityName>
      <candidateList>
        <item>黏合</item>
      </candidateList>
      <explain>词汇[粘合]为不规范表述或旧称，其规范书面表述为[黏合]。</explain>
      <paraID>2B904B76</paraID>
      <start>0</start>
      <end>2</end>
      <status>unmodified</status>
      <modifiedWord/>
      <trackRevisions>false</trackRevisions>
    </reviewItem>
    <reviewItem>
      <errorID>b9301fcf-5870-4edb-bda1-431c8b67473e</errorID>
      <errorWord>喷码</errorWord>
      <group>L1_Word</group>
      <groupName>字词问题</groupName>
      <ability>L2_Typo</ability>
      <abilityName>字词错误</abilityName>
      <candidateList>
        <item>喷洒</item>
      </candidateList>
      <explain>〈动〉喷射散落（多用于液体）：～农药。</explain>
      <paraID> DAFB048</paraID>
      <start>0</start>
      <end>2</end>
      <status>unmodified</status>
      <modifiedWord/>
      <trackRevisions>false</trackRevisions>
    </reviewItem>
    <reviewItem>
      <errorID>c8f91c6f-a593-4033-a3e5-dabe3a406b33</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7FFEDACF</paraID>
      <start>7</start>
      <end>8</end>
      <status>unmodified</status>
      <modifiedWord/>
      <trackRevisions>false</trackRevisions>
    </reviewItem>
    <reviewItem>
      <errorID>980f04c9-6165-41d9-9ad9-82cc502a152d</errorID>
      <errorWord>（</errorWord>
      <group>L1_Punc</group>
      <groupName>标点问题</groupName>
      <ability>L2_Punc_CN</ability>
      <abilityName>标点符号检查</abilityName>
      <candidateList/>
      <explain>同一形式括号套用。</explain>
      <paraID>43B24319</paraID>
      <start>104</start>
      <end>105</end>
      <status>unmodified</status>
      <modifiedWord/>
      <trackRevisions>false</trackRevisions>
    </reviewItem>
    <reviewItem>
      <errorID>765b4415-8032-4733-b25e-c81a65d6b775</errorID>
      <errorWord>）</errorWord>
      <group>L1_Punc</group>
      <groupName>标点问题</groupName>
      <ability>L2_Punc_CN</ability>
      <abilityName>标点符号检查</abilityName>
      <candidateList/>
      <explain>同一形式括号套用。</explain>
      <paraID>43B24319</paraID>
      <start>117</start>
      <end>118</end>
      <status>unmodified</status>
      <modifiedWord/>
      <trackRevisions>false</trackRevisions>
    </reviewItem>
    <reviewItem>
      <errorID>72fc97e4-bf25-4bd8-8d2d-dff7b15c8b0a</errorID>
      <errorWord>~</errorWord>
      <group>L1_Format</group>
      <groupName>格式问题</groupName>
      <ability>L2_HalfPunc_CN</ability>
      <abilityName>全半角检查</abilityName>
      <candidateList>
        <item>～</item>
      </candidateList>
      <explain>文本全半角错误。</explain>
      <paraID>43B24319</paraID>
      <start>147</start>
      <end>148</end>
      <status>unmodified</status>
      <modifiedWord/>
      <trackRevisions>false</trackRevisions>
    </reviewItem>
    <reviewItem>
      <errorID>7146ef59-0ba0-4584-9eb8-850655041165</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43B24319</paraID>
      <start>173</start>
      <end>174</end>
      <status>ignored</status>
      <modifiedWord/>
      <trackRevisions>false</trackRevisions>
    </reviewItem>
    <reviewItem>
      <errorID>069c3444-1e5f-4623-ad93-180b55bf993d</errorID>
      <errorWord>~</errorWord>
      <group>L1_Format</group>
      <groupName>格式问题</groupName>
      <ability>L2_HalfPunc_CN</ability>
      <abilityName>全半角检查</abilityName>
      <candidateList>
        <item>～</item>
      </candidateList>
      <explain>文本全半角错误。</explain>
      <paraID>43B24319</paraID>
      <start>222</start>
      <end>223</end>
      <status>unmodified</status>
      <modifiedWord/>
      <trackRevisions>false</trackRevisions>
    </reviewItem>
    <reviewItem>
      <errorID>fe7fe704-9d83-4312-82a3-a9ef02043310</errorID>
      <errorWord>~</errorWord>
      <group>L1_Format</group>
      <groupName>格式问题</groupName>
      <ability>L2_HalfPunc_CN</ability>
      <abilityName>全半角检查</abilityName>
      <candidateList>
        <item>～</item>
      </candidateList>
      <explain>文本全半角错误。</explain>
      <paraID>43B24319</paraID>
      <start>250</start>
      <end>251</end>
      <status>unmodified</status>
      <modifiedWord/>
      <trackRevisions>false</trackRevisions>
    </reviewItem>
    <reviewItem>
      <errorID>c240f9cc-a298-4280-83d7-748da363d258</errorID>
      <errorWord>（</errorWord>
      <group>L1_Punc</group>
      <groupName>标点问题</groupName>
      <ability>L2_Punc_CN</ability>
      <abilityName>标点符号检查</abilityName>
      <candidateList/>
      <explain>同一形式括号套用。</explain>
      <paraID>5EE3535E</paraID>
      <start>129</start>
      <end>130</end>
      <status>unmodified</status>
      <modifiedWord/>
      <trackRevisions>false</trackRevisions>
    </reviewItem>
    <reviewItem>
      <errorID>18af51b3-f782-4d6e-a628-6047437c60d9</errorID>
      <errorWord>）</errorWord>
      <group>L1_Punc</group>
      <groupName>标点问题</groupName>
      <ability>L2_Punc_CN</ability>
      <abilityName>标点符号检查</abilityName>
      <candidateList/>
      <explain>同一形式括号套用。</explain>
      <paraID>5EE3535E</paraID>
      <start>142</start>
      <end>143</end>
      <status>unmodified</status>
      <modifiedWord/>
      <trackRevisions>false</trackRevisions>
    </reviewItem>
    <reviewItem>
      <errorID>3595ba95-082b-404f-8b13-e4170e8bd65b</errorID>
      <errorWord>（</errorWord>
      <group>L1_Punc</group>
      <groupName>标点问题</groupName>
      <ability>L2_Punc_CN</ability>
      <abilityName>标点符号检查</abilityName>
      <candidateList/>
      <explain>同一形式括号套用。</explain>
      <paraID> DD34DD3</paraID>
      <start>54</start>
      <end>55</end>
      <status>unmodified</status>
      <modifiedWord/>
      <trackRevisions>false</trackRevisions>
    </reviewItem>
    <reviewItem>
      <errorID>8dc49573-8c75-4907-ae18-f143498d1e1e</errorID>
      <errorWord>）</errorWord>
      <group>L1_Punc</group>
      <groupName>标点问题</groupName>
      <ability>L2_Punc_CN</ability>
      <abilityName>标点符号检查</abilityName>
      <candidateList/>
      <explain>同一形式括号套用。</explain>
      <paraID> DD34DD3</paraID>
      <start>67</start>
      <end>68</end>
      <status>unmodified</status>
      <modifiedWord/>
      <trackRevisions>false</trackRevisions>
    </reviewItem>
    <reviewItem>
      <errorID>580f54d7-3bb9-49d3-930d-f86a239e36be</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5640EC13</paraID>
      <start>49</start>
      <end>50</end>
      <status>ignored</status>
      <modifiedWord/>
      <trackRevisions>false</trackRevisions>
    </reviewItem>
    <reviewItem>
      <errorID>770eaf8f-068a-46d9-9a41-1d57b90d3448</errorID>
      <errorWord>5）、</errorWord>
      <group>L1_Punc</group>
      <groupName>标点问题</groupName>
      <ability>L2_Punc_CN</ability>
      <abilityName>标点符号检查</abilityName>
      <candidateList>
        <item>5）</item>
      </candidateList>
      <explain>根据国标GB/T 15834-2011《标点符号用法》中的4.5.3.3节，带括号的汉字数字或阿拉伯数字表次序时，后面通常不加顿号。如“（一）指导思想”“（二）行动指南”。</explain>
      <paraID>406FF95E</paraID>
      <start>27</start>
      <end>30</end>
      <status>unmodified</status>
      <modifiedWord/>
      <trackRevisions>false</trackRevisions>
    </reviewItem>
    <reviewItem>
      <errorID>8233130f-01e3-46e8-bbfc-640ef812868c</errorID>
      <errorWord>-</errorWord>
      <group>L1_Format</group>
      <groupName>格式问题</groupName>
      <ability>L2_HalfPunc_CN</ability>
      <abilityName>全半角检查</abilityName>
      <candidateList>
        <item>－</item>
      </candidateList>
      <explain>文本全半角错误。</explain>
      <paraID>23A13097</paraID>
      <start>155</start>
      <end>156</end>
      <status>ignored</status>
      <modifiedWord/>
      <trackRevisions>false</trackRevisions>
    </reviewItem>
    <reviewItem>
      <errorID>e0671349-c3c0-4138-bb79-d4b0bfeb7617</errorID>
      <errorWord>周</errorWord>
      <group>L1_Word</group>
      <groupName>字词问题</groupName>
      <ability>L2_Typo</ability>
      <abilityName>字词错误</abilityName>
      <candidateList>
        <item>月</item>
      </candidateList>
      <explain/>
      <paraID>35DD5DC7</paraID>
      <start>6</start>
      <end>7</end>
      <status>unmodified</status>
      <modifiedWord/>
      <trackRevisions>false</trackRevisions>
    </reviewItem>
    <reviewItem>
      <errorID>cfe228d5-490f-481c-afa3-745130036fa7</errorID>
      <errorWord>周</errorWord>
      <group>L1_Word</group>
      <groupName>字词问题</groupName>
      <ability>L2_Typo</ability>
      <abilityName>字词错误</abilityName>
      <candidateList>
        <item>月</item>
      </candidateList>
      <explain/>
      <paraID>2AFAC892</paraID>
      <start>6</start>
      <end>7</end>
      <status>unmodified</status>
      <modifiedWord/>
      <trackRevisions>false</trackRevisions>
    </reviewItem>
    <reviewItem>
      <errorID>5ce1fdb1-849a-475d-85bd-45664ff025e2</errorID>
      <errorWord>周</errorWord>
      <group>L1_Word</group>
      <groupName>字词问题</groupName>
      <ability>L2_Typo</ability>
      <abilityName>字词错误</abilityName>
      <candidateList>
        <item>月</item>
      </candidateList>
      <explain/>
      <paraID>41CF3241</paraID>
      <start>6</start>
      <end>7</end>
      <status>unmodified</status>
      <modifiedWord/>
      <trackRevisions>false</trackRevisions>
    </reviewItem>
    <reviewItem>
      <errorID>6f37cd90-0836-46c7-93f8-79b5916b1390</errorID>
      <errorWord>周</errorWord>
      <group>L1_Word</group>
      <groupName>字词问题</groupName>
      <ability>L2_Typo</ability>
      <abilityName>字词错误</abilityName>
      <candidateList>
        <item>月</item>
      </candidateList>
      <explain/>
      <paraID>5436EB55</paraID>
      <start>6</start>
      <end>7</end>
      <status>unmodified</status>
      <modifiedWord/>
      <trackRevisions>false</trackRevisions>
    </reviewItem>
    <reviewItem>
      <errorID>bd177fb8-0e81-4c31-b25c-f36a7846b420</errorID>
      <errorWord>周</errorWord>
      <group>L1_Word</group>
      <groupName>字词问题</groupName>
      <ability>L2_Typo</ability>
      <abilityName>字词错误</abilityName>
      <candidateList>
        <item>月</item>
      </candidateList>
      <explain/>
      <paraID>2A65178D</paraID>
      <start>6</start>
      <end>7</end>
      <status>unmodified</status>
      <modifiedWord/>
      <trackRevisions>false</trackRevisions>
    </reviewItem>
    <reviewItem>
      <errorID>550905c6-9f7f-4ca6-a325-e7474315d19e</errorID>
      <errorWord>周</errorWord>
      <group>L1_Word</group>
      <groupName>字词问题</groupName>
      <ability>L2_Typo</ability>
      <abilityName>字词错误</abilityName>
      <candidateList>
        <item>月</item>
      </candidateList>
      <explain/>
      <paraID>4C07F3D0</paraID>
      <start>6</start>
      <end>7</end>
      <status>unmodified</status>
      <modifiedWord/>
      <trackRevisions>false</trackRevisions>
    </reviewItem>
    <reviewItem>
      <errorID>d2259d18-ede8-47cf-a98a-d6724b2ad1bb</errorID>
      <errorWord>周</errorWord>
      <group>L1_Word</group>
      <groupName>字词问题</groupName>
      <ability>L2_Typo</ability>
      <abilityName>字词错误</abilityName>
      <candidateList>
        <item>月</item>
      </candidateList>
      <explain/>
      <paraID>42CFB353</paraID>
      <start>7</start>
      <end>8</end>
      <status>unmodified</status>
      <modifiedWord/>
      <trackRevisions>false</trackRevisions>
    </reviewItem>
    <reviewItem>
      <errorID>1fb93d7b-82e7-4c98-b986-3283cfc57c8a</errorID>
      <errorWord>)</errorWord>
      <group>L1_Format</group>
      <groupName>格式问题</groupName>
      <ability>L2_HalfPunc_CN</ability>
      <abilityName>全半角检查</abilityName>
      <candidateList>
        <item>）</item>
      </candidateList>
      <explain>文本全半角错误。</explain>
      <paraID>4F49DD7E</paraID>
      <start>70</start>
      <end>71</end>
      <status>ignored</status>
      <modifiedWord/>
      <trackRevisions>false</trackRevisions>
    </reviewItem>
    <reviewItem>
      <errorID>28ed0de1-257f-4ada-9a0e-8948e70ac350</errorID>
      <errorWord>)</errorWord>
      <group>L1_Format</group>
      <groupName>格式问题</groupName>
      <ability>L2_HalfPunc_CN</ability>
      <abilityName>全半角检查</abilityName>
      <candidateList>
        <item>）</item>
      </candidateList>
      <explain>文本全半角错误。</explain>
      <paraID>4F49DD7E</paraID>
      <start>81</start>
      <end>82</end>
      <status>ignored</status>
      <modifiedWord/>
      <trackRevisions>false</trackRevisions>
    </reviewItem>
    <reviewItem>
      <errorID>41d6e040-577d-49db-9282-234d052f36d5</errorID>
      <errorWord>（</errorWord>
      <group>L1_Format</group>
      <groupName>格式问题</groupName>
      <ability>L2_HalfPunc_CN</ability>
      <abilityName>全半角检查</abilityName>
      <candidateList>
        <item>(</item>
      </candidateList>
      <explain>文本全半角错误。</explain>
      <paraID>54B83EEA</paraID>
      <start>0</start>
      <end>1</end>
      <status>unmodified</status>
      <modifiedWord/>
      <trackRevisions>false</trackRevisions>
    </reviewItem>
    <reviewItem>
      <errorID>be3c0343-89cf-47a2-b953-f5615b7cf26b</errorID>
      <errorWord>）</errorWord>
      <group>L1_Format</group>
      <groupName>格式问题</groupName>
      <ability>L2_HalfPunc_CN</ability>
      <abilityName>全半角检查</abilityName>
      <candidateList>
        <item>)</item>
      </candidateList>
      <explain>文本全半角错误。</explain>
      <paraID>54B83EEA</paraID>
      <start>12</start>
      <end>13</end>
      <status>unmodified</status>
      <modifiedWord/>
      <trackRevisions>false</trackRevisions>
    </reviewItem>
    <reviewItem>
      <errorID>6ce6df0a-1e8e-4750-b485-7434e040cbbf</errorID>
      <errorWord>（</errorWord>
      <group>L1_Format</group>
      <groupName>格式问题</groupName>
      <ability>L2_HalfPunc_CN</ability>
      <abilityName>全半角检查</abilityName>
      <candidateList>
        <item>(</item>
      </candidateList>
      <explain>文本全半角错误。</explain>
      <paraID>30F74B6B</paraID>
      <start>0</start>
      <end>1</end>
      <status>unmodified</status>
      <modifiedWord/>
      <trackRevisions>false</trackRevisions>
    </reviewItem>
    <reviewItem>
      <errorID>6afd6c29-c3b4-49ac-af9b-61f21d9f9355</errorID>
      <errorWord>）</errorWord>
      <group>L1_Format</group>
      <groupName>格式问题</groupName>
      <ability>L2_HalfPunc_CN</ability>
      <abilityName>全半角检查</abilityName>
      <candidateList>
        <item>)</item>
      </candidateList>
      <explain>文本全半角错误。</explain>
      <paraID>30F74B6B</paraID>
      <start>12</start>
      <end>13</end>
      <status>unmodified</status>
      <modifiedWord/>
      <trackRevisions>false</trackRevisions>
    </reviewItem>
    <reviewItem>
      <errorID>05915c65-54ad-4b6c-a1b2-2b201727ed77</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2AC08E6B</paraID>
      <start>71</start>
      <end>74</end>
      <status>unmodified</status>
      <modifiedWord/>
      <trackRevisions>false</trackRevisions>
    </reviewItem>
    <reviewItem>
      <errorID>a416edf7-d661-42ef-8daf-5b7a9bc9fc65</errorID>
      <errorWord>)</errorWord>
      <group>L1_Format</group>
      <groupName>格式问题</groupName>
      <ability>L2_HalfPunc_CN</ability>
      <abilityName>全半角检查</abilityName>
      <candidateList>
        <item>）</item>
      </candidateList>
      <explain>文本全半角错误。</explain>
      <paraID>22070F75</paraID>
      <start>61</start>
      <end>62</end>
      <status>ignored</status>
      <modifiedWord/>
      <trackRevisions>false</trackRevisions>
    </reviewItem>
    <reviewItem>
      <errorID>fc345ff4-d0c5-47f4-b658-07db9d760648</errorID>
      <errorWord>)</errorWord>
      <group>L1_Format</group>
      <groupName>格式问题</groupName>
      <ability>L2_HalfPunc_CN</ability>
      <abilityName>全半角检查</abilityName>
      <candidateList>
        <item>）</item>
      </candidateList>
      <explain>文本全半角错误。</explain>
      <paraID>22070F75</paraID>
      <start>72</start>
      <end>73</end>
      <status>ignored</status>
      <modifiedWord/>
      <trackRevisions>false</trackRevisions>
    </reviewItem>
    <reviewItem>
      <errorID>b000bf5b-955b-41b5-bac7-aa9a21f6aadb</errorID>
      <errorWord>（</errorWord>
      <group>L1_Punc</group>
      <groupName>标点问题</groupName>
      <ability>L2_Punc_CN</ability>
      <abilityName>标点符号检查</abilityName>
      <candidateList/>
      <explain>同一形式括号套用。</explain>
      <paraID>5134EEE0</paraID>
      <start>199</start>
      <end>200</end>
      <status>unmodified</status>
      <modifiedWord/>
      <trackRevisions>false</trackRevisions>
    </reviewItem>
    <reviewItem>
      <errorID>099d2105-8bc3-47e4-8d2f-3af1e9394193</errorID>
      <errorWord>）</errorWord>
      <group>L1_Punc</group>
      <groupName>标点问题</groupName>
      <ability>L2_Punc_CN</ability>
      <abilityName>标点符号检查</abilityName>
      <candidateList/>
      <explain>同一形式括号套用。</explain>
      <paraID>5134EEE0</paraID>
      <start>212</start>
      <end>213</end>
      <status>unmodified</status>
      <modifiedWord/>
      <trackRevisions>false</trackRevisions>
    </reviewItem>
    <reviewItem>
      <errorID>afadeab7-4593-4f36-91be-1c6b54825867</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47512EDD</paraID>
      <start>22</start>
      <end>23</end>
      <status>ignored</status>
      <modifiedWord/>
      <trackRevisions>false</trackRevisions>
    </reviewItem>
    <reviewItem>
      <errorID>53e7beb9-c3b6-441b-a191-785fe094629f</errorID>
      <errorWord>-</errorWord>
      <group>L1_Format</group>
      <groupName>格式问题</groupName>
      <ability>L2_HalfPunc_CN</ability>
      <abilityName>全半角检查</abilityName>
      <candidateList>
        <item>－</item>
      </candidateList>
      <explain>文本全半角错误。</explain>
      <paraID>113AF146</paraID>
      <start>234</start>
      <end>235</end>
      <status>ignored</status>
      <modifiedWord/>
      <trackRevisions>false</trackRevisions>
    </reviewItem>
    <reviewItem>
      <errorID>28b8edec-041b-4f38-950c-3cc0da8b4883</errorID>
      <errorWord>5千</errorWord>
      <group>L1_Knowledge</group>
      <groupName>知识性问题</groupName>
      <ability>L2_Knowledge</ability>
      <abilityName>其他知识</abilityName>
      <candidateList>
        <item>5000</item>
      </candidateList>
      <explain>根据GB/T 15835-2011规定，只有“万”、“亿可以与阿拉伯数字混用，例如：“4万”、“4亿”、“4万亿”等。其他情况应统一使用阿拉伯数字。</explain>
      <paraID>113AF146</paraID>
      <start>373</start>
      <end>375</end>
      <status>unmodified</status>
      <modifiedWord/>
      <trackRevisions>false</trackRevisions>
    </reviewItem>
    <reviewItem>
      <errorID>a258e9ae-ed84-4fef-9945-30d6a576b31d</errorID>
      <errorWord>92.8-95.2%</errorWord>
      <group>L1_Knowledge</group>
      <groupName>知识性问题</groupName>
      <ability>L2_Knowledge</ability>
      <abilityName>其他知识</abilityName>
      <candidateList>
        <item>92.8%—95.2%</item>
      </candidateList>
      <explain>1. “92.8-95.2%”中的单位“%”仅出现在后一个数字上，容易引起歧义；根据《现代汉语标点符号数字用法规范手册》，数字表示范围两边需要使用统一的格式。2. 根据标点国标 4.13 中的规则，数字、时间或地域连接符应使用（视觉上更长的）“—”或“～”。</explain>
      <paraID>113AF146</paraID>
      <start>460</start>
      <end>470</end>
      <status>unmodified</status>
      <modifiedWord/>
      <trackRevisions>false</trackRevisions>
    </reviewItem>
    <reviewItem>
      <errorID>7e3f4731-3916-465a-aa53-3d8a38dd9f89</errorID>
      <errorWord>粘合在一起</errorWord>
      <group>L1_Word</group>
      <groupName>字词问题</groupName>
      <ability>L2_Alias</ability>
      <abilityName>也作/曾用词</abilityName>
      <candidateList>
        <item>黏合在一起</item>
      </candidateList>
      <explain>词汇[粘合在一起]为不规范表述或旧称，其规范书面表述为[黏合在一起]。</explain>
      <paraID>142C0CE1</paraID>
      <start>178</start>
      <end>183</end>
      <status>unmodified</status>
      <modifiedWord/>
      <trackRevisions>false</trackRevisions>
    </reviewItem>
    <reviewItem>
      <errorID>1c21731a-88b1-4967-bbd2-fac1edcbd6e8</errorID>
      <errorWord>胶粘剂</errorWord>
      <group>L1_Word</group>
      <groupName>字词问题</groupName>
      <ability>L2_Typo</ability>
      <abilityName>字词错误</abilityName>
      <candidateList>
        <item>胶黏剂</item>
      </candidateList>
      <explain/>
      <paraID>2983D6E3</paraID>
      <start>175</start>
      <end>178</end>
      <status>unmodified</status>
      <modifiedWord/>
      <trackRevisions>false</trackRevisions>
    </reviewItem>
    <reviewItem>
      <errorID>efbe9f58-3498-4554-9249-4445949b2fcb</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B50924A</paraID>
      <start>44</start>
      <end>45</end>
      <status>ignored</status>
      <modifiedWord/>
      <trackRevisions>false</trackRevisions>
    </reviewItem>
    <reviewItem>
      <errorID>b033e770-9c7f-491e-9a19-e1d926abc2f0</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79A6BCD6</paraID>
      <start>0</start>
      <end>1</end>
      <status>unmodified</status>
      <modifiedWord/>
      <trackRevisions>false</trackRevisions>
    </reviewItem>
    <reviewItem>
      <errorID>56bdc592-9ecb-4590-9f83-f773f329618d</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79A6BCD6</paraID>
      <start>14</start>
      <end>15</end>
      <status>unmodified</status>
      <modifiedWord/>
      <trackRevisions>false</trackRevisions>
    </reviewItem>
    <reviewItem>
      <errorID>79ca5219-9740-41ca-a05d-92576778bc38</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64474ACB</paraID>
      <start>19</start>
      <end>22</end>
      <status>unmodified</status>
      <modifiedWord/>
      <trackRevisions>false</trackRevisions>
    </reviewItem>
    <reviewItem>
      <errorID>2a930482-d2b3-48df-82b9-1b85801f809e</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47CBE8BE</paraID>
      <start>19</start>
      <end>22</end>
      <status>unmodified</status>
      <modifiedWord/>
      <trackRevisions>false</trackRevisions>
    </reviewItem>
    <reviewItem>
      <errorID>f842876d-f39b-4445-be53-a88a96f80b36</errorID>
      <errorWord>（</errorWord>
      <group>L1_Format</group>
      <groupName>格式问题</groupName>
      <ability>L2_HalfPunc_CN</ability>
      <abilityName>全半角检查</abilityName>
      <candidateList>
        <item>(</item>
      </candidateList>
      <explain>文本全半角错误。</explain>
      <paraID>6A23B263</paraID>
      <start>1</start>
      <end>2</end>
      <status>unmodified</status>
      <modifiedWord/>
      <trackRevisions>false</trackRevisions>
    </reviewItem>
    <reviewItem>
      <errorID>f1fa7191-7248-446d-a706-93ed6ec9e79a</errorID>
      <errorWord>）</errorWord>
      <group>L1_Format</group>
      <groupName>格式问题</groupName>
      <ability>L2_HalfPunc_CN</ability>
      <abilityName>全半角检查</abilityName>
      <candidateList>
        <item>)</item>
      </candidateList>
      <explain>文本全半角错误。</explain>
      <paraID>6A23B263</paraID>
      <start>5</start>
      <end>6</end>
      <status>unmodified</status>
      <modifiedWord/>
      <trackRevisions>false</trackRevisions>
    </reviewItem>
    <reviewItem>
      <errorID>71cfc041-13bb-4e78-a4a4-71441dbdad8f</errorID>
      <errorWord>&lt;</errorWord>
      <group>L1_Format</group>
      <groupName>格式问题</groupName>
      <ability>L2_HalfPunc_CN</ability>
      <abilityName>全半角检查</abilityName>
      <candidateList>
        <item>〈</item>
      </candidateList>
      <explain>文本全半角错误。</explain>
      <paraID>3D06FEE8</paraID>
      <start>332</start>
      <end>333</end>
      <status>unmodified</status>
      <modifiedWord/>
      <trackRevisions>false</trackRevisions>
    </reviewItem>
    <reviewItem>
      <errorID>55d83814-121e-400a-87bd-fdbc2ec6ab2a</errorID>
      <errorWord>&gt;</errorWord>
      <group>L1_Format</group>
      <groupName>格式问题</groupName>
      <ability>L2_HalfPunc_CN</ability>
      <abilityName>全半角检查</abilityName>
      <candidateList>
        <item>〉</item>
      </candidateList>
      <explain>文本全半角错误。</explain>
      <paraID>3D06FEE8</paraID>
      <start>345</start>
      <end>346</end>
      <status>unmodified</status>
      <modifiedWord/>
      <trackRevisions>false</trackRevisions>
    </reviewItem>
    <reviewItem>
      <errorID>bd8ca24b-5cc3-4207-8d86-737056180bb3</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187305F2</paraID>
      <start>8</start>
      <end>9</end>
      <status>unmodified</status>
      <modifiedWord/>
      <trackRevisions>false</trackRevisions>
    </reviewItem>
    <reviewItem>
      <errorID>27ce863e-5685-41ec-be32-f6b94155378e</errorID>
      <errorWord>污水厂</errorWord>
      <group>L1_Word</group>
      <groupName>字词问题</groupName>
      <ability>L2_Typo</ability>
      <abilityName>字词错误</abilityName>
      <candidateList>
        <item>污水处理厂</item>
      </candidateList>
      <explain/>
      <paraID>3FA3DE1D</paraID>
      <start>0</start>
      <end>3</end>
      <status>unmodified</status>
      <modifiedWord/>
      <trackRevisions>false</trackRevisions>
    </reviewItem>
    <reviewItem>
      <errorID>e99f9e3d-5e75-4218-a121-179f0d5b3927</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2E7A8E59</paraID>
      <start>8</start>
      <end>9</end>
      <status>unmodified</status>
      <modifiedWord/>
      <trackRevisions>false</trackRevisions>
    </reviewItem>
    <reviewItem>
      <errorID>7096535c-e841-455e-932b-71c91dba3fb2</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77D035AB</paraID>
      <start>514</start>
      <end>515</end>
      <status>unmodified</status>
      <modifiedWord/>
      <trackRevisions>false</trackRevisions>
    </reviewItem>
    <reviewItem>
      <errorID>028fc1b7-9f09-4a23-b5d6-c1d631d8ae88</errorID>
      <errorWord>)</errorWord>
      <group>L1_Format</group>
      <groupName>格式问题</groupName>
      <ability>L2_HalfPunc_CN</ability>
      <abilityName>全半角检查</abilityName>
      <candidateList>
        <item>）</item>
      </candidateList>
      <explain>文本全半角错误。</explain>
      <paraID>5BCE98D9</paraID>
      <start>63</start>
      <end>64</end>
      <status>ignored</status>
      <modifiedWord/>
      <trackRevisions>false</trackRevisions>
    </reviewItem>
    <reviewItem>
      <errorID>8ab0e04b-232e-4432-80d1-2832607340ab</errorID>
      <errorWord>；</errorWord>
      <group>L1_Format</group>
      <groupName>格式问题</groupName>
      <ability>L2_HalfPunc_CN</ability>
      <abilityName>全半角检查</abilityName>
      <candidateList>
        <item>;</item>
      </candidateList>
      <explain>文本全半角错误。</explain>
      <paraID>720390D4</paraID>
      <start>17</start>
      <end>18</end>
      <status>unmodified</status>
      <modifiedWord/>
      <trackRevisions>false</trackRevisions>
    </reviewItem>
    <reviewItem>
      <errorID>12ca5c01-3cd2-4480-ae99-0f696386e201</errorID>
      <errorWord>)</errorWord>
      <group>L1_Format</group>
      <groupName>格式问题</groupName>
      <ability>L2_HalfPunc_CN</ability>
      <abilityName>全半角检查</abilityName>
      <candidateList>
        <item>）</item>
      </candidateList>
      <explain>文本全半角错误。</explain>
      <paraID>35FBE964</paraID>
      <start>74</start>
      <end>75</end>
      <status>ignored</status>
      <modifiedWord/>
      <trackRevisions>false</trackRevisions>
    </reviewItem>
    <reviewItem>
      <errorID>0ffa32e8-f981-457e-8037-6b32506d6ee0</errorID>
      <errorWord>)</errorWord>
      <group>L1_Format</group>
      <groupName>格式问题</groupName>
      <ability>L2_HalfPunc_CN</ability>
      <abilityName>全半角检查</abilityName>
      <candidateList>
        <item>）</item>
      </candidateList>
      <explain>文本全半角错误。</explain>
      <paraID>35FBE964</paraID>
      <start>85</start>
      <end>86</end>
      <status>ignored</status>
      <modifiedWord/>
      <trackRevisions>false</trackRevisions>
    </reviewItem>
    <reviewItem>
      <errorID>488a1bdd-0191-4eb2-8801-82a5539fb43f</errorID>
      <errorWord>&gt;</errorWord>
      <group>L1_Format</group>
      <groupName>格式问题</groupName>
      <ability>L2_HalfPunc_CN</ability>
      <abilityName>全半角检查</abilityName>
      <candidateList>
        <item>〉</item>
      </candidateList>
      <explain>文本全半角错误。</explain>
      <paraID>66030928</paraID>
      <start>44</start>
      <end>45</end>
      <status>unmodified</status>
      <modifiedWord/>
      <trackRevisions>false</trackRevisions>
    </reviewItem>
    <reviewItem>
      <errorID>6de133cd-d06a-4dfe-b254-fdf8e96ae770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3758243F</paraID>
      <start>146</start>
      <end>147</end>
      <status>ignored</status>
      <modifiedWord/>
      <trackRevisions>false</trackRevisions>
    </reviewItem>
    <reviewItem>
      <errorID>ff94943d-710b-4d0f-829d-ab4c3e7813ae</errorID>
      <errorWord>，</errorWord>
      <group>L1_Format</group>
      <groupName>格式问题</groupName>
      <ability>L2_HalfPunc_CN</ability>
      <abilityName>全半角检查</abilityName>
      <candidateList>
        <item>, </item>
      </candidateList>
      <explain>文本全半角错误。</explain>
      <paraID>3286B744</paraID>
      <start>1</start>
      <end>2</end>
      <status>unmodified</status>
      <modifiedWord/>
      <trackRevisions>false</trackRevisions>
    </reviewItem>
    <reviewItem>
      <errorID>1955d192-b559-4d53-8288-ea8cc140c02d</errorID>
      <errorWord>接受</errorWord>
      <group>L1_Word</group>
      <groupName>字词问题</groupName>
      <ability>L2_Typo</ability>
      <abilityName>字词错误</abilityName>
      <candidateList>
        <item>接收</item>
      </candidateList>
      <explain>存在发音相同字词的误用。</explain>
      <paraID>44C8DB44</paraID>
      <start>8</start>
      <end>10</end>
      <status>unmodified</status>
      <modifiedWord/>
      <trackRevisions>false</trackRevisions>
    </reviewItem>
    <reviewItem>
      <errorID>752f1b2f-aeaa-4d64-8313-233252d769c3</errorID>
      <errorWord>管理办法》中</errorWord>
      <group>L1_Word</group>
      <groupName>字词问题</groupName>
      <ability>L2_Typo</ability>
      <abilityName>字词错误</abilityName>
      <candidateList>
        <item>管理办法》</item>
      </candidateList>
      <explain/>
      <paraID>1D7F1525</paraID>
      <start>88</start>
      <end>94</end>
      <status>unmodified</status>
      <modifiedWord/>
      <trackRevisions>false</trackRevisions>
    </reviewItem>
    <reviewItem>
      <errorID>edf03c0d-6b70-473a-8ab4-c44dc08bb936</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543D72CC</paraID>
      <start>21</start>
      <end>24</end>
      <status>unmodified</status>
      <modifiedWord/>
      <trackRevisions>false</trackRevisions>
    </reviewItem>
    <reviewItem>
      <errorID>c6833904-055e-4b23-b85f-75e7a6236ddb</errorID>
      <errorWord>聚乙烯丝</errorWord>
      <group>L1_Knowledge</group>
      <groupName>知识性问题</groupName>
      <ability>L2_Term</ability>
      <abilityName>专业术语</abilityName>
      <candidateList>
        <item>聚乙烯蜡</item>
      </candidateList>
      <explain/>
      <paraID> 244337A</paraID>
      <start>24</start>
      <end>28</end>
      <status>unmodified</status>
      <modifiedWord/>
      <trackRevisions>false</trackRevisions>
    </reviewItem>
    <reviewItem>
      <errorID>b87b4acc-197a-493c-8102-576529ead4a9</errorID>
      <errorWord>即使发现</errorWord>
      <group>L1_Word</group>
      <groupName>字词问题</groupName>
      <ability>L2_Typo</ability>
      <abilityName>字词错误</abilityName>
      <candidateList>
        <item>及时发现</item>
      </candidateList>
      <explain/>
      <paraID> 244337A</paraID>
      <start>194</start>
      <end>198</end>
      <status>unmodified</status>
      <modifiedWord/>
      <trackRevisions>false</trackRevisions>
    </reviewItem>
    <reviewItem>
      <errorID>5ac960d4-10ba-4a83-b797-dc9a9174afe5</errorID>
      <errorWord>以防</errorWord>
      <group>L1_Word</group>
      <groupName>字词问题</groupName>
      <ability>L2_Typo</ability>
      <abilityName>字词错误</abilityName>
      <candidateList>
        <item>预防</item>
      </candidateList>
      <explain/>
      <paraID> 244337A</paraID>
      <start>212</start>
      <end>214</end>
      <status>unmodified</status>
      <modifiedWord/>
      <trackRevisions>false</trackRevisions>
    </reviewItem>
    <reviewItem>
      <errorID>93c11bc0-72e7-44da-b8c4-e2a67e140caf</errorID>
      <errorWord>(</errorWord>
      <group>L1_Format</group>
      <groupName>格式问题</groupName>
      <ability>L2_HalfPunc_CN</ability>
      <abilityName>全半角检查</abilityName>
      <candidateList>
        <item>（</item>
      </candidateList>
      <explain>文本全半角错误。</explain>
      <paraID>3CDFCE24</paraID>
      <start>250</start>
      <end>251</end>
      <status>ignored</status>
      <modifiedWord/>
      <trackRevisions>false</trackRevisions>
    </reviewItem>
    <reviewItem>
      <errorID>a8faffff-4fbe-4aaa-82eb-2a93afccf772</errorID>
      <errorWord>)</errorWord>
      <group>L1_Format</group>
      <groupName>格式问题</groupName>
      <ability>L2_HalfPunc_CN</ability>
      <abilityName>全半角检查</abilityName>
      <candidateList>
        <item>）</item>
      </candidateList>
      <explain>文本全半角错误。</explain>
      <paraID>3CDFCE24</paraID>
      <start>262</start>
      <end>263</end>
      <status>ignored</status>
      <modifiedWord/>
      <trackRevisions>false</trackRevisions>
    </reviewItem>
    <reviewItem>
      <errorID>3077641c-d74d-4e39-9e5b-6f7b04be1173</errorID>
      <errorWord>(</errorWord>
      <group>L1_Format</group>
      <groupName>格式问题</groupName>
      <ability>L2_HalfPunc_CN</ability>
      <abilityName>全半角检查</abilityName>
      <candidateList>
        <item>（</item>
      </candidateList>
      <explain>文本全半角错误。</explain>
      <paraID>3CDFCE24</paraID>
      <start>269</start>
      <end>270</end>
      <status>ignored</status>
      <modifiedWord/>
      <trackRevisions>false</trackRevisions>
    </reviewItem>
    <reviewItem>
      <errorID>115b0e5e-8648-48de-9665-8cf8ed5aaac3</errorID>
      <errorWord>)</errorWord>
      <group>L1_Format</group>
      <groupName>格式问题</groupName>
      <ability>L2_HalfPunc_CN</ability>
      <abilityName>全半角检查</abilityName>
      <candidateList>
        <item>）</item>
      </candidateList>
      <explain>文本全半角错误。</explain>
      <paraID>3CDFCE24</paraID>
      <start>281</start>
      <end>282</end>
      <status>ignored</status>
      <modifiedWord/>
      <trackRevisions>false</trackRevisions>
    </reviewItem>
    <reviewItem>
      <errorID>e84c1fb7-2219-4048-b03c-0d1180364045</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3CDFCE24</paraID>
      <start>314</start>
      <end>317</end>
      <status>unmodified</status>
      <modifiedWord/>
      <trackRevisions>false</trackRevisions>
    </reviewItem>
    <reviewItem>
      <errorID>940b16af-dd20-491d-bacb-d7287951f8b0</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3CDFCE24</paraID>
      <start>321</start>
      <end>324</end>
      <status>unmodified</status>
      <modifiedWord/>
      <trackRevisions>false</trackRevisions>
    </reviewItem>
    <reviewItem>
      <errorID>f5fea252-1b30-446b-a663-832a2c819297</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3CDFCE24</paraID>
      <start>357</start>
      <end>360</end>
      <status>unmodified</status>
      <modifiedWord/>
      <trackRevisions>false</trackRevisions>
    </reviewItem>
    <reviewItem>
      <errorID>0ee51db6-b0f7-43ed-9735-8589810d3e18</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3CDFCE24</paraID>
      <start>387</start>
      <end>390</end>
      <status>unmodified</status>
      <modifiedWord/>
      <trackRevisions>false</trackRevisions>
    </reviewItem>
    <reviewItem>
      <errorID>0d718898-b833-4bc7-bc7d-40f897c457b1</errorID>
      <errorWord>和对</errorWord>
      <group>L1_Word</group>
      <groupName>字词问题</groupName>
      <ability>L2_Typo</ability>
      <abilityName>字词错误</abilityName>
      <candidateList>
        <item>和</item>
      </candidateList>
      <explain>〈量〉用于洗东西换水的次数或一剂药煎的次数：衣裳已经洗了三～｜二～药。</explain>
      <paraID>3CDFCE24</paraID>
      <start>400</start>
      <end>402</end>
      <status>unmodified</status>
      <modifiedWord/>
      <trackRevisions>false</trackRevisions>
    </reviewItem>
    <reviewItem>
      <errorID>44eddbd4-0763-4a4b-b21b-f1f8848cdb8a</errorID>
      <errorWord>，如</errorWord>
      <group>L1_Word</group>
      <groupName>字词问题</groupName>
      <ability>L2_Typo</ability>
      <abilityName>字词错误</abilityName>
      <candidateList>
        <item>，</item>
      </candidateList>
      <explain/>
      <paraID>5321A8F4</paraID>
      <start>17</start>
      <end>19</end>
      <status>unmodified</status>
      <modifiedWord/>
      <trackRevisions>false</trackRevisions>
    </reviewItem>
    <reviewItem>
      <errorID>a4d221c4-bf86-4a97-9631-7a406986ef0b</errorID>
      <errorWord>(</errorWord>
      <group>L1_Format</group>
      <groupName>格式问题</groupName>
      <ability>L2_HalfPunc_CN</ability>
      <abilityName>全半角检查</abilityName>
      <candidateList>
        <item>（</item>
      </candidateList>
      <explain>文本全半角错误。</explain>
      <paraID>416A5E4A</paraID>
      <start>3</start>
      <end>4</end>
      <status>ignored</status>
      <modifiedWord/>
      <trackRevisions>false</trackRevisions>
    </reviewItem>
    <reviewItem>
      <errorID>1a305d50-8408-479e-bd5f-1211490bf190</errorID>
      <errorWord>)</errorWord>
      <group>L1_Format</group>
      <groupName>格式问题</groupName>
      <ability>L2_HalfPunc_CN</ability>
      <abilityName>全半角检查</abilityName>
      <candidateList>
        <item>）</item>
      </candidateList>
      <explain>文本全半角错误。</explain>
      <paraID>416A5E4A</paraID>
      <start>9</start>
      <end>10</end>
      <status>ignored</status>
      <modifiedWord/>
      <trackRevisions>false</trackRevisions>
    </reviewItem>
    <reviewItem>
      <errorID>ff0cf5bf-3e95-4807-92a9-f6ce5c1779b1</errorID>
      <errorWord>喷码</errorWord>
      <group>L1_Word</group>
      <groupName>字词问题</groupName>
      <ability>L2_Typo</ability>
      <abilityName>字词错误</abilityName>
      <candidateList>
        <item>喷洒</item>
      </candidateList>
      <explain>〈动〉喷射散落（多用于液体）：～农药。</explain>
      <paraID>1ED3647C</paraID>
      <start>0</start>
      <end>2</end>
      <status>unmodified</status>
      <modifiedWord/>
      <trackRevisions>false</trackRevisions>
    </reviewItem>
    <reviewItem>
      <errorID>4caa91ee-b99e-4513-b990-a3ff89f00a26</errorID>
      <errorWord>交有</errorWord>
      <group>L1_Word</group>
      <groupName>字词问题</groupName>
      <ability>L2_Typo</ability>
      <abilityName>字词错误</abilityName>
      <candidateList>
        <item>交由</item>
      </candidateList>
      <explain/>
      <paraID>5AA03E7C</paraID>
      <start>13</start>
      <end>15</end>
      <status>unmodified</status>
      <modifiedWord/>
      <trackRevisions>false</trackRevisions>
    </reviewItem>
    <reviewItem>
      <errorID>3c0b1f18-91ef-463b-8d24-1a4094ee8835</errorID>
      <errorWord>加强对</errorWord>
      <group>L1_Word</group>
      <groupName>字词问题</groupName>
      <ability>L2_Typo</ability>
      <abilityName>字词错误</abilityName>
      <candidateList>
        <item>加强</item>
      </candidateList>
      <explain/>
      <paraID> E4AB00F</paraID>
      <start>1</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e95c82-eaf4-4184-9cb7-cc0e7f59506c}">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87</Pages>
  <Words>1915</Words>
  <Characters>2245</Characters>
  <Lines>1</Lines>
  <Paragraphs>1</Paragraphs>
  <TotalTime>5</TotalTime>
  <ScaleCrop>false</ScaleCrop>
  <LinksUpToDate>false</LinksUpToDate>
  <CharactersWithSpaces>2478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2022-04-21T09:46:00Z</dcterms:created>
  <dc:creator>lhj</dc:creator>
  <cp:lastModifiedBy>孔祥胜</cp:lastModifiedBy>
  <cp:lastPrinted>2026-09-16T03:26:00Z</cp:lastPrinted>
  <dcterms:modified xsi:type="dcterms:W3CDTF">2026-09-17T06:57:57Z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64973DCCA4E643B09B7351E1296F86A6_13</vt:lpwstr>
  </property>
  <property fmtid="{D5CDD505-2E9C-101B-9397-08002B2CF9AE}" pid="4" name="KSOTemplateDocerSaveRecord">
    <vt:lpwstr>eyJoZGlkIjoiOGU3MmIxZDQ5MWRhN2Q4NTYwMDZhM2VjNDhiODYzN2IiLCJ1c2VySWQiOiIxODU3NTI3MzE0In0=</vt:lpwstr>
  </property>
</Properties>
</file>