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高新区绩效工作开展情况说明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</w:pPr>
      <w:r>
        <w:rPr>
          <w:rFonts w:hint="eastAsia" w:ascii="宋体" w:hAnsi="宋体"/>
          <w:sz w:val="32"/>
          <w:szCs w:val="32"/>
        </w:rPr>
        <w:t>高新区201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年预算编制工作坚持突出绩效，科学引导。按照“花钱必问效、无效必问责”的原则，加快建立全过程预算绩效管理机制，将预算项目安排与预算执行进度、审计检查结果相结合，建立健全以绩效为导向的预算分配机制，提高资金使用效益。创新财政投入方式，更好发挥财政资金对社会资本的撬动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B1E"/>
    <w:rsid w:val="00B1753F"/>
    <w:rsid w:val="00B70B1E"/>
    <w:rsid w:val="178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2017-11-13T00:10:00Z</dcterms:created>
  <dc:creator>China</dc:creator>
  <cp:lastModifiedBy>亮亮</cp:lastModifiedBy>
  <dcterms:modified xsi:type="dcterms:W3CDTF">2018-10-11T08:52:51Z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