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商颂办事处201</w:t>
      </w:r>
      <w:r>
        <w:rPr>
          <w:rFonts w:hint="eastAsia" w:ascii="仿宋_GB2312" w:hAnsi="仿宋" w:eastAsia="仿宋_GB2312" w:cs="仿宋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年决算三公经费增减情变化情况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关于201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年度安阳高新区商颂办事处一般公共预算财政拨款“三公”经费支出决算情况说明，“三公”经费财政拨款支出决算数为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 我单位</w:t>
      </w:r>
      <w:r>
        <w:rPr>
          <w:rFonts w:hint="eastAsia" w:ascii="仿宋_GB2312" w:hAnsi="仿宋" w:eastAsia="仿宋_GB2312"/>
          <w:sz w:val="32"/>
          <w:szCs w:val="32"/>
        </w:rPr>
        <w:t>因公出国（境）费0 元，与上年无变化。包括单位工作人员公务出国（境）的差旅费、伙食补助费、杂费、培训费等支出。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2．</w:t>
      </w:r>
      <w:r>
        <w:rPr>
          <w:rFonts w:hint="eastAsia" w:ascii="仿宋_GB2312" w:hAnsi="仿宋" w:eastAsia="仿宋_GB2312"/>
          <w:sz w:val="32"/>
          <w:szCs w:val="32"/>
        </w:rPr>
        <w:t>公务用车购置、运行维护费均为0元，与上年无变化。包括单位公务用车购置费及燃料费、维修费、过路过桥费、保险费等支出。其中：公务用车购置费支出 0万元。201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年单位使用财政拨款购置公务用车0 辆。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3．</w:t>
      </w:r>
      <w:r>
        <w:rPr>
          <w:rFonts w:hint="eastAsia" w:ascii="仿宋_GB2312" w:hAnsi="仿宋" w:eastAsia="仿宋_GB2312"/>
          <w:sz w:val="32"/>
          <w:szCs w:val="32"/>
        </w:rPr>
        <w:t>公务接待费0元，与上年无变化。包括单位按规定开支的各类公务接待（含外宾接待）支出。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127"/>
    <w:rsid w:val="00527127"/>
    <w:rsid w:val="00A252A8"/>
    <w:rsid w:val="12BF6C3A"/>
    <w:rsid w:val="7AB3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44</Words>
  <Characters>255</Characters>
  <Lines>2</Lines>
  <Paragraphs>1</Paragraphs>
  <TotalTime>10</TotalTime>
  <ScaleCrop>false</ScaleCrop>
  <LinksUpToDate>false</LinksUpToDate>
  <CharactersWithSpaces>298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2017-11-15T12:22:00Z</dcterms:created>
  <dc:creator>China</dc:creator>
  <cp:lastModifiedBy>asus</cp:lastModifiedBy>
  <dcterms:modified xsi:type="dcterms:W3CDTF">2018-09-28T18:42:49Z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