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85"/>
        </w:tabs>
        <w:adjustRightInd w:val="0"/>
        <w:snapToGrid w:val="0"/>
        <w:spacing w:line="360" w:lineRule="auto"/>
        <w:jc w:val="left"/>
        <w:rPr>
          <w:rFonts w:ascii="方正小标宋简体" w:eastAsia="方正小标宋简体"/>
          <w:sz w:val="36"/>
          <w:szCs w:val="36"/>
        </w:rPr>
      </w:pPr>
      <w:r>
        <w:rPr>
          <w:rFonts w:ascii="方正小标宋简体" w:eastAsia="方正小标宋简体"/>
          <w:sz w:val="36"/>
          <w:szCs w:val="36"/>
        </w:rPr>
        <w:tab/>
      </w:r>
    </w:p>
    <w:p>
      <w:pPr>
        <w:adjustRightInd w:val="0"/>
        <w:snapToGrid w:val="0"/>
        <w:spacing w:line="360" w:lineRule="auto"/>
        <w:jc w:val="center"/>
        <w:rPr>
          <w:rFonts w:ascii="方正小标宋简体" w:eastAsia="方正小标宋简体"/>
          <w:sz w:val="36"/>
          <w:szCs w:val="36"/>
        </w:rPr>
      </w:pPr>
      <w:r>
        <w:rPr>
          <w:rFonts w:hint="eastAsia" w:ascii="方正小标宋简体" w:eastAsia="方正小标宋简体"/>
          <w:sz w:val="36"/>
          <w:szCs w:val="36"/>
        </w:rPr>
        <w:t>市政管理处20</w:t>
      </w:r>
      <w:r>
        <w:rPr>
          <w:rFonts w:hint="eastAsia" w:ascii="方正小标宋简体" w:eastAsia="方正小标宋简体"/>
          <w:sz w:val="36"/>
          <w:szCs w:val="36"/>
          <w:lang w:val="en-US" w:eastAsia="zh-CN"/>
        </w:rPr>
        <w:t>20</w:t>
      </w:r>
      <w:r>
        <w:rPr>
          <w:rFonts w:hint="eastAsia" w:ascii="方正小标宋简体" w:eastAsia="方正小标宋简体"/>
          <w:sz w:val="36"/>
          <w:szCs w:val="36"/>
        </w:rPr>
        <w:t>年部门预算情况说明</w:t>
      </w:r>
    </w:p>
    <w:p>
      <w:pPr>
        <w:kinsoku w:val="0"/>
        <w:overflowPunct w:val="0"/>
        <w:adjustRightInd w:val="0"/>
        <w:snapToGrid w:val="0"/>
        <w:spacing w:line="360" w:lineRule="auto"/>
        <w:ind w:left="-142" w:right="51" w:firstLine="25" w:firstLineChars="7"/>
        <w:jc w:val="center"/>
        <w:rPr>
          <w:rFonts w:ascii="黑体" w:eastAsia="黑体" w:cs="黑体"/>
          <w:sz w:val="36"/>
          <w:szCs w:val="36"/>
        </w:rPr>
      </w:pPr>
      <w:r>
        <w:rPr>
          <w:rFonts w:hint="eastAsia" w:ascii="黑体" w:eastAsia="黑体" w:cs="黑体"/>
          <w:sz w:val="36"/>
          <w:szCs w:val="36"/>
        </w:rPr>
        <w:t>目</w:t>
      </w:r>
      <w:r>
        <w:rPr>
          <w:rFonts w:ascii="黑体" w:eastAsia="黑体" w:cs="黑体"/>
          <w:spacing w:val="2"/>
          <w:sz w:val="36"/>
          <w:szCs w:val="36"/>
        </w:rPr>
        <w:t xml:space="preserve"> </w:t>
      </w:r>
      <w:r>
        <w:rPr>
          <w:rFonts w:hint="eastAsia" w:ascii="黑体" w:eastAsia="黑体" w:cs="黑体"/>
          <w:sz w:val="36"/>
          <w:szCs w:val="36"/>
        </w:rPr>
        <w:t>录</w:t>
      </w:r>
    </w:p>
    <w:p>
      <w:pPr>
        <w:tabs>
          <w:tab w:val="left" w:pos="8100"/>
        </w:tabs>
        <w:kinsoku w:val="0"/>
        <w:overflowPunct w:val="0"/>
        <w:adjustRightInd w:val="0"/>
        <w:snapToGrid w:val="0"/>
        <w:spacing w:line="360" w:lineRule="auto"/>
        <w:ind w:right="386" w:firstLine="640" w:firstLineChars="200"/>
        <w:rPr>
          <w:rFonts w:ascii="黑体" w:eastAsia="黑体" w:cs="黑体"/>
          <w:w w:val="99"/>
          <w:sz w:val="32"/>
          <w:szCs w:val="32"/>
        </w:rPr>
      </w:pPr>
      <w:r>
        <w:rPr>
          <w:rFonts w:hint="eastAsia" w:ascii="黑体" w:eastAsia="黑体" w:cs="黑体"/>
          <w:sz w:val="32"/>
          <w:szCs w:val="32"/>
        </w:rPr>
        <w:t>第一部分</w:t>
      </w:r>
      <w:r>
        <w:rPr>
          <w:rFonts w:hint="eastAsia" w:ascii="黑体" w:hAnsi="黑体" w:eastAsia="黑体"/>
          <w:sz w:val="32"/>
          <w:szCs w:val="32"/>
        </w:rPr>
        <w:t xml:space="preserve"> 部门</w:t>
      </w:r>
      <w:r>
        <w:rPr>
          <w:rFonts w:hint="eastAsia" w:ascii="黑体" w:eastAsia="黑体" w:cs="黑体"/>
          <w:sz w:val="32"/>
          <w:szCs w:val="32"/>
        </w:rPr>
        <w:t>概况</w:t>
      </w:r>
      <w:r>
        <w:rPr>
          <w:rFonts w:ascii="黑体" w:eastAsia="黑体" w:cs="黑体"/>
          <w:w w:val="99"/>
          <w:sz w:val="32"/>
          <w:szCs w:val="32"/>
        </w:rPr>
        <w:t xml:space="preserve"> </w:t>
      </w:r>
    </w:p>
    <w:p>
      <w:pPr>
        <w:kinsoku w:val="0"/>
        <w:overflowPunct w:val="0"/>
        <w:adjustRightInd w:val="0"/>
        <w:snapToGrid w:val="0"/>
        <w:spacing w:line="360" w:lineRule="auto"/>
        <w:ind w:right="521" w:firstLine="640" w:firstLineChars="200"/>
        <w:rPr>
          <w:rFonts w:ascii="黑体" w:eastAsia="黑体" w:cs="黑体"/>
          <w:w w:val="99"/>
          <w:sz w:val="32"/>
          <w:szCs w:val="32"/>
        </w:rPr>
      </w:pPr>
      <w:r>
        <w:rPr>
          <w:rFonts w:hint="eastAsia" w:ascii="黑体" w:eastAsia="黑体" w:cs="黑体"/>
          <w:sz w:val="32"/>
          <w:szCs w:val="32"/>
        </w:rPr>
        <w:t>第二部分</w:t>
      </w:r>
      <w:r>
        <w:rPr>
          <w:rFonts w:ascii="黑体" w:eastAsia="黑体" w:cs="黑体"/>
          <w:spacing w:val="-38"/>
          <w:sz w:val="32"/>
          <w:szCs w:val="32"/>
        </w:rPr>
        <w:t xml:space="preserve"> </w:t>
      </w:r>
      <w:r>
        <w:rPr>
          <w:rFonts w:hint="eastAsia" w:ascii="黑体" w:eastAsia="黑体" w:cs="黑体"/>
          <w:sz w:val="32"/>
          <w:szCs w:val="32"/>
          <w:lang w:val="en-US" w:eastAsia="zh-CN"/>
        </w:rPr>
        <w:t>2020</w:t>
      </w:r>
      <w:r>
        <w:rPr>
          <w:rFonts w:hint="eastAsia" w:ascii="黑体" w:eastAsia="黑体" w:cs="黑体"/>
          <w:sz w:val="32"/>
          <w:szCs w:val="32"/>
        </w:rPr>
        <w:t>年度部门预算情况说明</w:t>
      </w:r>
      <w:r>
        <w:rPr>
          <w:rFonts w:ascii="黑体" w:eastAsia="黑体" w:cs="黑体"/>
          <w:w w:val="99"/>
          <w:sz w:val="32"/>
          <w:szCs w:val="32"/>
        </w:rPr>
        <w:t xml:space="preserve"> </w:t>
      </w:r>
    </w:p>
    <w:p>
      <w:pPr>
        <w:kinsoku w:val="0"/>
        <w:overflowPunct w:val="0"/>
        <w:adjustRightInd w:val="0"/>
        <w:snapToGrid w:val="0"/>
        <w:spacing w:line="360" w:lineRule="auto"/>
        <w:ind w:right="521" w:firstLine="640" w:firstLineChars="200"/>
        <w:rPr>
          <w:rFonts w:ascii="黑体" w:eastAsia="黑体" w:cs="黑体"/>
          <w:sz w:val="32"/>
          <w:szCs w:val="32"/>
        </w:rPr>
      </w:pPr>
      <w:r>
        <w:rPr>
          <w:rFonts w:hint="eastAsia" w:ascii="黑体" w:eastAsia="黑体" w:cs="黑体"/>
          <w:sz w:val="32"/>
          <w:szCs w:val="32"/>
        </w:rPr>
        <w:t>第三部分</w:t>
      </w:r>
      <w:r>
        <w:rPr>
          <w:rFonts w:ascii="黑体" w:eastAsia="黑体" w:cs="黑体"/>
          <w:spacing w:val="-32"/>
          <w:sz w:val="32"/>
          <w:szCs w:val="32"/>
        </w:rPr>
        <w:t xml:space="preserve"> </w:t>
      </w:r>
      <w:r>
        <w:rPr>
          <w:rFonts w:hint="eastAsia" w:ascii="黑体" w:eastAsia="黑体" w:cs="黑体"/>
          <w:sz w:val="32"/>
          <w:szCs w:val="32"/>
        </w:rPr>
        <w:t>名词解释</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正文</w:t>
      </w:r>
    </w:p>
    <w:p>
      <w:pPr>
        <w:numPr>
          <w:ilvl w:val="0"/>
          <w:numId w:val="1"/>
        </w:numPr>
        <w:spacing w:line="600" w:lineRule="exact"/>
        <w:jc w:val="left"/>
        <w:rPr>
          <w:rFonts w:ascii="黑体" w:hAnsi="黑体" w:eastAsia="黑体" w:cs="仿宋_GB2312"/>
          <w:sz w:val="32"/>
          <w:szCs w:val="32"/>
        </w:rPr>
      </w:pPr>
      <w:r>
        <w:rPr>
          <w:rFonts w:hint="eastAsia" w:ascii="黑体" w:hAnsi="黑体" w:eastAsia="黑体" w:cs="仿宋_GB2312"/>
          <w:sz w:val="32"/>
          <w:szCs w:val="32"/>
        </w:rPr>
        <w:t>部门概括</w:t>
      </w:r>
    </w:p>
    <w:p>
      <w:pPr>
        <w:spacing w:line="600" w:lineRule="exact"/>
        <w:ind w:left="720"/>
        <w:jc w:val="left"/>
        <w:rPr>
          <w:rFonts w:ascii="仿宋" w:hAnsi="仿宋" w:eastAsia="仿宋" w:cs="仿宋_GB2312"/>
          <w:sz w:val="32"/>
          <w:szCs w:val="32"/>
        </w:rPr>
      </w:pPr>
      <w:r>
        <w:rPr>
          <w:rFonts w:hint="eastAsia" w:ascii="仿宋" w:hAnsi="仿宋" w:eastAsia="仿宋" w:cs="仿宋_GB2312"/>
          <w:sz w:val="32"/>
          <w:szCs w:val="32"/>
        </w:rPr>
        <w:t>市政管理处部门职责</w:t>
      </w:r>
    </w:p>
    <w:p>
      <w:pPr>
        <w:ind w:firstLine="640" w:firstLineChars="200"/>
        <w:rPr>
          <w:rFonts w:ascii="仿宋" w:hAnsi="仿宋" w:eastAsia="仿宋"/>
          <w:sz w:val="32"/>
          <w:szCs w:val="32"/>
        </w:rPr>
      </w:pPr>
      <w:r>
        <w:rPr>
          <w:rFonts w:hint="eastAsia" w:ascii="仿宋" w:hAnsi="仿宋" w:eastAsia="仿宋"/>
          <w:sz w:val="32"/>
          <w:szCs w:val="32"/>
        </w:rPr>
        <w:t>负责编制高新区年度城区管理、养护、维修计划；负责市政设施新建工程、改扩建工程的编报与实施；负责工程预决算的编制和报审，工程竣工后技术资料的整理归档工作，组织工程验收、交接工作；负责占破路及开口审批；水电受理服务，路灯的维护和管理。负责环境卫生管理和业务指导，道路清扫保洁，生活垃圾和建筑垃圾的运输处理，环卫设施的布点和建设；负责区内园林绿化维护管理和业务指导，负责年度绿化工程计划的编制，工程前期的准备、组织施工和工程验收；负责古树名木的调查建档、保护管理工作、义务植树的宣传、组织、检查及验收工作、绿化先进单位及花园式单位的验收、上报工作；负责城市管理与监察工作。承办管委会交办的其他事项。</w:t>
      </w:r>
    </w:p>
    <w:p>
      <w:pPr>
        <w:ind w:firstLine="640" w:firstLineChars="200"/>
        <w:rPr>
          <w:rFonts w:ascii="仿宋" w:hAnsi="仿宋" w:eastAsia="仿宋"/>
          <w:sz w:val="32"/>
          <w:szCs w:val="32"/>
        </w:rPr>
      </w:pPr>
      <w:r>
        <w:rPr>
          <w:rFonts w:hint="eastAsia" w:ascii="仿宋" w:hAnsi="仿宋" w:eastAsia="仿宋"/>
          <w:sz w:val="32"/>
          <w:szCs w:val="32"/>
        </w:rPr>
        <w:t>市政管理处主要设岗</w:t>
      </w:r>
    </w:p>
    <w:p>
      <w:pPr>
        <w:ind w:firstLine="640" w:firstLineChars="200"/>
        <w:rPr>
          <w:rFonts w:ascii="仿宋" w:hAnsi="仿宋" w:eastAsia="仿宋"/>
          <w:sz w:val="32"/>
          <w:szCs w:val="32"/>
        </w:rPr>
      </w:pPr>
      <w:r>
        <w:rPr>
          <w:rFonts w:hint="eastAsia" w:ascii="仿宋" w:hAnsi="仿宋" w:eastAsia="仿宋"/>
          <w:sz w:val="32"/>
          <w:szCs w:val="32"/>
        </w:rPr>
        <w:t>市政管理处内设办公室、环卫管理科、园林绿化科、市政维护科、工程科、路灯管理科、考核管理科、车队、垃圾分类科9个科室。市政管理处共有2</w:t>
      </w:r>
      <w:r>
        <w:rPr>
          <w:rFonts w:hint="eastAsia" w:ascii="仿宋" w:hAnsi="仿宋" w:eastAsia="仿宋"/>
          <w:sz w:val="32"/>
          <w:szCs w:val="32"/>
          <w:lang w:val="en-US" w:eastAsia="zh-CN"/>
        </w:rPr>
        <w:t>1</w:t>
      </w:r>
      <w:r>
        <w:rPr>
          <w:rFonts w:hint="eastAsia" w:ascii="仿宋" w:hAnsi="仿宋" w:eastAsia="仿宋"/>
          <w:sz w:val="32"/>
          <w:szCs w:val="32"/>
        </w:rPr>
        <w:t>人，其中：行政编制3人，事业编制1</w:t>
      </w:r>
      <w:r>
        <w:rPr>
          <w:rFonts w:hint="eastAsia" w:ascii="仿宋" w:hAnsi="仿宋" w:eastAsia="仿宋"/>
          <w:sz w:val="32"/>
          <w:szCs w:val="32"/>
          <w:lang w:val="en-US" w:eastAsia="zh-CN"/>
        </w:rPr>
        <w:t>8</w:t>
      </w:r>
      <w:r>
        <w:rPr>
          <w:rFonts w:hint="eastAsia" w:ascii="仿宋" w:hAnsi="仿宋" w:eastAsia="仿宋"/>
          <w:sz w:val="32"/>
          <w:szCs w:val="32"/>
        </w:rPr>
        <w:t>人。</w:t>
      </w:r>
    </w:p>
    <w:p>
      <w:pPr>
        <w:ind w:firstLine="640" w:firstLineChars="200"/>
        <w:rPr>
          <w:rFonts w:ascii="仿宋" w:hAnsi="仿宋" w:eastAsia="仿宋"/>
          <w:sz w:val="32"/>
          <w:szCs w:val="32"/>
        </w:rPr>
      </w:pPr>
      <w:r>
        <w:rPr>
          <w:rFonts w:hint="eastAsia" w:ascii="仿宋" w:hAnsi="仿宋" w:eastAsia="仿宋"/>
          <w:sz w:val="32"/>
          <w:szCs w:val="32"/>
        </w:rPr>
        <w:t>我单位无所属二级部门，仅公开本级预算。</w:t>
      </w:r>
    </w:p>
    <w:p>
      <w:pPr>
        <w:rPr>
          <w:rFonts w:ascii="黑体" w:hAnsi="黑体" w:eastAsia="黑体"/>
          <w:sz w:val="32"/>
          <w:szCs w:val="32"/>
        </w:rPr>
      </w:pPr>
      <w:r>
        <w:rPr>
          <w:rFonts w:hint="eastAsia" w:ascii="黑体" w:hAnsi="黑体" w:eastAsia="黑体"/>
          <w:sz w:val="32"/>
          <w:szCs w:val="32"/>
        </w:rPr>
        <w:t>二、市政管理处2019年部门预算情况说明</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（一）收入支出总体情况说明</w:t>
      </w:r>
    </w:p>
    <w:p>
      <w:pPr>
        <w:ind w:firstLine="640" w:firstLineChars="200"/>
        <w:rPr>
          <w:rFonts w:ascii="宋体" w:hAnsi="宋体" w:cs="宋体"/>
          <w:kern w:val="0"/>
          <w:sz w:val="24"/>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年市政管理处收入合计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cs="宋体"/>
          <w:kern w:val="0"/>
          <w:sz w:val="32"/>
          <w:szCs w:val="32"/>
        </w:rPr>
        <w:t xml:space="preserve"> </w:t>
      </w:r>
      <w:r>
        <w:rPr>
          <w:rFonts w:hint="eastAsia" w:ascii="仿宋" w:hAnsi="仿宋" w:eastAsia="仿宋"/>
          <w:sz w:val="32"/>
          <w:szCs w:val="32"/>
        </w:rPr>
        <w:t>万元，比20</w:t>
      </w:r>
      <w:r>
        <w:rPr>
          <w:rFonts w:hint="eastAsia" w:ascii="仿宋" w:hAnsi="仿宋" w:eastAsia="仿宋"/>
          <w:sz w:val="32"/>
          <w:szCs w:val="32"/>
          <w:lang w:val="en-US" w:eastAsia="zh-CN"/>
        </w:rPr>
        <w:t>19</w:t>
      </w:r>
      <w:r>
        <w:rPr>
          <w:rFonts w:hint="eastAsia" w:ascii="仿宋" w:hAnsi="仿宋" w:eastAsia="仿宋"/>
          <w:sz w:val="32"/>
          <w:szCs w:val="32"/>
        </w:rPr>
        <w:t>年</w:t>
      </w:r>
      <w:r>
        <w:rPr>
          <w:rFonts w:hint="eastAsia" w:ascii="仿宋" w:hAnsi="仿宋" w:eastAsia="仿宋"/>
          <w:sz w:val="32"/>
          <w:szCs w:val="32"/>
          <w:lang w:val="en-US" w:eastAsia="zh-CN"/>
        </w:rPr>
        <w:t>4876.78</w:t>
      </w:r>
      <w:r>
        <w:rPr>
          <w:rFonts w:hint="eastAsia" w:ascii="仿宋" w:hAnsi="仿宋" w:eastAsia="仿宋"/>
          <w:sz w:val="32"/>
          <w:szCs w:val="32"/>
        </w:rPr>
        <w:t>万元增加了</w:t>
      </w:r>
      <w:r>
        <w:rPr>
          <w:rFonts w:hint="eastAsia" w:ascii="仿宋" w:hAnsi="仿宋" w:eastAsia="仿宋"/>
          <w:sz w:val="32"/>
          <w:szCs w:val="32"/>
          <w:lang w:val="en-US" w:eastAsia="zh-CN"/>
        </w:rPr>
        <w:t>2927</w:t>
      </w:r>
      <w:r>
        <w:rPr>
          <w:rFonts w:hint="eastAsia" w:ascii="仿宋" w:hAnsi="仿宋" w:eastAsia="仿宋"/>
          <w:sz w:val="32"/>
          <w:szCs w:val="32"/>
        </w:rPr>
        <w:t>.</w:t>
      </w:r>
      <w:r>
        <w:rPr>
          <w:rFonts w:hint="eastAsia" w:ascii="仿宋" w:hAnsi="仿宋" w:eastAsia="仿宋"/>
          <w:sz w:val="32"/>
          <w:szCs w:val="32"/>
          <w:lang w:val="en-US" w:eastAsia="zh-CN"/>
        </w:rPr>
        <w:t>64</w:t>
      </w:r>
      <w:r>
        <w:rPr>
          <w:rFonts w:hint="eastAsia" w:ascii="仿宋" w:hAnsi="仿宋" w:eastAsia="仿宋"/>
          <w:sz w:val="32"/>
          <w:szCs w:val="32"/>
        </w:rPr>
        <w:t>万元。支出</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cs="宋体"/>
          <w:kern w:val="0"/>
          <w:sz w:val="32"/>
          <w:szCs w:val="32"/>
        </w:rPr>
        <w:t xml:space="preserve"> </w:t>
      </w:r>
      <w:r>
        <w:rPr>
          <w:rFonts w:hint="eastAsia" w:ascii="仿宋" w:hAnsi="仿宋" w:eastAsia="仿宋"/>
          <w:sz w:val="32"/>
          <w:szCs w:val="32"/>
        </w:rPr>
        <w:t>万元，比201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cs="宋体"/>
          <w:kern w:val="0"/>
          <w:sz w:val="32"/>
          <w:szCs w:val="32"/>
        </w:rPr>
        <w:t>4876.78</w:t>
      </w:r>
      <w:r>
        <w:rPr>
          <w:rFonts w:hint="eastAsia" w:ascii="仿宋" w:hAnsi="仿宋" w:eastAsia="仿宋"/>
          <w:sz w:val="32"/>
          <w:szCs w:val="32"/>
        </w:rPr>
        <w:t>万元增加了</w:t>
      </w:r>
      <w:r>
        <w:rPr>
          <w:rFonts w:hint="eastAsia" w:ascii="仿宋" w:hAnsi="仿宋" w:eastAsia="仿宋"/>
          <w:sz w:val="32"/>
          <w:szCs w:val="32"/>
          <w:lang w:val="en-US" w:eastAsia="zh-CN"/>
        </w:rPr>
        <w:t>2927</w:t>
      </w:r>
      <w:r>
        <w:rPr>
          <w:rFonts w:hint="eastAsia" w:ascii="仿宋" w:hAnsi="仿宋" w:eastAsia="仿宋"/>
          <w:sz w:val="32"/>
          <w:szCs w:val="32"/>
        </w:rPr>
        <w:t>.</w:t>
      </w:r>
      <w:r>
        <w:rPr>
          <w:rFonts w:hint="eastAsia" w:ascii="仿宋" w:hAnsi="仿宋" w:eastAsia="仿宋"/>
          <w:sz w:val="32"/>
          <w:szCs w:val="32"/>
          <w:lang w:val="en-US" w:eastAsia="zh-CN"/>
        </w:rPr>
        <w:t>64</w:t>
      </w:r>
      <w:r>
        <w:rPr>
          <w:rFonts w:hint="eastAsia" w:ascii="仿宋" w:hAnsi="仿宋" w:eastAsia="仿宋"/>
          <w:sz w:val="32"/>
          <w:szCs w:val="32"/>
        </w:rPr>
        <w:t>万元，均为一般公共预算，</w:t>
      </w:r>
      <w:r>
        <w:rPr>
          <w:rFonts w:hint="eastAsia" w:ascii="仿宋" w:hAnsi="仿宋" w:eastAsia="仿宋"/>
          <w:sz w:val="32"/>
          <w:szCs w:val="32"/>
          <w:lang w:val="en-US" w:eastAsia="zh-CN"/>
        </w:rPr>
        <w:t>主要原因是环卫市场一体化费用增加和创文明城市等，</w:t>
      </w:r>
      <w:r>
        <w:rPr>
          <w:rFonts w:hint="eastAsia" w:ascii="仿宋" w:hAnsi="仿宋" w:eastAsia="仿宋"/>
          <w:sz w:val="32"/>
          <w:szCs w:val="32"/>
        </w:rPr>
        <w:t>其中：基本支出</w:t>
      </w:r>
      <w:r>
        <w:rPr>
          <w:rFonts w:hint="eastAsia" w:ascii="仿宋" w:hAnsi="仿宋" w:eastAsia="仿宋"/>
          <w:sz w:val="32"/>
          <w:szCs w:val="32"/>
          <w:lang w:val="en-US" w:eastAsia="zh-CN"/>
        </w:rPr>
        <w:t>805</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万元，项目支出</w:t>
      </w:r>
      <w:r>
        <w:rPr>
          <w:rFonts w:hint="eastAsia" w:ascii="仿宋" w:hAnsi="仿宋" w:eastAsia="仿宋" w:cs="宋体"/>
          <w:kern w:val="0"/>
          <w:sz w:val="32"/>
          <w:szCs w:val="32"/>
          <w:lang w:val="en-US" w:eastAsia="zh-CN"/>
        </w:rPr>
        <w:t>6999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 xml:space="preserve">1 </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（二）收入预算情况说明</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年市政管理处收入合计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万元，均为一般公共预算，均为财政拨款收入，比201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4876.78</w:t>
      </w:r>
      <w:r>
        <w:rPr>
          <w:rFonts w:hint="eastAsia" w:ascii="仿宋" w:hAnsi="仿宋" w:eastAsia="仿宋"/>
          <w:sz w:val="32"/>
          <w:szCs w:val="32"/>
        </w:rPr>
        <w:t>万元增加了</w:t>
      </w:r>
      <w:r>
        <w:rPr>
          <w:rFonts w:hint="eastAsia" w:ascii="仿宋" w:hAnsi="仿宋" w:eastAsia="仿宋"/>
          <w:sz w:val="32"/>
          <w:szCs w:val="32"/>
          <w:lang w:val="en-US" w:eastAsia="zh-CN"/>
        </w:rPr>
        <w:t>2927</w:t>
      </w:r>
      <w:r>
        <w:rPr>
          <w:rFonts w:hint="eastAsia" w:ascii="仿宋" w:hAnsi="仿宋" w:eastAsia="仿宋"/>
          <w:sz w:val="32"/>
          <w:szCs w:val="32"/>
        </w:rPr>
        <w:t>.</w:t>
      </w:r>
      <w:r>
        <w:rPr>
          <w:rFonts w:hint="eastAsia" w:ascii="仿宋" w:hAnsi="仿宋" w:eastAsia="仿宋"/>
          <w:sz w:val="32"/>
          <w:szCs w:val="32"/>
          <w:lang w:val="en-US" w:eastAsia="zh-CN"/>
        </w:rPr>
        <w:t>64</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（三）支出预算情况说明</w:t>
      </w:r>
    </w:p>
    <w:p>
      <w:pPr>
        <w:ind w:firstLine="640" w:firstLineChars="200"/>
        <w:rPr>
          <w:rFonts w:ascii="宋体" w:hAnsi="宋体" w:cs="宋体"/>
          <w:kern w:val="0"/>
          <w:sz w:val="24"/>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年市政管理处支出合计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万元，均为一般公共预算</w:t>
      </w:r>
      <w:r>
        <w:rPr>
          <w:rFonts w:hint="eastAsia" w:ascii="仿宋" w:hAnsi="仿宋" w:eastAsia="仿宋"/>
          <w:sz w:val="32"/>
          <w:szCs w:val="32"/>
          <w:lang w:eastAsia="zh-CN"/>
        </w:rPr>
        <w:t>，</w:t>
      </w:r>
      <w:r>
        <w:rPr>
          <w:rFonts w:hint="eastAsia" w:ascii="仿宋" w:hAnsi="仿宋" w:eastAsia="仿宋"/>
          <w:sz w:val="32"/>
          <w:szCs w:val="32"/>
        </w:rPr>
        <w:t>其中：基本支出</w:t>
      </w:r>
      <w:r>
        <w:rPr>
          <w:rFonts w:hint="eastAsia" w:ascii="仿宋" w:hAnsi="仿宋" w:eastAsia="仿宋"/>
          <w:sz w:val="32"/>
          <w:szCs w:val="32"/>
          <w:lang w:val="en-US" w:eastAsia="zh-CN"/>
        </w:rPr>
        <w:t>805</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w:t>
      </w:r>
      <w:r>
        <w:rPr>
          <w:rFonts w:hint="eastAsia" w:ascii="仿宋" w:hAnsi="仿宋" w:eastAsia="仿宋"/>
          <w:sz w:val="32"/>
          <w:szCs w:val="32"/>
          <w:lang w:val="en-US" w:eastAsia="zh-CN"/>
        </w:rPr>
        <w:t>占比10.32%；</w:t>
      </w:r>
      <w:r>
        <w:rPr>
          <w:rFonts w:hint="eastAsia" w:ascii="仿宋" w:hAnsi="仿宋" w:eastAsia="仿宋"/>
          <w:sz w:val="32"/>
          <w:szCs w:val="32"/>
        </w:rPr>
        <w:t>项目支出</w:t>
      </w:r>
      <w:r>
        <w:rPr>
          <w:rFonts w:hint="eastAsia" w:ascii="仿宋" w:hAnsi="仿宋" w:eastAsia="仿宋" w:cs="宋体"/>
          <w:kern w:val="0"/>
          <w:sz w:val="32"/>
          <w:szCs w:val="32"/>
          <w:lang w:val="en-US" w:eastAsia="zh-CN"/>
        </w:rPr>
        <w:t>6999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 xml:space="preserve">1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占比89.68%</w:t>
      </w:r>
      <w:r>
        <w:rPr>
          <w:rFonts w:hint="eastAsia" w:ascii="仿宋" w:hAnsi="仿宋" w:eastAsia="仿宋"/>
          <w:sz w:val="32"/>
          <w:szCs w:val="32"/>
        </w:rPr>
        <w:t>。</w:t>
      </w:r>
    </w:p>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（四）财政拨款收入支出预算总体情况说明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年市政管理处财政拨款收入合计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万元，支出合计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w:t>
      </w:r>
      <w:r>
        <w:rPr>
          <w:rFonts w:hint="eastAsia" w:ascii="仿宋" w:hAnsi="仿宋" w:eastAsia="仿宋"/>
          <w:sz w:val="32"/>
          <w:szCs w:val="32"/>
          <w:lang w:val="en-US" w:eastAsia="zh-CN"/>
        </w:rPr>
        <w:t>较</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cs="宋体"/>
          <w:kern w:val="0"/>
          <w:sz w:val="32"/>
          <w:szCs w:val="32"/>
        </w:rPr>
        <w:t>4876.78</w:t>
      </w:r>
      <w:r>
        <w:rPr>
          <w:rFonts w:hint="eastAsia" w:ascii="仿宋" w:hAnsi="仿宋" w:eastAsia="仿宋"/>
          <w:sz w:val="32"/>
          <w:szCs w:val="32"/>
        </w:rPr>
        <w:t>万元增加了</w:t>
      </w:r>
      <w:r>
        <w:rPr>
          <w:rFonts w:hint="eastAsia" w:ascii="仿宋" w:hAnsi="仿宋" w:eastAsia="仿宋"/>
          <w:sz w:val="32"/>
          <w:szCs w:val="32"/>
          <w:lang w:val="en-US" w:eastAsia="zh-CN"/>
        </w:rPr>
        <w:t>2927</w:t>
      </w:r>
      <w:r>
        <w:rPr>
          <w:rFonts w:hint="eastAsia" w:ascii="仿宋" w:hAnsi="仿宋" w:eastAsia="仿宋"/>
          <w:sz w:val="32"/>
          <w:szCs w:val="32"/>
        </w:rPr>
        <w:t>.</w:t>
      </w:r>
      <w:r>
        <w:rPr>
          <w:rFonts w:hint="eastAsia" w:ascii="仿宋" w:hAnsi="仿宋" w:eastAsia="仿宋"/>
          <w:sz w:val="32"/>
          <w:szCs w:val="32"/>
          <w:lang w:val="en-US" w:eastAsia="zh-CN"/>
        </w:rPr>
        <w:t>64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同比增长60.03%。主要原因是城乡社区事务支出方面环卫市场一体化费用增加和创文明城市等。</w:t>
      </w:r>
      <w:r>
        <w:rPr>
          <w:rFonts w:hint="eastAsia" w:ascii="仿宋" w:hAnsi="仿宋" w:eastAsia="仿宋"/>
          <w:sz w:val="32"/>
          <w:szCs w:val="32"/>
        </w:rPr>
        <w:t>城乡社区事务支出</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较2019年增加2927.64万元。</w:t>
      </w:r>
    </w:p>
    <w:p>
      <w:pPr>
        <w:rPr>
          <w:rFonts w:ascii="仿宋" w:hAnsi="仿宋" w:eastAsia="仿宋"/>
          <w:sz w:val="32"/>
          <w:szCs w:val="32"/>
        </w:rPr>
      </w:pPr>
      <w:r>
        <w:rPr>
          <w:rFonts w:hint="eastAsia" w:ascii="仿宋" w:hAnsi="仿宋" w:eastAsia="仿宋"/>
          <w:sz w:val="32"/>
          <w:szCs w:val="32"/>
        </w:rPr>
        <w:t>（五）一般公共预算支出预算情况说明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年市政管理处一般公共预算支出合计</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万元。其他城乡公共社区公共设施支出</w:t>
      </w:r>
      <w:r>
        <w:rPr>
          <w:rFonts w:hint="eastAsia" w:ascii="仿宋" w:hAnsi="仿宋" w:eastAsia="仿宋" w:cs="宋体"/>
          <w:kern w:val="0"/>
          <w:sz w:val="32"/>
          <w:szCs w:val="32"/>
          <w:lang w:val="en-US" w:eastAsia="zh-CN"/>
        </w:rPr>
        <w:t>7804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42</w:t>
      </w:r>
      <w:r>
        <w:rPr>
          <w:rFonts w:hint="eastAsia" w:ascii="仿宋" w:hAnsi="仿宋" w:eastAsia="仿宋"/>
          <w:sz w:val="32"/>
          <w:szCs w:val="32"/>
        </w:rPr>
        <w:t>万元，比201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cs="宋体"/>
          <w:kern w:val="0"/>
          <w:sz w:val="32"/>
          <w:szCs w:val="32"/>
        </w:rPr>
        <w:t>4876.78</w:t>
      </w:r>
      <w:r>
        <w:rPr>
          <w:rFonts w:hint="eastAsia" w:ascii="仿宋" w:hAnsi="仿宋" w:eastAsia="仿宋"/>
          <w:sz w:val="32"/>
          <w:szCs w:val="32"/>
        </w:rPr>
        <w:t>万元增加了</w:t>
      </w:r>
      <w:r>
        <w:rPr>
          <w:rFonts w:hint="eastAsia" w:ascii="仿宋" w:hAnsi="仿宋" w:eastAsia="仿宋"/>
          <w:sz w:val="32"/>
          <w:szCs w:val="32"/>
          <w:lang w:val="en-US" w:eastAsia="zh-CN"/>
        </w:rPr>
        <w:t>2927</w:t>
      </w:r>
      <w:r>
        <w:rPr>
          <w:rFonts w:hint="eastAsia" w:ascii="仿宋" w:hAnsi="仿宋" w:eastAsia="仿宋"/>
          <w:sz w:val="32"/>
          <w:szCs w:val="32"/>
        </w:rPr>
        <w:t>.</w:t>
      </w:r>
      <w:r>
        <w:rPr>
          <w:rFonts w:hint="eastAsia" w:ascii="仿宋" w:hAnsi="仿宋" w:eastAsia="仿宋"/>
          <w:sz w:val="32"/>
          <w:szCs w:val="32"/>
          <w:lang w:val="en-US" w:eastAsia="zh-CN"/>
        </w:rPr>
        <w:t>64</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宋体" w:hAnsi="宋体" w:cs="宋体"/>
          <w:kern w:val="0"/>
          <w:sz w:val="24"/>
        </w:rPr>
      </w:pPr>
      <w:r>
        <w:rPr>
          <w:rFonts w:hint="eastAsia" w:ascii="仿宋" w:hAnsi="仿宋" w:eastAsia="仿宋"/>
          <w:sz w:val="32"/>
          <w:szCs w:val="32"/>
        </w:rPr>
        <w:t>基本支出</w:t>
      </w:r>
      <w:r>
        <w:rPr>
          <w:rFonts w:hint="eastAsia" w:ascii="仿宋" w:hAnsi="仿宋" w:eastAsia="仿宋"/>
          <w:sz w:val="32"/>
          <w:szCs w:val="32"/>
          <w:lang w:val="en-US" w:eastAsia="zh-CN"/>
        </w:rPr>
        <w:t>805</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w:t>
      </w:r>
      <w:r>
        <w:rPr>
          <w:rFonts w:hint="eastAsia" w:ascii="仿宋" w:hAnsi="仿宋" w:eastAsia="仿宋"/>
          <w:sz w:val="32"/>
          <w:szCs w:val="32"/>
          <w:lang w:val="en-US" w:eastAsia="zh-CN"/>
        </w:rPr>
        <w:t>占一般公共预算支出的10.32%；</w:t>
      </w:r>
      <w:r>
        <w:rPr>
          <w:rFonts w:hint="eastAsia" w:ascii="仿宋" w:hAnsi="仿宋" w:eastAsia="仿宋"/>
          <w:sz w:val="32"/>
          <w:szCs w:val="32"/>
        </w:rPr>
        <w:t>项目支出</w:t>
      </w:r>
      <w:r>
        <w:rPr>
          <w:rFonts w:hint="eastAsia" w:ascii="仿宋" w:hAnsi="仿宋" w:eastAsia="仿宋" w:cs="宋体"/>
          <w:kern w:val="0"/>
          <w:sz w:val="32"/>
          <w:szCs w:val="32"/>
          <w:lang w:val="en-US" w:eastAsia="zh-CN"/>
        </w:rPr>
        <w:t>6999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 xml:space="preserve">1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占一般公共预算支出的89.68%</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一般公共预算基本支出经济分类汇总情况说明</w:t>
      </w:r>
    </w:p>
    <w:p>
      <w:pPr>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年市政管理处一般公共预算基本支出</w:t>
      </w:r>
      <w:r>
        <w:rPr>
          <w:rFonts w:hint="eastAsia" w:ascii="仿宋" w:hAnsi="仿宋" w:eastAsia="仿宋"/>
          <w:sz w:val="32"/>
          <w:szCs w:val="32"/>
          <w:lang w:val="en-US" w:eastAsia="zh-CN"/>
        </w:rPr>
        <w:t>805</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万元，其中：工资福利支出7</w:t>
      </w:r>
      <w:r>
        <w:rPr>
          <w:rFonts w:hint="eastAsia" w:ascii="仿宋" w:hAnsi="仿宋" w:eastAsia="仿宋"/>
          <w:sz w:val="32"/>
          <w:szCs w:val="32"/>
          <w:lang w:val="en-US" w:eastAsia="zh-CN"/>
        </w:rPr>
        <w:t>94</w:t>
      </w:r>
      <w:r>
        <w:rPr>
          <w:rFonts w:hint="eastAsia" w:ascii="仿宋" w:hAnsi="仿宋" w:eastAsia="仿宋"/>
          <w:sz w:val="32"/>
          <w:szCs w:val="32"/>
        </w:rPr>
        <w:t>.</w:t>
      </w:r>
      <w:r>
        <w:rPr>
          <w:rFonts w:hint="eastAsia" w:ascii="仿宋" w:hAnsi="仿宋" w:eastAsia="仿宋"/>
          <w:sz w:val="32"/>
          <w:szCs w:val="32"/>
          <w:lang w:val="en-US" w:eastAsia="zh-CN"/>
        </w:rPr>
        <w:t>09</w:t>
      </w:r>
      <w:r>
        <w:rPr>
          <w:rFonts w:hint="eastAsia" w:ascii="仿宋" w:hAnsi="仿宋" w:eastAsia="仿宋"/>
          <w:sz w:val="32"/>
          <w:szCs w:val="32"/>
        </w:rPr>
        <w:t>万元，商品和服务支出</w:t>
      </w:r>
      <w:r>
        <w:rPr>
          <w:rFonts w:hint="eastAsia" w:ascii="仿宋" w:hAnsi="仿宋" w:eastAsia="仿宋"/>
          <w:sz w:val="32"/>
          <w:szCs w:val="32"/>
          <w:lang w:val="en-US" w:eastAsia="zh-CN"/>
        </w:rPr>
        <w:t>9</w:t>
      </w:r>
      <w:r>
        <w:rPr>
          <w:rFonts w:hint="eastAsia" w:ascii="仿宋" w:hAnsi="仿宋" w:eastAsia="仿宋"/>
          <w:sz w:val="32"/>
          <w:szCs w:val="32"/>
        </w:rPr>
        <w:t>.5万元，对个人和家庭补助1.</w:t>
      </w:r>
      <w:r>
        <w:rPr>
          <w:rFonts w:hint="eastAsia" w:ascii="仿宋" w:hAnsi="仿宋" w:eastAsia="仿宋"/>
          <w:sz w:val="32"/>
          <w:szCs w:val="32"/>
          <w:lang w:val="en-US" w:eastAsia="zh-CN"/>
        </w:rPr>
        <w:t>72</w:t>
      </w:r>
      <w:r>
        <w:rPr>
          <w:rFonts w:hint="eastAsia" w:ascii="仿宋" w:hAnsi="仿宋" w:eastAsia="仿宋"/>
          <w:sz w:val="32"/>
          <w:szCs w:val="32"/>
        </w:rPr>
        <w:t>万元。比201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791</w:t>
      </w:r>
      <w:r>
        <w:rPr>
          <w:rFonts w:hint="eastAsia" w:ascii="仿宋" w:hAnsi="仿宋" w:eastAsia="仿宋"/>
          <w:sz w:val="32"/>
          <w:szCs w:val="32"/>
        </w:rPr>
        <w:t>.</w:t>
      </w:r>
      <w:r>
        <w:rPr>
          <w:rFonts w:hint="eastAsia" w:ascii="仿宋" w:hAnsi="仿宋" w:eastAsia="仿宋"/>
          <w:sz w:val="32"/>
          <w:szCs w:val="32"/>
          <w:lang w:val="en-US" w:eastAsia="zh-CN"/>
        </w:rPr>
        <w:t>47</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rPr>
        <w:t>了</w:t>
      </w:r>
      <w:r>
        <w:rPr>
          <w:rFonts w:hint="eastAsia" w:ascii="仿宋" w:hAnsi="仿宋" w:eastAsia="仿宋"/>
          <w:sz w:val="32"/>
          <w:szCs w:val="32"/>
          <w:lang w:val="en-US" w:eastAsia="zh-CN"/>
        </w:rPr>
        <w:t>13</w:t>
      </w:r>
      <w:r>
        <w:rPr>
          <w:rFonts w:hint="eastAsia" w:ascii="仿宋" w:hAnsi="仿宋" w:eastAsia="仿宋"/>
          <w:sz w:val="32"/>
          <w:szCs w:val="32"/>
        </w:rPr>
        <w:t>.</w:t>
      </w:r>
      <w:r>
        <w:rPr>
          <w:rFonts w:hint="eastAsia" w:ascii="仿宋" w:hAnsi="仿宋" w:eastAsia="仿宋"/>
          <w:sz w:val="32"/>
          <w:szCs w:val="32"/>
          <w:lang w:val="en-US" w:eastAsia="zh-CN"/>
        </w:rPr>
        <w:t>84</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（七）“三公经费”支出预算情况说明</w:t>
      </w:r>
    </w:p>
    <w:p>
      <w:pPr>
        <w:numPr>
          <w:ilvl w:val="0"/>
          <w:numId w:val="0"/>
        </w:numPr>
        <w:ind w:firstLine="640" w:firstLineChars="200"/>
        <w:jc w:val="left"/>
        <w:rPr>
          <w:rFonts w:hint="eastAsia" w:ascii="仿宋_GB2312" w:eastAsia="仿宋_GB2312"/>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年市政管理处三公经费支出合计0.5万元，均为公务接待费，与上年持平。</w:t>
      </w:r>
      <w:r>
        <w:rPr>
          <w:rFonts w:hint="eastAsia" w:ascii="仿宋_GB2312" w:eastAsia="仿宋_GB2312"/>
          <w:sz w:val="32"/>
          <w:szCs w:val="32"/>
          <w:lang w:eastAsia="zh-CN"/>
        </w:rPr>
        <w:t>持平</w:t>
      </w:r>
      <w:r>
        <w:rPr>
          <w:rFonts w:hint="eastAsia" w:ascii="仿宋_GB2312" w:eastAsia="仿宋_GB2312"/>
          <w:sz w:val="32"/>
          <w:szCs w:val="32"/>
        </w:rPr>
        <w:t>原因：认真执行八项规定，</w:t>
      </w:r>
      <w:r>
        <w:rPr>
          <w:rFonts w:hint="eastAsia" w:ascii="仿宋_GB2312" w:hAnsi="仿宋_GB2312" w:eastAsia="仿宋_GB2312" w:cs="仿宋_GB2312"/>
          <w:sz w:val="32"/>
          <w:szCs w:val="32"/>
          <w:lang w:eastAsia="zh-CN"/>
        </w:rPr>
        <w:t>根据工作实际，</w:t>
      </w:r>
      <w:r>
        <w:rPr>
          <w:rFonts w:hint="eastAsia" w:ascii="仿宋_GB2312" w:eastAsia="仿宋_GB2312"/>
          <w:sz w:val="32"/>
          <w:szCs w:val="32"/>
        </w:rPr>
        <w:t>积极响应节能减排规定，厉行节约、压缩减少不必要的开支。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6"/>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具体支出情况如下：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6"/>
        <w:jc w:val="left"/>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仿宋_GB2312"/>
          <w:kern w:val="0"/>
          <w:sz w:val="32"/>
          <w:szCs w:val="32"/>
          <w:lang w:val="en-US" w:eastAsia="zh-CN" w:bidi="ar"/>
        </w:rPr>
        <w:t>（一）</w:t>
      </w:r>
      <w:r>
        <w:rPr>
          <w:rFonts w:hint="eastAsia" w:ascii="仿宋_GB2312" w:hAnsi="仿宋_GB2312" w:eastAsia="仿宋_GB2312" w:cs="仿宋_GB2312"/>
          <w:sz w:val="32"/>
          <w:szCs w:val="32"/>
          <w:lang w:val="en-US" w:eastAsia="zh-CN"/>
        </w:rPr>
        <w:t>因公出国（境）费 0万元。主要用于单位工作人员公务出国（境）的住宿费、旅费、伙食补助费、杂费、培训费等支出。预算数与2019年相同，均为0万元。</w:t>
      </w:r>
      <w:r>
        <w:rPr>
          <w:rFonts w:hint="eastAsia" w:ascii="仿宋_GB2312" w:eastAsia="仿宋_GB2312" w:cs="仿宋_GB2312"/>
          <w:kern w:val="0"/>
          <w:sz w:val="32"/>
          <w:szCs w:val="32"/>
          <w:lang w:val="en-US" w:eastAsia="zh-CN" w:bidi="ar"/>
        </w:rPr>
        <w:t>持平原因：我单位厉行节约、压缩减少不必要的开支。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6"/>
        <w:jc w:val="left"/>
        <w:textAlignment w:val="auto"/>
        <w:rPr>
          <w:rFonts w:hint="eastAsia" w:ascii="仿宋_GB2312"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xml:space="preserve">（二）公务用车购置及运行费 </w:t>
      </w:r>
      <w:r>
        <w:rPr>
          <w:rFonts w:hint="eastAsia" w:ascii="仿宋_GB2312" w:eastAsia="仿宋_GB2312" w:cs="仿宋_GB2312"/>
          <w:kern w:val="0"/>
          <w:sz w:val="32"/>
          <w:szCs w:val="32"/>
          <w:lang w:val="en-US" w:eastAsia="zh-CN" w:bidi="ar"/>
        </w:rPr>
        <w:t>0</w:t>
      </w:r>
      <w:r>
        <w:rPr>
          <w:rFonts w:hint="eastAsia" w:ascii="仿宋_GB2312" w:hAnsi="Calibri" w:eastAsia="仿宋_GB2312" w:cs="仿宋_GB2312"/>
          <w:kern w:val="0"/>
          <w:sz w:val="32"/>
          <w:szCs w:val="32"/>
          <w:lang w:val="en-US" w:eastAsia="zh-CN" w:bidi="ar"/>
        </w:rPr>
        <w:t>万元</w:t>
      </w:r>
      <w:r>
        <w:rPr>
          <w:rFonts w:hint="eastAsia" w:ascii="仿宋_GB2312" w:eastAsia="仿宋_GB2312" w:cs="仿宋_GB2312"/>
          <w:kern w:val="0"/>
          <w:sz w:val="32"/>
          <w:szCs w:val="32"/>
          <w:lang w:val="en-US" w:eastAsia="zh-CN" w:bidi="ar"/>
        </w:rPr>
        <w:t>，其中公务用车购置费0万元；公务用车运行维护费0万元，主要用于开展所需公务用车的燃料费、维修费、过路过桥费、保险费等支出。公务用车购置费预算数与2019年相同，均为0万元。公务用车运行维护费预算数与2019年相同，均为0万元。持平原因：认真执行八项规定，根据工作实际，积极响应节能减排规定，厉行节约、压缩减少不必要的开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6"/>
        <w:jc w:val="left"/>
        <w:textAlignment w:val="auto"/>
        <w:rPr>
          <w:rFonts w:hint="eastAsia" w:ascii="仿宋_GB2312" w:hAnsi="仿宋_GB2312" w:eastAsia="仿宋_GB2312" w:cs="仿宋_GB2312"/>
          <w:sz w:val="32"/>
          <w:szCs w:val="32"/>
          <w:lang w:eastAsia="zh-CN"/>
        </w:rPr>
      </w:pPr>
      <w:r>
        <w:rPr>
          <w:rFonts w:hint="eastAsia" w:ascii="仿宋_GB2312" w:hAnsi="Calibri" w:eastAsia="仿宋_GB2312" w:cs="仿宋_GB2312"/>
          <w:kern w:val="0"/>
          <w:sz w:val="32"/>
          <w:szCs w:val="32"/>
          <w:lang w:val="en-US" w:eastAsia="zh-CN" w:bidi="ar"/>
        </w:rPr>
        <w:t>（三）公务接待费预算数</w:t>
      </w:r>
      <w:r>
        <w:rPr>
          <w:rFonts w:hint="eastAsia" w:ascii="仿宋_GB2312" w:eastAsia="仿宋_GB2312" w:cs="仿宋_GB2312"/>
          <w:kern w:val="0"/>
          <w:sz w:val="32"/>
          <w:szCs w:val="32"/>
          <w:lang w:val="en-US" w:eastAsia="zh-CN" w:bidi="ar"/>
        </w:rPr>
        <w:t>0.5</w:t>
      </w:r>
      <w:r>
        <w:rPr>
          <w:rFonts w:hint="eastAsia" w:ascii="仿宋_GB2312" w:hAnsi="Calibri" w:eastAsia="仿宋_GB2312" w:cs="仿宋_GB2312"/>
          <w:kern w:val="0"/>
          <w:sz w:val="32"/>
          <w:szCs w:val="32"/>
          <w:lang w:val="en-US" w:eastAsia="zh-CN" w:bidi="ar"/>
        </w:rPr>
        <w:t>万元。</w:t>
      </w:r>
      <w:r>
        <w:rPr>
          <w:rFonts w:hint="eastAsia" w:ascii="仿宋_GB2312" w:eastAsia="仿宋_GB2312" w:cs="仿宋_GB2312"/>
          <w:kern w:val="0"/>
          <w:sz w:val="32"/>
          <w:szCs w:val="32"/>
          <w:lang w:val="en-US" w:eastAsia="zh-CN" w:bidi="ar"/>
        </w:rPr>
        <w:t>主要用于按规定开支的各类公务接待（含外宾接待）支出。预算数比2019年相同，均为0.5万元</w:t>
      </w:r>
      <w:r>
        <w:rPr>
          <w:rFonts w:hint="eastAsia" w:eastAsia="仿宋_GB2312"/>
          <w:lang w:val="en-US" w:eastAsia="zh-CN"/>
        </w:rPr>
        <w:t>。</w:t>
      </w:r>
      <w:r>
        <w:rPr>
          <w:rFonts w:hint="eastAsia" w:ascii="仿宋_GB2312" w:eastAsia="仿宋_GB2312" w:cs="仿宋_GB2312"/>
          <w:kern w:val="0"/>
          <w:sz w:val="32"/>
          <w:szCs w:val="32"/>
          <w:lang w:val="en-US" w:eastAsia="zh-CN" w:bidi="ar"/>
        </w:rPr>
        <w:t>主要原因 ：严格落实公务接待规定，杜绝铺张浪费，厉行节约。</w:t>
      </w:r>
    </w:p>
    <w:p>
      <w:pPr>
        <w:numPr>
          <w:ilvl w:val="0"/>
          <w:numId w:val="0"/>
        </w:numPr>
        <w:ind w:firstLine="640" w:firstLineChars="200"/>
        <w:jc w:val="left"/>
        <w:rPr>
          <w:rFonts w:hint="eastAsia" w:ascii="仿宋_GB2312" w:eastAsia="仿宋_GB2312"/>
          <w:sz w:val="32"/>
          <w:szCs w:val="32"/>
        </w:rPr>
      </w:pPr>
    </w:p>
    <w:p>
      <w:pPr>
        <w:rPr>
          <w:rFonts w:ascii="仿宋" w:hAnsi="仿宋" w:eastAsia="仿宋"/>
          <w:sz w:val="32"/>
          <w:szCs w:val="32"/>
        </w:rPr>
      </w:pPr>
      <w:r>
        <w:rPr>
          <w:rFonts w:hint="eastAsia" w:ascii="仿宋" w:hAnsi="仿宋" w:eastAsia="仿宋"/>
          <w:sz w:val="32"/>
          <w:szCs w:val="32"/>
        </w:rPr>
        <w:t xml:space="preserve">（八）政府性基金预算支出情况说明 </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年市政管理处未安排政府性基金支出</w:t>
      </w:r>
    </w:p>
    <w:p>
      <w:pPr>
        <w:rPr>
          <w:rFonts w:ascii="仿宋" w:hAnsi="仿宋" w:eastAsia="仿宋"/>
          <w:sz w:val="32"/>
          <w:szCs w:val="32"/>
        </w:rPr>
      </w:pPr>
      <w:r>
        <w:rPr>
          <w:rFonts w:hint="eastAsia" w:ascii="仿宋" w:hAnsi="仿宋" w:eastAsia="仿宋"/>
          <w:sz w:val="32"/>
          <w:szCs w:val="32"/>
        </w:rPr>
        <w:t>(九)其他重要事项的情况说明</w:t>
      </w:r>
    </w:p>
    <w:p>
      <w:pPr>
        <w:ind w:firstLine="160" w:firstLineChars="50"/>
        <w:rPr>
          <w:rFonts w:ascii="仿宋" w:hAnsi="仿宋" w:eastAsia="仿宋"/>
          <w:sz w:val="32"/>
          <w:szCs w:val="32"/>
        </w:rPr>
      </w:pPr>
      <w:r>
        <w:rPr>
          <w:rFonts w:hint="eastAsia" w:ascii="仿宋" w:hAnsi="仿宋" w:eastAsia="仿宋"/>
          <w:sz w:val="32"/>
          <w:szCs w:val="32"/>
        </w:rPr>
        <w:t>1、运行经费支出情况</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年市政管理处运行经费安排</w:t>
      </w:r>
      <w:r>
        <w:rPr>
          <w:rFonts w:hint="eastAsia" w:ascii="仿宋" w:hAnsi="仿宋" w:eastAsia="仿宋"/>
          <w:sz w:val="32"/>
          <w:szCs w:val="32"/>
          <w:lang w:val="en-US" w:eastAsia="zh-CN"/>
        </w:rPr>
        <w:t>1</w:t>
      </w:r>
      <w:r>
        <w:rPr>
          <w:rFonts w:hint="eastAsia" w:ascii="仿宋" w:hAnsi="仿宋" w:eastAsia="仿宋"/>
          <w:sz w:val="32"/>
          <w:szCs w:val="32"/>
        </w:rPr>
        <w:t>.5万元，其中：会议费0.5万元，培训费0.5万元，公务接待0.5万元</w:t>
      </w:r>
      <w:bookmarkStart w:id="0" w:name="_GoBack"/>
      <w:bookmarkEnd w:id="0"/>
      <w:r>
        <w:rPr>
          <w:rFonts w:hint="eastAsia" w:ascii="仿宋" w:hAnsi="仿宋" w:eastAsia="仿宋"/>
          <w:sz w:val="32"/>
          <w:szCs w:val="32"/>
        </w:rPr>
        <w:t>，同上年</w:t>
      </w:r>
      <w:r>
        <w:rPr>
          <w:rFonts w:hint="eastAsia" w:ascii="仿宋" w:hAnsi="仿宋" w:eastAsia="仿宋"/>
          <w:sz w:val="32"/>
          <w:szCs w:val="32"/>
          <w:lang w:val="en-US" w:eastAsia="zh-CN"/>
        </w:rPr>
        <w:t>相比减少了0.5万元。主要原因是</w:t>
      </w:r>
      <w:r>
        <w:rPr>
          <w:rFonts w:hint="eastAsia" w:ascii="仿宋_GB2312" w:eastAsia="仿宋_GB2312" w:cs="仿宋_GB2312"/>
          <w:kern w:val="0"/>
          <w:sz w:val="32"/>
          <w:szCs w:val="32"/>
          <w:lang w:val="en-US" w:eastAsia="zh-CN" w:bidi="ar"/>
        </w:rPr>
        <w:t>厉行节约</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2、国有资产占用情况</w:t>
      </w:r>
    </w:p>
    <w:p>
      <w:pPr>
        <w:ind w:firstLine="640" w:firstLineChars="200"/>
        <w:rPr>
          <w:rFonts w:ascii="仿宋" w:hAnsi="仿宋" w:eastAsia="仿宋"/>
          <w:sz w:val="32"/>
          <w:szCs w:val="32"/>
        </w:rPr>
      </w:pPr>
      <w:r>
        <w:rPr>
          <w:rFonts w:hint="eastAsia" w:ascii="仿宋" w:hAnsi="仿宋" w:eastAsia="仿宋"/>
          <w:sz w:val="32"/>
          <w:szCs w:val="32"/>
        </w:rPr>
        <w:t>不存在国有资产占用情况。</w:t>
      </w:r>
    </w:p>
    <w:p>
      <w:pPr>
        <w:rPr>
          <w:rFonts w:ascii="仿宋" w:hAnsi="仿宋" w:eastAsia="仿宋"/>
          <w:sz w:val="32"/>
          <w:szCs w:val="32"/>
        </w:rPr>
      </w:pPr>
      <w:r>
        <w:rPr>
          <w:rFonts w:hint="eastAsia" w:ascii="仿宋" w:hAnsi="仿宋" w:eastAsia="仿宋"/>
          <w:sz w:val="32"/>
          <w:szCs w:val="32"/>
        </w:rPr>
        <w:t>3、绩效</w:t>
      </w:r>
      <w:r>
        <w:rPr>
          <w:rFonts w:hint="eastAsia" w:ascii="仿宋" w:hAnsi="仿宋" w:eastAsia="仿宋"/>
          <w:sz w:val="32"/>
          <w:szCs w:val="32"/>
          <w:lang w:val="en-US" w:eastAsia="zh-CN"/>
        </w:rPr>
        <w:t>目标设置</w:t>
      </w:r>
      <w:r>
        <w:rPr>
          <w:rFonts w:hint="eastAsia" w:ascii="仿宋" w:hAnsi="仿宋" w:eastAsia="仿宋"/>
          <w:sz w:val="32"/>
          <w:szCs w:val="32"/>
        </w:rPr>
        <w:t>情况</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市政管理处20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部门预算编制工作坚持突出绩效，科学引导。按照“花钱必问效、无效必问责”的原则，加快建立全过程预算绩效管理机制，将预算项目安排与预算执行进度、审计检查结果相结合，建立健全以绩效为导向的预算分配机制，提高资金使用效益，加快消化上年结转存量资金。</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、专项转移支付项目情况</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不存在专项转移支付情况。</w:t>
      </w:r>
    </w:p>
    <w:p>
      <w:pPr>
        <w:ind w:firstLine="640" w:firstLineChars="200"/>
        <w:rPr>
          <w:rFonts w:ascii="仿宋" w:hAnsi="仿宋" w:eastAsia="仿宋"/>
          <w:sz w:val="32"/>
          <w:szCs w:val="32"/>
        </w:rPr>
      </w:pPr>
      <w:r>
        <w:rPr>
          <w:rFonts w:hint="eastAsia" w:ascii="仿宋" w:hAnsi="仿宋" w:eastAsia="仿宋"/>
          <w:sz w:val="32"/>
          <w:szCs w:val="32"/>
        </w:rPr>
        <w:t>三、名词解释</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一般公共预算：</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指政府凭借国家政治权力，以社会管理者身份筹集以税收为主体的财政收入，用于保障和改善民生、维持国家行政职能正常运转、保障国家安全等方面的收支预算。</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政府性基金预算：</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是指依照法律、法规并经有关部门批准设立，凭借行政权利或政府信誉，向单位和个人征收的具有专项用途的资金。设立政府基金的目的，主要是支持某项特定产业和事业发展。其主要形式包括各种基金、资金、附加和专项收费等。</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附件：20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年预算公开表附表-安阳高新技术产业开发区市政管理处</w:t>
      </w:r>
    </w:p>
    <w:p>
      <w:pPr>
        <w:kinsoku w:val="0"/>
        <w:overflowPunct w:val="0"/>
        <w:autoSpaceDE w:val="0"/>
        <w:autoSpaceDN w:val="0"/>
        <w:adjustRightInd w:val="0"/>
        <w:snapToGrid w:val="0"/>
        <w:spacing w:line="360" w:lineRule="auto"/>
        <w:rPr>
          <w:rFonts w:ascii="仿宋" w:hAnsi="仿宋" w:eastAsia="仿宋" w:cs="Courier New"/>
          <w:sz w:val="32"/>
          <w:szCs w:val="32"/>
        </w:rPr>
      </w:pPr>
    </w:p>
    <w:p>
      <w:pPr>
        <w:ind w:firstLine="4960" w:firstLineChars="1550"/>
        <w:rPr>
          <w:rFonts w:ascii="仿宋" w:hAnsi="仿宋" w:eastAsia="仿宋"/>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94F"/>
    <w:multiLevelType w:val="multilevel"/>
    <w:tmpl w:val="026579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37AEF"/>
    <w:multiLevelType w:val="singleLevel"/>
    <w:tmpl w:val="6E837AE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1D"/>
    <w:rsid w:val="00075A69"/>
    <w:rsid w:val="000A61FF"/>
    <w:rsid w:val="000A69BB"/>
    <w:rsid w:val="000C2ED3"/>
    <w:rsid w:val="000C4E1D"/>
    <w:rsid w:val="000C5A82"/>
    <w:rsid w:val="00105546"/>
    <w:rsid w:val="00110EA5"/>
    <w:rsid w:val="0017244F"/>
    <w:rsid w:val="001815AB"/>
    <w:rsid w:val="0018447B"/>
    <w:rsid w:val="0019187E"/>
    <w:rsid w:val="001A23DA"/>
    <w:rsid w:val="001D3C1B"/>
    <w:rsid w:val="002115F6"/>
    <w:rsid w:val="00215B35"/>
    <w:rsid w:val="002505AB"/>
    <w:rsid w:val="00252537"/>
    <w:rsid w:val="002E6157"/>
    <w:rsid w:val="003126AA"/>
    <w:rsid w:val="00330768"/>
    <w:rsid w:val="003463AE"/>
    <w:rsid w:val="00346F5B"/>
    <w:rsid w:val="00371256"/>
    <w:rsid w:val="003B72B9"/>
    <w:rsid w:val="003E0E52"/>
    <w:rsid w:val="00403648"/>
    <w:rsid w:val="004060EF"/>
    <w:rsid w:val="00406918"/>
    <w:rsid w:val="00421F52"/>
    <w:rsid w:val="00437C65"/>
    <w:rsid w:val="00463000"/>
    <w:rsid w:val="00483157"/>
    <w:rsid w:val="004956AC"/>
    <w:rsid w:val="004D5189"/>
    <w:rsid w:val="004E0D07"/>
    <w:rsid w:val="00516F2C"/>
    <w:rsid w:val="005324A8"/>
    <w:rsid w:val="00552533"/>
    <w:rsid w:val="005667C5"/>
    <w:rsid w:val="00567A4A"/>
    <w:rsid w:val="005D44EC"/>
    <w:rsid w:val="00610480"/>
    <w:rsid w:val="006250C1"/>
    <w:rsid w:val="00661F14"/>
    <w:rsid w:val="00666E38"/>
    <w:rsid w:val="006E131A"/>
    <w:rsid w:val="006F6FE7"/>
    <w:rsid w:val="0071392D"/>
    <w:rsid w:val="00751B9C"/>
    <w:rsid w:val="00771443"/>
    <w:rsid w:val="007B2DA9"/>
    <w:rsid w:val="007B779C"/>
    <w:rsid w:val="007F682D"/>
    <w:rsid w:val="0084103F"/>
    <w:rsid w:val="0089411F"/>
    <w:rsid w:val="008957B5"/>
    <w:rsid w:val="00896C3E"/>
    <w:rsid w:val="008A7278"/>
    <w:rsid w:val="008D3617"/>
    <w:rsid w:val="008D5876"/>
    <w:rsid w:val="008D5CDE"/>
    <w:rsid w:val="008E068A"/>
    <w:rsid w:val="008E435C"/>
    <w:rsid w:val="009126CB"/>
    <w:rsid w:val="00913553"/>
    <w:rsid w:val="00920EE4"/>
    <w:rsid w:val="009216BD"/>
    <w:rsid w:val="00926A31"/>
    <w:rsid w:val="009415F3"/>
    <w:rsid w:val="0097590C"/>
    <w:rsid w:val="009F5F8D"/>
    <w:rsid w:val="00A008DC"/>
    <w:rsid w:val="00A07804"/>
    <w:rsid w:val="00A24487"/>
    <w:rsid w:val="00A32813"/>
    <w:rsid w:val="00A47DA5"/>
    <w:rsid w:val="00B139D0"/>
    <w:rsid w:val="00B277B0"/>
    <w:rsid w:val="00B46DD1"/>
    <w:rsid w:val="00B9709B"/>
    <w:rsid w:val="00BA199C"/>
    <w:rsid w:val="00BC7A59"/>
    <w:rsid w:val="00BD7828"/>
    <w:rsid w:val="00C24E0B"/>
    <w:rsid w:val="00C335FD"/>
    <w:rsid w:val="00C55B4A"/>
    <w:rsid w:val="00C91AA4"/>
    <w:rsid w:val="00CB223E"/>
    <w:rsid w:val="00D30948"/>
    <w:rsid w:val="00D3639C"/>
    <w:rsid w:val="00D518E8"/>
    <w:rsid w:val="00D53E49"/>
    <w:rsid w:val="00D631B3"/>
    <w:rsid w:val="00DA3AC5"/>
    <w:rsid w:val="00DC76AB"/>
    <w:rsid w:val="00DD4403"/>
    <w:rsid w:val="00DE1A0A"/>
    <w:rsid w:val="00E04B7E"/>
    <w:rsid w:val="00E13BC3"/>
    <w:rsid w:val="00E2043C"/>
    <w:rsid w:val="00E25956"/>
    <w:rsid w:val="00E26ECA"/>
    <w:rsid w:val="00E8346C"/>
    <w:rsid w:val="00E87A08"/>
    <w:rsid w:val="00E92975"/>
    <w:rsid w:val="00EA3005"/>
    <w:rsid w:val="00EE6264"/>
    <w:rsid w:val="00EE7A1C"/>
    <w:rsid w:val="00EF64A0"/>
    <w:rsid w:val="00F475B6"/>
    <w:rsid w:val="00F9542C"/>
    <w:rsid w:val="00FD716B"/>
    <w:rsid w:val="00FE7E72"/>
    <w:rsid w:val="00FF0563"/>
    <w:rsid w:val="00FF313D"/>
    <w:rsid w:val="114675C1"/>
    <w:rsid w:val="263C029C"/>
    <w:rsid w:val="269C562B"/>
    <w:rsid w:val="39FA05AD"/>
    <w:rsid w:val="449A19DF"/>
    <w:rsid w:val="45191F14"/>
    <w:rsid w:val="4A4D331A"/>
    <w:rsid w:val="517822FD"/>
    <w:rsid w:val="57763649"/>
    <w:rsid w:val="62AC4645"/>
    <w:rsid w:val="71C85671"/>
    <w:rsid w:val="7A0130B6"/>
    <w:rsid w:val="7ECD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261</Words>
  <Characters>1491</Characters>
  <Lines>12</Lines>
  <Paragraphs>3</Paragraphs>
  <TotalTime>10</TotalTime>
  <ScaleCrop>false</ScaleCrop>
  <LinksUpToDate>false</LinksUpToDate>
  <CharactersWithSpaces>1749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2019-04-09T09:03:00Z</dcterms:created>
  <dc:creator>USER</dc:creator>
  <cp:lastModifiedBy>厚道&amp;</cp:lastModifiedBy>
  <cp:lastPrinted>2018-10-10T01:24:00Z</cp:lastPrinted>
  <dcterms:modified xsi:type="dcterms:W3CDTF">2020-11-02T03:02:17Z</dcterms:modified>
  <dc:title>2016年林州市财政局部门预算说明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