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26326033"/>
      <w:bookmarkStart w:id="1" w:name="_Toc508350055"/>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hint="eastAsia" w:ascii="Times New Roman" w:hAnsi="Times New Roman" w:eastAsia="仿宋_GB2312" w:cs="Times New Roman"/>
          <w:b/>
          <w:bCs/>
          <w:kern w:val="0"/>
          <w:sz w:val="28"/>
          <w:szCs w:val="28"/>
          <w:lang w:val="en-US" w:eastAsia="zh-CN"/>
        </w:rPr>
        <w:t>5</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3</w:t>
      </w:r>
      <w:r>
        <w:rPr>
          <w:rFonts w:ascii="Times New Roman" w:hAnsi="Times New Roman" w:eastAsia="仿宋_GB2312" w:cs="Times New Roman"/>
          <w:b/>
          <w:bCs/>
          <w:kern w:val="0"/>
          <w:sz w:val="28"/>
          <w:szCs w:val="28"/>
        </w:rPr>
        <w:t>批交办问题办理结果通报如下：</w:t>
      </w:r>
      <w:bookmarkStart w:id="2" w:name="_GoBack"/>
      <w:bookmarkEnd w:id="2"/>
    </w:p>
    <w:tbl>
      <w:tblPr>
        <w:tblStyle w:val="4"/>
        <w:tblW w:w="0" w:type="auto"/>
        <w:jc w:val="center"/>
        <w:tblLayout w:type="fixed"/>
        <w:tblCellMar>
          <w:top w:w="0" w:type="dxa"/>
          <w:left w:w="108" w:type="dxa"/>
          <w:bottom w:w="0" w:type="dxa"/>
          <w:right w:w="108" w:type="dxa"/>
        </w:tblCellMar>
      </w:tblPr>
      <w:tblGrid>
        <w:gridCol w:w="898"/>
        <w:gridCol w:w="1567"/>
        <w:gridCol w:w="1874"/>
        <w:gridCol w:w="4153"/>
        <w:gridCol w:w="1372"/>
        <w:gridCol w:w="3039"/>
        <w:gridCol w:w="705"/>
      </w:tblGrid>
      <w:tr>
        <w:tblPrEx>
          <w:tblCellMar>
            <w:top w:w="0" w:type="dxa"/>
            <w:left w:w="108" w:type="dxa"/>
            <w:bottom w:w="0" w:type="dxa"/>
            <w:right w:w="108" w:type="dxa"/>
          </w:tblCellMar>
        </w:tblPrEx>
        <w:trPr>
          <w:trHeight w:val="739" w:hRule="atLeast"/>
          <w:jc w:val="center"/>
        </w:trPr>
        <w:tc>
          <w:tcPr>
            <w:tcW w:w="898"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56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受理编号</w:t>
            </w:r>
          </w:p>
        </w:tc>
        <w:tc>
          <w:tcPr>
            <w:tcW w:w="1874"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生态环境信访问题具体内容</w:t>
            </w:r>
          </w:p>
        </w:tc>
        <w:tc>
          <w:tcPr>
            <w:tcW w:w="4153"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调查核实情况</w:t>
            </w:r>
          </w:p>
        </w:tc>
        <w:tc>
          <w:tcPr>
            <w:tcW w:w="1372"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是否属实</w:t>
            </w:r>
          </w:p>
        </w:tc>
        <w:tc>
          <w:tcPr>
            <w:tcW w:w="3039" w:type="dxa"/>
            <w:tcBorders>
              <w:top w:val="single" w:color="auto" w:sz="8"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处理处罚和问责情况</w:t>
            </w:r>
          </w:p>
        </w:tc>
        <w:tc>
          <w:tcPr>
            <w:tcW w:w="705"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CellMar>
            <w:top w:w="0" w:type="dxa"/>
            <w:left w:w="108" w:type="dxa"/>
            <w:bottom w:w="0" w:type="dxa"/>
            <w:right w:w="108" w:type="dxa"/>
          </w:tblCellMar>
        </w:tblPrEx>
        <w:trPr>
          <w:trHeight w:val="4762" w:hRule="atLeast"/>
          <w:jc w:val="center"/>
        </w:trPr>
        <w:tc>
          <w:tcPr>
            <w:tcW w:w="898"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w:t>
            </w:r>
          </w:p>
        </w:tc>
        <w:tc>
          <w:tcPr>
            <w:tcW w:w="156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D410500000000</w:t>
            </w:r>
          </w:p>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201911280005</w:t>
            </w:r>
          </w:p>
        </w:tc>
        <w:tc>
          <w:tcPr>
            <w:tcW w:w="187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殷都区洪河屯乡，董庄村不能烧煤取暖，附近村能烧煤。</w:t>
            </w:r>
          </w:p>
        </w:tc>
        <w:tc>
          <w:tcPr>
            <w:tcW w:w="41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经现场核查，反映问题</w:t>
            </w:r>
            <w:r>
              <w:rPr>
                <w:rFonts w:hint="eastAsia" w:ascii="仿宋_GB2312" w:hAnsi="仿宋_GB2312" w:eastAsia="仿宋_GB2312" w:cs="仿宋_GB2312"/>
                <w:b/>
                <w:bCs/>
                <w:sz w:val="18"/>
                <w:szCs w:val="18"/>
                <w:lang w:val="en-US" w:eastAsia="zh-CN"/>
              </w:rPr>
              <w:t>不属实</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lang w:eastAsia="zh-CN"/>
              </w:rPr>
              <w:t>洪河屯乡</w:t>
            </w:r>
            <w:r>
              <w:rPr>
                <w:rFonts w:hint="eastAsia" w:ascii="仿宋_GB2312" w:hAnsi="仿宋_GB2312" w:eastAsia="仿宋_GB2312" w:cs="仿宋_GB2312"/>
                <w:sz w:val="18"/>
                <w:szCs w:val="18"/>
              </w:rPr>
              <w:t>人民政府</w:t>
            </w:r>
            <w:r>
              <w:rPr>
                <w:rFonts w:hint="eastAsia" w:ascii="仿宋_GB2312" w:hAnsi="仿宋_GB2312" w:eastAsia="仿宋_GB2312" w:cs="仿宋_GB2312"/>
                <w:sz w:val="18"/>
                <w:szCs w:val="18"/>
                <w:lang w:eastAsia="zh-CN"/>
              </w:rPr>
              <w:t>、区发改委和</w:t>
            </w:r>
            <w:r>
              <w:rPr>
                <w:rFonts w:hint="eastAsia" w:ascii="仿宋_GB2312" w:hAnsi="仿宋_GB2312" w:eastAsia="仿宋_GB2312" w:cs="仿宋_GB2312"/>
                <w:sz w:val="18"/>
                <w:szCs w:val="18"/>
              </w:rPr>
              <w:t>市场监督管理局</w:t>
            </w:r>
            <w:r>
              <w:rPr>
                <w:rFonts w:hint="eastAsia" w:ascii="仿宋_GB2312" w:hAnsi="仿宋_GB2312" w:eastAsia="仿宋_GB2312" w:cs="仿宋_GB2312"/>
                <w:sz w:val="18"/>
                <w:szCs w:val="18"/>
                <w:lang w:eastAsia="zh-CN"/>
              </w:rPr>
              <w:t>联合调查</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董庄村是2017年双替代整体推进村，董庄村在2017年完成了电网改造和通天然气，实现了散煤清零和全村整体替代</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随机走访该村5户人家，没有发现有烧煤的情况</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董庄所邻黄庄、连庄</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葛庄和豆公四个村均为2019年双替整体推进村，在董庄2017年整体推进双替代工作，不允许烧煤后，2018年这四个村是允许使用清洁型煤的，但2019年进行整体双替代后，也是不允许使用燃煤的</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随机入户走访，每村走访5户，没有发现有使用燃煤取暖做饭的情况</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这四个村的20户群众都是使用电、气做饭，使用壁挂炉或空调、电暖器取暖</w:t>
            </w:r>
            <w:r>
              <w:rPr>
                <w:rFonts w:hint="eastAsia" w:ascii="仿宋_GB2312" w:hAnsi="仿宋_GB2312" w:eastAsia="仿宋_GB2312" w:cs="仿宋_GB2312"/>
                <w:sz w:val="18"/>
                <w:szCs w:val="18"/>
                <w:lang w:eastAsia="zh-CN"/>
              </w:rPr>
              <w:t>。</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不属实</w:t>
            </w:r>
          </w:p>
        </w:tc>
        <w:tc>
          <w:tcPr>
            <w:tcW w:w="30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rPr>
            </w:pPr>
          </w:p>
        </w:tc>
        <w:tc>
          <w:tcPr>
            <w:tcW w:w="70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246"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D410500000000</w:t>
            </w:r>
          </w:p>
          <w:p>
            <w:pPr>
              <w:keepNext w:val="0"/>
              <w:keepLines w:val="0"/>
              <w:widowControl/>
              <w:suppressLineNumbers w:val="0"/>
              <w:jc w:val="center"/>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20191128000</w:t>
            </w:r>
            <w:r>
              <w:rPr>
                <w:rFonts w:hint="eastAsia" w:ascii="仿宋_GB2312" w:hAnsi="仿宋_GB2312" w:eastAsia="仿宋_GB2312" w:cs="仿宋_GB2312"/>
                <w:kern w:val="0"/>
                <w:sz w:val="18"/>
                <w:szCs w:val="18"/>
                <w:lang w:val="en-US" w:eastAsia="zh-CN"/>
              </w:rPr>
              <w:t>4</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林州市五龙镇，河头村，房屋拆迁，扬尘面积大。</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2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widowControl/>
              <w:suppressLineNumbers w:val="0"/>
              <w:jc w:val="left"/>
              <w:textAlignment w:val="center"/>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 xml:space="preserve">属实 </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68"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D410500000000</w:t>
            </w:r>
          </w:p>
          <w:p>
            <w:pPr>
              <w:keepNext w:val="0"/>
              <w:keepLines w:val="0"/>
              <w:widowControl/>
              <w:suppressLineNumbers w:val="0"/>
              <w:jc w:val="center"/>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20191128000</w:t>
            </w:r>
            <w:r>
              <w:rPr>
                <w:rFonts w:hint="eastAsia" w:ascii="仿宋_GB2312" w:hAnsi="仿宋_GB2312" w:eastAsia="仿宋_GB2312" w:cs="仿宋_GB2312"/>
                <w:kern w:val="0"/>
                <w:sz w:val="18"/>
                <w:szCs w:val="18"/>
                <w:lang w:val="en-US" w:eastAsia="zh-CN"/>
              </w:rPr>
              <w:t>3</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林州市五龙镇河头村，房屋拆迁，扬尘污染大。</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2597"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D410500000000</w:t>
            </w:r>
          </w:p>
          <w:p>
            <w:pPr>
              <w:keepNext w:val="0"/>
              <w:keepLines w:val="0"/>
              <w:widowControl/>
              <w:suppressLineNumbers w:val="0"/>
              <w:jc w:val="center"/>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20191128000</w:t>
            </w:r>
            <w:r>
              <w:rPr>
                <w:rFonts w:hint="eastAsia" w:ascii="仿宋_GB2312" w:hAnsi="仿宋_GB2312" w:eastAsia="仿宋_GB2312" w:cs="仿宋_GB2312"/>
                <w:kern w:val="0"/>
                <w:sz w:val="18"/>
                <w:szCs w:val="18"/>
                <w:lang w:val="en-US" w:eastAsia="zh-CN"/>
              </w:rPr>
              <w:t>2</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汤阴县文笔路，老房产局院内，有切割机噪音。</w:t>
            </w:r>
          </w:p>
        </w:tc>
        <w:tc>
          <w:tcPr>
            <w:tcW w:w="4153" w:type="dxa"/>
            <w:tcBorders>
              <w:top w:val="single" w:color="auto" w:sz="4" w:space="0"/>
              <w:left w:val="nil"/>
              <w:bottom w:val="single" w:color="auto" w:sz="4" w:space="0"/>
              <w:right w:val="single" w:color="auto" w:sz="4" w:space="0"/>
            </w:tcBorders>
            <w:noWrap w:val="0"/>
            <w:vAlign w:val="center"/>
          </w:tcPr>
          <w:p>
            <w:pPr>
              <w:jc w:val="both"/>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经现场核查，反映问题基本属实。举报地点老房产局院，现为汤阴县政通路提升改造施工单位租赁作为临时项目部开会使用，政通路改造已接近尾声，仅剩门窗工作还未进行，因近期天气变冷，施工单位为赶工期、节约成本，临时在项目部赶制窗花样品，其中涉及到要用切割机切割，造成了噪声污染。目前，现场已整改到位。</w:t>
            </w:r>
          </w:p>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部分属实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val="en-US" w:eastAsia="zh-CN"/>
              </w:rPr>
              <w:t>汤阴县城市管理局已第一时间对项目单位下达了限期整改通知书，并责令当事人对噪音扰民的事实进行立即整改。同时，汤阴县住建局已责令甲方代表、监理、施工单位共同对老房产局院内物品进行封存，封存后统一运输到专业厂房内进行加工制作，对其行为由监理开具罚单进行处罚，并让施工单位保证，项目部仅作为开会使用，不允许再出现任何噪音问题，如若再犯，对施工单位进行退场处理。</w:t>
            </w: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D410500000000</w:t>
            </w:r>
          </w:p>
          <w:p>
            <w:pPr>
              <w:keepNext w:val="0"/>
              <w:keepLines w:val="0"/>
              <w:widowControl/>
              <w:suppressLineNumbers w:val="0"/>
              <w:jc w:val="center"/>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20191128000</w:t>
            </w:r>
            <w:r>
              <w:rPr>
                <w:rFonts w:hint="eastAsia" w:ascii="仿宋_GB2312" w:hAnsi="仿宋_GB2312" w:eastAsia="仿宋_GB2312" w:cs="仿宋_GB2312"/>
                <w:kern w:val="0"/>
                <w:sz w:val="18"/>
                <w:szCs w:val="18"/>
                <w:lang w:val="en-US" w:eastAsia="zh-CN"/>
              </w:rPr>
              <w:t>1</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林州市五龙镇，河头村，房屋拆迁扬尘污染，村西头夜里河边开挖石头，破坏水渠和道路。</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2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bl>
    <w:p>
      <w:pPr>
        <w:rPr>
          <w:rFonts w:hint="eastAsia" w:ascii="Times New Roman" w:hAnsi="Times New Roman" w:eastAsia="仿宋_GB2312" w:cs="Times New Roman"/>
          <w:b/>
          <w:bCs/>
          <w:kern w:val="0"/>
          <w:sz w:val="28"/>
          <w:szCs w:val="28"/>
          <w:lang w:eastAsia="zh-CN"/>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rPr>
          <w:rFonts w:hint="eastAsia" w:ascii="Times New Roman" w:hAnsi="Times New Roman" w:eastAsia="仿宋_GB2312" w:cs="Times New Roman"/>
          <w:b/>
          <w:bCs/>
          <w:kern w:val="0"/>
          <w:sz w:val="28"/>
          <w:szCs w:val="28"/>
          <w:lang w:eastAsia="zh-CN"/>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2</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4"/>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w:t>
            </w:r>
          </w:p>
        </w:tc>
        <w:tc>
          <w:tcPr>
            <w:tcW w:w="676" w:type="dxa"/>
            <w:noWrap w:val="0"/>
            <w:tcMar>
              <w:top w:w="0" w:type="dxa"/>
              <w:left w:w="108" w:type="dxa"/>
              <w:bottom w:w="0" w:type="dxa"/>
              <w:right w:w="108" w:type="dxa"/>
            </w:tcMar>
            <w:vAlign w:val="center"/>
          </w:tcPr>
          <w:p>
            <w:pPr>
              <w:widowControl/>
              <w:tabs>
                <w:tab w:val="center" w:pos="289"/>
                <w:tab w:val="left" w:pos="407"/>
              </w:tabs>
              <w:jc w:val="lef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ab/>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lang w:val="en-US" w:eastAsia="zh-CN"/>
              </w:rPr>
              <w:tab/>
            </w:r>
          </w:p>
        </w:tc>
        <w:tc>
          <w:tcPr>
            <w:tcW w:w="788"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4</w:t>
            </w:r>
          </w:p>
        </w:tc>
        <w:tc>
          <w:tcPr>
            <w:tcW w:w="676" w:type="dxa"/>
            <w:noWrap w:val="0"/>
            <w:tcMar>
              <w:top w:w="0" w:type="dxa"/>
              <w:left w:w="108" w:type="dxa"/>
              <w:bottom w:w="0" w:type="dxa"/>
              <w:right w:w="108" w:type="dxa"/>
            </w:tcMar>
            <w:vAlign w:val="center"/>
          </w:tcPr>
          <w:p>
            <w:pPr>
              <w:widowControl/>
              <w:tabs>
                <w:tab w:val="center" w:pos="289"/>
                <w:tab w:val="left" w:pos="407"/>
              </w:tabs>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ab/>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lang w:val="en-US" w:eastAsia="zh-CN"/>
              </w:rPr>
              <w:tab/>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2</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4"/>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仿宋" w:cs="Times New Roman"/>
          <w:sz w:val="32"/>
          <w:szCs w:val="32"/>
        </w:rPr>
      </w:pPr>
    </w:p>
    <w:p>
      <w:pPr>
        <w:widowControl/>
        <w:jc w:val="left"/>
      </w:pPr>
    </w:p>
    <w:p>
      <w:pPr>
        <w:rPr>
          <w:rFonts w:hint="eastAsia" w:ascii="Times New Roman" w:hAnsi="Times New Roman" w:eastAsia="仿宋_GB2312" w:cs="Times New Roman"/>
          <w:b/>
          <w:bCs/>
          <w:kern w:val="0"/>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C7583"/>
    <w:rsid w:val="091B361F"/>
    <w:rsid w:val="09652A89"/>
    <w:rsid w:val="0A791414"/>
    <w:rsid w:val="0F9275E8"/>
    <w:rsid w:val="0F971B6B"/>
    <w:rsid w:val="1D0C4C60"/>
    <w:rsid w:val="1D3F14BE"/>
    <w:rsid w:val="228153C6"/>
    <w:rsid w:val="24BA396D"/>
    <w:rsid w:val="29E50B2C"/>
    <w:rsid w:val="30093F6F"/>
    <w:rsid w:val="335F4E8E"/>
    <w:rsid w:val="41600AD7"/>
    <w:rsid w:val="48125B55"/>
    <w:rsid w:val="4C9A7E1F"/>
    <w:rsid w:val="515C3310"/>
    <w:rsid w:val="5589444E"/>
    <w:rsid w:val="5759236D"/>
    <w:rsid w:val="5EA95C16"/>
    <w:rsid w:val="60296E58"/>
    <w:rsid w:val="602E0638"/>
    <w:rsid w:val="704E4532"/>
    <w:rsid w:val="74AF43BC"/>
    <w:rsid w:val="7D86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@虔诚</cp:lastModifiedBy>
  <cp:lastPrinted>2019-12-02T00:58:00Z</cp:lastPrinted>
  <dcterms:modified xsi:type="dcterms:W3CDTF">2019-12-02T10:27:08Z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