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center"/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目</w:t>
      </w:r>
      <w:r>
        <w:rPr>
          <w:rFonts w:hint="eastAsia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 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center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lang w:val="en-US"/>
        </w:rPr>
      </w:pPr>
      <w:r>
        <w:rPr>
          <w:rFonts w:hint="eastAsia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一、预算绩效管理工作及重大政策、重点项目绩效执行情况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二、举借债务情况说明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三、财政转移支付安排执行情况</w:t>
      </w:r>
      <w:r>
        <w:rPr>
          <w:rFonts w:ascii="Calibri" w:hAnsi="Calibri" w:eastAsia="微软雅黑" w:cs="Calibri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center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center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2019年政府决算相关说明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lang w:val="en-US"/>
        </w:rPr>
      </w:pPr>
      <w:r>
        <w:rPr>
          <w:rFonts w:hint="eastAsia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一、预算绩效管理工作及重大政策、重点项目绩效执行情况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仿宋_GB2312" w:hAnsi="微软雅黑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按照中央、省厅的部署，积极推进预算绩效管理改革，强基础、补短板，大力开展市本级预算绩效管理工作,将绩效管理融入预算编制、执行、公开全过程。</w:t>
      </w: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推进绩效目标全覆盖。针对随预算编制“一上”环节报送的680余个预算项目的绩效目标、指标等进行初审，提出上千条意见建议，努力将绩效目标管理覆盖所有财政资金。</w:t>
      </w: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试点开展重点项目绩效评价。6月份局预算评审中心对小麦高标准粮田航空植保专业化统防统治、普通本科高校和高等职业学校国家奖助学金、困难残疾人生活补贴和重度残疾人护理补贴3个项目进行了项目绩效评价，共涉及财政专项资金1.1亿元。</w:t>
      </w: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三是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试行事前绩效评估机制。印发《2020年市级预算新增项目事前绩效评估目标设定和审核办法》，对18个项目开展事前绩效评估并提出修改完善意见，涉及资金2.3亿元。</w:t>
      </w: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四是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开展绩效自评工作。推动各预算部门对2019年项目支出开展绩效自评，截止2019年底，共受理项目绩效自评报告224份，涉及财政资金9.5亿元。</w:t>
      </w: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五是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举办两期绩效管理业务培训。邀请业内人士就当前绩效管理有关政策、案例对市级预算部门和县区财政部门共500余人开展了预算绩效管理业务培训。</w:t>
      </w:r>
    </w:p>
    <w:p>
      <w:pPr>
        <w:ind w:firstLine="643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举借债务情况说明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按照预算法规定，从2015年起，国家对政府债务余额实行限额管理，即年度政府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债务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的余额不得突破批准的限额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省财政厅核定我市201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年政府债务限额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346.1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亿元(一般债务17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亿元，专项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务1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66.4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亿元)。经市人大常委会批准，201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年市本级政府债务限额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99.5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亿元(一般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债务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52.9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亿元，专项债务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亿元)，县(市、区)政府债务限额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246.5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亿元(一般债务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126.8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亿元，专项债务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119.8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截止201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年底，全市政府债务余额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309.3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亿元(一般债务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160.9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亿元，专项债务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148.4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亿元)，其中，市本级政府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务余额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95.6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亿元(一般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债务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亿元，专项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债务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45.4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元），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债务期限包括3年期、5年期、7年期、10年期等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县(市、区)政府债务余额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213.8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亿元(一般债务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110.8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亿元，专项债务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103.0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亿元)，债务期限包括3年期、5年期、7年期、10年期等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全市政府债务余额低于省财政厅核定的限额，政府债务风险，总体可控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年全市争取政府债券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68.1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亿元，其中，一般债券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亿元，专项债券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47.6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亿元。具体为:争取新增政府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般债券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亿元，其中，市本级使用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亿元，转贷县(市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亿元，新增一般债券资金主要用于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道路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公路、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铁路干线、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生态建设和环境保护、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普通高中、林业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建设等重大公益性项目资本支出;争取再融资一般债券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亿元，其中，市本级使用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亿元，转贷县(市、区)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亿元:再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融资债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券用于偿还符合条件的政府债务本金，不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政府债务余额，也不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加当年财政赤字。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争取新增政府专项债券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44.4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亿元，其中，市本级使用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亿元，转贷县(市、区)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专项债券资金主要用于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棚户区改造、土地储备、职业教育、公立医院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等领域;争取再融资专项债券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亿元，其中，市本级使用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亿元，转贷县(市、区)1.1亿元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年全市政府债券还本付息共计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亿元，其中债券本金16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亿元(一般债券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亿元，专项债券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亿元);债券利息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亿元(一般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亿元，专项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年市本级政府债券还本付息共计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亿元，其中，债券本金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亿元(一般债券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亿元，专项债券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亿元);债券利息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亿元(一般债券1.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亿元，专项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亿元)。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三、财政转移支付安排执行情况</w:t>
      </w:r>
      <w:r>
        <w:rPr>
          <w:rFonts w:hint="default" w:ascii="Calibri" w:hAnsi="Calibri" w:eastAsia="微软雅黑" w:cs="Calibri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省财政下达市本级各项补助资金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42.1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亿元，主要包括返还性收入9.7亿元，一般性转移支付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收入27.2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亿元，专项转移支付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收入5.2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亿元。市财政安排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专项转移支付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4.6亿元，用于落实中央和省要求的对县（市、区）各项支出政策配套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一般性转移支付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收入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27.2亿元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主要包括：均衡性转移支付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收入8.1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亿元，结算补助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亿元，城乡居民医疗保险转移支付收入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亿元，固定数额补助收入1.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，教育共同财政事权转移支付收入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2.5亿元，社会保障和就业共同财政事权转移支付收入2.1亿元，卫生健康共同财政事权转移支付收入4亿元，交通运输共同财政事权转移支付收入2.5亿元，住房保障共同财政事权转移支付收入2.1亿元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专项转移支付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收入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5.2亿元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主要包括：教育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4899万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科学技术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2683万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元，医疗卫生与计划生育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1721万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元，节能环保1.9亿元，农林水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1976万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元，交通运输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4587万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元，资源勘探信息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2507万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元，商业服务业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1177万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元，国土海洋气象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3622万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元，住房保障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7013万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市财政安排专项转移支付4.6亿元主要包括：教育4565万元，科学技术2078万元，社会保障和就业4919万元，医疗卫生与计划生育9321万元，节能环保6478万元，城乡社区1174万元，农林水1.5亿元，交通运输1248万元等。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812A6"/>
    <w:rsid w:val="233D7C8B"/>
    <w:rsid w:val="26021756"/>
    <w:rsid w:val="2E487A43"/>
    <w:rsid w:val="398812A6"/>
    <w:rsid w:val="3AD70BCD"/>
    <w:rsid w:val="432E251C"/>
    <w:rsid w:val="46630DB2"/>
    <w:rsid w:val="46A71E0C"/>
    <w:rsid w:val="699D4A05"/>
    <w:rsid w:val="6C641C78"/>
    <w:rsid w:val="6F2E13C6"/>
    <w:rsid w:val="7269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2020-07-03T10:01:00Z</dcterms:created>
  <dc:creator>WPS_1591317630</dc:creator>
  <cp:lastModifiedBy>WPS_1591317630</cp:lastModifiedBy>
  <dcterms:modified xsi:type="dcterms:W3CDTF">2020-07-17T03:03:49Z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