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z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z w:val="44"/>
          <w:lang w:eastAsia="zh-CN"/>
        </w:rPr>
      </w:pPr>
      <w:r>
        <w:rPr>
          <w:rFonts w:hint="eastAsia" w:ascii="方正小标宋_GBK" w:hAnsi="方正小标宋_GBK" w:eastAsia="方正小标宋_GBK" w:cs="方正小标宋_GBK"/>
          <w:color w:val="000000"/>
          <w:sz w:val="44"/>
          <w:lang w:eastAsia="zh-CN"/>
        </w:rPr>
        <w:t>安阳市食品药品领域主要信访事项法定办理途径及相关法律依据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z w:val="4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 w:hAnsi="仿宋" w:eastAsia="仿宋" w:cs="仿宋"/>
          <w:color w:val="000000"/>
          <w:sz w:val="32"/>
          <w:szCs w:val="32"/>
          <w:bdr w:val="none" w:color="auto" w:sz="0" w:space="0"/>
        </w:rPr>
      </w:pPr>
      <w:r>
        <w:rPr>
          <w:rFonts w:hint="eastAsia" w:ascii="宋体" w:hAnsi="宋体" w:eastAsia="宋体" w:cs="宋体"/>
          <w:color w:val="000000"/>
          <w:sz w:val="21"/>
          <w:szCs w:val="21"/>
          <w:bdr w:val="none" w:color="auto" w:sz="0" w:space="0"/>
          <w:lang w:val="en-US" w:eastAsia="zh-CN"/>
        </w:rPr>
        <w:t xml:space="preserve">   </w:t>
      </w:r>
      <w:r>
        <w:rPr>
          <w:rFonts w:hint="eastAsia" w:ascii="仿宋" w:hAnsi="仿宋" w:eastAsia="仿宋" w:cs="仿宋"/>
          <w:color w:val="000000"/>
          <w:sz w:val="32"/>
          <w:szCs w:val="32"/>
          <w:bdr w:val="none" w:color="auto" w:sz="0" w:space="0"/>
          <w:lang w:val="en-US" w:eastAsia="zh-CN"/>
        </w:rPr>
        <w:t xml:space="preserve">  </w:t>
      </w:r>
      <w:r>
        <w:rPr>
          <w:rFonts w:hint="eastAsia" w:ascii="仿宋" w:hAnsi="仿宋" w:eastAsia="仿宋" w:cs="仿宋"/>
          <w:color w:val="000000"/>
          <w:sz w:val="32"/>
          <w:szCs w:val="32"/>
          <w:bdr w:val="none" w:color="auto" w:sz="0" w:space="0"/>
        </w:rPr>
        <w:t>为进一步做好</w:t>
      </w:r>
      <w:r>
        <w:rPr>
          <w:rFonts w:hint="eastAsia" w:ascii="仿宋" w:hAnsi="仿宋" w:eastAsia="仿宋" w:cs="仿宋"/>
          <w:color w:val="000000"/>
          <w:sz w:val="32"/>
          <w:szCs w:val="32"/>
          <w:bdr w:val="none" w:color="auto" w:sz="0" w:space="0"/>
          <w:lang w:eastAsia="zh-CN"/>
        </w:rPr>
        <w:t>安阳市食品药品</w:t>
      </w:r>
      <w:r>
        <w:rPr>
          <w:rFonts w:hint="eastAsia" w:ascii="仿宋" w:hAnsi="仿宋" w:eastAsia="仿宋" w:cs="仿宋"/>
          <w:color w:val="000000"/>
          <w:sz w:val="32"/>
          <w:szCs w:val="32"/>
          <w:bdr w:val="none" w:color="auto" w:sz="0" w:space="0"/>
        </w:rPr>
        <w:t>信访工作，</w:t>
      </w:r>
      <w:r>
        <w:rPr>
          <w:rFonts w:hint="eastAsia" w:ascii="仿宋" w:hAnsi="仿宋" w:eastAsia="仿宋" w:cs="仿宋"/>
          <w:color w:val="000000"/>
          <w:sz w:val="32"/>
          <w:szCs w:val="32"/>
          <w:bdr w:val="none" w:color="auto" w:sz="0" w:space="0"/>
          <w:lang w:eastAsia="zh-CN"/>
        </w:rPr>
        <w:t>依法解决食品药品信访问题，</w:t>
      </w:r>
      <w:r>
        <w:rPr>
          <w:rFonts w:hint="eastAsia" w:ascii="仿宋" w:hAnsi="仿宋" w:eastAsia="仿宋" w:cs="仿宋"/>
          <w:color w:val="000000"/>
          <w:sz w:val="32"/>
          <w:szCs w:val="32"/>
          <w:bdr w:val="none" w:color="auto" w:sz="0" w:space="0"/>
        </w:rPr>
        <w:t>更好地维护信访人的合法权益，</w:t>
      </w:r>
      <w:r>
        <w:rPr>
          <w:rFonts w:hint="eastAsia" w:ascii="仿宋" w:hAnsi="仿宋" w:eastAsia="仿宋" w:cs="仿宋"/>
          <w:color w:val="000000"/>
          <w:sz w:val="32"/>
          <w:szCs w:val="32"/>
          <w:bdr w:val="none" w:color="auto" w:sz="0" w:space="0"/>
          <w:lang w:eastAsia="zh-CN"/>
        </w:rPr>
        <w:t>依据上级有关文件规定，现制定</w:t>
      </w:r>
      <w:r>
        <w:rPr>
          <w:rFonts w:hint="eastAsia" w:ascii="仿宋" w:hAnsi="仿宋" w:eastAsia="仿宋" w:cs="仿宋"/>
          <w:color w:val="000000"/>
          <w:sz w:val="32"/>
          <w:szCs w:val="32"/>
          <w:bdr w:val="none" w:color="auto" w:sz="0" w:space="0"/>
        </w:rPr>
        <w:t>《</w:t>
      </w:r>
      <w:r>
        <w:rPr>
          <w:rFonts w:hint="eastAsia" w:ascii="仿宋" w:hAnsi="仿宋" w:eastAsia="仿宋" w:cs="仿宋"/>
          <w:color w:val="000000"/>
          <w:sz w:val="32"/>
          <w:szCs w:val="32"/>
          <w:bdr w:val="none" w:color="auto" w:sz="0" w:space="0"/>
          <w:lang w:eastAsia="zh-CN"/>
        </w:rPr>
        <w:t>安阳市</w:t>
      </w:r>
      <w:r>
        <w:rPr>
          <w:rFonts w:hint="eastAsia" w:ascii="仿宋" w:hAnsi="仿宋" w:eastAsia="仿宋" w:cs="仿宋"/>
          <w:color w:val="000000"/>
          <w:sz w:val="32"/>
          <w:szCs w:val="32"/>
          <w:bdr w:val="none" w:color="auto" w:sz="0" w:space="0"/>
        </w:rPr>
        <w:t>食品药品领域主要信访事项法定办理途径及相关法律依据》，现予以公开。</w:t>
      </w: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 w:hAnsi="仿宋" w:eastAsia="仿宋" w:cs="仿宋"/>
          <w:color w:val="000000"/>
          <w:sz w:val="32"/>
          <w:szCs w:val="32"/>
          <w:bdr w:val="none" w:color="auto" w:sz="0" w:space="0"/>
          <w:lang w:val="en-US" w:eastAsia="zh-CN"/>
        </w:rPr>
      </w:pPr>
      <w:r>
        <w:rPr>
          <w:rFonts w:hint="eastAsia" w:ascii="仿宋" w:hAnsi="仿宋" w:eastAsia="仿宋" w:cs="仿宋"/>
          <w:color w:val="000000"/>
          <w:sz w:val="32"/>
          <w:szCs w:val="32"/>
          <w:bdr w:val="none" w:color="auto" w:sz="0" w:space="0"/>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 w:hAnsi="仿宋" w:eastAsia="仿宋" w:cs="仿宋"/>
          <w:color w:val="000000"/>
          <w:sz w:val="32"/>
          <w:szCs w:val="32"/>
          <w:bdr w:val="none" w:color="auto" w:sz="0" w:space="0"/>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 w:hAnsi="仿宋" w:eastAsia="仿宋" w:cs="仿宋"/>
          <w:color w:val="000000"/>
          <w:sz w:val="32"/>
          <w:szCs w:val="32"/>
          <w:bdr w:val="none" w:color="auto" w:sz="0" w:space="0"/>
          <w:lang w:val="en-US" w:eastAsia="zh-CN"/>
        </w:rPr>
      </w:pPr>
      <w:r>
        <w:rPr>
          <w:rFonts w:hint="eastAsia" w:ascii="仿宋" w:hAnsi="仿宋" w:eastAsia="仿宋" w:cs="仿宋"/>
          <w:color w:val="000000"/>
          <w:sz w:val="32"/>
          <w:szCs w:val="32"/>
          <w:bdr w:val="none" w:color="auto" w:sz="0" w:space="0"/>
          <w:lang w:val="en-US" w:eastAsia="zh-CN"/>
        </w:rPr>
        <w:t xml:space="preserve">                               2016年7月6日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 w:hAnsi="仿宋" w:eastAsia="仿宋" w:cs="仿宋"/>
          <w:color w:val="000000"/>
          <w:sz w:val="32"/>
          <w:szCs w:val="32"/>
          <w:bdr w:val="none" w:color="auto" w:sz="0" w:space="0"/>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 w:hAnsi="仿宋" w:eastAsia="仿宋" w:cs="仿宋"/>
          <w:color w:val="000000"/>
          <w:sz w:val="32"/>
          <w:szCs w:val="32"/>
          <w:bdr w:val="none" w:color="auto" w:sz="0" w:space="0"/>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 w:hAnsi="仿宋" w:eastAsia="仿宋" w:cs="仿宋"/>
          <w:color w:val="000000"/>
          <w:sz w:val="32"/>
          <w:szCs w:val="32"/>
          <w:bdr w:val="none" w:color="auto" w:sz="0" w:space="0"/>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 w:hAnsi="仿宋" w:eastAsia="仿宋" w:cs="仿宋"/>
          <w:color w:val="000000"/>
          <w:sz w:val="32"/>
          <w:szCs w:val="32"/>
          <w:bdr w:val="none" w:color="auto" w:sz="0" w:space="0"/>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 w:hAnsi="仿宋" w:eastAsia="仿宋" w:cs="仿宋"/>
          <w:color w:val="000000"/>
          <w:sz w:val="32"/>
          <w:szCs w:val="32"/>
          <w:bdr w:val="none" w:color="auto" w:sz="0" w:space="0"/>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 w:hAnsi="仿宋" w:eastAsia="仿宋" w:cs="仿宋"/>
          <w:color w:val="000000"/>
          <w:sz w:val="32"/>
          <w:szCs w:val="32"/>
          <w:bdr w:val="none" w:color="auto" w:sz="0" w:space="0"/>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 w:hAnsi="仿宋" w:eastAsia="仿宋" w:cs="仿宋"/>
          <w:color w:val="000000"/>
          <w:sz w:val="32"/>
          <w:szCs w:val="32"/>
          <w:bdr w:val="none" w:color="auto" w:sz="0" w:space="0"/>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 w:hAnsi="仿宋" w:eastAsia="仿宋" w:cs="仿宋"/>
          <w:color w:val="000000"/>
          <w:sz w:val="32"/>
          <w:szCs w:val="32"/>
          <w:bdr w:val="none" w:color="auto" w:sz="0" w:space="0"/>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 w:hAnsi="仿宋" w:eastAsia="仿宋" w:cs="仿宋"/>
          <w:color w:val="000000"/>
          <w:sz w:val="32"/>
          <w:szCs w:val="32"/>
          <w:bdr w:val="none" w:color="auto" w:sz="0" w:space="0"/>
          <w:lang w:val="en-US" w:eastAsia="zh-CN"/>
        </w:rPr>
      </w:pPr>
      <w:r>
        <w:rPr>
          <w:rFonts w:hint="eastAsia" w:ascii="仿宋" w:hAnsi="仿宋" w:eastAsia="仿宋" w:cs="仿宋"/>
          <w:color w:val="000000"/>
          <w:sz w:val="32"/>
          <w:szCs w:val="32"/>
          <w:bdr w:val="none" w:color="auto" w:sz="0" w:space="0"/>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z w:val="44"/>
        </w:rPr>
      </w:pPr>
      <w:r>
        <w:rPr>
          <w:rFonts w:hint="eastAsia" w:ascii="宋体" w:hAnsi="宋体" w:eastAsia="宋体" w:cs="宋体"/>
          <w:color w:val="000000"/>
          <w:sz w:val="21"/>
          <w:szCs w:val="21"/>
          <w:bdr w:val="none" w:color="auto" w:sz="0" w:space="0"/>
        </w:rPr>
        <w:t>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z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z w:val="44"/>
          <w:lang w:eastAsia="zh-CN"/>
        </w:rPr>
      </w:pPr>
      <w:r>
        <w:rPr>
          <w:rFonts w:hint="eastAsia" w:ascii="方正小标宋_GBK" w:hAnsi="方正小标宋_GBK" w:eastAsia="方正小标宋_GBK" w:cs="方正小标宋_GBK"/>
          <w:color w:val="000000"/>
          <w:sz w:val="44"/>
          <w:lang w:eastAsia="zh-CN"/>
        </w:rPr>
        <w:t>安阳市食品药品领域主要信访事项法定办理途径及相关法律依据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z w:val="44"/>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rPr>
          <w:rFonts w:hint="eastAsia" w:ascii="仿宋" w:hAnsi="仿宋" w:eastAsia="仿宋" w:cs="仿宋"/>
          <w:color w:val="000000"/>
          <w:sz w:val="32"/>
        </w:rPr>
      </w:pPr>
      <w:r>
        <w:rPr>
          <w:rFonts w:ascii="黑体" w:hAnsi="黑体" w:eastAsia="黑体" w:cs="黑体"/>
          <w:color w:val="000000"/>
          <w:sz w:val="32"/>
        </w:rPr>
        <w:t>一、请求行政处理类</w:t>
      </w:r>
      <w:r>
        <w:rPr>
          <w:rFonts w:ascii="黑体" w:hAnsi="黑体" w:eastAsia="黑体" w:cs="黑体"/>
          <w:color w:val="000000"/>
          <w:sz w:val="32"/>
        </w:rPr>
        <w:br w:type="textWrapping"/>
      </w:r>
      <w:r>
        <w:rPr>
          <w:rFonts w:ascii="楷体" w:hAnsi="楷体" w:eastAsia="楷体" w:cs="楷体"/>
          <w:b/>
          <w:color w:val="000000"/>
          <w:sz w:val="32"/>
        </w:rPr>
        <w:t>　　（一）请求行政许可类</w:t>
      </w:r>
      <w:r>
        <w:rPr>
          <w:rFonts w:ascii="楷体" w:hAnsi="楷体" w:eastAsia="楷体" w:cs="楷体"/>
          <w:b/>
          <w:color w:val="000000"/>
          <w:sz w:val="32"/>
        </w:rPr>
        <w:br w:type="textWrapping"/>
      </w:r>
      <w:r>
        <w:rPr>
          <w:rFonts w:ascii="宋体" w:hAnsi="宋体" w:eastAsia="宋体" w:cs="宋体"/>
          <w:b/>
          <w:color w:val="000000"/>
          <w:sz w:val="32"/>
        </w:rPr>
        <w:t>　</w:t>
      </w:r>
      <w:r>
        <w:rPr>
          <w:rFonts w:hint="eastAsia" w:ascii="仿宋" w:hAnsi="仿宋" w:eastAsia="仿宋" w:cs="仿宋"/>
          <w:b/>
          <w:color w:val="000000"/>
          <w:sz w:val="32"/>
        </w:rPr>
        <w:t>　法律依据：</w:t>
      </w:r>
      <w:r>
        <w:rPr>
          <w:rFonts w:hint="eastAsia" w:ascii="仿宋" w:hAnsi="仿宋" w:eastAsia="仿宋" w:cs="仿宋"/>
          <w:b/>
          <w:color w:val="000000"/>
          <w:sz w:val="32"/>
        </w:rPr>
        <w:br w:type="textWrapping"/>
      </w:r>
      <w:r>
        <w:rPr>
          <w:rFonts w:hint="eastAsia" w:ascii="仿宋" w:hAnsi="仿宋" w:eastAsia="仿宋" w:cs="仿宋"/>
          <w:b/>
          <w:color w:val="000000"/>
          <w:sz w:val="32"/>
        </w:rPr>
        <w:t>　　《中华人民共和国行政许可法》（主席令第七号  2003年）</w:t>
      </w:r>
      <w:r>
        <w:rPr>
          <w:rFonts w:hint="eastAsia" w:ascii="仿宋" w:hAnsi="仿宋" w:eastAsia="仿宋" w:cs="仿宋"/>
          <w:b/>
          <w:color w:val="000000"/>
          <w:sz w:val="32"/>
        </w:rPr>
        <w:br w:type="textWrapping"/>
      </w:r>
      <w:r>
        <w:rPr>
          <w:rFonts w:hint="eastAsia" w:ascii="仿宋" w:hAnsi="仿宋" w:eastAsia="仿宋" w:cs="仿宋"/>
          <w:color w:val="000000"/>
          <w:sz w:val="32"/>
        </w:rPr>
        <w:t>　　第二条　本法所称行政许可，是指行政机关根据公民、法人或者其他组织的申请，经依法审查，准予其从事特定活动的行为。</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第三十八条　申请人的申请符合法定条件、标准的，行政机关应当依法作出准予行政许可的书面决定。</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w:t>
      </w:r>
      <w:r>
        <w:rPr>
          <w:rFonts w:hint="eastAsia" w:ascii="仿宋" w:hAnsi="仿宋" w:eastAsia="仿宋" w:cs="仿宋"/>
          <w:b/>
          <w:color w:val="000000"/>
          <w:sz w:val="32"/>
        </w:rPr>
        <w:t>《中华人民共和国食品安全法》（主席令第二十一号  2015年）</w:t>
      </w:r>
      <w:r>
        <w:rPr>
          <w:rFonts w:hint="eastAsia" w:ascii="仿宋" w:hAnsi="仿宋" w:eastAsia="仿宋" w:cs="仿宋"/>
          <w:color w:val="000000"/>
          <w:sz w:val="32"/>
        </w:rPr>
        <w:br w:type="textWrapping"/>
      </w:r>
      <w:r>
        <w:rPr>
          <w:rFonts w:hint="eastAsia" w:ascii="仿宋" w:hAnsi="仿宋" w:eastAsia="仿宋" w:cs="仿宋"/>
          <w:color w:val="000000"/>
          <w:sz w:val="32"/>
        </w:rPr>
        <w:t>　　第三十五条　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第三十七条　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第三十九条　国家对食品添加剂生产实行许可制度。从事食品添加剂生产，应当具有与所生产食品添加剂品种相适应的场所、生产设备或设施、专业技术人员和管理制度，并依照本法第三十五条第二款规定的程序，取得食品添加剂生产许可。</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第七十六条　使用保健食品原料目录以外原料的保健食品和首次进口的保健食品应当经国务院食品药品监督管理部门注册。但是，首次进口的保健食品中属于补充维生素、矿物质等营养物质的，应当报国务院食品药品监督管理部门备案。其他保健食品应当报省、自治区、直辖市人民政府食品药品监督管理部门备案。进口的保健食品应当是出口国（地区）主管部门准许上市销售的产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第七十七条　依法应当注册的保健食品，注册时应当提交保健食品的研发报告、产品配方、生产工艺、安全性和保健功能评价、标签、说明书等材料及样品，并提供相关证明文件。国务院食品药品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依法应当备案的保健食品，备案时应当提交产品配方、生产工艺、标签、说明书以及表明产品安全性和保健功能的材料。</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第八十条　特殊医学用途配方食品应当经国务院食品药品监督管理部门注册。注册时，应当提交产品配方、生产工艺、标签、说明书以及表明产品安全性、营养充足性和特殊医学用途临床效果的材料。</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第八十一条　婴幼儿配方乳粉的产品配方应当经国务院食品药品监督管理部门注册。注册时，应当提交配方研发报告和其他表明配方科学性、安全性的材料。</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第八十四条　食品检验机构按照国家有关认证认可的规定取得资质认定后，方可从事食品检验活动。但是，法律另有规定的除外。食品检验机构的资质认定条件和检验规范，由国务院食品药品监督管理部门规定。</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w:t>
      </w:r>
      <w:r>
        <w:rPr>
          <w:rFonts w:hint="eastAsia" w:ascii="仿宋" w:hAnsi="仿宋" w:eastAsia="仿宋" w:cs="仿宋"/>
          <w:b/>
          <w:color w:val="000000"/>
          <w:sz w:val="32"/>
        </w:rPr>
        <w:t>《中华人民共和国药品管理法》（主席令第二十七号  2015年）</w:t>
      </w:r>
      <w:r>
        <w:rPr>
          <w:rFonts w:hint="eastAsia" w:ascii="仿宋" w:hAnsi="仿宋" w:eastAsia="仿宋" w:cs="仿宋"/>
          <w:color w:val="000000"/>
          <w:sz w:val="32"/>
        </w:rPr>
        <w:br w:type="textWrapping"/>
      </w:r>
      <w:r>
        <w:rPr>
          <w:rFonts w:hint="eastAsia" w:ascii="仿宋" w:hAnsi="仿宋" w:eastAsia="仿宋" w:cs="仿宋"/>
          <w:color w:val="000000"/>
          <w:sz w:val="32"/>
        </w:rPr>
        <w:t>　　第七条　开办药品生产企业，须经企业所在地省、自治区、直辖市人民政府药品监督管理部门批准并发给《药品生产许可证》。无《药品生产许可证》的，不得生产药品。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第十条　除中药饮片的炮制外，药品必须按照国家药品标准和国务院药品监督管理部门批准的生产工艺进行生产，生产记录必须完整准确。药品生产企业改变影响药品质量的生产工艺的，必须报原批准部门审核批准。</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第十三条　经省、自治区、直辖市人民政府药品监督管理部门批准，药品生产企业可以接受委托生产药品。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第十四条　开办药品批发企业，须经企业所在地省、自治区、直辖市人民政府药品监督管理部门批准并发给《药品经营许可证》；开办药品零售企业，须经企业所在地县级以上地方药品监督管理部门批准并发给《药品经营许可证》。无《药品经营许可证》的，不得经营药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第二十三条　医疗机构配制制剂，须经所在地省、自治区、直辖市人民政府卫生行政部门审核同意，由省、自治区、直辖市人民政府药品监督管理部门批准，发给《医疗机构制剂许可证》。无《医疗机构制剂许可证》的，不得配制制剂。</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第二十五条　医疗机构配制的制剂，应当是本单位临床需要而市场上没有供应的品种，并须经所在地省、自治区、直辖市人民政府药品监督管理部门批准后方可配制。配制的制剂必须按照规定进行质量检验；合格的，凭医师处方在本医疗机构使用。特殊情况下，经国务院或者省、自治区、直辖市人民政府的药品监督管理部门批准，医疗机构配制的制剂可以在指定的医疗机构之间调剂使用。</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第二十九条　研制新药，必须按照国务院药品监督管理部门的规定如实报送研制方法、质量指标、药理及毒理试验结果等有关资料和样品，经国务院药品监督管理部门批准后，方可进行临床试验。药物临床试验机构资格的认定办法，由国务院药品监督管理部门、国务院卫生行政部门共同制定。完成临床试验并通过审批的新药，由国务院药品监督管理部门批准，发给新药证书。</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第三十一条　生产新药或者已有国家标准的药品的，须经国务院药品监督管理部门批准，并发给药品批准文号；但是，生产没有实施批准文号管理的中药材和中药饮片除外。实施批准文号管理的中药材、中药饮片品种目录由国务院药品监督管理部门会同国务院中医药管理部门制定。药品生产企业在取得药品批准文号后，方可生产该药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第三十九条　药品进口，须经国务院药品监督管理部门组织审查，经审查确认符合质量标准、安全有效的，方可批准进口，并发给进口药品注册证书。</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第四十五条　进口、出口麻醉药品和国家规定范围内的精神药品，必须持有国务院药品监督管理部门发给的《进口准许证》、《出口准许证》。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rPr>
          <w:rFonts w:hint="eastAsia" w:ascii="仿宋" w:hAnsi="仿宋" w:eastAsia="仿宋" w:cs="仿宋"/>
          <w:color w:val="000000"/>
          <w:sz w:val="32"/>
        </w:rPr>
      </w:pPr>
      <w:r>
        <w:rPr>
          <w:rFonts w:hint="eastAsia" w:ascii="仿宋" w:hAnsi="仿宋" w:eastAsia="仿宋" w:cs="仿宋"/>
          <w:color w:val="000000"/>
          <w:sz w:val="32"/>
        </w:rPr>
        <w:t>第四十六条　新发现和从国外引种的药材，经国务院药品监督管理部门审核批准后，方可销售。</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rPr>
          <w:rFonts w:hint="eastAsia" w:ascii="仿宋" w:hAnsi="仿宋" w:eastAsia="仿宋" w:cs="仿宋"/>
          <w:color w:val="000000"/>
          <w:sz w:val="32"/>
        </w:rPr>
      </w:pPr>
      <w:r>
        <w:rPr>
          <w:rFonts w:hint="eastAsia" w:ascii="仿宋" w:hAnsi="仿宋" w:eastAsia="仿宋" w:cs="仿宋"/>
          <w:color w:val="000000"/>
          <w:sz w:val="32"/>
        </w:rPr>
        <w:t>第五十二条　直接接触药品的包装材料和容器，必须符合药用要求，符合保障人体健康、安全的标准，并由药品监督管理部门在审批药品时一并审批。</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第五十九条　药品广告须经企业所在地省、自治区、直辖市人民政府药品监督管理部门批准，并发给药品广告批准文号；未取得药品广告批准文号的，不得发布。</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w:t>
      </w:r>
      <w:r>
        <w:rPr>
          <w:rFonts w:hint="eastAsia" w:ascii="仿宋" w:hAnsi="仿宋" w:eastAsia="仿宋" w:cs="仿宋"/>
          <w:b/>
          <w:color w:val="000000"/>
          <w:sz w:val="32"/>
        </w:rPr>
        <w:t>《医疗器械监督管理条例》（国务院令第650号  2014年）</w:t>
      </w:r>
      <w:r>
        <w:rPr>
          <w:rFonts w:hint="eastAsia" w:ascii="仿宋" w:hAnsi="仿宋" w:eastAsia="仿宋" w:cs="仿宋"/>
          <w:color w:val="000000"/>
          <w:sz w:val="32"/>
        </w:rPr>
        <w:br w:type="textWrapping"/>
      </w:r>
      <w:r>
        <w:rPr>
          <w:rFonts w:hint="eastAsia" w:ascii="仿宋" w:hAnsi="仿宋" w:eastAsia="仿宋" w:cs="仿宋"/>
          <w:color w:val="000000"/>
          <w:sz w:val="32"/>
        </w:rPr>
        <w:t>　　第八条　第一类医疗器械实行产品备案管理，第二类、第三类医疗器械实行产品注册管理。</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第十一条　申请第二类医疗器械产品注册，注册申请人应当向所在地省、自治区、直辖市人民政府食品药品监督管理部门提交注册申请资料。申请第三类医疗器械产品注册，注册申请人应当向国务院食品药品监督管理部门提交注册申请资料。向我国境内出口第二类、第三类医疗器械的境外生产企业，应当由其在我国境内设立的代表机构或者指定我国境内的企业法人作为代理人，向国务院食品药品监督管理部门提交注册申请资料和注册申请人所在国（地区）主管部门准许该医疗器械上市销售的证明文件。</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第十三条　受理注册申请的食品药品监督管理部门应当自收到审评意见之日起20个工作日内作出决定。对符合安全、有效要求的，准予注册并发给医疗器械注册证；对不符合要求的，不予注册并书面说明理由。</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第二十二条　从事第二类、第三类医疗器械生产的，生产企业应当向所在地省、自治区、直辖市人民政府食品药品监督管理部门申请生产许可并提交其符合本条例第二十条规定条件的证明资料以及所生产医疗器械的注册证。受理生产许可申请的食品药品监督管理部门应当自受理之日起30个工作日内对申请资料进行审核，按照国务院食品药品监督管理部门制定的医疗器械生产质量管理规范的要求进行核查。对符合规定条件的，准予许可并发给医疗器械生产许可证；对不符合规定条件的，不予许可并书面说明理由。</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第三十一条　从事第三类医疗器械经营的，经营企业应当向所在地设区的市级人民政府食品药品监督管理部门申请经营许可并提交其符合本条例第二十九条规定条件的证明资料。受理经营许可申请的食品药品监督管理部门应当自受理之日起30个工作日内进行审查，必要时组织核查。对符合规定条件的，准予许可并发给医疗器械经营许可证；对不符合规定条件的，不予许可并书面说明理由。</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ascii="楷体" w:hAnsi="楷体" w:eastAsia="楷体" w:cs="楷体"/>
          <w:color w:val="000000"/>
          <w:sz w:val="32"/>
        </w:rPr>
        <w:t>　　</w:t>
      </w:r>
      <w:r>
        <w:rPr>
          <w:rFonts w:ascii="楷体" w:hAnsi="楷体" w:eastAsia="楷体" w:cs="楷体"/>
          <w:b/>
          <w:color w:val="000000"/>
          <w:sz w:val="32"/>
        </w:rPr>
        <w:t>（二）请求行政强制类</w:t>
      </w:r>
      <w:r>
        <w:rPr>
          <w:rFonts w:ascii="楷体" w:hAnsi="楷体" w:eastAsia="楷体" w:cs="楷体"/>
          <w:b/>
          <w:color w:val="000000"/>
          <w:sz w:val="32"/>
        </w:rPr>
        <w:br w:type="textWrapping"/>
      </w:r>
      <w:r>
        <w:rPr>
          <w:rFonts w:ascii="宋体" w:hAnsi="宋体" w:eastAsia="宋体" w:cs="宋体"/>
          <w:b/>
          <w:color w:val="000000"/>
          <w:sz w:val="32"/>
        </w:rPr>
        <w:t>　　</w:t>
      </w:r>
      <w:r>
        <w:rPr>
          <w:rFonts w:hint="eastAsia" w:ascii="仿宋" w:hAnsi="仿宋" w:eastAsia="仿宋" w:cs="仿宋"/>
          <w:b/>
          <w:color w:val="000000"/>
          <w:sz w:val="32"/>
        </w:rPr>
        <w:t>法律依据：</w:t>
      </w:r>
      <w:r>
        <w:rPr>
          <w:rFonts w:hint="eastAsia" w:ascii="仿宋" w:hAnsi="仿宋" w:eastAsia="仿宋" w:cs="仿宋"/>
          <w:b/>
          <w:color w:val="000000"/>
          <w:sz w:val="32"/>
        </w:rPr>
        <w:br w:type="textWrapping"/>
      </w:r>
      <w:r>
        <w:rPr>
          <w:rFonts w:hint="eastAsia" w:ascii="仿宋" w:hAnsi="仿宋" w:eastAsia="仿宋" w:cs="仿宋"/>
          <w:b/>
          <w:color w:val="000000"/>
          <w:sz w:val="32"/>
        </w:rPr>
        <w:t>　　《中华人民共和国行政强制法》（主席令第四十九号  2011年）</w:t>
      </w:r>
      <w:r>
        <w:rPr>
          <w:rFonts w:hint="eastAsia" w:ascii="仿宋" w:hAnsi="仿宋" w:eastAsia="仿宋" w:cs="仿宋"/>
          <w:color w:val="000000"/>
          <w:sz w:val="32"/>
        </w:rPr>
        <w:br w:type="textWrapping"/>
      </w:r>
      <w:r>
        <w:rPr>
          <w:rFonts w:hint="eastAsia" w:ascii="仿宋" w:hAnsi="仿宋" w:eastAsia="仿宋" w:cs="仿宋"/>
          <w:color w:val="000000"/>
          <w:sz w:val="32"/>
        </w:rPr>
        <w:t>　　第二条　本法所称行政强制，包括行政强制措施和行政强制执行。</w:t>
      </w:r>
      <w:r>
        <w:rPr>
          <w:rFonts w:hint="eastAsia" w:ascii="仿宋" w:hAnsi="仿宋" w:eastAsia="仿宋" w:cs="仿宋"/>
          <w:color w:val="000000"/>
          <w:sz w:val="32"/>
        </w:rPr>
        <w:br w:type="textWrapping"/>
      </w:r>
      <w:r>
        <w:rPr>
          <w:rFonts w:hint="eastAsia" w:ascii="仿宋" w:hAnsi="仿宋" w:eastAsia="仿宋" w:cs="仿宋"/>
          <w:color w:val="000000"/>
          <w:sz w:val="32"/>
        </w:rPr>
        <w:t>　　行政强制措施，是指行政机关在行政管理过程中，为制止违法行为、防止证据损毁、避免危害发生、控制危险扩大等情形，依法对公民的人身自由实施暂时性限制，或者对公民、法人或者其他组织的财物实施暂时性控制的行为。</w:t>
      </w:r>
      <w:r>
        <w:rPr>
          <w:rFonts w:hint="eastAsia" w:ascii="仿宋" w:hAnsi="仿宋" w:eastAsia="仿宋" w:cs="仿宋"/>
          <w:color w:val="000000"/>
          <w:sz w:val="32"/>
        </w:rPr>
        <w:br w:type="textWrapping"/>
      </w:r>
      <w:r>
        <w:rPr>
          <w:rFonts w:hint="eastAsia" w:ascii="仿宋" w:hAnsi="仿宋" w:eastAsia="仿宋" w:cs="仿宋"/>
          <w:color w:val="000000"/>
          <w:sz w:val="32"/>
        </w:rPr>
        <w:t>　　行政强制执行，是指行政机关或者行政机关申请人民法院，对不履行行政决定的公民、法人或者其他组织，依法强制履行义务的行为。</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rPr>
          <w:rFonts w:hint="eastAsia" w:ascii="仿宋" w:hAnsi="仿宋" w:eastAsia="仿宋" w:cs="仿宋"/>
          <w:color w:val="000000"/>
          <w:sz w:val="32"/>
        </w:rPr>
      </w:pPr>
      <w:r>
        <w:rPr>
          <w:rFonts w:hint="eastAsia" w:ascii="仿宋" w:hAnsi="仿宋" w:eastAsia="仿宋" w:cs="仿宋"/>
          <w:b/>
          <w:color w:val="000000"/>
          <w:sz w:val="32"/>
        </w:rPr>
        <w:t>《中华人民共和国食品安全法》（主席令第二十一号  2015年）</w:t>
      </w:r>
      <w:r>
        <w:rPr>
          <w:rFonts w:hint="eastAsia" w:ascii="仿宋" w:hAnsi="仿宋" w:eastAsia="仿宋" w:cs="仿宋"/>
          <w:b/>
          <w:color w:val="000000"/>
          <w:sz w:val="32"/>
        </w:rPr>
        <w:br w:type="textWrapping"/>
      </w:r>
      <w:r>
        <w:rPr>
          <w:rFonts w:hint="eastAsia" w:ascii="仿宋" w:hAnsi="仿宋" w:eastAsia="仿宋" w:cs="仿宋"/>
          <w:color w:val="000000"/>
          <w:sz w:val="32"/>
        </w:rPr>
        <w:t>　　第一百零五条　县级以上人民政府食品药品监督管理部门接到食品安全事故的报告后，应当立即会同同级卫生行政、质量监督、农业行政等部门进行调查处理，并采取下列措施，防止或者减轻社会危害：（一）开展应急救援工作，组织救治因食品安全事故导致人身伤害的人员；（二）封存可能导致食品安全事故的食品及其原料，并立即进行检验；对确认属于被污染的食品及其原料，责令食品生产经营者依照本法第六十三条的规定召回或者停止经营；（三）封存被污染的食品相关产品，并责令进行清洗消毒；（四）做好信息发布工作，依法对食品安全事故及其处理情况进行发布，并对可能产生的危害加以解释、说明。发生食品安全事故需要启动应急预案的，县级以上人民政府应当立即成立事故处置指挥机构，启动应急预案，依照前款和应急预案的规定进行处置。发生食品安全事故，县级以上疾病预防控制机构应当对事故现场进行卫生处理，并对与事故有关的因素开展流行病学调查，有关部门应当予以协助。县级以上疾病预防控制机构应当向同级食品药品监督管理、卫生行政部门提交流行病学调查报告。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rPr>
          <w:rFonts w:hint="eastAsia" w:ascii="仿宋" w:hAnsi="仿宋" w:eastAsia="仿宋" w:cs="仿宋"/>
          <w:color w:val="000000"/>
          <w:sz w:val="32"/>
        </w:rPr>
      </w:pPr>
      <w:r>
        <w:rPr>
          <w:rFonts w:hint="eastAsia" w:ascii="仿宋" w:hAnsi="仿宋" w:eastAsia="仿宋" w:cs="仿宋"/>
          <w:color w:val="000000"/>
          <w:sz w:val="32"/>
        </w:rPr>
        <w:t>第一百零六条　发生食品安全事故，设区的市级以上人民政府食品药品监督管理部门应当立即会同有关部门进行事故责任调查，督促有关部门履行职责，向本级人民政府和上一级人民政府食品药品监督管理部门提出事故责任调查处理报告。涉及两个以上省、自治区、直辖市的重大食品安全事故由国务院食品药品监督管理部门依照前款规定组织事故责任调查。</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第一百零八条 食品安全事故调查部门有权向有关单位和个人了解与事故有关的情况，并要求提供相关资料和样品。有关单位和个人应当予以配合，按照要求提供相关资料和样品，不得拒绝。任何单位和个人不得阻挠、干涉食品安全事故的调查处理。</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第一百一十条　县级以上人民政府食品药品监督管理、质量监督部门履行各自食品安全监督管理职责，有权采取下列措施，对生产经营者遵守本法的情况进行监督检查：</w:t>
      </w:r>
      <w:r>
        <w:rPr>
          <w:rFonts w:hint="eastAsia" w:ascii="仿宋" w:hAnsi="仿宋" w:eastAsia="仿宋" w:cs="仿宋"/>
          <w:color w:val="000000"/>
          <w:sz w:val="32"/>
        </w:rPr>
        <w:br w:type="textWrapping"/>
      </w:r>
      <w:r>
        <w:rPr>
          <w:rFonts w:hint="eastAsia" w:ascii="仿宋" w:hAnsi="仿宋" w:eastAsia="仿宋" w:cs="仿宋"/>
          <w:color w:val="000000"/>
          <w:sz w:val="32"/>
        </w:rPr>
        <w:t>　　（一）进入生产经营场所实施现场检查；</w:t>
      </w:r>
      <w:r>
        <w:rPr>
          <w:rFonts w:hint="eastAsia" w:ascii="仿宋" w:hAnsi="仿宋" w:eastAsia="仿宋" w:cs="仿宋"/>
          <w:color w:val="000000"/>
          <w:sz w:val="32"/>
        </w:rPr>
        <w:br w:type="textWrapping"/>
      </w:r>
      <w:r>
        <w:rPr>
          <w:rFonts w:hint="eastAsia" w:ascii="仿宋" w:hAnsi="仿宋" w:eastAsia="仿宋" w:cs="仿宋"/>
          <w:color w:val="000000"/>
          <w:sz w:val="32"/>
        </w:rPr>
        <w:t>　　（二）对生产经营的食品、食品添加剂、食品相关产品进行抽样检验；</w:t>
      </w:r>
      <w:r>
        <w:rPr>
          <w:rFonts w:hint="eastAsia" w:ascii="仿宋" w:hAnsi="仿宋" w:eastAsia="仿宋" w:cs="仿宋"/>
          <w:color w:val="000000"/>
          <w:sz w:val="32"/>
        </w:rPr>
        <w:br w:type="textWrapping"/>
      </w:r>
      <w:r>
        <w:rPr>
          <w:rFonts w:hint="eastAsia" w:ascii="仿宋" w:hAnsi="仿宋" w:eastAsia="仿宋" w:cs="仿宋"/>
          <w:color w:val="000000"/>
          <w:sz w:val="32"/>
        </w:rPr>
        <w:t>　　（三）查阅、复制有关合同、票据、账簿以及其他有关资料；</w:t>
      </w:r>
      <w:r>
        <w:rPr>
          <w:rFonts w:hint="eastAsia" w:ascii="仿宋" w:hAnsi="仿宋" w:eastAsia="仿宋" w:cs="仿宋"/>
          <w:color w:val="000000"/>
          <w:sz w:val="32"/>
        </w:rPr>
        <w:br w:type="textWrapping"/>
      </w:r>
      <w:r>
        <w:rPr>
          <w:rFonts w:hint="eastAsia" w:ascii="仿宋" w:hAnsi="仿宋" w:eastAsia="仿宋" w:cs="仿宋"/>
          <w:color w:val="000000"/>
          <w:sz w:val="32"/>
        </w:rPr>
        <w:t>　　（四）查封、扣押有证据证明不符合食品安全标准或者有证据证明存在安全隐患以及用于违法生产经营的食品、食品添加剂、食品相关产品；</w:t>
      </w:r>
      <w:r>
        <w:rPr>
          <w:rFonts w:hint="eastAsia" w:ascii="仿宋" w:hAnsi="仿宋" w:eastAsia="仿宋" w:cs="仿宋"/>
          <w:color w:val="000000"/>
          <w:sz w:val="32"/>
        </w:rPr>
        <w:br w:type="textWrapping"/>
      </w:r>
      <w:r>
        <w:rPr>
          <w:rFonts w:hint="eastAsia" w:ascii="仿宋" w:hAnsi="仿宋" w:eastAsia="仿宋" w:cs="仿宋"/>
          <w:color w:val="000000"/>
          <w:sz w:val="32"/>
        </w:rPr>
        <w:t>　　（五）查封违法从事生产经营活动的场所。</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w:t>
      </w:r>
      <w:r>
        <w:rPr>
          <w:rFonts w:hint="eastAsia" w:ascii="仿宋" w:hAnsi="仿宋" w:eastAsia="仿宋" w:cs="仿宋"/>
          <w:b/>
          <w:color w:val="000000"/>
          <w:sz w:val="32"/>
        </w:rPr>
        <w:t>《中华人民共和国药品管理法》（主席令第二十七号  2015年）</w:t>
      </w:r>
      <w:r>
        <w:rPr>
          <w:rFonts w:hint="eastAsia" w:ascii="仿宋" w:hAnsi="仿宋" w:eastAsia="仿宋" w:cs="仿宋"/>
          <w:color w:val="000000"/>
          <w:sz w:val="32"/>
        </w:rPr>
        <w:br w:type="textWrapping"/>
      </w:r>
      <w:r>
        <w:rPr>
          <w:rFonts w:hint="eastAsia" w:ascii="仿宋" w:hAnsi="仿宋" w:eastAsia="仿宋" w:cs="仿宋"/>
          <w:color w:val="000000"/>
          <w:sz w:val="32"/>
        </w:rPr>
        <w:t>　　第六十三条　药品监督管理部门有权按照法律、行政法规的规定对报经其审批的药品研制和药品的生产、经营以及医疗机构使用药品的事项进行监督检查，有关单位和个人不得拒绝和隐瞒。药品监督管理部门进行监督检查时，必须出示证明文件，对监督检查中知悉的被检查人的技术秘密和业务秘密应当保密。</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第六十四条　药品监督管理部门根据监督检查的需要，可以对药品质量进行抽查检验。抽查检验应当按照规定抽样，并不得收取任何费用。所需费用按照国务院规定列支。药品监督管理部门对有证据证明可能危害人体健康的药品及其有关材料可以采取查封、扣押的行政强制措施，并在七日内作出行政处理决定；药品需要检验的，必须自检验报告书发出之日起十五日内作出行政处理决定。</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第七十条　国家实行药品不良反应报告制度。药品生产企业、药品经营企业和医疗机构必须经常考察本单位所生产、经营、使用的药品质量、疗效和反应。发现可能与用药有关的严重不良反应，必须及时向当地省、自治区、直辖市人民政府药品监督管理部门和卫生行政部门报告。具体办法由国务院药品监督管理部门会同国务院卫生行政部门制定。对已确认发生严重不良反应的药品，国务院或者省、自治区、直辖市人民政府的药品监督管理部门可以采取停止生产、销售、使用的紧急控制措施，并应当在五日内组织鉴定，自鉴定结论作出之日起十五日内依法作出行政处理决定。</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w:t>
      </w:r>
      <w:r>
        <w:rPr>
          <w:rFonts w:hint="eastAsia" w:ascii="仿宋" w:hAnsi="仿宋" w:eastAsia="仿宋" w:cs="仿宋"/>
          <w:b/>
          <w:color w:val="000000"/>
          <w:sz w:val="32"/>
        </w:rPr>
        <w:t>《医疗器械监督管理条例》（国务院令第650号  2014年）</w:t>
      </w:r>
      <w:r>
        <w:rPr>
          <w:rFonts w:hint="eastAsia" w:ascii="仿宋" w:hAnsi="仿宋" w:eastAsia="仿宋" w:cs="仿宋"/>
          <w:color w:val="000000"/>
          <w:sz w:val="32"/>
        </w:rPr>
        <w:br w:type="textWrapping"/>
      </w:r>
      <w:r>
        <w:rPr>
          <w:rFonts w:hint="eastAsia" w:ascii="仿宋" w:hAnsi="仿宋" w:eastAsia="仿宋" w:cs="仿宋"/>
          <w:color w:val="000000"/>
          <w:sz w:val="32"/>
        </w:rPr>
        <w:t>　　第五十三条　食品药品监督管理部门应当对医疗器械的注册、备案、生产、经营、使用活动加强监督检查，并对下列事项进行重点监督检查：（一）医疗器械生产企业是否按照经注册或者备案的产品技术要求组织生产；（二）医疗器械生产企业的质量管理体系是否保持有效运行；（三）医疗器械生产经营企业的生产经营条件是否持续符合法定要求。</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第五十四条　食品药品监督管理部门在监督检查中有下列职权：（一）进入现场实施检查、抽取样品；（二）查阅、复制、查封、扣押有关合同、票据、账簿以及其他有关资料；（三）查封、扣押不符合法定要求的医疗器械，违法使用的零配件、原材料以及用于违法生产医疗器械的工具、设备；（四）查封违反本条例规定从事医疗器械生产经营活动的场所。食品药品监督管理部门进行监督检查,应当出示执法证件，保守被检查单位的商业秘密。有关单位和个人应当对食品药品监督管理部门的监督检查予以配合，不得隐瞒有关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第五十五条　对人体造成伤害或者有证据证明可能危害人体健康的医疗器械，食品药品监督管理部门可以采取暂停生产、进口、经营、使用的紧急控制措施。</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第五十六条　食品药品监督管理部门应当加强对医疗器械生产经营企业和使用单位生产、经营、使用的医疗器械的抽查检验。抽查检验不得收取检验费和其他任何费用，所需费用纳入本级政府预算。省级以上人民政府食品药品监督管理部门应当根据抽查检验结论及时发布医疗器械质量公告。</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ascii="楷体" w:hAnsi="楷体" w:eastAsia="楷体" w:cs="楷体"/>
          <w:color w:val="000000"/>
          <w:sz w:val="32"/>
        </w:rPr>
        <w:t>　　</w:t>
      </w:r>
      <w:r>
        <w:rPr>
          <w:rFonts w:ascii="楷体" w:hAnsi="楷体" w:eastAsia="楷体" w:cs="楷体"/>
          <w:b/>
          <w:color w:val="000000"/>
          <w:sz w:val="32"/>
        </w:rPr>
        <w:t>（三）请求行政处罚类</w:t>
      </w:r>
      <w:r>
        <w:rPr>
          <w:rFonts w:ascii="楷体" w:hAnsi="楷体" w:eastAsia="楷体" w:cs="楷体"/>
          <w:b/>
          <w:color w:val="000000"/>
          <w:sz w:val="32"/>
        </w:rPr>
        <w:br w:type="textWrapping"/>
      </w:r>
      <w:r>
        <w:rPr>
          <w:rFonts w:hint="eastAsia" w:ascii="仿宋" w:hAnsi="仿宋" w:eastAsia="仿宋" w:cs="仿宋"/>
          <w:b/>
          <w:color w:val="000000"/>
          <w:sz w:val="32"/>
        </w:rPr>
        <w:t>　　法律依据：</w:t>
      </w:r>
      <w:r>
        <w:rPr>
          <w:rFonts w:hint="eastAsia" w:ascii="仿宋" w:hAnsi="仿宋" w:eastAsia="仿宋" w:cs="仿宋"/>
          <w:b/>
          <w:color w:val="000000"/>
          <w:sz w:val="32"/>
        </w:rPr>
        <w:br w:type="textWrapping"/>
      </w:r>
      <w:r>
        <w:rPr>
          <w:rFonts w:hint="eastAsia" w:ascii="仿宋" w:hAnsi="仿宋" w:eastAsia="仿宋" w:cs="仿宋"/>
          <w:b/>
          <w:color w:val="000000"/>
          <w:sz w:val="32"/>
        </w:rPr>
        <w:t>　　《中华人民共和国行政处罚法》（主席令第六十三号  1996年）</w:t>
      </w:r>
      <w:r>
        <w:rPr>
          <w:rFonts w:hint="eastAsia" w:ascii="仿宋" w:hAnsi="仿宋" w:eastAsia="仿宋" w:cs="仿宋"/>
          <w:b/>
          <w:color w:val="000000"/>
          <w:sz w:val="32"/>
        </w:rPr>
        <w:br w:type="textWrapping"/>
      </w:r>
      <w:r>
        <w:rPr>
          <w:rFonts w:hint="eastAsia" w:ascii="仿宋" w:hAnsi="仿宋" w:eastAsia="仿宋" w:cs="仿宋"/>
          <w:color w:val="000000"/>
          <w:sz w:val="32"/>
        </w:rPr>
        <w:t>　　第三条　公民、法人或者其他组织违反行政管理秩序的行为，应当给予行政处罚的，依照本法由法律、法规或者规章规定，并由行政机关依照本法规定的程序实施。</w:t>
      </w:r>
      <w:r>
        <w:rPr>
          <w:rFonts w:hint="eastAsia" w:ascii="仿宋" w:hAnsi="仿宋" w:eastAsia="仿宋" w:cs="仿宋"/>
          <w:color w:val="000000"/>
          <w:sz w:val="32"/>
        </w:rPr>
        <w:br w:type="textWrapping"/>
      </w:r>
      <w:r>
        <w:rPr>
          <w:rFonts w:hint="eastAsia" w:ascii="仿宋" w:hAnsi="仿宋" w:eastAsia="仿宋" w:cs="仿宋"/>
          <w:color w:val="000000"/>
          <w:sz w:val="32"/>
        </w:rPr>
        <w:t>　　没有法定依据或者不遵守法定程序的，行政处罚无效。</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w:t>
      </w:r>
      <w:r>
        <w:rPr>
          <w:rFonts w:hint="eastAsia" w:ascii="仿宋" w:hAnsi="仿宋" w:eastAsia="仿宋" w:cs="仿宋"/>
          <w:b/>
          <w:color w:val="000000"/>
          <w:sz w:val="32"/>
        </w:rPr>
        <w:t>《食品药品行政处罚程序规定》（国家食品药品监督管理总局令第3号）</w:t>
      </w:r>
      <w:r>
        <w:rPr>
          <w:rFonts w:hint="eastAsia" w:ascii="仿宋" w:hAnsi="仿宋" w:eastAsia="仿宋" w:cs="仿宋"/>
          <w:b/>
          <w:color w:val="000000"/>
          <w:sz w:val="32"/>
        </w:rPr>
        <w:br w:type="textWrapping"/>
      </w:r>
      <w:r>
        <w:rPr>
          <w:rFonts w:ascii="宋体" w:hAnsi="宋体" w:eastAsia="宋体" w:cs="宋体"/>
          <w:color w:val="000000"/>
          <w:sz w:val="32"/>
        </w:rPr>
        <w:t>　</w:t>
      </w:r>
      <w:r>
        <w:rPr>
          <w:rFonts w:hint="eastAsia" w:ascii="仿宋" w:hAnsi="仿宋" w:eastAsia="仿宋" w:cs="仿宋"/>
          <w:color w:val="000000"/>
          <w:sz w:val="32"/>
        </w:rPr>
        <w:t>　第十七条　食品药品监督管理部门应当对下列事项及时调查处理：（一）在监督检查及抽验中发现案件线索的；（二）公民、法人或者其他组织投诉、举报的；（三）上级机关交办或者下级机关报请查处的；（四）有关部门移送或者经由其他方式、途径披露的。符合立案条件的，应当在7个工作日内立案。</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ascii="楷体" w:hAnsi="楷体" w:eastAsia="楷体" w:cs="楷体"/>
          <w:color w:val="000000"/>
          <w:sz w:val="32"/>
        </w:rPr>
        <w:t>　　</w:t>
      </w:r>
      <w:r>
        <w:rPr>
          <w:rFonts w:ascii="楷体" w:hAnsi="楷体" w:eastAsia="楷体" w:cs="楷体"/>
          <w:b/>
          <w:color w:val="000000"/>
          <w:sz w:val="32"/>
        </w:rPr>
        <w:t>（四）投诉举报类</w:t>
      </w:r>
      <w:r>
        <w:rPr>
          <w:rFonts w:ascii="楷体" w:hAnsi="楷体" w:eastAsia="楷体" w:cs="楷体"/>
          <w:b/>
          <w:color w:val="000000"/>
          <w:sz w:val="32"/>
        </w:rPr>
        <w:br w:type="textWrapping"/>
      </w:r>
      <w:r>
        <w:rPr>
          <w:rFonts w:ascii="宋体" w:hAnsi="宋体" w:eastAsia="宋体" w:cs="宋体"/>
          <w:b/>
          <w:color w:val="000000"/>
          <w:sz w:val="32"/>
        </w:rPr>
        <w:t>　　</w:t>
      </w:r>
      <w:r>
        <w:rPr>
          <w:rFonts w:hint="eastAsia" w:ascii="仿宋" w:hAnsi="仿宋" w:eastAsia="仿宋" w:cs="仿宋"/>
          <w:b/>
          <w:color w:val="000000"/>
          <w:sz w:val="32"/>
        </w:rPr>
        <w:t>法律依据：</w:t>
      </w:r>
      <w:r>
        <w:rPr>
          <w:rFonts w:hint="eastAsia" w:ascii="仿宋" w:hAnsi="仿宋" w:eastAsia="仿宋" w:cs="仿宋"/>
          <w:b/>
          <w:color w:val="000000"/>
          <w:sz w:val="32"/>
        </w:rPr>
        <w:br w:type="textWrapping"/>
      </w:r>
      <w:r>
        <w:rPr>
          <w:rFonts w:hint="eastAsia" w:ascii="仿宋" w:hAnsi="仿宋" w:eastAsia="仿宋" w:cs="仿宋"/>
          <w:b/>
          <w:color w:val="000000"/>
          <w:sz w:val="32"/>
        </w:rPr>
        <w:t>　　《中华人民共和国食品安全法》（主席令第二十一号  2015年）</w:t>
      </w:r>
      <w:r>
        <w:rPr>
          <w:rFonts w:hint="eastAsia" w:ascii="仿宋" w:hAnsi="仿宋" w:eastAsia="仿宋" w:cs="仿宋"/>
          <w:b/>
          <w:color w:val="000000"/>
          <w:sz w:val="32"/>
        </w:rPr>
        <w:br w:type="textWrapping"/>
      </w:r>
      <w:r>
        <w:rPr>
          <w:rFonts w:hint="eastAsia" w:ascii="仿宋" w:hAnsi="仿宋" w:eastAsia="仿宋" w:cs="仿宋"/>
          <w:color w:val="000000"/>
          <w:sz w:val="32"/>
        </w:rPr>
        <w:t>　　第一百一十五条　县级以上人民政府食品药品监督管理、质量监督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w:t>
      </w:r>
      <w:r>
        <w:rPr>
          <w:rFonts w:hint="eastAsia" w:ascii="仿宋" w:hAnsi="仿宋" w:eastAsia="仿宋" w:cs="仿宋"/>
          <w:b/>
          <w:color w:val="auto"/>
          <w:sz w:val="32"/>
        </w:rPr>
        <w:t>《食品药品投诉举报管理办法》（国家食品药品监督管理总局令第21号）</w:t>
      </w:r>
      <w:r>
        <w:rPr>
          <w:rFonts w:hint="eastAsia" w:ascii="仿宋" w:hAnsi="仿宋" w:eastAsia="仿宋" w:cs="仿宋"/>
          <w:b/>
          <w:color w:val="auto"/>
          <w:sz w:val="32"/>
        </w:rPr>
        <w:br w:type="textWrapping"/>
      </w:r>
      <w:r>
        <w:rPr>
          <w:rFonts w:hint="eastAsia" w:ascii="仿宋" w:hAnsi="仿宋" w:eastAsia="仿宋" w:cs="仿宋"/>
          <w:color w:val="000000"/>
          <w:sz w:val="32"/>
        </w:rPr>
        <w:t>　　第二条　食品药品投诉举报是指公民、法人或者其他组织向各级食品药品监督管理部门反映生产者、经营者等主体在食品（含食品添加剂）生产、经营环节中有关食品安全方面，药品、医疗器械、化妆品研制、生产、经营、使用等环节中有关产品质量安全方面存在的涉嫌违法行为。</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第十条　食品药品投诉举报机构负责统一受理食品药品投诉举报。</w:t>
      </w:r>
      <w:r>
        <w:rPr>
          <w:rFonts w:hint="eastAsia" w:ascii="仿宋" w:hAnsi="仿宋" w:eastAsia="仿宋" w:cs="仿宋"/>
          <w:color w:val="000000"/>
          <w:sz w:val="32"/>
        </w:rPr>
        <w:br w:type="textWrapping"/>
      </w:r>
      <w:r>
        <w:rPr>
          <w:rFonts w:hint="eastAsia" w:ascii="仿宋" w:hAnsi="仿宋" w:eastAsia="仿宋" w:cs="仿宋"/>
          <w:color w:val="000000"/>
          <w:sz w:val="32"/>
        </w:rPr>
        <w:t>　　对直接收到的食品药品投诉举报，食品药品监督管理部门应当自收到之日起5日内转交同级食品药品投诉举报机构；无同级食品药品投诉举报机构的，应当自收到之日起5日内转交负责投诉举报管理工作的部门。</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ascii="黑体" w:hAnsi="黑体" w:eastAsia="黑体" w:cs="黑体"/>
          <w:color w:val="000000"/>
          <w:sz w:val="32"/>
        </w:rPr>
        <w:t>　　二、请求争议解决类</w:t>
      </w:r>
      <w:r>
        <w:rPr>
          <w:rFonts w:ascii="黑体" w:hAnsi="黑体" w:eastAsia="黑体" w:cs="黑体"/>
          <w:color w:val="000000"/>
          <w:sz w:val="32"/>
        </w:rPr>
        <w:br w:type="textWrapping"/>
      </w:r>
      <w:r>
        <w:rPr>
          <w:rFonts w:ascii="楷体" w:hAnsi="楷体" w:eastAsia="楷体" w:cs="楷体"/>
          <w:b/>
          <w:color w:val="000000"/>
          <w:sz w:val="32"/>
        </w:rPr>
        <w:t>　　（一）行政争议解决类</w:t>
      </w:r>
      <w:r>
        <w:rPr>
          <w:rFonts w:ascii="楷体" w:hAnsi="楷体" w:eastAsia="楷体" w:cs="楷体"/>
          <w:b/>
          <w:color w:val="000000"/>
          <w:sz w:val="32"/>
        </w:rPr>
        <w:br w:type="textWrapping"/>
      </w:r>
      <w:r>
        <w:rPr>
          <w:rFonts w:ascii="宋体" w:hAnsi="宋体" w:eastAsia="宋体" w:cs="宋体"/>
          <w:b/>
          <w:color w:val="000000"/>
          <w:sz w:val="32"/>
        </w:rPr>
        <w:t>　</w:t>
      </w:r>
      <w:r>
        <w:rPr>
          <w:rFonts w:hint="eastAsia" w:ascii="仿宋" w:hAnsi="仿宋" w:eastAsia="仿宋" w:cs="仿宋"/>
          <w:b/>
          <w:color w:val="000000"/>
          <w:sz w:val="32"/>
        </w:rPr>
        <w:t>　1.请求行政复议类</w:t>
      </w:r>
      <w:r>
        <w:rPr>
          <w:rFonts w:hint="eastAsia" w:ascii="仿宋" w:hAnsi="仿宋" w:eastAsia="仿宋" w:cs="仿宋"/>
          <w:b/>
          <w:color w:val="000000"/>
          <w:sz w:val="32"/>
        </w:rPr>
        <w:br w:type="textWrapping"/>
      </w:r>
      <w:r>
        <w:rPr>
          <w:rFonts w:hint="eastAsia" w:ascii="仿宋" w:hAnsi="仿宋" w:eastAsia="仿宋" w:cs="仿宋"/>
          <w:b/>
          <w:color w:val="000000"/>
          <w:sz w:val="32"/>
        </w:rPr>
        <w:t>　　法律依据：</w:t>
      </w:r>
      <w:r>
        <w:rPr>
          <w:rFonts w:hint="eastAsia" w:ascii="仿宋" w:hAnsi="仿宋" w:eastAsia="仿宋" w:cs="仿宋"/>
          <w:b/>
          <w:color w:val="000000"/>
          <w:sz w:val="32"/>
        </w:rPr>
        <w:br w:type="textWrapping"/>
      </w:r>
      <w:r>
        <w:rPr>
          <w:rFonts w:hint="eastAsia" w:ascii="仿宋" w:hAnsi="仿宋" w:eastAsia="仿宋" w:cs="仿宋"/>
          <w:b/>
          <w:color w:val="000000"/>
          <w:sz w:val="32"/>
        </w:rPr>
        <w:t>　　《中华人民共和国行政复议法》（主席令第十八号  2009年）</w:t>
      </w:r>
      <w:r>
        <w:rPr>
          <w:rFonts w:hint="eastAsia" w:ascii="仿宋" w:hAnsi="仿宋" w:eastAsia="仿宋" w:cs="仿宋"/>
          <w:color w:val="000000"/>
          <w:sz w:val="32"/>
        </w:rPr>
        <w:br w:type="textWrapping"/>
      </w:r>
      <w:r>
        <w:rPr>
          <w:rFonts w:hint="eastAsia" w:ascii="仿宋" w:hAnsi="仿宋" w:eastAsia="仿宋" w:cs="仿宋"/>
          <w:color w:val="000000"/>
          <w:sz w:val="32"/>
        </w:rPr>
        <w:t>　　第六条　有下列情形之一的，公民、法人或者其他组织可以依照本法申请行政复议：（一）对行政机关作出的警告、罚款、没收违法所得、没收非法财物、责令停产停业、暂扣或者吊销许可证、暂扣或者吊销执照、行政拘留等行政处罚决定不服的；（二）对行政机关作出的限制人身自由或者查封、扣押、冻结财产等行政强制措施决定不服的；（三）对行政机关作出的有关许可证、执照、资质证、资格证等证书变更、中止、撤销的决定不服的；（四）对行政机关作出的关于确认土地、矿藏、水流、森林、山岭、草原、荒地、滩涂、海域等自然资源的所有权或者使用权的决定不服的；（五）认为行政机关侵犯合法的经营自主权的；（六）认为行政机关变更或者废止农业承包合同，侵犯其合法权益的；（七）认为行政机关违法集资、征收财物、摊派费用或者违法要求履行其他义务的；（八）认为符合法定条件，申请行政机关颁发许可证、执照、资质证、资格证等证书，或者申请行政机关审批、登记有关事项，行政机关没有依法办理的；（九）申请行政机关履行保护人身权利、财产权利、受教育权利的法定职责，行政机关没有依法履行的；（十）申请行政机关依法发放抚恤金、社会保险金或者最低生活保障费，行政机关没有依法发放的；（十一）认为行政机关的其他具体行政行为侵犯其合法权益的。</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第七条　公民、法人或者其他组织认为行政机关的具体行政行为所依据的下列规定不合法，在对具体行政行为申请行政复议时，可以一并向行政复议机关提出对该规定的审查申请：（一）国务院部门的规定；（二）县级以上地方各级人民政府及其工作部门的规定；（三）乡、镇人民政府的规定。前款所列规定不含国务院部、委员会规章和地方人民政府规章。规章的审查依照法律、行政法规办理。</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w:t>
      </w:r>
      <w:r>
        <w:rPr>
          <w:rFonts w:hint="eastAsia" w:ascii="仿宋" w:hAnsi="仿宋" w:eastAsia="仿宋" w:cs="仿宋"/>
          <w:b/>
          <w:color w:val="000000"/>
          <w:sz w:val="32"/>
        </w:rPr>
        <w:t>《国家食品药品监督管理总局行政复议办法》（国家食品药品监督管理总局令第2号  2013年）</w:t>
      </w:r>
      <w:r>
        <w:rPr>
          <w:rFonts w:hint="eastAsia" w:ascii="仿宋" w:hAnsi="仿宋" w:eastAsia="仿宋" w:cs="仿宋"/>
          <w:color w:val="000000"/>
          <w:sz w:val="32"/>
        </w:rPr>
        <w:br w:type="textWrapping"/>
      </w:r>
      <w:r>
        <w:rPr>
          <w:rFonts w:hint="eastAsia" w:ascii="仿宋" w:hAnsi="仿宋" w:eastAsia="仿宋" w:cs="仿宋"/>
          <w:color w:val="000000"/>
          <w:sz w:val="32"/>
        </w:rPr>
        <w:t>　　第四条　本办法所称行政复议案件是指：（一）不服国家食品药品监督管理总局及其委托的机构或者组织作出的具体行政行为而申请行政复议的案件；（二）不服省、自治区、直辖市食品药品监督管理部门及其委托的机构或者组织作出的具体行政行为而申请行政复议的案件；（三）其他依法由国家食品药品监督管理总局管辖的行政复议案件。</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ascii="宋体" w:hAnsi="宋体" w:eastAsia="宋体" w:cs="宋体"/>
          <w:color w:val="000000"/>
          <w:sz w:val="32"/>
        </w:rPr>
        <w:t>　</w:t>
      </w:r>
      <w:r>
        <w:rPr>
          <w:rFonts w:hint="eastAsia" w:ascii="仿宋" w:hAnsi="仿宋" w:eastAsia="仿宋" w:cs="仿宋"/>
          <w:color w:val="000000"/>
          <w:sz w:val="32"/>
        </w:rPr>
        <w:t>　</w:t>
      </w:r>
      <w:r>
        <w:rPr>
          <w:rFonts w:hint="eastAsia" w:ascii="仿宋" w:hAnsi="仿宋" w:eastAsia="仿宋" w:cs="仿宋"/>
          <w:b/>
          <w:color w:val="000000"/>
          <w:sz w:val="32"/>
        </w:rPr>
        <w:t>2.请求行政赔偿类</w:t>
      </w:r>
      <w:r>
        <w:rPr>
          <w:rFonts w:ascii="仿宋_GB2312" w:hAnsi="仿宋_GB2312" w:eastAsia="仿宋_GB2312" w:cs="仿宋_GB2312"/>
          <w:b/>
          <w:color w:val="000000"/>
          <w:sz w:val="32"/>
        </w:rPr>
        <w:br w:type="textWrapping"/>
      </w:r>
      <w:r>
        <w:rPr>
          <w:rFonts w:ascii="宋体" w:hAnsi="宋体" w:eastAsia="宋体" w:cs="宋体"/>
          <w:b/>
          <w:color w:val="000000"/>
          <w:sz w:val="32"/>
        </w:rPr>
        <w:t>　　</w:t>
      </w:r>
      <w:r>
        <w:rPr>
          <w:rFonts w:hint="eastAsia" w:ascii="仿宋" w:hAnsi="仿宋" w:eastAsia="仿宋" w:cs="仿宋"/>
          <w:b/>
          <w:color w:val="000000"/>
          <w:sz w:val="32"/>
        </w:rPr>
        <w:t>法律依据：</w:t>
      </w:r>
      <w:r>
        <w:rPr>
          <w:rFonts w:hint="eastAsia" w:ascii="仿宋" w:hAnsi="仿宋" w:eastAsia="仿宋" w:cs="仿宋"/>
          <w:b/>
          <w:color w:val="000000"/>
          <w:sz w:val="32"/>
        </w:rPr>
        <w:br w:type="textWrapping"/>
      </w:r>
      <w:r>
        <w:rPr>
          <w:rFonts w:hint="eastAsia" w:ascii="仿宋" w:hAnsi="仿宋" w:eastAsia="仿宋" w:cs="仿宋"/>
          <w:b/>
          <w:color w:val="000000"/>
          <w:sz w:val="32"/>
        </w:rPr>
        <w:t>　　《中华人民共和国国家赔偿法》（主席令第六十八号  2012年）</w:t>
      </w:r>
      <w:r>
        <w:rPr>
          <w:rFonts w:hint="eastAsia" w:ascii="仿宋" w:hAnsi="仿宋" w:eastAsia="仿宋" w:cs="仿宋"/>
          <w:b/>
          <w:color w:val="000000"/>
          <w:sz w:val="32"/>
        </w:rPr>
        <w:br w:type="textWrapping"/>
      </w:r>
      <w:r>
        <w:rPr>
          <w:rFonts w:hint="eastAsia" w:ascii="仿宋" w:hAnsi="仿宋" w:eastAsia="仿宋" w:cs="仿宋"/>
          <w:color w:val="000000"/>
          <w:sz w:val="32"/>
        </w:rPr>
        <w:t>　　第三条　行政机关及其工作人员在行使行政职权时有下列侵犯人身权情形之一的，受害人有取得赔偿的权利：（一）违法拘留或者违法采取限制公民人身自由的行政强制措施的;（二）非法拘禁或者以其他方法非法剥夺公民人身自由的;（三）以殴打、虐待等行为或者唆使、放纵他人以殴打、虐待等行为造成公民身体伤害或者死亡的;（四）违法使用武器、警械造成公民身体伤害或者死亡的;（五）造成公民身体伤害或者死亡的其他违法行为。</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第四条　行政机关及其工作人员在行使行政职权时有下列侵犯财产权情形之一的，受害人有取得赔偿的权利：（一）违法实施罚款、吊销许可证和执照、责令停产停业、没收财物等行政处罚的;（二）违法对财产采取查封、扣押、冻结等行政强制措施的;（三）违法征收、征用财产的;（四）造成财产损害的其他违法行为。</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第五条　属于下列情形之一的，国家不承担赔偿责任：（一）行政机关工作人员与行使职权无关的个人行为;（二）因公民、法人和其他组织自己的行为致使损害发生的;（三）法律规定的其他情形。</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第九条　赔偿请求人要求赔偿，应当先向赔偿义务机关提出，也可以在申请行政复议或者提起行政诉讼时一并提出。</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ascii="楷体" w:hAnsi="楷体" w:eastAsia="楷体" w:cs="楷体"/>
          <w:color w:val="000000"/>
          <w:sz w:val="32"/>
        </w:rPr>
        <w:t>　　</w:t>
      </w:r>
      <w:r>
        <w:rPr>
          <w:rFonts w:ascii="楷体" w:hAnsi="楷体" w:eastAsia="楷体" w:cs="楷体"/>
          <w:b/>
          <w:color w:val="000000"/>
          <w:sz w:val="32"/>
        </w:rPr>
        <w:t>（二）劳动人事争议类</w:t>
      </w:r>
      <w:r>
        <w:rPr>
          <w:rFonts w:ascii="楷体" w:hAnsi="楷体" w:eastAsia="楷体" w:cs="楷体"/>
          <w:b/>
          <w:color w:val="000000"/>
          <w:sz w:val="32"/>
        </w:rPr>
        <w:br w:type="textWrapping"/>
      </w:r>
      <w:r>
        <w:rPr>
          <w:rFonts w:ascii="宋体" w:hAnsi="宋体" w:eastAsia="宋体" w:cs="宋体"/>
          <w:b/>
          <w:color w:val="000000"/>
          <w:sz w:val="32"/>
        </w:rPr>
        <w:t>　</w:t>
      </w:r>
      <w:r>
        <w:rPr>
          <w:rFonts w:hint="eastAsia" w:ascii="仿宋" w:hAnsi="仿宋" w:eastAsia="仿宋" w:cs="仿宋"/>
          <w:b/>
          <w:color w:val="000000"/>
          <w:sz w:val="32"/>
        </w:rPr>
        <w:t>　1.请求人事争议调解仲裁类</w:t>
      </w:r>
      <w:r>
        <w:rPr>
          <w:rFonts w:hint="eastAsia" w:ascii="仿宋" w:hAnsi="仿宋" w:eastAsia="仿宋" w:cs="仿宋"/>
          <w:b/>
          <w:color w:val="000000"/>
          <w:sz w:val="32"/>
        </w:rPr>
        <w:br w:type="textWrapping"/>
      </w:r>
      <w:r>
        <w:rPr>
          <w:rFonts w:hint="eastAsia" w:ascii="仿宋" w:hAnsi="仿宋" w:eastAsia="仿宋" w:cs="仿宋"/>
          <w:b/>
          <w:color w:val="000000"/>
          <w:sz w:val="32"/>
        </w:rPr>
        <w:t>　　法律依据：</w:t>
      </w:r>
      <w:r>
        <w:rPr>
          <w:rFonts w:hint="eastAsia" w:ascii="仿宋" w:hAnsi="仿宋" w:eastAsia="仿宋" w:cs="仿宋"/>
          <w:b/>
          <w:color w:val="000000"/>
          <w:sz w:val="32"/>
        </w:rPr>
        <w:br w:type="textWrapping"/>
      </w:r>
      <w:r>
        <w:rPr>
          <w:rFonts w:hint="eastAsia" w:ascii="仿宋" w:hAnsi="仿宋" w:eastAsia="仿宋" w:cs="仿宋"/>
          <w:b/>
          <w:color w:val="000000"/>
          <w:sz w:val="32"/>
        </w:rPr>
        <w:t>　　《中华人民共和国公务员法》（主席令第三十五号  2005年）</w:t>
      </w:r>
      <w:r>
        <w:rPr>
          <w:rFonts w:hint="eastAsia" w:ascii="仿宋" w:hAnsi="仿宋" w:eastAsia="仿宋" w:cs="仿宋"/>
          <w:b/>
          <w:color w:val="000000"/>
          <w:sz w:val="32"/>
        </w:rPr>
        <w:br w:type="textWrapping"/>
      </w:r>
      <w:r>
        <w:rPr>
          <w:rFonts w:hint="eastAsia" w:ascii="仿宋" w:hAnsi="仿宋" w:eastAsia="仿宋" w:cs="仿宋"/>
          <w:color w:val="000000"/>
          <w:sz w:val="32"/>
        </w:rPr>
        <w:t>　　第一百条　聘任制公务员与所在机关之间因履行聘任合同发生争议的，可以自争议发生之日起六十日内向人事争议仲裁委员会申请仲裁。当事人对仲裁裁决不服的，可以自接到仲裁裁决书之日起十五日内向人民法院提起诉讼。仲裁裁决生效后，一方当事人不履行的，另一方当事人可以申请人民法院执行。</w:t>
      </w:r>
      <w:r>
        <w:rPr>
          <w:rFonts w:hint="eastAsia" w:ascii="仿宋" w:hAnsi="仿宋" w:eastAsia="仿宋" w:cs="仿宋"/>
          <w:b/>
          <w:color w:val="000000"/>
          <w:sz w:val="32"/>
        </w:rPr>
        <w:br w:type="textWrapping"/>
      </w:r>
      <w:r>
        <w:rPr>
          <w:rFonts w:hint="eastAsia" w:ascii="仿宋" w:hAnsi="仿宋" w:eastAsia="仿宋" w:cs="仿宋"/>
          <w:b/>
          <w:color w:val="000000"/>
          <w:sz w:val="32"/>
        </w:rPr>
        <w:t>　　《人事争议处理规定》（人社部发[2011]88号  2011年）</w:t>
      </w:r>
      <w:r>
        <w:rPr>
          <w:rFonts w:hint="eastAsia" w:ascii="仿宋" w:hAnsi="仿宋" w:eastAsia="仿宋" w:cs="仿宋"/>
          <w:b/>
          <w:color w:val="000000"/>
          <w:sz w:val="32"/>
        </w:rPr>
        <w:br w:type="textWrapping"/>
      </w:r>
      <w:r>
        <w:rPr>
          <w:rFonts w:hint="eastAsia" w:ascii="仿宋" w:hAnsi="仿宋" w:eastAsia="仿宋" w:cs="仿宋"/>
          <w:color w:val="000000"/>
          <w:sz w:val="32"/>
        </w:rPr>
        <w:t>　　第二条　本规定适用于下列人事争议：（一）实施公务员法的机关与聘任制公务员之间、参照《中华人民共和国公务员法》管理的机关（单位）与聘任工作人员之间因履行聘任合同发生的争议。（二）事业单位与工作人员之间因解除人事关系、履行聘用合同发生的争议。（三）社团组织与工作人员之间因解除人事关系、履行聘用合同发生的争议。</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第三条　人事争议发生后，当事人可以协商解决；不愿协商或者协商不成的，可以向主管部门申请调解，其中军队聘用单位与文职人员的人事争议，可以向聘用单位的上一级单位申请调解；不愿调解或调解不成的，可以向人事争议仲裁委员会申请仲裁。当事人也可以直接向人事争议仲裁委员会申请仲裁。当事人对仲裁裁决不服的，可以向人民法院提起诉讼。</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w:t>
      </w:r>
      <w:r>
        <w:rPr>
          <w:rFonts w:hint="eastAsia" w:ascii="仿宋" w:hAnsi="仿宋" w:eastAsia="仿宋" w:cs="仿宋"/>
          <w:b/>
          <w:color w:val="000000"/>
          <w:sz w:val="32"/>
        </w:rPr>
        <w:t>2.请求劳动争议调解仲裁类</w:t>
      </w:r>
      <w:r>
        <w:rPr>
          <w:rFonts w:hint="eastAsia" w:ascii="仿宋" w:hAnsi="仿宋" w:eastAsia="仿宋" w:cs="仿宋"/>
          <w:b/>
          <w:color w:val="000000"/>
          <w:sz w:val="32"/>
        </w:rPr>
        <w:br w:type="textWrapping"/>
      </w:r>
      <w:r>
        <w:rPr>
          <w:rFonts w:hint="eastAsia" w:ascii="仿宋" w:hAnsi="仿宋" w:eastAsia="仿宋" w:cs="仿宋"/>
          <w:b/>
          <w:color w:val="000000"/>
          <w:sz w:val="32"/>
        </w:rPr>
        <w:t>　　法律依据：</w:t>
      </w:r>
      <w:r>
        <w:rPr>
          <w:rFonts w:hint="eastAsia" w:ascii="仿宋" w:hAnsi="仿宋" w:eastAsia="仿宋" w:cs="仿宋"/>
          <w:b/>
          <w:color w:val="000000"/>
          <w:sz w:val="32"/>
        </w:rPr>
        <w:br w:type="textWrapping"/>
      </w:r>
      <w:r>
        <w:rPr>
          <w:rFonts w:hint="eastAsia" w:ascii="仿宋" w:hAnsi="仿宋" w:eastAsia="仿宋" w:cs="仿宋"/>
          <w:b/>
          <w:color w:val="000000"/>
          <w:sz w:val="32"/>
        </w:rPr>
        <w:t>　　《中华人民共和国劳动争议调解仲裁法》（主席令第八十号2007年）</w:t>
      </w:r>
      <w:r>
        <w:rPr>
          <w:rFonts w:hint="eastAsia" w:ascii="仿宋" w:hAnsi="仿宋" w:eastAsia="仿宋" w:cs="仿宋"/>
          <w:b/>
          <w:color w:val="000000"/>
          <w:sz w:val="32"/>
        </w:rPr>
        <w:br w:type="textWrapping"/>
      </w:r>
      <w:r>
        <w:rPr>
          <w:rFonts w:hint="eastAsia" w:ascii="仿宋" w:hAnsi="仿宋" w:eastAsia="仿宋" w:cs="仿宋"/>
          <w:color w:val="000000"/>
          <w:sz w:val="32"/>
        </w:rPr>
        <w:t>　　第二条　中华人民共和国境内的用人单位与劳动者发生的下列劳动争议，适用本法：（一）因确认劳动关系发生的争议；（二）因订立、履行、变更、解除和终止劳动合同发生的争议；（三）因除名、辞退和辞职、离职发生的争议；（四）因工作时间、休息休假、社会保险、福利、培训以及劳动保护发生的争议；（五）因劳动报酬、工伤医疗费、经济补偿或者赔偿金等发生的争议；（六）法律、法规规定的其他劳动争议。</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第五条　发生劳动争议，当事人不愿协商、协商不成或者达成和解协议后不履行的，可以向调解组织申请调解；不愿调解、调解不成或者达成调解协议后不履行的，可以向劳动争议仲裁委员会申请仲裁；对仲裁裁决不服的，除本法另有规定的外，可以向人民法院提起诉讼。</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第五十二条　事业单位实行聘用制的工作人员与本单位发生劳动争议的，依照本法执行；法律、行政法规或者国务院另有规定的，依照其规定。</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ascii="黑体" w:hAnsi="黑体" w:eastAsia="黑体" w:cs="黑体"/>
          <w:color w:val="000000"/>
          <w:sz w:val="32"/>
        </w:rPr>
        <w:t>　　三、司法诉讼类</w:t>
      </w:r>
      <w:r>
        <w:rPr>
          <w:rFonts w:ascii="黑体" w:hAnsi="黑体" w:eastAsia="黑体" w:cs="黑体"/>
          <w:color w:val="000000"/>
          <w:sz w:val="32"/>
        </w:rPr>
        <w:br w:type="textWrapping"/>
      </w:r>
      <w:r>
        <w:rPr>
          <w:rFonts w:ascii="楷体" w:hAnsi="楷体" w:eastAsia="楷体" w:cs="楷体"/>
          <w:b/>
          <w:color w:val="000000"/>
          <w:sz w:val="32"/>
        </w:rPr>
        <w:t>　　（一）行政诉讼类</w:t>
      </w:r>
      <w:r>
        <w:rPr>
          <w:rFonts w:ascii="楷体" w:hAnsi="楷体" w:eastAsia="楷体" w:cs="楷体"/>
          <w:b/>
          <w:color w:val="000000"/>
          <w:sz w:val="32"/>
        </w:rPr>
        <w:br w:type="textWrapping"/>
      </w:r>
      <w:r>
        <w:rPr>
          <w:rFonts w:ascii="宋体" w:hAnsi="宋体" w:eastAsia="宋体" w:cs="宋体"/>
          <w:b/>
          <w:color w:val="000000"/>
          <w:sz w:val="32"/>
        </w:rPr>
        <w:t>　　</w:t>
      </w:r>
      <w:r>
        <w:rPr>
          <w:rFonts w:hint="eastAsia" w:ascii="仿宋" w:hAnsi="仿宋" w:eastAsia="仿宋" w:cs="仿宋"/>
          <w:b/>
          <w:color w:val="000000"/>
          <w:sz w:val="32"/>
        </w:rPr>
        <w:t>法律依据：</w:t>
      </w:r>
      <w:r>
        <w:rPr>
          <w:rFonts w:hint="eastAsia" w:ascii="仿宋" w:hAnsi="仿宋" w:eastAsia="仿宋" w:cs="仿宋"/>
          <w:b/>
          <w:color w:val="000000"/>
          <w:sz w:val="32"/>
        </w:rPr>
        <w:br w:type="textWrapping"/>
      </w:r>
      <w:r>
        <w:rPr>
          <w:rFonts w:hint="eastAsia" w:ascii="仿宋" w:hAnsi="仿宋" w:eastAsia="仿宋" w:cs="仿宋"/>
          <w:b/>
          <w:color w:val="000000"/>
          <w:sz w:val="32"/>
        </w:rPr>
        <w:t>　　《中华人民共和国行政诉讼法》（主席令第十五号  2014年）</w:t>
      </w:r>
      <w:r>
        <w:rPr>
          <w:rFonts w:hint="eastAsia" w:ascii="仿宋" w:hAnsi="仿宋" w:eastAsia="仿宋" w:cs="仿宋"/>
          <w:b/>
          <w:color w:val="000000"/>
          <w:sz w:val="32"/>
        </w:rPr>
        <w:br w:type="textWrapping"/>
      </w:r>
      <w:r>
        <w:rPr>
          <w:rFonts w:hint="eastAsia" w:ascii="仿宋" w:hAnsi="仿宋" w:eastAsia="仿宋" w:cs="仿宋"/>
          <w:color w:val="000000"/>
          <w:sz w:val="32"/>
        </w:rPr>
        <w:t>　　第十二条　人民法院受理公民、法人或者其他组织提起的下列诉讼：（一）对行政拘留、暂扣或者吊销许可证和执照、责令停产停业、没收违法所得、没收非法财物、罚款、警告等行政处罚不服的；（二）对限制人身自由或者对财产的查封、扣押、冻结等行政强制措施和行政强制执行不服的；（三）申请行政许可，行政机关拒绝或者在法定期限内不予答复，或者对行政机关作出的有关行政许可的其他决定不服的；（四）对行政机关作出的关于确认土地、矿藏、水流、森林、山岭、草原、荒地、滩涂、海域等自然资源的所有权或者使用权的决定不服的；（五）对征收、征用决定及其补偿决定不服的；（六）申请行政机关履行保护人身权、财产权等合法权益的法定职责，行政机关拒绝履行或者不予答复的；（七）认为行政机关侵犯其经营自主权或者农村土地承包经营权、农村土地经营权的；（八）认为行政机关滥用行政权力排除或者限制竞争的；（九）认为行政机关违法集资、摊派费用或者违法要求履行其他义务的；（十）认为行政机关没有依法支付抚恤金、最低生活保障待遇或者社会保险待遇的；（十一）认为行政机关不依法履行、未按照约定履行或者违法变更、解除政府特许经营协议、土地房屋征收补偿协议等协议的；（十二）认为行政机关侵犯其他人身权、财产权等合法权益的。除前款规定外，人民法院受理法律、法规规定可以提起诉讼的其他行政案件。</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第十三条　人民法院不受理公民、法人或者其他组织对下列事项提起的诉讼：（一）国防、外交等国家行为；（二）行政法规、规章或者行政机关制定、发布的具有普遍约束力的决定、命令；（三）行政机关对行政机关工作人员的奖惩、任免等决定；（四）法律规定由行政机关最终裁决的行政行为。</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ascii="楷体" w:hAnsi="楷体" w:eastAsia="楷体" w:cs="楷体"/>
          <w:color w:val="000000"/>
          <w:sz w:val="32"/>
        </w:rPr>
        <w:t>　　</w:t>
      </w:r>
      <w:r>
        <w:rPr>
          <w:rFonts w:ascii="楷体" w:hAnsi="楷体" w:eastAsia="楷体" w:cs="楷体"/>
          <w:b/>
          <w:color w:val="000000"/>
          <w:sz w:val="32"/>
        </w:rPr>
        <w:t>（二）民事诉讼类</w:t>
      </w:r>
      <w:r>
        <w:rPr>
          <w:rFonts w:ascii="楷体" w:hAnsi="楷体" w:eastAsia="楷体" w:cs="楷体"/>
          <w:b/>
          <w:color w:val="000000"/>
          <w:sz w:val="32"/>
        </w:rPr>
        <w:br w:type="textWrapping"/>
      </w:r>
      <w:r>
        <w:rPr>
          <w:rFonts w:ascii="宋体" w:hAnsi="宋体" w:eastAsia="宋体" w:cs="宋体"/>
          <w:b/>
          <w:color w:val="000000"/>
          <w:sz w:val="32"/>
        </w:rPr>
        <w:t>　</w:t>
      </w:r>
      <w:r>
        <w:rPr>
          <w:rFonts w:hint="eastAsia" w:ascii="仿宋" w:hAnsi="仿宋" w:eastAsia="仿宋" w:cs="仿宋"/>
          <w:b/>
          <w:color w:val="000000"/>
          <w:sz w:val="32"/>
        </w:rPr>
        <w:t>　法律依据：</w:t>
      </w:r>
      <w:r>
        <w:rPr>
          <w:rFonts w:hint="eastAsia" w:ascii="仿宋" w:hAnsi="仿宋" w:eastAsia="仿宋" w:cs="仿宋"/>
          <w:b/>
          <w:color w:val="000000"/>
          <w:sz w:val="32"/>
        </w:rPr>
        <w:br w:type="textWrapping"/>
      </w:r>
      <w:r>
        <w:rPr>
          <w:rFonts w:hint="eastAsia" w:ascii="仿宋" w:hAnsi="仿宋" w:eastAsia="仿宋" w:cs="仿宋"/>
          <w:b/>
          <w:color w:val="000000"/>
          <w:sz w:val="32"/>
        </w:rPr>
        <w:t>　　《中华人民共和国民事诉讼法》（主席令第五十九号  2012年）</w:t>
      </w:r>
      <w:r>
        <w:rPr>
          <w:rFonts w:hint="eastAsia" w:ascii="仿宋" w:hAnsi="仿宋" w:eastAsia="仿宋" w:cs="仿宋"/>
          <w:b/>
          <w:color w:val="000000"/>
          <w:sz w:val="32"/>
        </w:rPr>
        <w:br w:type="textWrapping"/>
      </w:r>
      <w:r>
        <w:rPr>
          <w:rFonts w:hint="eastAsia" w:ascii="仿宋" w:hAnsi="仿宋" w:eastAsia="仿宋" w:cs="仿宋"/>
          <w:color w:val="000000"/>
          <w:sz w:val="32"/>
        </w:rPr>
        <w:t>　　第三条　人民法院受理公民之间、法人之间、其他组织之间以及他们相互之间因财产关系和人身关系提起的民事诉讼，适用本法的规定。</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一百二十四条人民法院对下列起诉，分别情形，予以处理：（一）依照行政诉讼法的规定，属于行政诉讼受案范围的，告知原告提起行政诉讼；（二）依照法律规定，双方当事人达成书面仲裁协议申请仲裁、不得向人民法院起诉的，告知原告向仲裁机构申请仲裁；（三）依照法律规定，应当由其他机关处理的争议，告知原告向有关机关申请解决；（四）对不属于本院管辖的案件，告知原告向有管辖权的人民法院起诉；（五）对判决、裁定、调解书已经发生法律效力的案件，当事人又起诉的，告知原告申请再审，但人民法院准许撤诉的裁定除外；（六）依照法律规定，在一定期限内不得起诉的案件，在不得起诉的期限内起诉的，不予受理；（七）判决不准离婚和调解和好的离婚案件，判决、调解维持收养关系的案件，没有新情况、新理由，原告在六个月内又起诉的，不予受理。</w:t>
      </w:r>
      <w:r>
        <w:rPr>
          <w:rFonts w:hint="eastAsia" w:ascii="仿宋" w:hAnsi="仿宋" w:eastAsia="仿宋" w:cs="仿宋"/>
          <w:b/>
          <w:color w:val="000000"/>
          <w:sz w:val="32"/>
        </w:rPr>
        <w:br w:type="textWrapping"/>
      </w:r>
      <w:r>
        <w:rPr>
          <w:rFonts w:hint="eastAsia" w:ascii="仿宋" w:hAnsi="仿宋" w:eastAsia="仿宋" w:cs="仿宋"/>
          <w:b/>
          <w:color w:val="000000"/>
          <w:sz w:val="32"/>
        </w:rPr>
        <w:t>　　《中华人民共和国食品安全法》（主席令第二十一号  2015年）</w:t>
      </w:r>
      <w:r>
        <w:rPr>
          <w:rFonts w:hint="eastAsia" w:ascii="仿宋" w:hAnsi="仿宋" w:eastAsia="仿宋" w:cs="仿宋"/>
          <w:b/>
          <w:color w:val="000000"/>
          <w:sz w:val="32"/>
        </w:rPr>
        <w:br w:type="textWrapping"/>
      </w:r>
      <w:r>
        <w:rPr>
          <w:rFonts w:hint="eastAsia" w:ascii="仿宋" w:hAnsi="仿宋" w:eastAsia="仿宋" w:cs="仿宋"/>
          <w:color w:val="000000"/>
          <w:sz w:val="32"/>
        </w:rPr>
        <w:t>　　第一百四十一条　违反本法规定，编造、散布虚假食品安全信息，构成违反治安管理行为的，由公安机关依法给予治安管理处罚。媒体编造、散布虚假食品安全信息的，由有关主管部门依法给予处罚，并对直接负责的主管人员和其他直接责任人员给予处分；使公民、法人或者其他组织的合法权益受到损害的，依法承担消除影响、恢复名誉、赔偿损失、赔礼道歉等民事责任。</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第一百四十七条　违反本法规定，造成人身、财产或者其他损害的，依法承担赔偿责任。生产经营者财产不足以同时承担民事赔偿责任和缴纳罚款、罚金时，先承担民事赔偿责任。</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w:t>
      </w:r>
      <w:r>
        <w:rPr>
          <w:rFonts w:hint="eastAsia" w:ascii="仿宋" w:hAnsi="仿宋" w:eastAsia="仿宋" w:cs="仿宋"/>
          <w:b/>
          <w:color w:val="000000"/>
          <w:sz w:val="32"/>
        </w:rPr>
        <w:t>《中华人民共和国药品管理法》（主席令第二十七号  2015年）</w:t>
      </w:r>
      <w:r>
        <w:rPr>
          <w:rFonts w:hint="eastAsia" w:ascii="仿宋" w:hAnsi="仿宋" w:eastAsia="仿宋" w:cs="仿宋"/>
          <w:b/>
          <w:color w:val="000000"/>
          <w:sz w:val="32"/>
        </w:rPr>
        <w:br w:type="textWrapping"/>
      </w:r>
      <w:r>
        <w:rPr>
          <w:rFonts w:hint="eastAsia" w:ascii="仿宋" w:hAnsi="仿宋" w:eastAsia="仿宋" w:cs="仿宋"/>
          <w:color w:val="000000"/>
          <w:sz w:val="32"/>
        </w:rPr>
        <w:t>　　第九十二条　药品的生产企业、经营企业、医疗机构违反本法规定，给药品使用者造成损害的，依法承担赔偿责任。</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w:t>
      </w:r>
      <w:r>
        <w:rPr>
          <w:rFonts w:hint="eastAsia" w:ascii="仿宋" w:hAnsi="仿宋" w:eastAsia="仿宋" w:cs="仿宋"/>
          <w:b/>
          <w:color w:val="000000"/>
          <w:sz w:val="32"/>
        </w:rPr>
        <w:t>《医疗器械监督管理条例》（国务院令第650号  2014年）</w:t>
      </w:r>
      <w:r>
        <w:rPr>
          <w:rFonts w:hint="eastAsia" w:ascii="仿宋" w:hAnsi="仿宋" w:eastAsia="仿宋" w:cs="仿宋"/>
          <w:color w:val="000000"/>
          <w:sz w:val="32"/>
        </w:rPr>
        <w:br w:type="textWrapping"/>
      </w:r>
      <w:r>
        <w:rPr>
          <w:rFonts w:hint="eastAsia" w:ascii="仿宋" w:hAnsi="仿宋" w:eastAsia="仿宋" w:cs="仿宋"/>
          <w:color w:val="000000"/>
          <w:sz w:val="32"/>
        </w:rPr>
        <w:t>　　第七十五条　违反本条例规定，构成犯罪的，依法追究刑事责任；造成人身、财产或者其他损害的，依法承担赔偿责任。</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w:t>
      </w:r>
      <w:r>
        <w:rPr>
          <w:rFonts w:hint="eastAsia" w:ascii="仿宋" w:hAnsi="仿宋" w:eastAsia="仿宋" w:cs="仿宋"/>
          <w:b/>
          <w:color w:val="000000"/>
          <w:sz w:val="32"/>
        </w:rPr>
        <w:t>《最高人民法院关于审理食品药品纠纷案件适用法律若干问题的规定》（法释[2013]28号）</w:t>
      </w:r>
      <w:r>
        <w:rPr>
          <w:rFonts w:hint="eastAsia" w:ascii="仿宋" w:hAnsi="仿宋" w:eastAsia="仿宋" w:cs="仿宋"/>
          <w:b/>
          <w:color w:val="000000"/>
          <w:sz w:val="32"/>
        </w:rPr>
        <w:br w:type="textWrapping"/>
      </w:r>
      <w:r>
        <w:rPr>
          <w:rFonts w:hint="eastAsia" w:ascii="仿宋" w:hAnsi="仿宋" w:eastAsia="仿宋" w:cs="仿宋"/>
          <w:color w:val="000000"/>
          <w:sz w:val="32"/>
        </w:rPr>
        <w:t>　　第二条　因食品、药品存在质量问题造成消费者损害，消费者可以分别起诉或者同时起诉销售者和生产者。</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第五条　消费者举证证明所购买食品、药品的事实以及所购食品、药品不符合合同的约定，主张食品、药品的生产者、销售者承担违约责任的，人民法院应予支持。消费者举证证明因食用食品或者使用药品受到损害，初步证明损害与食用食品或者使用药品存在因果关系，并请求食品、药品的生产者、销售者承担侵权责任的，人民法院应予支持，但食品、药品的生产者、销售者能证明损害不是因产品不符合质量标准造成的除外。</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第八条　集中交易市场的开办者、柜台出租者、展销会举办者未履行食品安全法规定的审查、检查、管理等义务，发生食品安全事故，致使消费者遭受人身损害，消费者请求集中交易市场的开办者、柜台出租者、展销会举办者承担连带责任的，人民法院应予支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第九条　消费者通过网络交易平台购买食品、药品遭受损害，网络交易平台提供者不能提供食品、药品的生产者或者销售者的真实名称、地址与有效联系方式，消费者请求网络交易平台提供者承担责任的，人民法院应予支持。网络交易平台提供者承担赔偿责任后，向生产者或者销售者行使追偿权的，人民法院应予支持。网络交易平台提供者知道或者应当知道食品、药品的生产者、销售者利用其平台侵害消费者合法权益，未采取必要措施，给消费者造成损害，消费者要求其与生产者、销售者承担连带责任的，人民法院应予支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第十条　未取得食品生产资质与销售资质的个人、企业或者其他组织，挂靠具有相应资质的生产者与销售者，生产、销售食品，造成消费者损害，消费者请求挂靠者与被挂靠者承担连带责任的，人民法院应予支持。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第十一条　消费者因虚假广告推荐的食品、药品存在质量问题遭受损害，依据消费者权益保护法等法律相关规定请求广告经营者、广告发布者承担连带责任的，人民法院应予支持。社会团体或者其他组织、个人，在虚假广告中向消费者推荐食品、药品，使消费者遭受损害，消费者依据消费者权益保护法等法律相关规定请求其与食品、药品的生产者、销售者承担连带责任的，人民法院应予支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第十二条　食品、药品检验机构故意出具虚假检验报告，造成消费者损害，消费者请求其承担连带责任的，人民法院应予支持。食品、药品检验机构因过失出具不实检验报告，造成消费者损害，消费者请求其承担相应责任的，人民法院应予支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第十三条　食品认证机构故意出具虚假认证，造成消费者损害，消费者请求其承担连带责任的，人民法院应予支持。食品认证机构因过失出具不实认证，造成消费者损害，消费者请求其承担相应责任的，人民法院应予支持。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第十四条　生产、销售的食品、药品存在质量问题，生产者与销售者需同时承担民事责任、行政责任和刑事责任，其财产不足以支付，当事人依照侵权责任法等有关法律规定，请求食品、药品的生产者、销售者首先承担民事责任的，人民法院应予支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第十五条　生产不符合安全标准的食品或者销售明知是不符合安全标准的食品，消费者除要求赔偿损失外，向生产者、销售者主张支付价款十倍赔偿金或者依照法律规定的其他赔偿标准要求赔偿的，人民法院应予支持。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第十六条　食品、药品的生产者与销售者以格式合同、通知、声明、告示等方式作出排除或者限制消费者权利，减轻或者免除经营者责任、加重消费者责任等对消费者不公平、不合理的规定，消费者依法请求认定该内容无效的，人民法院应予支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第十七条　消费者与化妆品、保健品等产品的生产者、销售者、广告经营者、广告发布者、推荐者、检验机构等主体之间的纠纷，参照适用本规定。消费者协会依法提起公益诉讼的，参照适用本规定。</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ascii="楷体" w:hAnsi="楷体" w:eastAsia="楷体" w:cs="楷体"/>
          <w:color w:val="000000"/>
          <w:sz w:val="32"/>
        </w:rPr>
        <w:t>　　</w:t>
      </w:r>
      <w:r>
        <w:rPr>
          <w:rFonts w:ascii="楷体" w:hAnsi="楷体" w:eastAsia="楷体" w:cs="楷体"/>
          <w:b/>
          <w:color w:val="000000"/>
          <w:sz w:val="32"/>
        </w:rPr>
        <w:t>（三）刑事自诉类</w:t>
      </w:r>
      <w:r>
        <w:rPr>
          <w:rFonts w:ascii="楷体" w:hAnsi="楷体" w:eastAsia="楷体" w:cs="楷体"/>
          <w:b/>
          <w:color w:val="000000"/>
          <w:sz w:val="32"/>
        </w:rPr>
        <w:br w:type="textWrapping"/>
      </w:r>
      <w:r>
        <w:rPr>
          <w:rFonts w:ascii="宋体" w:hAnsi="宋体" w:eastAsia="宋体" w:cs="宋体"/>
          <w:b/>
          <w:color w:val="000000"/>
          <w:sz w:val="32"/>
        </w:rPr>
        <w:t>　　</w:t>
      </w:r>
      <w:r>
        <w:rPr>
          <w:rFonts w:hint="eastAsia" w:ascii="仿宋" w:hAnsi="仿宋" w:eastAsia="仿宋" w:cs="仿宋"/>
          <w:b/>
          <w:color w:val="000000"/>
          <w:sz w:val="32"/>
        </w:rPr>
        <w:t>法律依据：</w:t>
      </w:r>
      <w:r>
        <w:rPr>
          <w:rFonts w:hint="eastAsia" w:ascii="仿宋" w:hAnsi="仿宋" w:eastAsia="仿宋" w:cs="仿宋"/>
          <w:b/>
          <w:color w:val="000000"/>
          <w:sz w:val="32"/>
        </w:rPr>
        <w:br w:type="textWrapping"/>
      </w:r>
      <w:r>
        <w:rPr>
          <w:rFonts w:hint="eastAsia" w:ascii="仿宋" w:hAnsi="仿宋" w:eastAsia="仿宋" w:cs="仿宋"/>
          <w:b/>
          <w:color w:val="000000"/>
          <w:sz w:val="32"/>
        </w:rPr>
        <w:t>　　《中华人民共和国刑事诉讼法》（主席令第五十五号  2012年）</w:t>
      </w:r>
      <w:r>
        <w:rPr>
          <w:rFonts w:hint="eastAsia" w:ascii="仿宋" w:hAnsi="仿宋" w:eastAsia="仿宋" w:cs="仿宋"/>
          <w:b/>
          <w:color w:val="000000"/>
          <w:sz w:val="32"/>
        </w:rPr>
        <w:br w:type="textWrapping"/>
      </w:r>
      <w:r>
        <w:rPr>
          <w:rFonts w:hint="eastAsia" w:ascii="仿宋" w:hAnsi="仿宋" w:eastAsia="仿宋" w:cs="仿宋"/>
          <w:color w:val="000000"/>
          <w:sz w:val="32"/>
        </w:rPr>
        <w:t>　　第十八条　自诉案件，由人民法院直接受理。</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第二百零四条　自诉案件包括下列案件：（一）告诉才处理的案件；（二）被害人有证据证明的轻微刑事案件；（三）被害人有证据证明对被告人侵犯自己人身、财产权利的行为应当依法追究刑事责任，而公安机关或者人民检察院不予追究被告人刑事责任的案件。</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第二百零五条　人民法院对于自诉案件进行审查后，按照下列情形分别处理：（一）犯罪事实清楚，有足够证据的案件，应当开庭审判；（二）缺乏罪证的自诉案件，如果自诉人提不出补充证据，应当说服自诉人撤回自诉，或者裁定驳回。</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ascii="黑体" w:hAnsi="黑体" w:eastAsia="黑体" w:cs="黑体"/>
          <w:color w:val="000000"/>
          <w:sz w:val="32"/>
        </w:rPr>
        <w:t>　　四、控告检举类</w:t>
      </w:r>
      <w:r>
        <w:rPr>
          <w:rFonts w:ascii="黑体" w:hAnsi="黑体" w:eastAsia="黑体" w:cs="黑体"/>
          <w:color w:val="000000"/>
          <w:sz w:val="32"/>
        </w:rPr>
        <w:br w:type="textWrapping"/>
      </w:r>
      <w:r>
        <w:rPr>
          <w:rFonts w:ascii="楷体" w:hAnsi="楷体" w:eastAsia="楷体" w:cs="楷体"/>
          <w:b/>
          <w:color w:val="000000"/>
          <w:sz w:val="32"/>
        </w:rPr>
        <w:t>　　（一）请求行政监察类</w:t>
      </w:r>
      <w:r>
        <w:rPr>
          <w:rFonts w:ascii="楷体" w:hAnsi="楷体" w:eastAsia="楷体" w:cs="楷体"/>
          <w:b/>
          <w:color w:val="000000"/>
          <w:sz w:val="32"/>
        </w:rPr>
        <w:br w:type="textWrapping"/>
      </w:r>
      <w:r>
        <w:rPr>
          <w:rFonts w:ascii="宋体" w:hAnsi="宋体" w:eastAsia="宋体" w:cs="宋体"/>
          <w:b/>
          <w:color w:val="000000"/>
          <w:sz w:val="32"/>
        </w:rPr>
        <w:t>　</w:t>
      </w:r>
      <w:r>
        <w:rPr>
          <w:rFonts w:hint="eastAsia" w:ascii="仿宋" w:hAnsi="仿宋" w:eastAsia="仿宋" w:cs="仿宋"/>
          <w:b/>
          <w:color w:val="000000"/>
          <w:sz w:val="32"/>
        </w:rPr>
        <w:t>　法律依据：</w:t>
      </w:r>
      <w:r>
        <w:rPr>
          <w:rFonts w:hint="eastAsia" w:ascii="仿宋" w:hAnsi="仿宋" w:eastAsia="仿宋" w:cs="仿宋"/>
          <w:b/>
          <w:color w:val="000000"/>
          <w:sz w:val="32"/>
        </w:rPr>
        <w:br w:type="textWrapping"/>
      </w:r>
      <w:r>
        <w:rPr>
          <w:rFonts w:hint="eastAsia" w:ascii="仿宋" w:hAnsi="仿宋" w:eastAsia="仿宋" w:cs="仿宋"/>
          <w:b/>
          <w:color w:val="000000"/>
          <w:sz w:val="32"/>
        </w:rPr>
        <w:t>　　《中华人民共和国行政监察法》（主席令第三十一号  2010年）</w:t>
      </w:r>
      <w:r>
        <w:rPr>
          <w:rFonts w:hint="eastAsia" w:ascii="仿宋" w:hAnsi="仿宋" w:eastAsia="仿宋" w:cs="仿宋"/>
          <w:b/>
          <w:color w:val="000000"/>
          <w:sz w:val="32"/>
        </w:rPr>
        <w:br w:type="textWrapping"/>
      </w:r>
      <w:r>
        <w:rPr>
          <w:rFonts w:hint="eastAsia" w:ascii="仿宋" w:hAnsi="仿宋" w:eastAsia="仿宋" w:cs="仿宋"/>
          <w:color w:val="000000"/>
          <w:sz w:val="32"/>
        </w:rPr>
        <w:t>　　第二条　监察机关是人民政府行使监察职能的机关，依照本法对国家行政机关及其公务员和国家行政机关任命的其他人员实施监察。</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第六条　监察工作应当依靠群众。监察机关建立举报制度，公民、法人或者其他组织对于任何国家行政机关及其公务员和国家行政机关任命的其他人员的违反行政纪律行为，有权向监察机关提出控告或者检举。监察机关应当受理举报并依法调查处理；对实名举报的，应当将处理结果等情况予以回复。</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第十八条　监察机关对监察对象执法、廉政、效能情况进行监察，履行下列职责：（一）检查国家行政机关在遵守和执行法律、法规和人民政府的决定、命令中的问题；（二）受理对国家行政机关及其公务员和国家行政机关任命的其他人员违反行政纪律行为的控告、检举；（三）调查处理国家行政机关及其公务员和国家行政机关任命的其他人员违反行政纪律的行为；（四）受理国家行政机关公务员和国家行政机关任命的其他人员不服主管行政机关给予处分决定的申诉，以及法律、行政法规规定的其他由监察机关受理的申诉；（五）法律、行政法规规定由监察机关履行的其他职责。</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第五十条　监察机关对法律、法规授权的具有公共事务管理职能的组织及其从事公务的人员和国家行政机关依法委托从事公共事务管理活动的组织及其从事公务的人员实施监察，适用本法。</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ascii="楷体" w:hAnsi="楷体" w:eastAsia="楷体" w:cs="楷体"/>
          <w:color w:val="000000"/>
          <w:sz w:val="32"/>
        </w:rPr>
        <w:t>　　</w:t>
      </w:r>
      <w:r>
        <w:rPr>
          <w:rFonts w:ascii="楷体" w:hAnsi="楷体" w:eastAsia="楷体" w:cs="楷体"/>
          <w:b/>
          <w:color w:val="000000"/>
          <w:sz w:val="32"/>
        </w:rPr>
        <w:t>（二）请求刑事追诉类</w:t>
      </w:r>
      <w:r>
        <w:rPr>
          <w:rFonts w:ascii="楷体" w:hAnsi="楷体" w:eastAsia="楷体" w:cs="楷体"/>
          <w:b/>
          <w:color w:val="000000"/>
          <w:sz w:val="32"/>
        </w:rPr>
        <w:br w:type="textWrapping"/>
      </w:r>
      <w:r>
        <w:rPr>
          <w:rFonts w:ascii="宋体" w:hAnsi="宋体" w:eastAsia="宋体" w:cs="宋体"/>
          <w:b/>
          <w:color w:val="000000"/>
          <w:sz w:val="32"/>
        </w:rPr>
        <w:t>　</w:t>
      </w:r>
      <w:r>
        <w:rPr>
          <w:rFonts w:hint="eastAsia" w:ascii="仿宋" w:hAnsi="仿宋" w:eastAsia="仿宋" w:cs="仿宋"/>
          <w:b/>
          <w:color w:val="000000"/>
          <w:sz w:val="32"/>
        </w:rPr>
        <w:t>　法律依据：</w:t>
      </w:r>
      <w:r>
        <w:rPr>
          <w:rFonts w:hint="eastAsia" w:ascii="仿宋" w:hAnsi="仿宋" w:eastAsia="仿宋" w:cs="仿宋"/>
          <w:b/>
          <w:color w:val="000000"/>
          <w:sz w:val="32"/>
        </w:rPr>
        <w:br w:type="textWrapping"/>
      </w:r>
      <w:r>
        <w:rPr>
          <w:rFonts w:hint="eastAsia" w:ascii="仿宋" w:hAnsi="仿宋" w:eastAsia="仿宋" w:cs="仿宋"/>
          <w:b/>
          <w:color w:val="000000"/>
          <w:sz w:val="32"/>
        </w:rPr>
        <w:t>　　《中华人民共和国刑事诉讼法》（主席令第五十五号  2012年）</w:t>
      </w:r>
      <w:r>
        <w:rPr>
          <w:rFonts w:hint="eastAsia" w:ascii="仿宋" w:hAnsi="仿宋" w:eastAsia="仿宋" w:cs="仿宋"/>
          <w:b/>
          <w:color w:val="000000"/>
          <w:sz w:val="32"/>
        </w:rPr>
        <w:br w:type="textWrapping"/>
      </w:r>
      <w:r>
        <w:rPr>
          <w:rFonts w:hint="eastAsia" w:ascii="仿宋" w:hAnsi="仿宋" w:eastAsia="仿宋" w:cs="仿宋"/>
          <w:color w:val="000000"/>
          <w:sz w:val="32"/>
        </w:rPr>
        <w:t>　　第十八条　刑事案件的侦查由公安机关进行，法律另有规定的除外。贪污贿赂犯罪，国家工作人员的渎职犯罪，国家机关工作人员利用职权实施的非法拘禁、刑讯逼供、报复陷害、非法搜查的侵犯公民人身权利的犯罪以及侵犯公民民主权利的犯罪，由人民检察院立案侦查。对于国家机关工作人员利用职权实施的其他重大的犯罪案件，需要由人民检察院直接受理的时候，经省级以上人民检察院决定，可以由人民检察院立案侦查。自诉案件，由人民法院直接受理。</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第一百零八条　任何单位和个人发现有犯罪事实或者犯罪嫌疑人，有权利也有义务向公安机关、人民检察院或者人民法院报案或者举报。被害人对侵犯其人身、财产权利的犯罪事实或者犯罪嫌疑人，有权向公安机关、人民检察院或者人民法院报案或者控告。公安机关、人民检察院或者人民法院对于报案、控告、举报，都应当接受。对于不属于自己管辖的，应当移送主管机关处理，并且通知报案人、控告人、举报人；对于不属于自己管辖而又必须采取紧急措施的，应当先采取紧急措施，然后移送主管机关。</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ascii="黑体" w:hAnsi="黑体" w:eastAsia="黑体" w:cs="黑体"/>
          <w:color w:val="000000"/>
          <w:sz w:val="32"/>
        </w:rPr>
        <w:t>　　五、请求信息公开类</w:t>
      </w:r>
      <w:r>
        <w:rPr>
          <w:rFonts w:ascii="黑体" w:hAnsi="黑体" w:eastAsia="黑体" w:cs="黑体"/>
          <w:color w:val="000000"/>
          <w:sz w:val="32"/>
        </w:rPr>
        <w:br w:type="textWrapping"/>
      </w:r>
      <w:r>
        <w:rPr>
          <w:rFonts w:ascii="宋体" w:hAnsi="宋体" w:eastAsia="宋体" w:cs="宋体"/>
          <w:b/>
          <w:color w:val="000000"/>
          <w:sz w:val="32"/>
        </w:rPr>
        <w:t>　　</w:t>
      </w:r>
      <w:r>
        <w:rPr>
          <w:rFonts w:hint="eastAsia" w:ascii="仿宋" w:hAnsi="仿宋" w:eastAsia="仿宋" w:cs="仿宋"/>
          <w:b/>
          <w:color w:val="000000"/>
          <w:sz w:val="32"/>
        </w:rPr>
        <w:t>法律依据：</w:t>
      </w:r>
      <w:r>
        <w:rPr>
          <w:rFonts w:hint="eastAsia" w:ascii="仿宋" w:hAnsi="仿宋" w:eastAsia="仿宋" w:cs="仿宋"/>
          <w:b/>
          <w:color w:val="000000"/>
          <w:sz w:val="32"/>
        </w:rPr>
        <w:br w:type="textWrapping"/>
      </w:r>
      <w:r>
        <w:rPr>
          <w:rFonts w:hint="eastAsia" w:ascii="仿宋" w:hAnsi="仿宋" w:eastAsia="仿宋" w:cs="仿宋"/>
          <w:b/>
          <w:color w:val="000000"/>
          <w:sz w:val="32"/>
        </w:rPr>
        <w:t>　　《中华人民共和国政府信息公开条例》（国务院令第492号  2007年）</w:t>
      </w:r>
      <w:r>
        <w:rPr>
          <w:rFonts w:hint="eastAsia" w:ascii="仿宋" w:hAnsi="仿宋" w:eastAsia="仿宋" w:cs="仿宋"/>
          <w:b/>
          <w:color w:val="000000"/>
          <w:sz w:val="32"/>
        </w:rPr>
        <w:br w:type="textWrapping"/>
      </w:r>
      <w:r>
        <w:rPr>
          <w:rFonts w:hint="eastAsia" w:ascii="仿宋" w:hAnsi="仿宋" w:eastAsia="仿宋" w:cs="仿宋"/>
          <w:color w:val="000000"/>
          <w:sz w:val="32"/>
        </w:rPr>
        <w:t>　　第二条　本条例所称政府信息，是指行政机关在履行职责过程中制作或者获取的，以一定形式记录、保存的信息。</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第四条　各级人民政府及县级以上人民政府部门应当建立健全本行政机关的政府信息公开工作制度，并指定机构（以下统称政府信息公开工作机构）负责本行政机关政府信息公开的日常工作。</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第十三条　除本条例第九条、第十条、第十一条、第十二条规定的行政机关主动公开的政府信息外，公民、法人或者其他组织还可以根据自身生产、生活、科研等特殊需要，向国务院部门、地方各级人民政府及县级以上地方人民政府部门申请获取相关政府信息。</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ascii="黑体" w:hAnsi="黑体" w:eastAsia="黑体" w:cs="黑体"/>
          <w:color w:val="000000"/>
          <w:sz w:val="32"/>
        </w:rPr>
        <w:t>　　六、信访事项类</w:t>
      </w:r>
      <w:r>
        <w:rPr>
          <w:rFonts w:ascii="黑体" w:hAnsi="黑体" w:eastAsia="黑体" w:cs="黑体"/>
          <w:color w:val="000000"/>
          <w:sz w:val="32"/>
        </w:rPr>
        <w:br w:type="textWrapping"/>
      </w:r>
      <w:r>
        <w:rPr>
          <w:rFonts w:ascii="宋体" w:hAnsi="宋体" w:eastAsia="宋体" w:cs="宋体"/>
          <w:color w:val="000000"/>
          <w:sz w:val="32"/>
        </w:rPr>
        <w:t>　</w:t>
      </w:r>
      <w:r>
        <w:rPr>
          <w:rFonts w:hint="eastAsia" w:ascii="仿宋" w:hAnsi="仿宋" w:eastAsia="仿宋" w:cs="仿宋"/>
          <w:color w:val="000000"/>
          <w:sz w:val="32"/>
        </w:rPr>
        <w:t>　</w:t>
      </w:r>
      <w:r>
        <w:rPr>
          <w:rFonts w:hint="eastAsia" w:ascii="仿宋" w:hAnsi="仿宋" w:eastAsia="仿宋" w:cs="仿宋"/>
          <w:b/>
          <w:color w:val="000000"/>
          <w:sz w:val="32"/>
        </w:rPr>
        <w:t>法律依据：《信访条例》（国务院令第431号   2005年）</w:t>
      </w:r>
      <w:r>
        <w:rPr>
          <w:rFonts w:hint="eastAsia" w:ascii="仿宋" w:hAnsi="仿宋" w:eastAsia="仿宋" w:cs="仿宋"/>
          <w:color w:val="000000"/>
          <w:sz w:val="32"/>
        </w:rPr>
        <w:br w:type="textWrapping"/>
      </w:r>
      <w:r>
        <w:rPr>
          <w:rFonts w:hint="eastAsia" w:ascii="仿宋" w:hAnsi="仿宋" w:eastAsia="仿宋" w:cs="仿宋"/>
          <w:color w:val="000000"/>
          <w:sz w:val="32"/>
        </w:rPr>
        <w:t>　　第十四条　信访人对下列组织、人员的职务行为反映情况，提出建议、意见，或者不服下列组织、人员的职务行为，可以向有关行政机关提出信访事项：(一)行政机关及其工作人员；(二)法律、法规授权的具有管理公共事务职能的组织及其工作人员；(三)提供公共服务的企业、事业单位及其工作人员；(四)社会团体或者其他企业、事业单位中由国家行政机关任命、派出的人员；(五)村民委员会、居民委员会及其成员。对依法应当通过诉讼、仲裁、行政复议等法定途径解决的投诉请求，信访人应当依照有关法律、行政法规规定的程序向有关机关提出。</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 w:hAnsi="仿宋" w:eastAsia="仿宋" w:cs="仿宋"/>
          <w:color w:val="000000"/>
          <w:sz w:val="32"/>
        </w:rPr>
      </w:pPr>
      <w:r>
        <w:rPr>
          <w:rFonts w:hint="eastAsia" w:ascii="仿宋" w:hAnsi="仿宋" w:eastAsia="仿宋" w:cs="仿宋"/>
          <w:color w:val="000000"/>
          <w:sz w:val="32"/>
        </w:rPr>
        <w:t>　　第二十一条　县级以上人民政府信访工作机构收到信访事项，应当予以登记，并区分情况，在15日内分别按下列方式处理：(一)对本条例第十五条规定的信访事项，应当告知信访人分别向有关的人民代表大会及其常务委员会、人民法院、人民检察院提出。对已经或者依法应当通过诉讼、仲裁、行政复议等法定途径解决的，不予受理，但应当告知信访人依照有关法律、行政法规规定程序向有关机关提出。(二)对依照法定职责属于本级人民政府或者其工作部门处理决定的信访事项，应当转送有权处理的行政机关；情况重大、紧急的，应当及时提出建议，报请本级人民政府决定。(三)信访事项涉及下级行政机关或者其工作人员的，按照“属地管理、分级负责，谁主管、谁负责”的原则，直接转送有权处理的行政机关，并抄送下一级人民政府信访工作机构。县级以上人民政府信访工作机构要定期向下一级人民政府信访工作机构通报转送情况，下级人民政府信访工作机构要定期向上一级人民政府信访工作机构报告转送信访事项的办理情况。(四)对转送信访事项中的重要情况需要反馈办理结果的，可以直接交由有权处理的行政机关办理，要求其在指定办理期限内反馈结果，提交办结报告。按照前款第(二)项至第(四)项规定，有关行政机关应当自收到转送、交办的信访事项之日起15日内决定是否受理并书面告知信访人，并按要求通报信访工作机构。</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600"/>
        <w:textAlignment w:val="auto"/>
        <w:rPr>
          <w:rFonts w:hint="eastAsia" w:ascii="仿宋" w:hAnsi="仿宋" w:eastAsia="仿宋" w:cs="仿宋"/>
          <w:color w:val="000000"/>
          <w:sz w:val="44"/>
        </w:rPr>
      </w:pPr>
    </w:p>
    <w:sectPr>
      <w:headerReference r:id="rId3" w:type="default"/>
      <w:footerReference r:id="rId4" w:type="default"/>
      <w:pgSz w:w="11850" w:h="16783"/>
      <w:pgMar w:top="2098" w:right="1474" w:bottom="1984" w:left="1587" w:header="851" w:footer="992" w:gutter="0"/>
      <w:pgNumType w:fmt="decimal"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 w:name="Tahoma">
    <w:panose1 w:val="020B0604030504040204"/>
    <w:charset w:val="00"/>
    <w:family w:val="roman"/>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decorative"/>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黑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Batang">
    <w:panose1 w:val="02030600000101010101"/>
    <w:charset w:val="81"/>
    <w:family w:val="auto"/>
    <w:pitch w:val="default"/>
    <w:sig w:usb0="B00002AF" w:usb1="69D77CFB" w:usb2="00000030" w:usb3="00000000" w:csb0="4008009F" w:csb1="DFD7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10" w:usb3="00000000" w:csb0="00040000" w:csb1="00000000"/>
  </w:font>
  <w:font w:name="楷体_GB2312">
    <w:altName w:val="楷体"/>
    <w:panose1 w:val="02010609030101010101"/>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decorative"/>
    <w:pitch w:val="default"/>
    <w:sig w:usb0="E1002EFF" w:usb1="C000605B" w:usb2="00000029" w:usb3="00000000" w:csb0="200101FF" w:csb1="20280000"/>
  </w:font>
  <w:font w:name="Tahoma">
    <w:panose1 w:val="020B0604030504040204"/>
    <w:charset w:val="00"/>
    <w:family w:val="modern"/>
    <w:pitch w:val="default"/>
    <w:sig w:usb0="E1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黑体">
    <w:panose1 w:val="02010609060101010101"/>
    <w:charset w:val="86"/>
    <w:family w:val="roma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Arial">
    <w:panose1 w:val="020B0604020202020204"/>
    <w:charset w:val="00"/>
    <w:family w:val="roman"/>
    <w:pitch w:val="default"/>
    <w:sig w:usb0="E0002AFF" w:usb1="C0007843" w:usb2="00000009" w:usb3="00000000" w:csb0="400001FF" w:csb1="FFFF0000"/>
  </w:font>
  <w:font w:name="ˎ̥">
    <w:altName w:val="微软雅黑"/>
    <w:panose1 w:val="00000000000000000000"/>
    <w:charset w:val="00"/>
    <w:family w:val="decorative"/>
    <w:pitch w:val="default"/>
    <w:sig w:usb0="00000000" w:usb1="00000000" w:usb2="00000000"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ˎ̥">
    <w:altName w:val="微软雅黑"/>
    <w:panose1 w:val="00000000000000000000"/>
    <w:charset w:val="00"/>
    <w:family w:val="modern"/>
    <w:pitch w:val="default"/>
    <w:sig w:usb0="00000000" w:usb1="00000000" w:usb2="00000000" w:usb3="00000000" w:csb0="00040001" w:csb1="00000000"/>
  </w:font>
  <w:font w:name="ˎ̥">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modern"/>
    <w:pitch w:val="default"/>
    <w:sig w:usb0="80000287" w:usb1="280F3C52"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微软雅黑">
    <w:panose1 w:val="020B0503020204020204"/>
    <w:charset w:val="86"/>
    <w:family w:val="decorative"/>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9" o:spid="_x0000_s2059" o:spt="202" type="#_x0000_t202" style="position:absolute;left:0pt;margin-top:-29.2pt;height:29pt;width:48pt;mso-position-horizontal:outside;mso-position-horizontal-relative:margin;z-index:251658240;mso-width-relative:page;mso-height-relative:page;" filled="f" stroked="f" coordsize="21600,21600">
          <v:path/>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0</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25CCD"/>
    <w:rsid w:val="00025CCD"/>
    <w:rsid w:val="00833B0C"/>
    <w:rsid w:val="1EF03776"/>
    <w:rsid w:val="4E833448"/>
    <w:rsid w:val="50DD1D42"/>
    <w:rsid w:val="65484E3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uiPriority w:val="99"/>
    <w:pPr>
      <w:spacing w:before="0" w:beforeAutospacing="1" w:after="0" w:afterAutospacing="1"/>
      <w:ind w:left="0" w:right="0"/>
      <w:jc w:val="left"/>
    </w:pPr>
    <w:rPr>
      <w:kern w:val="0"/>
      <w:sz w:val="24"/>
      <w:lang w:val="en-US" w:eastAsia="zh-CN" w:bidi="ar"/>
    </w:rPr>
  </w:style>
  <w:style w:type="character" w:styleId="6">
    <w:name w:val="FollowedHyperlink"/>
    <w:basedOn w:val="5"/>
    <w:unhideWhenUsed/>
    <w:uiPriority w:val="99"/>
    <w:rPr>
      <w:color w:val="5D5D5D"/>
      <w:u w:val="none"/>
    </w:rPr>
  </w:style>
  <w:style w:type="character" w:styleId="7">
    <w:name w:val="Hyperlink"/>
    <w:basedOn w:val="5"/>
    <w:unhideWhenUsed/>
    <w:uiPriority w:val="99"/>
    <w:rPr>
      <w:color w:val="3A3A3A"/>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2267</Words>
  <Characters>12928</Characters>
  <Lines>107</Lines>
  <Paragraphs>30</Paragraphs>
  <ScaleCrop>false</ScaleCrop>
  <LinksUpToDate>false</LinksUpToDate>
  <CharactersWithSpaces>15165</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2016-05-24T01:47:00Z</dcterms:created>
  <dc:creator>Administrator</dc:creator>
  <cp:lastModifiedBy>Administrator</cp:lastModifiedBy>
  <cp:lastPrinted>2016-07-07T02:27:57Z</cp:lastPrinted>
  <dcterms:modified xsi:type="dcterms:W3CDTF">2016-07-07T02:50:56Z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