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博爱县</w:t>
      </w:r>
      <w:r>
        <w:rPr>
          <w:rFonts w:hint="eastAsia" w:ascii="黑体" w:hAnsi="黑体" w:eastAsia="黑体" w:cs="黑体"/>
          <w:sz w:val="44"/>
          <w:szCs w:val="44"/>
        </w:rPr>
        <w:t>秸秆收储运体系建设项目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实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施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细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则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、项目建设内容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秸秆收储运体系项目建设内容包括: 1、设备</w:t>
      </w:r>
      <w:r>
        <w:rPr>
          <w:rFonts w:hint="eastAsia" w:ascii="仿宋" w:hAnsi="仿宋" w:eastAsia="仿宋" w:cs="仿宋"/>
          <w:sz w:val="32"/>
          <w:szCs w:val="32"/>
        </w:rPr>
        <w:t>购买：包括秸秆收获机械（打（压）捆机、青饲料收获机）、秸秆搬运机械（秸秆装卸机械、秸秆运输车）、秸秆深加工设备（包括粉碎设备、除尘设备、传送设备、打包设备、秸秆有机肥生产设备）；2、秸秆存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和加工场所</w:t>
      </w:r>
      <w:r>
        <w:rPr>
          <w:rFonts w:hint="eastAsia" w:ascii="仿宋" w:hAnsi="仿宋" w:eastAsia="仿宋" w:cs="仿宋"/>
          <w:sz w:val="32"/>
          <w:szCs w:val="32"/>
        </w:rPr>
        <w:t>基础设施建设；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新建的秸秆存储库房，库房面积不低于1000平方米，库房高度不低于5米，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地面需硬化、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四周及顶部全封闭，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有配套的消防设施，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能够防雨雪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容纳大型机械进入库房作业。</w:t>
      </w: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对在博爱县境内进行离田作业的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玉米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秸秆按吨进行补助。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二、项目建设单位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项目建设单位为农业生产经营组织，包括农村集体经济组织、农民专业合作经济组织、家庭农场、农业企业和其他从事农业生产经营的组织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（在市场管理局注册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1年以上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adjustRightIn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、补助标准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对秸秆收储运体系建设项目进行分项补贴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申请购置收储运设备的，实行自主购机、先购后补、县级结算、直补到卡。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补助标准为不超过实际购机价格的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50%。二是</w:t>
      </w:r>
      <w:r>
        <w:rPr>
          <w:rFonts w:hint="eastAsia" w:ascii="仿宋" w:hAnsi="仿宋" w:eastAsia="仿宋" w:cs="仿宋"/>
          <w:sz w:val="32"/>
          <w:szCs w:val="32"/>
        </w:rPr>
        <w:t>申请秸秆存储基础设施建设的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提供用地手续、施工图纸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自主招标、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先建后补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补助标准不超过</w:t>
      </w:r>
      <w:r>
        <w:rPr>
          <w:rFonts w:hint="eastAsia" w:ascii="仿宋" w:hAnsi="仿宋" w:eastAsia="仿宋" w:cs="仿宋"/>
          <w:sz w:val="32"/>
          <w:szCs w:val="32"/>
        </w:rPr>
        <w:t>有资质的第三方决算价格的50%。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申请青（黄）储秸秆补贴的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按不超过45元/吨的标准进行补助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对生产秸秆有机肥的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按不超过100元/吨的标准进行补助。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F7366"/>
    <w:rsid w:val="53DD94B4"/>
    <w:rsid w:val="73D4C079"/>
    <w:rsid w:val="DF6FC8B0"/>
    <w:rsid w:val="F2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8280"/>
      </w:tabs>
      <w:spacing w:line="360" w:lineRule="auto"/>
      <w:ind w:right="-1"/>
    </w:pPr>
    <w:rPr>
      <w:rFonts w:ascii="仿宋_GB2312" w:hAnsi="Calibri" w:eastAsia="仿宋_GB2312" w:cs="宋体"/>
      <w:sz w:val="24"/>
    </w:rPr>
  </w:style>
  <w:style w:type="paragraph" w:styleId="3">
    <w:name w:val="Body Text First Indent"/>
    <w:basedOn w:val="2"/>
    <w:qFormat/>
    <w:uiPriority w:val="0"/>
    <w:pPr>
      <w:spacing w:line="312" w:lineRule="auto"/>
      <w:ind w:firstLine="42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2022-08-04T17:37:00Z</dcterms:created>
  <dc:creator>baxrmzf</dc:creator>
  <cp:lastModifiedBy>baxrmzf</cp:lastModifiedBy>
  <dcterms:modified xsi:type="dcterms:W3CDTF">2022-08-04T17:39:57Z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