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黑体"/>
          <w:color w:val="00000A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黑体"/>
          <w:color w:val="00000A"/>
          <w:sz w:val="44"/>
          <w:szCs w:val="44"/>
          <w:shd w:val="clear" w:color="auto" w:fill="FFFFFF"/>
          <w:lang w:eastAsia="zh-CN"/>
        </w:rPr>
        <w:t>中共金城乡委员会</w:t>
      </w:r>
      <w:r>
        <w:rPr>
          <w:rFonts w:hint="eastAsia" w:ascii="Times New Roman" w:hAnsi="Times New Roman" w:eastAsia="方正小标宋简体" w:cs="黑体"/>
          <w:color w:val="00000A"/>
          <w:sz w:val="44"/>
          <w:szCs w:val="44"/>
          <w:shd w:val="clear" w:color="auto" w:fill="FFFFFF"/>
          <w:lang w:val="en-US" w:eastAsia="zh-CN"/>
        </w:rPr>
        <w:t xml:space="preserve">   金城乡人民政府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金城乡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年法治政府建设工作报告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中共博爱县委、博爱县人民政府：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年，在县委、县政府的正确领导下，金城乡始终坚持以习近平新时代中国特色社会主义思想为指导，深入学习宣传贯彻党的二十大精神和习近平法治思想、全面依法治国工作会议精神和上级关于法治建设系列决策部署，自觉运用法治思维和法治方式深化改革、推动发展、化解矛盾、维护稳定，不断提高广大干部群众学法、守法、尊法、用法水平，在全乡形成了严格执法、公正司法、全民守法的良好法治氛围。现将我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年度法治政府建设情况报告如下：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年度推进法治政府建设的主要举措和成效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(一)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lang w:val="en-US" w:eastAsia="zh-CN"/>
        </w:rPr>
        <w:t>健全制度、强化领导，法治政府建设保障有力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乡党委、政府对法治政府建设高度重视，将其纳入全年工作重点，调整充实法治政府建设领导机构，细化领导小组成员分工，明确责任，明确工作，做到法治建设工作与全乡工作同安排、同布置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落实年度法治政府建设目标责任制，强化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各级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监督机制，形成一级抓一级，逐级抓落实的层级工作体系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做到法治政府建设整体有人抓，具体工作有人做，事后监督有人管，保证法治政府各项工作落到实处。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没有出现因行政执法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不力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而上访的信访案件。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(二)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lang w:val="en-US" w:eastAsia="zh-CN"/>
        </w:rPr>
        <w:t>加强学习、规范行政，法治型政府建设有序开展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落实学习培训。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按照上级工作部署，组织不同层次的干部学习不同的培训内容，确保学习培训效果。2023年金城乡开展了乡党委书记带头讲党课，学《民法典》、习近平法治思想、《宪法》、党内法规等系列活动，目前，共举办了4期培训班，参与培训的人员包括乡全体领导干部、乡村干部、普通党员群众等，培训累计超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00次；组织司法干警到村开展法治讲座20余场，受教人数达1500余人次；组织一年一度乡全体领导干部学法用法考试，通过率达100%。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加强宣传教育。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成立普法工作领导小组，下设普法宣传小分队，充分利用广播、宣传流动车、法治宣传栏、“互联网+包户制”微信群等宣传载体，不断推进宣传教育走向农村、走进农户，深入学校和重点场所进行宣传教育活动，今年全年累计发放法治宣传资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000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余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份，开展法律咨询活动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次，接待咨询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00余人次，使法治建设氛围不断浓厚。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规范行政行为。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引导和激励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金城乡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体工作人员特别是执法人员学法、用法、守法，树立严格依法办事理念，特别是提高了领导干部依法行政能力，确保政府的行政决策程序正当、高效便民、诚实守信、责权统一。加强对执法行为的监督，形成用制度管人、依法办事、公平公正的法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(三)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</w:rPr>
        <w:t>转变职能，提高效率，服务型政府建设深入实施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完善社会稳定机制。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建立健全突发事件的应急处理机制、社会预警体系和矛盾纠纷排查化解长效机制。不断规范信访接待和矛盾纠纷化解机制，依托“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村民</w:t>
      </w:r>
      <w:r>
        <w:rPr>
          <w:rFonts w:hint="eastAsia" w:ascii="Times New Roman" w:hAnsi="Times New Roman" w:eastAsia="仿宋_GB2312" w:cs="仿宋_GB2312"/>
          <w:sz w:val="32"/>
          <w:szCs w:val="32"/>
        </w:rPr>
        <w:t>调解室”等载体，把心理疏导引入人民调解，化解群众心中“怨气”，打开群众“心结”，同时坚持以解决群众的实际问题为出发点，认真及时处理群众来信来访和矛盾纠纷化解，做到事事有交代、件件有回复。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、加强内部监督管理。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严格执行“三重一大”事项集体决策制度，加强政府内部监督管理，规范决策程序。深入推进政府信息公开和政务公开工作，全面公开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政府预决算、“三公”经费等，打造阳光政务。自觉接受上级部门监督，主动接受人大代表、村民代表的监督。同时正确对待社会监督和舆论监督，重视政府网站、政务微信、电子屏等宣传阵地建设，及时发布各类政务信息，让人民群众了解政府活动、政策法规、重大决策等关键信息，从而保障群众的知情权、参与权、表达权、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加强文件审查备案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完善政府法治建设。认真做好规范性文件制定、清理和发布工作，坚持立、改、废并重。严格规范性文件备案审查制度，对以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党委、政府名义发布的涉及全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的规范性文件由负责法治的工作人员进行前置性审查，做到“有件必备、有备必审、有错必纠”，切实提高规范性文件质量。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2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发挥法律顾问参谋助手作用。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落实党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法律顾问制度，充分发挥法律顾问的作用，加强对文件、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合同、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重大决策的合法合规性审查，提高决策的科学化、民主化、法治化水平。今年以来，法律顾问帮助调解信访和疑难矛盾纠纷12起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审查文件、合同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33份，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法律顾问作用发挥显著。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党政主要负责人履行推进法治建设第一责任人职责，加强法治政府建设的有关情况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带头抓学习，提高政治站位。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保持高度政治敏锐性，坚持把学习贯彻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党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的二十大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精神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习近平</w:t>
      </w:r>
      <w:r>
        <w:rPr>
          <w:rFonts w:hint="eastAsia" w:ascii="Times New Roman" w:hAnsi="Times New Roman" w:eastAsia="仿宋_GB2312" w:cs="仿宋_GB2312"/>
          <w:sz w:val="32"/>
          <w:szCs w:val="32"/>
        </w:rPr>
        <w:t>法治思想作为一项重大政治任务，做到常学常新，常思常进，不断提高法治建设的能力水平。坚持把关于全面依法治国新理念新思想新战略内容纳入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乡党政</w:t>
      </w:r>
      <w:r>
        <w:rPr>
          <w:rFonts w:hint="eastAsia" w:ascii="Times New Roman" w:hAnsi="Times New Roman" w:eastAsia="仿宋_GB2312" w:cs="仿宋_GB2312"/>
          <w:sz w:val="32"/>
          <w:szCs w:val="32"/>
        </w:rPr>
        <w:t>班子会议、理论学习中心组学习议题，推动法治思想内化于心、外化于行，在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金城乡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落地生根、开花结果。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带头抓落实，强化责任担当。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以身作则，坚持做到“亲自抓、负总责”，以上率下推动法治建设工作责任落实落细。一是压实组织责任。把法治建设工作列入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党委、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政府的重要工作，建立定期听取法治建设工作汇报、研究法治建设重大事项制度。今年以来，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金城乡党政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会议学法或者研究部署法治政府建设相关工作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次。二是压实领导责任。严格落实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党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政主要负责人履行推进法治建设第一责任人职责实施细则，明确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党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政主要负责人为法治建设第一责任人，构建全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上下一级抓一级、层层抓落实的责任机制。三是压实监管责任。针对社会治理工作存在的突出问题，亲自调研、亲自部署、亲自推动，督促落实整治责任，推动问题加快解决。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（三）带头抓队伍，转变工作作风。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狠抓作风效能建设，在全乡28个村深入开展以“亮身份、亮职责、亮承诺”为主题的“三亮”活动，助推乡村两级干部转作风，打造立足乡情、服务群众的干部铁军。通过亮身份、大走访、办实事三个环节，实实在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吃透村情民意，用心用情服务群众。截至目前，200余名乡村干部入户走访群众1000余户。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2023年度</w:t>
      </w:r>
      <w:r>
        <w:rPr>
          <w:rFonts w:hint="eastAsia" w:ascii="黑体" w:hAnsi="黑体" w:eastAsia="黑体" w:cs="黑体"/>
          <w:sz w:val="32"/>
          <w:szCs w:val="32"/>
        </w:rPr>
        <w:t>推进法治政府建设存在的不足和原因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金城乡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法治政府建设工作在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县委、县政府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的坚强领导下，在有关上级部门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悉心指导下，取得了一些成绩，但是也存在一些问题和不足：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工作人员法治意识虽然得到增强，但是运用法治方式解决复杂问题的能力还有待加强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新形势下对领导干部和执法工作人员的工作要求越来越高，当前的依法行政培训内容、培训方式需要进一步改进。针对上述问题，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金城乡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将认真分析研究，在今后工作中加以解决。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四、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下步工作打算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</w:rPr>
        <w:t>进一步推进政府职能转变。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全面履行政府职能，切实加强社会管理和公共服务职能，完善社会管理制度，提高社会管理水平，创新公共服务体制，改进公共服务方式，优化公共服务资源配置，加强公共服务设施建设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</w:rPr>
        <w:t>进一步建立健全各项工作制度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不断完善各项工作制度，坚持形成用制度管人工作机制，不断提高工作水平，切实履行好法治政府建设的工作职责。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</w:rPr>
        <w:t>进一步加大规范性文件备案、审查力度。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落实专人负责，加大对规范性文件的备案工作力度，确保应备尽备，同时做好规范性文件的公开工作。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</w:rPr>
        <w:t>进一步规范全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</w:rPr>
        <w:t>行政执法行为。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加大培训学习，提高行政执法人员素质和水平，加强监督力度，严格管理好行政执法人员队伍，提高运用法治思维和法治方式解决问题的能力，使干部队伍的知法、用法、守法、敬法、护法水平全面提升。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5760" w:firstLineChars="18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中共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金城乡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      金城乡人民政府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0" w:firstLineChars="200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0" w:rightChars="0" w:firstLine="5760" w:firstLineChars="18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644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-7.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HaKUjnYAAAACwEAAA8AAAAAAAAAAQAg&#10;AAAAOAAAAGRycy9kb3ducmV2LnhtbFBLAQIUABQAAAAIAIdO4kAkgka0MQIAAGEEAAAOAAAAAAAA&#10;AAEAIAAAAD0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016446"/>
    <w:multiLevelType w:val="singleLevel"/>
    <w:tmpl w:val="700164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Y2EwODJhMzM2YzAxM2I2ZDQ1ZGFkZDY4NGJhN2MifQ=="/>
  </w:docVars>
  <w:rsids>
    <w:rsidRoot w:val="70BD3C71"/>
    <w:rsid w:val="02B56978"/>
    <w:rsid w:val="0388408C"/>
    <w:rsid w:val="04F55751"/>
    <w:rsid w:val="05956C35"/>
    <w:rsid w:val="05CC6C66"/>
    <w:rsid w:val="08183C31"/>
    <w:rsid w:val="095F57EE"/>
    <w:rsid w:val="09DB2EBF"/>
    <w:rsid w:val="09F9539C"/>
    <w:rsid w:val="0ADE107D"/>
    <w:rsid w:val="0C743400"/>
    <w:rsid w:val="0F9846D6"/>
    <w:rsid w:val="0FB73D2F"/>
    <w:rsid w:val="0FFE49E0"/>
    <w:rsid w:val="111555D2"/>
    <w:rsid w:val="11287A9F"/>
    <w:rsid w:val="119E66EB"/>
    <w:rsid w:val="11FE3E97"/>
    <w:rsid w:val="128C021C"/>
    <w:rsid w:val="14FB2367"/>
    <w:rsid w:val="18404B4E"/>
    <w:rsid w:val="1A3B5F27"/>
    <w:rsid w:val="1B530684"/>
    <w:rsid w:val="1C42559D"/>
    <w:rsid w:val="1C4C4C07"/>
    <w:rsid w:val="1CB27F82"/>
    <w:rsid w:val="1F0C571A"/>
    <w:rsid w:val="1FD61FB0"/>
    <w:rsid w:val="1FEF6BCD"/>
    <w:rsid w:val="247070B9"/>
    <w:rsid w:val="263A374B"/>
    <w:rsid w:val="26A8515C"/>
    <w:rsid w:val="26F61BE2"/>
    <w:rsid w:val="280671AA"/>
    <w:rsid w:val="296102BC"/>
    <w:rsid w:val="29AC1FD3"/>
    <w:rsid w:val="2DA06CFD"/>
    <w:rsid w:val="2DFF1402"/>
    <w:rsid w:val="2E84707B"/>
    <w:rsid w:val="2EEC7625"/>
    <w:rsid w:val="304A079B"/>
    <w:rsid w:val="31A82619"/>
    <w:rsid w:val="31DB3CF7"/>
    <w:rsid w:val="31EC7411"/>
    <w:rsid w:val="32C51A10"/>
    <w:rsid w:val="32DC56D7"/>
    <w:rsid w:val="331C5F87"/>
    <w:rsid w:val="36870A03"/>
    <w:rsid w:val="37097BE4"/>
    <w:rsid w:val="3A06303A"/>
    <w:rsid w:val="3BBC42F8"/>
    <w:rsid w:val="3BEB7966"/>
    <w:rsid w:val="3EB3630E"/>
    <w:rsid w:val="40017F05"/>
    <w:rsid w:val="4348021F"/>
    <w:rsid w:val="445548A6"/>
    <w:rsid w:val="468B4FF2"/>
    <w:rsid w:val="46C91677"/>
    <w:rsid w:val="47347547"/>
    <w:rsid w:val="479C00B2"/>
    <w:rsid w:val="47AA5E25"/>
    <w:rsid w:val="490C1CEF"/>
    <w:rsid w:val="4E2A5081"/>
    <w:rsid w:val="4EA76741"/>
    <w:rsid w:val="4F2307EC"/>
    <w:rsid w:val="4F4844FD"/>
    <w:rsid w:val="501222E0"/>
    <w:rsid w:val="506F7733"/>
    <w:rsid w:val="50B769E4"/>
    <w:rsid w:val="50E01693"/>
    <w:rsid w:val="51CA3C3F"/>
    <w:rsid w:val="531445C2"/>
    <w:rsid w:val="53D0744D"/>
    <w:rsid w:val="551E456B"/>
    <w:rsid w:val="55651643"/>
    <w:rsid w:val="563B5CB0"/>
    <w:rsid w:val="56F561BC"/>
    <w:rsid w:val="57A50853"/>
    <w:rsid w:val="57E60E93"/>
    <w:rsid w:val="583709BC"/>
    <w:rsid w:val="5A7D2A4C"/>
    <w:rsid w:val="5B7743A3"/>
    <w:rsid w:val="5E485297"/>
    <w:rsid w:val="5E7D74BF"/>
    <w:rsid w:val="60AE3F73"/>
    <w:rsid w:val="620B5E22"/>
    <w:rsid w:val="627E7362"/>
    <w:rsid w:val="64762BD8"/>
    <w:rsid w:val="647F2708"/>
    <w:rsid w:val="66AF3FED"/>
    <w:rsid w:val="66BE0AAF"/>
    <w:rsid w:val="67334BBF"/>
    <w:rsid w:val="697C0E20"/>
    <w:rsid w:val="6A052EAB"/>
    <w:rsid w:val="6A9D1FB5"/>
    <w:rsid w:val="6C73229B"/>
    <w:rsid w:val="6CE13C49"/>
    <w:rsid w:val="6D194857"/>
    <w:rsid w:val="6DAF0285"/>
    <w:rsid w:val="6F990F54"/>
    <w:rsid w:val="6FF947A0"/>
    <w:rsid w:val="70AD3C34"/>
    <w:rsid w:val="70BD3C71"/>
    <w:rsid w:val="721F290F"/>
    <w:rsid w:val="73533B60"/>
    <w:rsid w:val="737E01E3"/>
    <w:rsid w:val="745B5319"/>
    <w:rsid w:val="75A907E6"/>
    <w:rsid w:val="76361FD5"/>
    <w:rsid w:val="77744752"/>
    <w:rsid w:val="780E5CCE"/>
    <w:rsid w:val="784223A5"/>
    <w:rsid w:val="78CE683C"/>
    <w:rsid w:val="78F05313"/>
    <w:rsid w:val="7A01056D"/>
    <w:rsid w:val="7A700F56"/>
    <w:rsid w:val="7BBC0D28"/>
    <w:rsid w:val="7DCE51E9"/>
    <w:rsid w:val="7DFF1847"/>
    <w:rsid w:val="7EC363D0"/>
    <w:rsid w:val="FFB76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0"/>
    <w:pPr>
      <w:spacing w:before="120" w:after="60"/>
      <w:ind w:firstLine="0" w:firstLineChars="0"/>
      <w:jc w:val="center"/>
      <w:outlineLvl w:val="0"/>
    </w:pPr>
    <w:rPr>
      <w:rFonts w:ascii="Arial" w:hAnsi="Arial" w:eastAsia="宋体"/>
      <w:sz w:val="44"/>
    </w:rPr>
  </w:style>
  <w:style w:type="paragraph" w:customStyle="1" w:styleId="9">
    <w:name w:val="BodyText"/>
    <w:basedOn w:val="1"/>
    <w:next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2662</Words>
  <Characters>2714</Characters>
  <Lines>0</Lines>
  <Paragraphs>0</Paragraphs>
  <TotalTime>64</TotalTime>
  <ScaleCrop>false</ScaleCrop>
  <LinksUpToDate>false</LinksUpToDate>
  <CharactersWithSpaces>2789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2017-10-30T15:34:00Z</dcterms:created>
  <dc:creator>Administrator</dc:creator>
  <cp:lastModifiedBy>ql</cp:lastModifiedBy>
  <cp:lastPrinted>2024-01-24T12:28:00Z</cp:lastPrinted>
  <dcterms:modified xsi:type="dcterms:W3CDTF">2024-03-22T08:33:29Z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2F2B7BB5D7DB4C1A9F4C0F83F9EF2DDE</vt:lpwstr>
  </property>
</Properties>
</file>