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b w:val="0"/>
          <w:bCs w:val="0"/>
          <w:spacing w:val="0"/>
          <w:sz w:val="44"/>
          <w:szCs w:val="44"/>
          <w:lang w:val="en-US" w:eastAsia="zh-CN"/>
        </w:rPr>
        <w:t>中共寨豁乡委员会    寨豁乡人民政府</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关于2023年法治政府建设情况的报告</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中共博爱县委</w:t>
      </w:r>
      <w:r>
        <w:rPr>
          <w:rFonts w:hint="eastAsia" w:eastAsia="仿宋_GB2312" w:cs="Times New Roman"/>
          <w:color w:val="auto"/>
          <w:sz w:val="32"/>
          <w:szCs w:val="32"/>
          <w:lang w:eastAsia="zh-CN"/>
        </w:rPr>
        <w:t>、博爱县人民政府</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年，在县委、县政府的正确领导下，寨豁乡党委政府</w:t>
      </w:r>
      <w:r>
        <w:rPr>
          <w:rFonts w:hint="eastAsia" w:ascii="仿宋_GB2312" w:hAnsi="仿宋_GB2312" w:eastAsia="仿宋_GB2312" w:cs="仿宋_GB2312"/>
          <w:sz w:val="32"/>
          <w:szCs w:val="32"/>
          <w:lang w:eastAsia="zh-CN"/>
        </w:rPr>
        <w:t>坚持以习近平新时代中国特色社会主义思想为指导，深入学习党的二十大</w:t>
      </w:r>
      <w:r>
        <w:rPr>
          <w:rFonts w:hint="eastAsia" w:ascii="仿宋_GB2312" w:hAnsi="仿宋_GB2312" w:eastAsia="仿宋_GB2312" w:cs="仿宋_GB2312"/>
          <w:spacing w:val="6"/>
          <w:w w:val="100"/>
          <w:sz w:val="32"/>
          <w:szCs w:val="32"/>
          <w:lang w:val="en-US" w:eastAsia="zh-CN"/>
        </w:rPr>
        <w:t>及县委全面依法治县工作会议精神，</w:t>
      </w:r>
      <w:r>
        <w:rPr>
          <w:rFonts w:hint="eastAsia" w:ascii="仿宋_GB2312" w:hAnsi="仿宋_GB2312" w:eastAsia="仿宋_GB2312" w:cs="仿宋_GB2312"/>
          <w:sz w:val="32"/>
          <w:szCs w:val="32"/>
        </w:rPr>
        <w:t>贯彻</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习近平法治思想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围绕法治建设目标任务和乡政府中心工作，认真履行法治建设第一责任人职责，真抓实干，持续发力，推动寨豁乡的法治工作不断迈上新台阶。现将有关情况报告如下：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spacing w:val="6"/>
          <w:w w:val="100"/>
          <w:sz w:val="32"/>
          <w:szCs w:val="32"/>
          <w:lang w:val="en-US" w:eastAsia="zh-CN"/>
        </w:rPr>
      </w:pPr>
      <w:r>
        <w:rPr>
          <w:rFonts w:hint="eastAsia" w:ascii="黑体" w:hAnsi="黑体" w:eastAsia="黑体" w:cs="黑体"/>
          <w:b w:val="0"/>
          <w:bCs w:val="0"/>
          <w:sz w:val="32"/>
          <w:szCs w:val="32"/>
          <w:lang w:val="en-US" w:eastAsia="zh-CN"/>
        </w:rPr>
        <w:t>一、学习贯彻习近平法治思想情况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寨豁乡将深入学习贯彻习近平法治思想作为推动高质量发展、引领依法治乡的思想旗帜和有力抓手。</w:t>
      </w:r>
      <w:r>
        <w:rPr>
          <w:rFonts w:hint="eastAsia" w:ascii="仿宋_GB2312" w:hAnsi="仿宋_GB2312" w:eastAsia="仿宋_GB2312" w:cs="仿宋_GB2312"/>
          <w:b w:val="0"/>
          <w:bCs w:val="0"/>
          <w:sz w:val="32"/>
          <w:szCs w:val="32"/>
          <w:lang w:val="en-US" w:eastAsia="zh-CN"/>
        </w:rPr>
        <w:t>一是注重班子学习。</w:t>
      </w:r>
      <w:r>
        <w:rPr>
          <w:rFonts w:hint="eastAsia" w:ascii="仿宋_GB2312" w:hAnsi="仿宋_GB2312" w:eastAsia="仿宋_GB2312" w:cs="仿宋_GB2312"/>
          <w:sz w:val="32"/>
          <w:szCs w:val="32"/>
          <w:lang w:val="en-US" w:eastAsia="zh-CN"/>
        </w:rPr>
        <w:t>聚焦领导干部“关键少数”的带头示范作用，将习近平法治思想和</w:t>
      </w:r>
      <w:r>
        <w:rPr>
          <w:rFonts w:hint="eastAsia" w:ascii="仿宋_GB2312" w:hAnsi="仿宋_GB2312" w:eastAsia="仿宋_GB2312" w:cs="仿宋_GB2312"/>
          <w:color w:val="000000"/>
          <w:spacing w:val="6"/>
          <w:w w:val="100"/>
          <w:sz w:val="32"/>
          <w:szCs w:val="32"/>
        </w:rPr>
        <w:t>以宪法为核心的中国特色社会主义法律体系</w:t>
      </w:r>
      <w:r>
        <w:rPr>
          <w:rFonts w:hint="eastAsia" w:ascii="仿宋_GB2312" w:hAnsi="仿宋_GB2312" w:eastAsia="仿宋_GB2312" w:cs="仿宋_GB2312"/>
          <w:color w:val="000000"/>
          <w:spacing w:val="6"/>
          <w:w w:val="100"/>
          <w:sz w:val="32"/>
          <w:szCs w:val="32"/>
          <w:lang w:eastAsia="zh-CN"/>
        </w:rPr>
        <w:t>等内容</w:t>
      </w:r>
      <w:r>
        <w:rPr>
          <w:rFonts w:hint="eastAsia" w:ascii="仿宋_GB2312" w:hAnsi="仿宋_GB2312" w:eastAsia="仿宋_GB2312" w:cs="仿宋_GB2312"/>
          <w:sz w:val="32"/>
          <w:szCs w:val="32"/>
          <w:lang w:val="en-US" w:eastAsia="zh-CN"/>
        </w:rPr>
        <w:t>纳入“第一议题”，党委中心组先后</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次学习传达、研学交流，切实增强乡班子法治观念和依法管理水平</w:t>
      </w:r>
      <w:r>
        <w:rPr>
          <w:rFonts w:hint="eastAsia" w:ascii="仿宋_GB2312" w:hAnsi="仿宋_GB2312" w:eastAsia="仿宋_GB2312" w:cs="仿宋_GB2312"/>
          <w:b w:val="0"/>
          <w:bCs w:val="0"/>
          <w:sz w:val="32"/>
          <w:szCs w:val="32"/>
          <w:lang w:val="en-US" w:eastAsia="zh-CN"/>
        </w:rPr>
        <w:t>。二是强化教育引导。</w:t>
      </w:r>
      <w:r>
        <w:rPr>
          <w:rFonts w:hint="eastAsia" w:ascii="仿宋_GB2312" w:hAnsi="仿宋_GB2312" w:eastAsia="仿宋_GB2312" w:cs="仿宋_GB2312"/>
          <w:sz w:val="32"/>
          <w:szCs w:val="32"/>
          <w:lang w:val="en-US" w:eastAsia="zh-CN"/>
        </w:rPr>
        <w:t>通过集体学习研讨、个人自学、线上答题等方式，</w:t>
      </w:r>
      <w:r>
        <w:rPr>
          <w:rFonts w:hint="eastAsia" w:ascii="仿宋_GB2312" w:hAnsi="仿宋_GB2312" w:eastAsia="仿宋_GB2312" w:cs="仿宋_GB2312"/>
          <w:b w:val="0"/>
          <w:bCs w:val="0"/>
          <w:sz w:val="32"/>
          <w:szCs w:val="32"/>
          <w:lang w:val="en-US" w:eastAsia="zh-CN"/>
        </w:rPr>
        <w:t>加强对</w:t>
      </w:r>
      <w:r>
        <w:rPr>
          <w:rFonts w:hint="eastAsia" w:ascii="仿宋_GB2312" w:hAnsi="仿宋_GB2312" w:eastAsia="仿宋_GB2312" w:cs="仿宋_GB2312"/>
          <w:sz w:val="32"/>
          <w:szCs w:val="32"/>
          <w:lang w:val="en-US" w:eastAsia="zh-CN"/>
        </w:rPr>
        <w:t>乡村两级干部的法治教育，学习党的二十大以来习近平总书记关于法治政府建设的重要指示批示精神，《宪法》《民法典》等法律法规，深刻领会其重大意义、精神实质、实践要求</w:t>
      </w:r>
      <w:r>
        <w:rPr>
          <w:rFonts w:hint="eastAsia" w:ascii="仿宋_GB2312" w:hAnsi="仿宋_GB2312" w:eastAsia="仿宋_GB2312" w:cs="仿宋_GB2312"/>
          <w:b w:val="0"/>
          <w:bCs w:val="0"/>
          <w:sz w:val="32"/>
          <w:szCs w:val="32"/>
          <w:lang w:val="en-US" w:eastAsia="zh-CN"/>
        </w:rPr>
        <w:t>。三是提升法治素养。</w:t>
      </w:r>
      <w:r>
        <w:rPr>
          <w:rFonts w:hint="eastAsia" w:ascii="仿宋_GB2312" w:hAnsi="仿宋_GB2312" w:eastAsia="仿宋_GB2312" w:cs="仿宋_GB2312"/>
          <w:sz w:val="32"/>
          <w:szCs w:val="32"/>
          <w:lang w:val="en-US" w:eastAsia="zh-CN"/>
        </w:rPr>
        <w:t>始终坚持在工作中锤炼“法制化”修养，教育引导党员干部带头尊崇法治、掌握法律，将法治学习与具体工作相结合，进一步提升运用法治思维和法治方式解决问题、应对风险挑战的能力和水平。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二、履行推进法治建设第一责任人职责情况和主要举措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（一）坚持组织领导，落实主体责任。</w:t>
      </w:r>
      <w:r>
        <w:rPr>
          <w:rFonts w:hint="eastAsia" w:ascii="仿宋_GB2312" w:hAnsi="仿宋_GB2312" w:eastAsia="仿宋_GB2312" w:cs="仿宋_GB2312"/>
          <w:sz w:val="32"/>
          <w:szCs w:val="32"/>
          <w:lang w:val="en-US" w:eastAsia="zh-CN"/>
        </w:rPr>
        <w:t>我乡坚持党政统一领导、人大加强监督、乡村分级负责、部门协作配合、社会共同参与的管理机制，成立法治政府建设工作领导小组，党委书记作为第一责任人，认真做好法治建设工作的组织者、推动者和实践者；将法治建设纳入本乡发展总体规划和年度工作要点，做到与党委中心工作同部署、同安排、同推进；把依法办事、依法行政作为班子会议的重要内容，重大问题党委书记亲自过问、重点环节亲自协调、重大任务亲自督导；每半年听取一次法治建设工作汇报，掌握新情况、把握新动向、调整新策略，扎实推动法治建设工作在寨豁山区落实落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（二）坚持依法行政，助力平安建设。</w:t>
      </w:r>
      <w:r>
        <w:rPr>
          <w:rFonts w:hint="eastAsia" w:ascii="仿宋_GB2312" w:hAnsi="仿宋_GB2312" w:eastAsia="仿宋_GB2312" w:cs="仿宋_GB2312"/>
          <w:spacing w:val="0"/>
          <w:kern w:val="2"/>
          <w:sz w:val="32"/>
          <w:szCs w:val="32"/>
          <w:lang w:val="en-US" w:eastAsia="zh-CN" w:bidi="ar-SA"/>
        </w:rPr>
        <w:t>把法治建设工作纳入乡机关重要议事日</w:t>
      </w:r>
      <w:r>
        <w:rPr>
          <w:rFonts w:hint="eastAsia" w:ascii="仿宋_GB2312" w:hAnsi="仿宋_GB2312" w:eastAsia="仿宋_GB2312" w:cs="仿宋_GB2312"/>
          <w:b w:val="0"/>
          <w:bCs w:val="0"/>
          <w:spacing w:val="0"/>
          <w:kern w:val="2"/>
          <w:sz w:val="32"/>
          <w:szCs w:val="32"/>
          <w:lang w:val="en-US" w:eastAsia="zh-CN" w:bidi="ar-SA"/>
        </w:rPr>
        <w:t>程，</w:t>
      </w:r>
      <w:r>
        <w:rPr>
          <w:rFonts w:hint="eastAsia" w:ascii="仿宋_GB2312" w:hAnsi="仿宋_GB2312" w:eastAsia="仿宋_GB2312" w:cs="仿宋_GB2312"/>
          <w:b w:val="0"/>
          <w:bCs w:val="0"/>
          <w:kern w:val="2"/>
          <w:sz w:val="32"/>
          <w:szCs w:val="32"/>
          <w:lang w:val="en-US" w:eastAsia="zh-CN" w:bidi="ar-SA"/>
        </w:rPr>
        <w:t>一是坚持民主集中制。</w:t>
      </w:r>
      <w:r>
        <w:rPr>
          <w:rFonts w:hint="eastAsia" w:ascii="仿宋_GB2312" w:hAnsi="仿宋_GB2312" w:eastAsia="仿宋_GB2312" w:cs="仿宋_GB2312"/>
          <w:kern w:val="2"/>
          <w:sz w:val="32"/>
          <w:szCs w:val="32"/>
          <w:lang w:val="en-US" w:eastAsia="zh-CN" w:bidi="ar-SA"/>
        </w:rPr>
        <w:t>乡党委健全依法决策、科学决策、民主决策机制，对重难点问题、重大事项集体讨论决定，未发生一起因决策失误或侵犯群众合法权益的事件发生。</w:t>
      </w:r>
      <w:r>
        <w:rPr>
          <w:rFonts w:hint="eastAsia" w:ascii="仿宋_GB2312" w:hAnsi="仿宋_GB2312" w:eastAsia="仿宋_GB2312" w:cs="仿宋_GB2312"/>
          <w:b w:val="0"/>
          <w:bCs w:val="0"/>
          <w:kern w:val="2"/>
          <w:sz w:val="32"/>
          <w:szCs w:val="32"/>
          <w:lang w:val="en-US" w:eastAsia="zh-CN" w:bidi="ar-SA"/>
        </w:rPr>
        <w:t>二是坚持党务政务公开。</w:t>
      </w:r>
      <w:r>
        <w:rPr>
          <w:rFonts w:hint="eastAsia" w:ascii="仿宋_GB2312" w:hAnsi="仿宋_GB2312" w:eastAsia="仿宋_GB2312" w:cs="仿宋_GB2312"/>
          <w:kern w:val="2"/>
          <w:sz w:val="32"/>
          <w:szCs w:val="32"/>
          <w:lang w:val="en-US" w:eastAsia="zh-CN" w:bidi="ar-SA"/>
        </w:rPr>
        <w:t>将“公开、透明”作为依法行政的重要内容，将涉及群众利益的有关政策、措施、工作内容及进程进行公示，自觉接受群众监督。</w:t>
      </w:r>
      <w:r>
        <w:rPr>
          <w:rFonts w:hint="eastAsia" w:ascii="仿宋_GB2312" w:hAnsi="仿宋_GB2312" w:eastAsia="仿宋_GB2312" w:cs="仿宋_GB2312"/>
          <w:b w:val="0"/>
          <w:bCs w:val="0"/>
          <w:kern w:val="2"/>
          <w:sz w:val="32"/>
          <w:szCs w:val="32"/>
          <w:lang w:val="en-US" w:eastAsia="zh-CN" w:bidi="ar-SA"/>
        </w:rPr>
        <w:t>三是坚持法治惠民建设。</w:t>
      </w:r>
      <w:r>
        <w:rPr>
          <w:rFonts w:hint="eastAsia" w:ascii="仿宋_GB2312" w:hAnsi="仿宋_GB2312" w:eastAsia="仿宋_GB2312" w:cs="仿宋_GB2312"/>
          <w:kern w:val="2"/>
          <w:sz w:val="32"/>
          <w:szCs w:val="32"/>
          <w:lang w:val="en-US" w:eastAsia="zh-CN" w:bidi="ar-SA"/>
        </w:rPr>
        <w:t>由乡司法所、派出所、综治、信访、民政、人社等部门骨干成立法律援助小组，对群众在劳动报酬、土地流转、婚姻、社保等方面存在的问题提供无偿法律咨询和援助，充分发挥法律顾问职责作用。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lang w:val="en-US" w:eastAsia="zh-CN"/>
        </w:rPr>
      </w:pPr>
      <w:r>
        <w:rPr>
          <w:rFonts w:hint="eastAsia" w:ascii="楷体_GB2312" w:hAnsi="楷体_GB2312" w:eastAsia="楷体_GB2312" w:cs="楷体_GB2312"/>
          <w:b/>
          <w:bCs/>
          <w:sz w:val="32"/>
          <w:szCs w:val="32"/>
          <w:lang w:val="en-US" w:eastAsia="zh-CN"/>
        </w:rPr>
        <w:t>（三）坚持法治为民，提升履职效能。</w:t>
      </w:r>
      <w:r>
        <w:rPr>
          <w:rFonts w:hint="eastAsia" w:ascii="仿宋_GB2312" w:hAnsi="仿宋_GB2312" w:eastAsia="仿宋_GB2312" w:cs="仿宋_GB2312"/>
          <w:b w:val="0"/>
          <w:bCs w:val="0"/>
          <w:sz w:val="32"/>
          <w:szCs w:val="32"/>
          <w:lang w:val="en-US" w:eastAsia="zh-CN"/>
        </w:rPr>
        <w:t>一是着力</w:t>
      </w:r>
      <w:r>
        <w:rPr>
          <w:rFonts w:hint="eastAsia" w:ascii="仿宋_GB2312" w:hAnsi="仿宋_GB2312" w:eastAsia="仿宋_GB2312" w:cs="仿宋_GB2312"/>
          <w:sz w:val="32"/>
          <w:szCs w:val="32"/>
          <w:lang w:val="en-US" w:eastAsia="zh-CN"/>
        </w:rPr>
        <w:t>发挥司法所和法律顾问在法治政府建设中的职能作用，切实提高决策质量，保障决策合法性，筑牢依法行政的“防火墙”。积极开展“调解护稳定”专项活动，高效整合人民调解、行政调解、司法调解资源，优化联调路径，今年以来，接办转办各类案件</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件，答复办结</w:t>
      </w:r>
      <w:r>
        <w:rPr>
          <w:rFonts w:hint="eastAsia"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件，办结率为</w:t>
      </w:r>
      <w:r>
        <w:rPr>
          <w:rFonts w:hint="eastAsia" w:ascii="Times New Roman" w:hAnsi="Times New Roman" w:eastAsia="仿宋_GB2312" w:cs="Times New Roman"/>
          <w:sz w:val="32"/>
          <w:szCs w:val="32"/>
          <w:lang w:val="en-US" w:eastAsia="zh-CN"/>
        </w:rPr>
        <w:t>90%</w:t>
      </w:r>
      <w:r>
        <w:rPr>
          <w:rFonts w:hint="eastAsia" w:ascii="仿宋_GB2312" w:hAnsi="仿宋_GB2312" w:eastAsia="仿宋_GB2312" w:cs="仿宋_GB2312"/>
          <w:sz w:val="32"/>
          <w:szCs w:val="32"/>
          <w:lang w:val="en-US" w:eastAsia="zh-CN"/>
        </w:rPr>
        <w:t>。二是着力推进矛盾纠纷化解。建立健全乡、村、组三级矛调机制，利用“一联三制”，设置</w:t>
      </w:r>
      <w:r>
        <w:rPr>
          <w:rFonts w:hint="eastAsia" w:ascii="Times New Roman" w:hAnsi="Times New Roman" w:eastAsia="仿宋_GB2312" w:cs="Times New Roman"/>
          <w:sz w:val="32"/>
          <w:szCs w:val="32"/>
          <w:lang w:val="en-US" w:eastAsia="zh-CN"/>
        </w:rPr>
        <w:t>134</w:t>
      </w:r>
      <w:r>
        <w:rPr>
          <w:rFonts w:hint="eastAsia" w:ascii="仿宋_GB2312" w:hAnsi="仿宋_GB2312" w:eastAsia="仿宋_GB2312" w:cs="仿宋_GB2312"/>
          <w:sz w:val="32"/>
          <w:szCs w:val="32"/>
          <w:lang w:val="en-US" w:eastAsia="zh-CN"/>
        </w:rPr>
        <w:t>个网格，配备网格长</w:t>
      </w:r>
      <w:r>
        <w:rPr>
          <w:rFonts w:hint="eastAsia" w:ascii="Times New Roman" w:hAnsi="Times New Roman" w:eastAsia="仿宋_GB2312" w:cs="Times New Roman"/>
          <w:sz w:val="32"/>
          <w:szCs w:val="32"/>
          <w:lang w:val="en-US" w:eastAsia="zh-CN"/>
        </w:rPr>
        <w:t>134</w:t>
      </w:r>
      <w:r>
        <w:rPr>
          <w:rFonts w:hint="eastAsia" w:ascii="仿宋_GB2312" w:hAnsi="仿宋_GB2312" w:eastAsia="仿宋_GB2312" w:cs="仿宋_GB2312"/>
          <w:sz w:val="32"/>
          <w:szCs w:val="32"/>
          <w:lang w:val="en-US" w:eastAsia="zh-CN"/>
        </w:rPr>
        <w:t>名，每月开展矛盾纠纷排查化解活动，今年共排查矛盾纠纷</w:t>
      </w:r>
      <w:r>
        <w:rPr>
          <w:rFonts w:hint="eastAsia" w:ascii="Times New Roman" w:hAnsi="Times New Roman" w:eastAsia="仿宋_GB2312" w:cs="Times New Roman"/>
          <w:sz w:val="32"/>
          <w:szCs w:val="32"/>
          <w:lang w:val="en-US" w:eastAsia="zh-CN"/>
        </w:rPr>
        <w:t>14</w:t>
      </w:r>
      <w:r>
        <w:rPr>
          <w:rFonts w:hint="eastAsia" w:ascii="仿宋_GB2312" w:hAnsi="仿宋_GB2312" w:eastAsia="仿宋_GB2312" w:cs="仿宋_GB2312"/>
          <w:sz w:val="32"/>
          <w:szCs w:val="32"/>
          <w:lang w:val="en-US" w:eastAsia="zh-CN"/>
        </w:rPr>
        <w:t>余次，化解矛盾纠纷</w:t>
      </w:r>
      <w:r>
        <w:rPr>
          <w:rFonts w:hint="eastAsia" w:ascii="Times New Roman" w:hAnsi="Times New Roman" w:eastAsia="仿宋_GB2312" w:cs="Times New Roman"/>
          <w:sz w:val="32"/>
          <w:szCs w:val="32"/>
          <w:lang w:val="en-US" w:eastAsia="zh-CN"/>
        </w:rPr>
        <w:t>14</w:t>
      </w:r>
      <w:r>
        <w:rPr>
          <w:rFonts w:hint="eastAsia" w:ascii="仿宋_GB2312" w:hAnsi="仿宋_GB2312" w:eastAsia="仿宋_GB2312" w:cs="仿宋_GB2312"/>
          <w:sz w:val="32"/>
          <w:szCs w:val="32"/>
          <w:lang w:val="en-US" w:eastAsia="zh-CN"/>
        </w:rPr>
        <w:t>件。三是着力</w:t>
      </w:r>
      <w:r>
        <w:rPr>
          <w:rFonts w:hint="eastAsia" w:ascii="仿宋_GB2312" w:hAnsi="仿宋_GB2312" w:eastAsia="仿宋_GB2312" w:cs="仿宋_GB2312"/>
          <w:b w:val="0"/>
          <w:bCs w:val="0"/>
          <w:kern w:val="2"/>
          <w:sz w:val="32"/>
          <w:szCs w:val="32"/>
          <w:lang w:val="en-US" w:eastAsia="zh-CN" w:bidi="ar-SA"/>
        </w:rPr>
        <w:t>保障信访稳定。</w:t>
      </w:r>
      <w:r>
        <w:rPr>
          <w:rFonts w:hint="eastAsia" w:ascii="仿宋_GB2312" w:hAnsi="Arial" w:eastAsia="仿宋_GB2312" w:cs="Arial"/>
          <w:color w:val="000000"/>
          <w:kern w:val="0"/>
          <w:sz w:val="32"/>
          <w:szCs w:val="32"/>
        </w:rPr>
        <w:t>坚持</w:t>
      </w:r>
      <w:r>
        <w:rPr>
          <w:rFonts w:hint="eastAsia" w:ascii="仿宋_GB2312" w:hAnsi="Arial" w:eastAsia="仿宋_GB2312" w:cs="Arial"/>
          <w:color w:val="000000"/>
          <w:kern w:val="0"/>
          <w:sz w:val="32"/>
          <w:szCs w:val="32"/>
          <w:lang w:eastAsia="zh-CN"/>
        </w:rPr>
        <w:t>班子成员</w:t>
      </w:r>
      <w:r>
        <w:rPr>
          <w:rFonts w:hint="eastAsia" w:ascii="仿宋_GB2312" w:hAnsi="Arial" w:eastAsia="仿宋_GB2312" w:cs="Arial"/>
          <w:color w:val="000000"/>
          <w:kern w:val="0"/>
          <w:sz w:val="32"/>
          <w:szCs w:val="32"/>
        </w:rPr>
        <w:t>日接访和</w:t>
      </w:r>
      <w:r>
        <w:rPr>
          <w:rFonts w:hint="eastAsia" w:ascii="仿宋_GB2312" w:hAnsi="Arial" w:eastAsia="仿宋_GB2312" w:cs="Arial"/>
          <w:color w:val="000000"/>
          <w:kern w:val="0"/>
          <w:sz w:val="32"/>
          <w:szCs w:val="32"/>
          <w:lang w:eastAsia="zh-CN"/>
        </w:rPr>
        <w:t>敏感</w:t>
      </w:r>
      <w:r>
        <w:rPr>
          <w:rFonts w:hint="eastAsia" w:ascii="仿宋_GB2312" w:hAnsi="Arial" w:eastAsia="仿宋_GB2312" w:cs="Arial"/>
          <w:color w:val="000000"/>
          <w:kern w:val="0"/>
          <w:sz w:val="32"/>
          <w:szCs w:val="32"/>
        </w:rPr>
        <w:t>时期日碰头制度，每月召开信访稳定研判会，运用政策讲解、倾情调解、约谈化解等形式，</w:t>
      </w:r>
      <w:r>
        <w:rPr>
          <w:rFonts w:hint="eastAsia" w:ascii="仿宋_GB2312" w:hAnsi="仿宋_GB2312" w:eastAsia="仿宋_GB2312" w:cs="仿宋_GB2312"/>
          <w:kern w:val="2"/>
          <w:sz w:val="32"/>
          <w:szCs w:val="32"/>
          <w:lang w:val="en-US" w:eastAsia="zh-CN"/>
        </w:rPr>
        <w:t>做好特殊利益群体、重点人员的稳控工作，</w:t>
      </w:r>
      <w:r>
        <w:rPr>
          <w:rFonts w:hint="eastAsia" w:ascii="仿宋_GB2312" w:hAnsi="仿宋_GB2312" w:eastAsia="仿宋_GB2312" w:cs="仿宋_GB2312"/>
          <w:kern w:val="2"/>
          <w:sz w:val="32"/>
          <w:szCs w:val="32"/>
          <w:lang w:val="en-US" w:eastAsia="zh-CN" w:bidi="ar-SA"/>
        </w:rPr>
        <w:t>我乡信访工作形势总体平稳可控。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zh-CN"/>
        </w:rPr>
        <w:t>（四）坚持普法宣传，夯实法治阵地。</w:t>
      </w:r>
      <w:r>
        <w:rPr>
          <w:rFonts w:hint="eastAsia" w:ascii="仿宋_GB2312" w:hAnsi="Arial" w:eastAsia="仿宋_GB2312" w:cs="Arial"/>
          <w:color w:val="000000"/>
          <w:kern w:val="0"/>
          <w:sz w:val="32"/>
          <w:szCs w:val="32"/>
          <w:lang w:val="en-US" w:eastAsia="zh-CN"/>
        </w:rPr>
        <w:t>一是常态化开展普法宣传。全面实施“八五”普法规划，严格落实“谁执法谁普法”工作责任制，普法工作计划和责任清单全覆盖，今</w:t>
      </w:r>
      <w:r>
        <w:rPr>
          <w:rFonts w:hint="eastAsia" w:ascii="仿宋_GB2312" w:hAnsi="仿宋_GB2312" w:eastAsia="仿宋_GB2312" w:cs="仿宋_GB2312"/>
          <w:color w:val="auto"/>
          <w:sz w:val="32"/>
          <w:szCs w:val="32"/>
          <w:lang w:val="en-US" w:eastAsia="zh-CN"/>
        </w:rPr>
        <w:t>年共</w:t>
      </w:r>
      <w:r>
        <w:rPr>
          <w:rFonts w:hint="default" w:ascii="Times New Roman" w:hAnsi="Times New Roman" w:eastAsia="仿宋_GB2312" w:cs="Times New Roman"/>
          <w:color w:val="auto"/>
          <w:sz w:val="32"/>
          <w:szCs w:val="32"/>
          <w:lang w:val="en-US" w:eastAsia="zh-CN"/>
        </w:rPr>
        <w:t>开办法律咨询活动</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color w:val="auto"/>
          <w:sz w:val="32"/>
          <w:szCs w:val="32"/>
          <w:lang w:val="en-US" w:eastAsia="zh-CN"/>
        </w:rPr>
        <w:t>次，法律知识讲</w:t>
      </w:r>
      <w:r>
        <w:rPr>
          <w:rFonts w:hint="eastAsia" w:ascii="Times New Roman" w:hAnsi="Times New Roman" w:eastAsia="仿宋_GB2312" w:cs="Times New Roman"/>
          <w:color w:val="auto"/>
          <w:sz w:val="32"/>
          <w:szCs w:val="32"/>
          <w:lang w:val="en-US" w:eastAsia="zh-CN"/>
        </w:rPr>
        <w:t>座</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color w:val="auto"/>
          <w:sz w:val="32"/>
          <w:szCs w:val="32"/>
          <w:lang w:val="en-US" w:eastAsia="zh-CN"/>
        </w:rPr>
        <w:t>场，</w:t>
      </w:r>
      <w:r>
        <w:rPr>
          <w:rFonts w:hint="default" w:ascii="Times New Roman" w:hAnsi="Times New Roman" w:eastAsia="仿宋_GB2312" w:cs="Times New Roman"/>
          <w:sz w:val="32"/>
          <w:szCs w:val="32"/>
          <w:lang w:val="en-US" w:eastAsia="zh-CN"/>
        </w:rPr>
        <w:t>发放普法宣传单300份，</w:t>
      </w:r>
      <w:r>
        <w:rPr>
          <w:rFonts w:hint="default" w:ascii="Times New Roman" w:hAnsi="Times New Roman" w:eastAsia="仿宋_GB2312" w:cs="Times New Roman"/>
          <w:color w:val="auto"/>
          <w:sz w:val="32"/>
          <w:szCs w:val="32"/>
          <w:lang w:val="en-US" w:eastAsia="zh-CN"/>
        </w:rPr>
        <w:t>切实提高广大干群法治思维，</w:t>
      </w:r>
      <w:r>
        <w:rPr>
          <w:rFonts w:hint="eastAsia" w:ascii="Times New Roman" w:hAnsi="Times New Roman" w:eastAsia="仿宋_GB2312" w:cs="Times New Roman"/>
          <w:color w:val="auto"/>
          <w:sz w:val="32"/>
          <w:szCs w:val="32"/>
          <w:lang w:val="en-US" w:eastAsia="zh-CN"/>
        </w:rPr>
        <w:t>在全乡范围内</w:t>
      </w:r>
      <w:r>
        <w:rPr>
          <w:rFonts w:hint="default" w:ascii="Times New Roman" w:hAnsi="Times New Roman" w:eastAsia="仿宋_GB2312" w:cs="Times New Roman"/>
          <w:color w:val="auto"/>
          <w:sz w:val="32"/>
          <w:szCs w:val="32"/>
          <w:lang w:val="en-US" w:eastAsia="zh-CN"/>
        </w:rPr>
        <w:t>营造学法知法懂法用法的浓厚氛围</w:t>
      </w:r>
      <w:r>
        <w:rPr>
          <w:rFonts w:hint="eastAsia" w:ascii="Times New Roman" w:hAnsi="Times New Roman" w:eastAsia="仿宋_GB2312" w:cs="Times New Roman"/>
          <w:color w:val="auto"/>
          <w:sz w:val="32"/>
          <w:szCs w:val="32"/>
          <w:lang w:val="en-US" w:eastAsia="zh-CN"/>
        </w:rPr>
        <w:t>。二是多</w:t>
      </w:r>
      <w:r>
        <w:rPr>
          <w:rFonts w:hint="eastAsia" w:ascii="仿宋" w:hAnsi="仿宋" w:eastAsia="仿宋" w:cs="仿宋"/>
          <w:b w:val="0"/>
          <w:bCs w:val="0"/>
          <w:sz w:val="32"/>
          <w:szCs w:val="32"/>
          <w:lang w:val="en-US" w:eastAsia="zh-CN"/>
        </w:rPr>
        <w:t>举措</w:t>
      </w:r>
      <w:r>
        <w:rPr>
          <w:rFonts w:hint="eastAsia" w:ascii="仿宋" w:hAnsi="仿宋" w:cs="仿宋"/>
          <w:b w:val="0"/>
          <w:bCs w:val="0"/>
          <w:sz w:val="32"/>
          <w:szCs w:val="32"/>
          <w:lang w:val="en-US" w:eastAsia="zh-CN"/>
        </w:rPr>
        <w:t>开展普法活动</w:t>
      </w:r>
      <w:r>
        <w:rPr>
          <w:rFonts w:hint="eastAsia" w:ascii="仿宋" w:hAnsi="仿宋" w:eastAsia="仿宋" w:cs="仿宋"/>
          <w:b w:val="0"/>
          <w:bCs w:val="0"/>
          <w:sz w:val="32"/>
          <w:szCs w:val="32"/>
          <w:lang w:val="en-US" w:eastAsia="zh-CN"/>
        </w:rPr>
        <w:t>。</w:t>
      </w:r>
      <w:r>
        <w:rPr>
          <w:rFonts w:hint="eastAsia" w:ascii="Times New Roman" w:hAnsi="Times New Roman" w:eastAsia="仿宋_GB2312" w:cs="Times New Roman"/>
          <w:color w:val="auto"/>
          <w:sz w:val="32"/>
          <w:szCs w:val="32"/>
          <w:lang w:val="en-US" w:eastAsia="zh-CN"/>
        </w:rPr>
        <w:t>依托农家书屋、党群服务中心、文化驿站等阵地，</w:t>
      </w:r>
      <w:r>
        <w:rPr>
          <w:rFonts w:hint="eastAsia" w:ascii="仿宋_GB2312" w:hAnsi="仿宋_GB2312" w:eastAsia="仿宋_GB2312" w:cs="仿宋_GB2312"/>
          <w:sz w:val="32"/>
          <w:szCs w:val="32"/>
          <w:lang w:val="en-US" w:eastAsia="zh-CN"/>
        </w:rPr>
        <w:t>利用“</w:t>
      </w:r>
      <w:r>
        <w:rPr>
          <w:rFonts w:hint="default" w:ascii="Times New Roman" w:hAnsi="Times New Roman" w:eastAsia="仿宋_GB2312" w:cs="Times New Roman"/>
          <w:sz w:val="32"/>
          <w:szCs w:val="32"/>
          <w:lang w:val="en-US" w:eastAsia="zh-CN"/>
        </w:rPr>
        <w:t>4·15</w:t>
      </w:r>
      <w:r>
        <w:rPr>
          <w:rFonts w:hint="eastAsia" w:ascii="仿宋_GB2312" w:hAnsi="仿宋_GB2312" w:eastAsia="仿宋_GB2312" w:cs="仿宋_GB2312"/>
          <w:sz w:val="32"/>
          <w:szCs w:val="32"/>
          <w:lang w:val="en-US" w:eastAsia="zh-CN"/>
        </w:rPr>
        <w:t>”国家安全日、“</w:t>
      </w:r>
      <w:r>
        <w:rPr>
          <w:rFonts w:hint="default" w:ascii="Times New Roman" w:hAnsi="Times New Roman" w:eastAsia="仿宋_GB2312" w:cs="Times New Roman"/>
          <w:sz w:val="32"/>
          <w:szCs w:val="32"/>
          <w:lang w:val="en-US" w:eastAsia="zh-CN"/>
        </w:rPr>
        <w:t>12·4</w:t>
      </w:r>
      <w:r>
        <w:rPr>
          <w:rFonts w:hint="eastAsia" w:ascii="仿宋_GB2312" w:hAnsi="仿宋_GB2312" w:eastAsia="仿宋_GB2312" w:cs="仿宋_GB2312"/>
          <w:sz w:val="32"/>
          <w:szCs w:val="32"/>
          <w:lang w:val="en-US" w:eastAsia="zh-CN"/>
        </w:rPr>
        <w:t>”宪法宣传日等重要时间节点，</w:t>
      </w:r>
      <w:r>
        <w:rPr>
          <w:rFonts w:hint="eastAsia" w:ascii="Times New Roman" w:hAnsi="Times New Roman" w:eastAsia="仿宋_GB2312" w:cs="Times New Roman"/>
          <w:color w:val="auto"/>
          <w:sz w:val="32"/>
          <w:szCs w:val="32"/>
          <w:lang w:val="en-US" w:eastAsia="zh-CN"/>
        </w:rPr>
        <w:t>开展内容丰富、形式多样的群众性法治文化活动，</w:t>
      </w:r>
      <w:r>
        <w:rPr>
          <w:rFonts w:hint="eastAsia" w:ascii="仿宋_GB2312" w:hAnsi="仿宋_GB2312" w:eastAsia="仿宋_GB2312" w:cs="仿宋_GB2312"/>
          <w:sz w:val="32"/>
          <w:szCs w:val="32"/>
          <w:lang w:val="en-US" w:eastAsia="zh-CN"/>
        </w:rPr>
        <w:t>深入学习《未成年人保护法》、《妇女权益保障法》等法律法规，帮助群众运用法律武器维护自己的合法权益。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三、存在问题及下步打算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寨豁乡</w:t>
      </w:r>
      <w:r>
        <w:rPr>
          <w:rFonts w:hint="default" w:ascii="仿宋_GB2312" w:hAnsi="仿宋_GB2312" w:eastAsia="仿宋_GB2312" w:cs="仿宋_GB2312"/>
          <w:sz w:val="32"/>
          <w:szCs w:val="32"/>
          <w:lang w:val="en-US" w:eastAsia="zh-CN"/>
        </w:rPr>
        <w:t>法治建设工作虽然取得了一些成效，但与群众期盼、法治建设的目标还有一定差距。主要体现在：</w:t>
      </w:r>
      <w:r>
        <w:rPr>
          <w:rFonts w:hint="eastAsia" w:ascii="仿宋_GB2312" w:hAnsi="仿宋_GB2312" w:eastAsia="仿宋_GB2312" w:cs="仿宋_GB2312"/>
          <w:b w:val="0"/>
          <w:bCs w:val="0"/>
          <w:sz w:val="32"/>
          <w:szCs w:val="32"/>
          <w:lang w:val="en-US" w:eastAsia="zh-CN"/>
        </w:rPr>
        <w:t>一是</w:t>
      </w:r>
      <w:r>
        <w:rPr>
          <w:rFonts w:hint="default" w:ascii="仿宋_GB2312" w:hAnsi="仿宋_GB2312" w:eastAsia="仿宋_GB2312" w:cs="仿宋_GB2312"/>
          <w:b w:val="0"/>
          <w:bCs w:val="0"/>
          <w:sz w:val="32"/>
          <w:szCs w:val="32"/>
          <w:lang w:val="en-US" w:eastAsia="zh-CN"/>
        </w:rPr>
        <w:t>推</w:t>
      </w:r>
      <w:r>
        <w:rPr>
          <w:rFonts w:hint="default" w:ascii="仿宋_GB2312" w:hAnsi="仿宋_GB2312" w:eastAsia="仿宋_GB2312" w:cs="仿宋_GB2312"/>
          <w:sz w:val="32"/>
          <w:szCs w:val="32"/>
          <w:lang w:val="en-US" w:eastAsia="zh-CN"/>
        </w:rPr>
        <w:t>进法律建设宣传工作创新度不高。相关工作的宣传广度和深度还有待加强。</w:t>
      </w:r>
      <w:r>
        <w:rPr>
          <w:rFonts w:hint="eastAsia" w:ascii="仿宋_GB2312" w:hAnsi="仿宋_GB2312" w:eastAsia="仿宋_GB2312" w:cs="仿宋_GB2312"/>
          <w:b w:val="0"/>
          <w:bCs w:val="0"/>
          <w:sz w:val="32"/>
          <w:szCs w:val="32"/>
          <w:lang w:val="en-US" w:eastAsia="zh-CN"/>
        </w:rPr>
        <w:t>二是</w:t>
      </w:r>
      <w:r>
        <w:rPr>
          <w:rFonts w:hint="default" w:ascii="仿宋_GB2312" w:hAnsi="仿宋_GB2312" w:eastAsia="仿宋_GB2312" w:cs="仿宋_GB2312"/>
          <w:b w:val="0"/>
          <w:bCs w:val="0"/>
          <w:kern w:val="2"/>
          <w:sz w:val="32"/>
          <w:szCs w:val="32"/>
          <w:lang w:val="en-US" w:eastAsia="zh-CN" w:bidi="ar-SA"/>
        </w:rPr>
        <w:t>乡</w:t>
      </w:r>
      <w:r>
        <w:rPr>
          <w:rFonts w:hint="default" w:ascii="仿宋_GB2312" w:hAnsi="仿宋_GB2312" w:eastAsia="仿宋_GB2312" w:cs="仿宋_GB2312"/>
          <w:kern w:val="2"/>
          <w:sz w:val="32"/>
          <w:szCs w:val="32"/>
          <w:lang w:val="en-US" w:eastAsia="zh-CN" w:bidi="ar-SA"/>
        </w:rPr>
        <w:t>镇法治基础薄弱，缺少法治专业人才</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下一步，寨豁乡将创新普法宣传，</w:t>
      </w:r>
      <w:r>
        <w:rPr>
          <w:rFonts w:hint="default" w:ascii="仿宋_GB2312" w:hAnsi="仿宋_GB2312" w:eastAsia="仿宋_GB2312" w:cs="仿宋_GB2312"/>
          <w:sz w:val="32"/>
          <w:szCs w:val="32"/>
          <w:lang w:val="en-US" w:eastAsia="zh-CN"/>
        </w:rPr>
        <w:t>深化“互联网+法治宣传教育”行动，运用“两微一端”等新媒体，推送通俗易懂、群众易于学习掌握的有关习近平法治思想的宣传内容，以鲜活的事例、生动的语言讲述法治故事，最大限度满足群众的法治文化需求</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同时，加强基层法律顾问队伍建设，加大对“法治带头人”“法律明白人”的培养力度，打造更加专业化的工作队伍，强化法治保障，持续优化法治营商环境，以法治建设的切实成效推动寨豁乡高质量发展。</w:t>
      </w:r>
    </w:p>
    <w:p>
      <w:pPr>
        <w:keepNext w:val="0"/>
        <w:keepLines w:val="0"/>
        <w:pageBreakBefore w:val="0"/>
        <w:kinsoku/>
        <w:wordWrap w:val="0"/>
        <w:overflowPunct/>
        <w:topLinePunct w:val="0"/>
        <w:autoSpaceDE/>
        <w:autoSpaceDN/>
        <w:bidi w:val="0"/>
        <w:adjustRightInd/>
        <w:snapToGrid/>
        <w:spacing w:beforeAutospacing="0" w:afterAutospacing="0" w:line="560" w:lineRule="exact"/>
        <w:jc w:val="right"/>
        <w:textAlignment w:val="auto"/>
        <w:rPr>
          <w:rFonts w:hint="eastAsia" w:ascii="Times New Roman" w:hAnsi="Times New Roman" w:eastAsia="仿宋_GB2312" w:cs="Times New Roman"/>
          <w:color w:val="auto"/>
          <w:kern w:val="0"/>
          <w:sz w:val="32"/>
          <w:szCs w:val="32"/>
          <w:lang w:val="en-US" w:eastAsia="zh-CN" w:bidi="ar-SA"/>
        </w:rPr>
      </w:pPr>
    </w:p>
    <w:p>
      <w:pPr>
        <w:pStyle w:val="2"/>
        <w:wordWrap/>
        <w:rPr>
          <w:rFonts w:hint="eastAsia"/>
          <w:lang w:val="en-US" w:eastAsia="zh-CN"/>
        </w:rPr>
      </w:pPr>
    </w:p>
    <w:p>
      <w:pPr>
        <w:keepNext w:val="0"/>
        <w:keepLines w:val="0"/>
        <w:pageBreakBefore w:val="0"/>
        <w:kinsoku/>
        <w:wordWrap w:val="0"/>
        <w:overflowPunct/>
        <w:topLinePunct w:val="0"/>
        <w:autoSpaceDE/>
        <w:autoSpaceDN/>
        <w:bidi w:val="0"/>
        <w:adjustRightInd/>
        <w:snapToGrid/>
        <w:spacing w:beforeAutospacing="0" w:afterAutospacing="0" w:line="560" w:lineRule="exact"/>
        <w:jc w:val="right"/>
        <w:textAlignment w:val="auto"/>
        <w:rPr>
          <w:rFonts w:hint="eastAsia" w:ascii="Times New Roman" w:hAnsi="Times New Roman" w:eastAsia="仿宋_GB2312" w:cs="Times New Roman"/>
          <w:color w:val="auto"/>
          <w:kern w:val="0"/>
          <w:sz w:val="32"/>
          <w:szCs w:val="32"/>
          <w:lang w:val="en-US" w:eastAsia="zh-CN" w:bidi="ar-SA"/>
        </w:rPr>
      </w:pPr>
    </w:p>
    <w:p>
      <w:pPr>
        <w:keepNext w:val="0"/>
        <w:keepLines w:val="0"/>
        <w:pageBreakBefore w:val="0"/>
        <w:kinsoku/>
        <w:wordWrap w:val="0"/>
        <w:overflowPunct/>
        <w:topLinePunct w:val="0"/>
        <w:autoSpaceDE/>
        <w:autoSpaceDN/>
        <w:bidi w:val="0"/>
        <w:adjustRightInd/>
        <w:snapToGrid/>
        <w:spacing w:beforeAutospacing="0" w:afterAutospacing="0" w:line="560" w:lineRule="exact"/>
        <w:jc w:val="right"/>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w:t>
      </w:r>
    </w:p>
    <w:p>
      <w:pPr>
        <w:pStyle w:val="8"/>
        <w:keepNext w:val="0"/>
        <w:keepLines w:val="0"/>
        <w:pageBreakBefore w:val="0"/>
        <w:kinsoku/>
        <w:wordWrap w:val="0"/>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color w:val="auto"/>
          <w:spacing w:val="0"/>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w:t>
      </w:r>
      <w:r>
        <w:rPr>
          <w:rFonts w:hint="eastAsia" w:ascii="Times New Roman" w:hAnsi="Times New Roman" w:eastAsia="仿宋_GB2312" w:cs="Times New Roman"/>
          <w:color w:val="auto"/>
          <w:spacing w:val="0"/>
          <w:kern w:val="0"/>
          <w:sz w:val="32"/>
          <w:szCs w:val="32"/>
          <w:lang w:val="en-US" w:eastAsia="zh-CN" w:bidi="ar-SA"/>
        </w:rPr>
        <w:t xml:space="preserve">中共寨豁乡委员会    </w:t>
      </w:r>
    </w:p>
    <w:p>
      <w:pPr>
        <w:pStyle w:val="9"/>
        <w:keepNext w:val="0"/>
        <w:keepLines w:val="0"/>
        <w:pageBreakBefore w:val="0"/>
        <w:kinsoku/>
        <w:wordWrap w:val="0"/>
        <w:overflowPunct/>
        <w:topLinePunct w:val="0"/>
        <w:autoSpaceDE/>
        <w:autoSpaceDN/>
        <w:bidi w:val="0"/>
        <w:adjustRightInd/>
        <w:snapToGrid/>
        <w:spacing w:beforeAutospacing="0" w:after="0" w:afterAutospacing="0" w:line="560" w:lineRule="exact"/>
        <w:jc w:val="right"/>
        <w:textAlignment w:val="auto"/>
        <w:rPr>
          <w:rFonts w:hint="default" w:ascii="Times New Roman" w:hAnsi="Times New Roman" w:cs="Times New Roman"/>
          <w:color w:val="auto"/>
          <w:spacing w:val="0"/>
          <w:kern w:val="0"/>
          <w:sz w:val="32"/>
          <w:szCs w:val="32"/>
          <w:lang w:val="en-US" w:eastAsia="zh-CN" w:bidi="ar-SA"/>
        </w:rPr>
      </w:pPr>
      <w:r>
        <w:rPr>
          <w:rFonts w:hint="eastAsia" w:ascii="Times New Roman" w:hAnsi="Times New Roman" w:eastAsia="仿宋_GB2312" w:cs="Times New Roman"/>
          <w:color w:val="auto"/>
          <w:spacing w:val="0"/>
          <w:kern w:val="0"/>
          <w:sz w:val="32"/>
          <w:szCs w:val="32"/>
          <w:lang w:val="en-US" w:eastAsia="zh-CN" w:bidi="ar-SA"/>
        </w:rPr>
        <w:t>寨豁</w:t>
      </w:r>
      <w:r>
        <w:rPr>
          <w:rFonts w:hint="eastAsia" w:ascii="Times New Roman" w:hAnsi="Times New Roman" w:cs="Times New Roman"/>
          <w:color w:val="auto"/>
          <w:spacing w:val="0"/>
          <w:kern w:val="0"/>
          <w:sz w:val="32"/>
          <w:szCs w:val="32"/>
          <w:lang w:val="en-US" w:eastAsia="zh-CN" w:bidi="ar-SA"/>
        </w:rPr>
        <w:t>乡</w:t>
      </w:r>
      <w:r>
        <w:rPr>
          <w:rFonts w:hint="eastAsia" w:ascii="Times New Roman" w:hAnsi="Times New Roman" w:eastAsia="仿宋_GB2312" w:cs="Times New Roman"/>
          <w:color w:val="auto"/>
          <w:spacing w:val="0"/>
          <w:kern w:val="0"/>
          <w:sz w:val="32"/>
          <w:szCs w:val="32"/>
          <w:lang w:val="en-US" w:eastAsia="zh-CN" w:bidi="ar-SA"/>
        </w:rPr>
        <w:t>人民政府</w:t>
      </w:r>
      <w:r>
        <w:rPr>
          <w:rFonts w:hint="eastAsia" w:ascii="Times New Roman" w:hAnsi="Times New Roman" w:cs="Times New Roman"/>
          <w:color w:val="auto"/>
          <w:spacing w:val="0"/>
          <w:kern w:val="0"/>
          <w:sz w:val="32"/>
          <w:szCs w:val="32"/>
          <w:lang w:val="en-US" w:eastAsia="zh-CN" w:bidi="ar-SA"/>
        </w:rPr>
        <w:t xml:space="preserve">    </w:t>
      </w:r>
    </w:p>
    <w:p>
      <w:pPr>
        <w:pStyle w:val="9"/>
        <w:keepNext w:val="0"/>
        <w:keepLines w:val="0"/>
        <w:pageBreakBefore w:val="0"/>
        <w:kinsoku/>
        <w:wordWrap w:val="0"/>
        <w:overflowPunct/>
        <w:topLinePunct w:val="0"/>
        <w:autoSpaceDE/>
        <w:autoSpaceDN/>
        <w:bidi w:val="0"/>
        <w:adjustRightInd/>
        <w:snapToGrid/>
        <w:spacing w:beforeAutospacing="0" w:after="0" w:afterAutospacing="0" w:line="560" w:lineRule="exact"/>
        <w:jc w:val="right"/>
        <w:textAlignment w:val="auto"/>
        <w:rPr>
          <w:rFonts w:hint="default" w:ascii="Times New Roman" w:hAnsi="Times New Roman" w:eastAsia="仿宋_GB2312" w:cs="Times New Roman"/>
          <w:color w:val="auto"/>
          <w:spacing w:val="0"/>
          <w:kern w:val="0"/>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2024</w:t>
      </w:r>
      <w:r>
        <w:rPr>
          <w:rFonts w:hint="eastAsia" w:ascii="Times New Roman" w:hAnsi="Times New Roman" w:eastAsia="仿宋_GB2312" w:cs="Times New Roman"/>
          <w:color w:val="auto"/>
          <w:spacing w:val="0"/>
          <w:kern w:val="0"/>
          <w:sz w:val="32"/>
          <w:szCs w:val="32"/>
          <w:lang w:val="en-US" w:eastAsia="zh-CN" w:bidi="ar-SA"/>
        </w:rPr>
        <w:t>年</w:t>
      </w:r>
      <w:r>
        <w:rPr>
          <w:rFonts w:hint="eastAsia" w:ascii="Times New Roman" w:hAnsi="Times New Roman" w:cs="Times New Roman"/>
          <w:color w:val="auto"/>
          <w:spacing w:val="0"/>
          <w:kern w:val="0"/>
          <w:sz w:val="32"/>
          <w:szCs w:val="32"/>
          <w:lang w:val="en-US" w:eastAsia="zh-CN" w:bidi="ar-SA"/>
        </w:rPr>
        <w:t>元</w:t>
      </w:r>
      <w:r>
        <w:rPr>
          <w:rFonts w:hint="eastAsia" w:ascii="Times New Roman" w:hAnsi="Times New Roman" w:eastAsia="仿宋_GB2312" w:cs="Times New Roman"/>
          <w:color w:val="auto"/>
          <w:spacing w:val="0"/>
          <w:kern w:val="0"/>
          <w:sz w:val="32"/>
          <w:szCs w:val="32"/>
          <w:lang w:val="en-US" w:eastAsia="zh-CN" w:bidi="ar-SA"/>
        </w:rPr>
        <w:t>月</w:t>
      </w:r>
      <w:r>
        <w:rPr>
          <w:rFonts w:hint="eastAsia" w:ascii="Times New Roman" w:hAnsi="Times New Roman" w:cs="Times New Roman"/>
          <w:color w:val="auto"/>
          <w:spacing w:val="0"/>
          <w:kern w:val="0"/>
          <w:sz w:val="32"/>
          <w:szCs w:val="32"/>
          <w:lang w:val="en-US" w:eastAsia="zh-CN" w:bidi="ar-SA"/>
        </w:rPr>
        <w:t>23</w:t>
      </w:r>
      <w:r>
        <w:rPr>
          <w:rFonts w:hint="eastAsia" w:ascii="Times New Roman" w:hAnsi="Times New Roman" w:eastAsia="仿宋_GB2312" w:cs="Times New Roman"/>
          <w:color w:val="auto"/>
          <w:spacing w:val="0"/>
          <w:kern w:val="0"/>
          <w:sz w:val="32"/>
          <w:szCs w:val="32"/>
          <w:lang w:val="en-US" w:eastAsia="zh-CN" w:bidi="ar-SA"/>
        </w:rPr>
        <w:t>日</w:t>
      </w:r>
      <w:r>
        <w:rPr>
          <w:rFonts w:hint="eastAsia" w:ascii="Times New Roman" w:hAnsi="Times New Roman" w:cs="Times New Roman"/>
          <w:color w:val="auto"/>
          <w:spacing w:val="0"/>
          <w:kern w:val="0"/>
          <w:sz w:val="32"/>
          <w:szCs w:val="32"/>
          <w:lang w:val="en-US" w:eastAsia="zh-CN" w:bidi="ar-SA"/>
        </w:rPr>
        <w:t xml:space="preserve">    </w:t>
      </w:r>
    </w:p>
    <w:sectPr>
      <w:footerReference r:id="rId3" w:type="default"/>
      <w:pgSz w:w="11906" w:h="16838"/>
      <w:pgMar w:top="2098" w:right="1474" w:bottom="1984" w:left="1587" w:header="851" w:footer="1417"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Book Antiqua">
    <w:altName w:val="FreeSerif"/>
    <w:panose1 w:val="02040602050305030304"/>
    <w:charset w:val="00"/>
    <w:family w:val="roman"/>
    <w:pitch w:val="default"/>
    <w:sig w:usb0="00000000" w:usb1="00000000" w:usb2="00000000" w:usb3="00000000" w:csb0="000000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OTQ4OWJkNDNmYmIwYjkxZDI1NzM5OGQ1NjgxZGIifQ=="/>
  </w:docVars>
  <w:rsids>
    <w:rsidRoot w:val="09A45E3E"/>
    <w:rsid w:val="09A45E3E"/>
    <w:rsid w:val="09D935A9"/>
    <w:rsid w:val="16CF1489"/>
    <w:rsid w:val="1BE13493"/>
    <w:rsid w:val="1C692948"/>
    <w:rsid w:val="24C30629"/>
    <w:rsid w:val="413E3B8C"/>
    <w:rsid w:val="4B704D12"/>
    <w:rsid w:val="56650530"/>
    <w:rsid w:val="56C13162"/>
    <w:rsid w:val="587C29ED"/>
    <w:rsid w:val="691722BE"/>
    <w:rsid w:val="6D9817F8"/>
    <w:rsid w:val="72A5093A"/>
    <w:rsid w:val="79751067"/>
    <w:rsid w:val="79F2502A"/>
    <w:rsid w:val="BCDFD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99"/>
    <w:pPr>
      <w:spacing w:after="120" w:line="480" w:lineRule="auto"/>
    </w:pPr>
  </w:style>
  <w:style w:type="paragraph" w:styleId="7">
    <w:name w:val="Normal (Web)"/>
    <w:basedOn w:val="1"/>
    <w:qFormat/>
    <w:uiPriority w:val="0"/>
    <w:pPr>
      <w:spacing w:before="100" w:beforeAutospacing="1" w:after="100" w:afterAutospacing="1"/>
      <w:jc w:val="left"/>
    </w:pPr>
    <w:rPr>
      <w:rFonts w:ascii="宋体" w:hAnsi="宋体" w:eastAsia="宋体" w:cs="宋体"/>
      <w:kern w:val="0"/>
      <w:sz w:val="24"/>
    </w:rPr>
  </w:style>
  <w:style w:type="paragraph" w:styleId="8">
    <w:name w:val="Body Text First Indent"/>
    <w:basedOn w:val="2"/>
    <w:next w:val="9"/>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3"/>
    <w:next w:val="8"/>
    <w:qFormat/>
    <w:uiPriority w:val="0"/>
    <w:pPr>
      <w:spacing w:after="0"/>
      <w:ind w:left="0" w:leftChars="0" w:firstLine="420" w:firstLineChars="200"/>
    </w:pPr>
    <w:rPr>
      <w:rFonts w:ascii="Calibri" w:hAnsi="Calibri" w:eastAsia="仿宋_GB2312"/>
      <w:sz w:val="32"/>
    </w:rPr>
  </w:style>
  <w:style w:type="paragraph" w:customStyle="1" w:styleId="12">
    <w:name w:val="BodyText"/>
    <w:basedOn w:val="1"/>
    <w:next w:val="1"/>
    <w:qFormat/>
    <w:uiPriority w:val="0"/>
    <w:pPr>
      <w:spacing w:beforeAutospacing="0" w:after="120" w:afterAutospacing="0"/>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2024-01-23T09:23:00Z</dcterms:created>
  <dc:creator>XxX</dc:creator>
  <cp:lastModifiedBy>ql</cp:lastModifiedBy>
  <cp:lastPrinted>2024-01-23T10:48:00Z</cp:lastPrinted>
  <dcterms:modified xsi:type="dcterms:W3CDTF">2024-03-22T08:31:26Z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396D4A3D69A04A3F90A492B3D21E85D5_13</vt:lpwstr>
  </property>
</Properties>
</file>