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442" w:hanging="441" w:hangingChars="100"/>
        <w:jc w:val="center"/>
        <w:textAlignment w:val="auto"/>
        <w:rPr>
          <w:rFonts w:hint="eastAsia" w:asciiTheme="minorEastAsia" w:hAnsiTheme="minorEastAsia" w:eastAsiaTheme="minorEastAsia" w:cstheme="minorEastAsia"/>
          <w:b/>
          <w:bCs/>
          <w:i w:val="0"/>
          <w:caps w:val="0"/>
          <w:color w:val="auto"/>
          <w:spacing w:val="0"/>
          <w:kern w:val="0"/>
          <w:sz w:val="44"/>
          <w:szCs w:val="44"/>
          <w:highlight w:val="none"/>
          <w:u w:val="none"/>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44"/>
          <w:szCs w:val="44"/>
          <w:highlight w:val="none"/>
          <w:u w:val="none"/>
          <w:shd w:val="clear" w:fill="FFFFFF"/>
          <w:lang w:val="en-US" w:eastAsia="zh-CN" w:bidi="ar"/>
        </w:rPr>
        <w:t>郑州航空港经济综合实验区产业指导目录及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442" w:hanging="397" w:hangingChars="100"/>
        <w:jc w:val="center"/>
        <w:textAlignment w:val="auto"/>
        <w:rPr>
          <w:rFonts w:hint="eastAsia" w:asciiTheme="minorEastAsia" w:hAnsiTheme="minorEastAsia" w:eastAsiaTheme="minorEastAsia" w:cstheme="minorEastAsia"/>
          <w:b/>
          <w:bCs/>
          <w:i w:val="0"/>
          <w:caps w:val="0"/>
          <w:color w:val="auto"/>
          <w:spacing w:val="0"/>
          <w:w w:val="90"/>
          <w:kern w:val="0"/>
          <w:sz w:val="44"/>
          <w:szCs w:val="44"/>
          <w:highlight w:val="none"/>
          <w:u w:val="none"/>
          <w:shd w:val="clear" w:fill="FFFFFF"/>
          <w:lang w:val="en-US" w:eastAsia="zh-CN" w:bidi="ar"/>
        </w:rPr>
      </w:pPr>
      <w:r>
        <w:rPr>
          <w:rFonts w:hint="eastAsia" w:asciiTheme="minorEastAsia" w:hAnsiTheme="minorEastAsia" w:eastAsiaTheme="minorEastAsia" w:cstheme="minorEastAsia"/>
          <w:b/>
          <w:bCs/>
          <w:i w:val="0"/>
          <w:caps w:val="0"/>
          <w:color w:val="auto"/>
          <w:spacing w:val="0"/>
          <w:w w:val="90"/>
          <w:kern w:val="0"/>
          <w:sz w:val="44"/>
          <w:szCs w:val="44"/>
          <w:highlight w:val="none"/>
          <w:u w:val="none"/>
          <w:shd w:val="clear" w:fill="FFFFFF"/>
          <w:lang w:val="en-US" w:eastAsia="zh-CN" w:bidi="ar"/>
        </w:rPr>
        <w:t>准入条件（2022年本）</w:t>
      </w:r>
      <w:r>
        <w:rPr>
          <w:rFonts w:hint="eastAsia" w:asciiTheme="minorEastAsia" w:hAnsiTheme="minorEastAsia" w:cstheme="minorEastAsia"/>
          <w:b/>
          <w:bCs/>
          <w:i w:val="0"/>
          <w:caps w:val="0"/>
          <w:color w:val="auto"/>
          <w:spacing w:val="0"/>
          <w:w w:val="90"/>
          <w:kern w:val="0"/>
          <w:sz w:val="44"/>
          <w:szCs w:val="44"/>
          <w:highlight w:val="none"/>
          <w:u w:val="none"/>
          <w:shd w:val="clear" w:fill="FFFFFF"/>
          <w:lang w:val="en-US" w:eastAsia="zh-CN" w:bidi="ar"/>
        </w:rPr>
        <w:t>(征求意见稿）</w:t>
      </w: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rPr>
          <w:rFonts w:hint="eastAsia" w:ascii="仿宋_GB2312" w:hAnsi="仿宋_GB2312" w:eastAsia="仿宋_GB2312" w:cs="仿宋_GB2312"/>
          <w:i w:val="0"/>
          <w:caps w:val="0"/>
          <w:color w:val="auto"/>
          <w:spacing w:val="0"/>
          <w:sz w:val="32"/>
          <w:szCs w:val="32"/>
          <w:highlight w:val="none"/>
          <w:u w:val="none"/>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rPr>
        <w:t>为贯彻落实《郑州航空港经济综合实验区条例》精神</w:t>
      </w:r>
      <w:r>
        <w:rPr>
          <w:rFonts w:hint="eastAsia" w:ascii="仿宋_GB2312" w:hAnsi="仿宋_GB2312" w:eastAsia="仿宋_GB2312" w:cs="仿宋_GB2312"/>
          <w:i w:val="0"/>
          <w:caps w:val="0"/>
          <w:color w:val="auto"/>
          <w:spacing w:val="0"/>
          <w:sz w:val="32"/>
          <w:szCs w:val="32"/>
          <w:highlight w:val="none"/>
          <w:u w:val="none"/>
          <w:shd w:val="clear" w:fill="FFFFFF"/>
          <w:lang w:eastAsia="zh-CN"/>
        </w:rPr>
        <w:t>，</w:t>
      </w:r>
      <w:r>
        <w:rPr>
          <w:rFonts w:hint="eastAsia" w:ascii="仿宋_GB2312" w:hAnsi="仿宋_GB2312" w:eastAsia="仿宋_GB2312" w:cs="仿宋_GB2312"/>
          <w:i w:val="0"/>
          <w:caps w:val="0"/>
          <w:color w:val="auto"/>
          <w:spacing w:val="0"/>
          <w:sz w:val="32"/>
          <w:szCs w:val="32"/>
          <w:highlight w:val="none"/>
          <w:u w:val="none"/>
          <w:shd w:val="clear" w:fill="FFFFFF"/>
        </w:rPr>
        <w:t>全面提升航空港实验区产业承载力和竞争力，引导社会投资方向，推动经济高质量发展，结合航空港实验区</w:t>
      </w:r>
      <w:r>
        <w:rPr>
          <w:rFonts w:hint="eastAsia" w:ascii="仿宋_GB2312" w:hAnsi="仿宋_GB2312" w:eastAsia="仿宋_GB2312" w:cs="仿宋_GB2312"/>
          <w:i w:val="0"/>
          <w:caps w:val="0"/>
          <w:color w:val="auto"/>
          <w:spacing w:val="0"/>
          <w:sz w:val="32"/>
          <w:szCs w:val="32"/>
          <w:highlight w:val="none"/>
          <w:u w:val="none"/>
          <w:shd w:val="clear" w:fill="FFFFFF"/>
          <w:lang w:eastAsia="zh-CN"/>
        </w:rPr>
        <w:t>发展</w:t>
      </w:r>
      <w:r>
        <w:rPr>
          <w:rFonts w:hint="eastAsia" w:ascii="仿宋_GB2312" w:hAnsi="仿宋_GB2312" w:eastAsia="仿宋_GB2312" w:cs="仿宋_GB2312"/>
          <w:i w:val="0"/>
          <w:caps w:val="0"/>
          <w:color w:val="auto"/>
          <w:spacing w:val="0"/>
          <w:sz w:val="32"/>
          <w:szCs w:val="32"/>
          <w:highlight w:val="none"/>
          <w:u w:val="none"/>
          <w:shd w:val="clear" w:fill="FFFFFF"/>
        </w:rPr>
        <w:t>实际，</w:t>
      </w:r>
      <w:r>
        <w:rPr>
          <w:rFonts w:hint="eastAsia" w:ascii="仿宋_GB2312" w:hAnsi="仿宋_GB2312" w:eastAsia="仿宋_GB2312" w:cs="仿宋_GB2312"/>
          <w:i w:val="0"/>
          <w:caps w:val="0"/>
          <w:color w:val="auto"/>
          <w:spacing w:val="0"/>
          <w:sz w:val="32"/>
          <w:szCs w:val="32"/>
          <w:highlight w:val="none"/>
          <w:u w:val="none"/>
          <w:shd w:val="clear" w:fill="FFFFFF"/>
          <w:lang w:eastAsia="zh-CN"/>
        </w:rPr>
        <w:t>在对</w:t>
      </w:r>
      <w:r>
        <w:rPr>
          <w:rFonts w:hint="eastAsia" w:ascii="仿宋_GB2312" w:hAnsi="仿宋_GB2312" w:eastAsia="仿宋_GB2312" w:cs="仿宋_GB2312"/>
          <w:i w:val="0"/>
          <w:caps w:val="0"/>
          <w:color w:val="auto"/>
          <w:spacing w:val="0"/>
          <w:sz w:val="32"/>
          <w:szCs w:val="32"/>
          <w:highlight w:val="none"/>
          <w:u w:val="none"/>
          <w:shd w:val="clear" w:fill="FFFFFF"/>
        </w:rPr>
        <w:t>《郑州航空港经济综合实验区产业指导目录及准入条件（202</w:t>
      </w: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0</w:t>
      </w:r>
      <w:r>
        <w:rPr>
          <w:rFonts w:hint="eastAsia" w:ascii="仿宋_GB2312" w:hAnsi="仿宋_GB2312" w:eastAsia="仿宋_GB2312" w:cs="仿宋_GB2312"/>
          <w:i w:val="0"/>
          <w:caps w:val="0"/>
          <w:color w:val="auto"/>
          <w:spacing w:val="0"/>
          <w:sz w:val="32"/>
          <w:szCs w:val="32"/>
          <w:highlight w:val="none"/>
          <w:u w:val="none"/>
          <w:shd w:val="clear" w:fill="FFFFFF"/>
        </w:rPr>
        <w:t>年本）》</w:t>
      </w:r>
      <w:r>
        <w:rPr>
          <w:rFonts w:hint="eastAsia" w:ascii="仿宋_GB2312" w:hAnsi="仿宋_GB2312" w:eastAsia="仿宋_GB2312" w:cs="仿宋_GB2312"/>
          <w:i w:val="0"/>
          <w:caps w:val="0"/>
          <w:color w:val="auto"/>
          <w:spacing w:val="0"/>
          <w:sz w:val="32"/>
          <w:szCs w:val="32"/>
          <w:highlight w:val="none"/>
          <w:u w:val="none"/>
          <w:shd w:val="clear" w:fill="FFFFFF"/>
          <w:lang w:eastAsia="zh-CN"/>
        </w:rPr>
        <w:t>修订基础上，特制定</w:t>
      </w: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2022年版</w:t>
      </w:r>
      <w:r>
        <w:rPr>
          <w:rFonts w:hint="eastAsia" w:ascii="仿宋_GB2312" w:hAnsi="仿宋_GB2312" w:eastAsia="仿宋_GB2312" w:cs="仿宋_GB2312"/>
          <w:i w:val="0"/>
          <w:caps w:val="0"/>
          <w:color w:val="auto"/>
          <w:spacing w:val="0"/>
          <w:sz w:val="32"/>
          <w:szCs w:val="32"/>
          <w:highlight w:val="none"/>
          <w:u w:val="none"/>
          <w:shd w:val="clear" w:fill="FFFFFF"/>
          <w:lang w:eastAsia="zh-CN"/>
        </w:rPr>
        <w:t>，重点对优先发展类、鼓励发展类和产业地产类的供地产业项目进行指导和准入管理</w:t>
      </w:r>
      <w:r>
        <w:rPr>
          <w:rFonts w:hint="eastAsia" w:ascii="仿宋_GB2312" w:hAnsi="仿宋_GB2312" w:eastAsia="仿宋_GB2312" w:cs="仿宋_GB2312"/>
          <w:i w:val="0"/>
          <w:caps w:val="0"/>
          <w:color w:val="auto"/>
          <w:spacing w:val="0"/>
          <w:sz w:val="32"/>
          <w:szCs w:val="32"/>
          <w:highlight w:val="none"/>
          <w:u w:val="none"/>
          <w:shd w:val="clear" w:fill="FFFFFF"/>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黑体" w:hAnsi="黑体" w:eastAsia="黑体" w:cs="黑体"/>
          <w:i w:val="0"/>
          <w:caps w:val="0"/>
          <w:color w:val="auto"/>
          <w:spacing w:val="0"/>
          <w:sz w:val="32"/>
          <w:szCs w:val="32"/>
          <w:highlight w:val="none"/>
          <w:u w:val="none"/>
          <w:shd w:val="clear" w:fill="FFFFFF"/>
          <w:lang w:eastAsia="zh-CN"/>
        </w:rPr>
      </w:pPr>
      <w:r>
        <w:rPr>
          <w:rFonts w:hint="eastAsia" w:ascii="黑体" w:hAnsi="黑体" w:eastAsia="黑体" w:cs="黑体"/>
          <w:i w:val="0"/>
          <w:caps w:val="0"/>
          <w:color w:val="auto"/>
          <w:spacing w:val="0"/>
          <w:sz w:val="32"/>
          <w:szCs w:val="32"/>
          <w:highlight w:val="none"/>
          <w:u w:val="none"/>
          <w:shd w:val="clear" w:fill="FFFFFF"/>
          <w:lang w:eastAsia="zh-CN"/>
        </w:rPr>
        <w:t>一、产业指导目录</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right="0" w:rightChars="0" w:firstLine="640" w:firstLineChars="200"/>
        <w:jc w:val="left"/>
        <w:textAlignment w:val="auto"/>
        <w:rPr>
          <w:rFonts w:hint="eastAsia" w:ascii="楷体_GB2312" w:hAnsi="楷体_GB2312" w:eastAsia="楷体_GB2312" w:cs="楷体_GB2312"/>
          <w:i w:val="0"/>
          <w:caps w:val="0"/>
          <w:color w:val="auto"/>
          <w:spacing w:val="0"/>
          <w:sz w:val="32"/>
          <w:szCs w:val="32"/>
          <w:highlight w:val="none"/>
          <w:u w:val="none"/>
          <w:shd w:val="clear" w:fill="FFFFFF"/>
          <w:lang w:eastAsia="zh-CN"/>
        </w:rPr>
      </w:pPr>
      <w:r>
        <w:rPr>
          <w:rFonts w:hint="eastAsia" w:ascii="楷体_GB2312" w:hAnsi="楷体_GB2312" w:eastAsia="楷体_GB2312" w:cs="楷体_GB2312"/>
          <w:i w:val="0"/>
          <w:caps w:val="0"/>
          <w:color w:val="auto"/>
          <w:spacing w:val="0"/>
          <w:sz w:val="32"/>
          <w:szCs w:val="32"/>
          <w:highlight w:val="none"/>
          <w:u w:val="none"/>
          <w:shd w:val="clear" w:fill="FFFFFF"/>
          <w:lang w:eastAsia="zh-CN"/>
        </w:rPr>
        <w:t>（一）优先发展类产业</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right="0" w:rightChars="0" w:firstLine="640" w:firstLineChars="200"/>
        <w:jc w:val="left"/>
        <w:textAlignment w:val="auto"/>
        <w:rPr>
          <w:rFonts w:hint="eastAsia" w:ascii="仿宋_GB2312" w:hAnsi="仿宋_GB2312" w:eastAsia="仿宋_GB2312" w:cs="仿宋_GB2312"/>
          <w:b/>
          <w:bCs/>
          <w:i w:val="0"/>
          <w:caps w:val="0"/>
          <w:color w:val="auto"/>
          <w:spacing w:val="0"/>
          <w:sz w:val="32"/>
          <w:szCs w:val="32"/>
          <w:highlight w:val="none"/>
          <w:u w:val="none"/>
          <w:shd w:val="clear" w:fill="FFFFFF"/>
          <w:lang w:eastAsia="zh-CN"/>
        </w:rPr>
      </w:pPr>
      <w:r>
        <w:rPr>
          <w:rFonts w:hint="eastAsia" w:ascii="仿宋_GB2312" w:hAnsi="仿宋_GB2312" w:eastAsia="仿宋_GB2312" w:cs="仿宋_GB2312"/>
          <w:i w:val="0"/>
          <w:caps w:val="0"/>
          <w:color w:val="auto"/>
          <w:spacing w:val="0"/>
          <w:sz w:val="32"/>
          <w:szCs w:val="32"/>
          <w:highlight w:val="none"/>
          <w:u w:val="none"/>
          <w:shd w:val="clear" w:fill="FFFFFF"/>
        </w:rPr>
        <w:t>优先发展产业是指技术含量高、市场潜力大，对航空港实验区经济社会发展有重要促进作用，对产业链延伸和产业结构优化有先导作用，对产业竞争力提升有重要影响，符合航空指向性，有利于航空港实验区高质量发展的产业。</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right="0" w:rightChars="0" w:firstLine="640" w:firstLineChars="200"/>
        <w:jc w:val="left"/>
        <w:textAlignment w:val="auto"/>
        <w:rPr>
          <w:rFonts w:hint="eastAsia" w:ascii="仿宋_GB2312" w:hAnsi="仿宋_GB2312" w:eastAsia="仿宋_GB2312" w:cs="仿宋_GB2312"/>
          <w:b/>
          <w:bCs/>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rPr>
        <w:t>以现行《国民经济行业分类》（GB/T 4754-2017）为基础，对其中符合航空港实验区产业特征及发展趋势的有关活动进行再分类。目录共包括：</w:t>
      </w:r>
      <w:r>
        <w:rPr>
          <w:rFonts w:hint="eastAsia" w:ascii="仿宋_GB2312" w:hAnsi="仿宋_GB2312" w:eastAsia="仿宋_GB2312" w:cs="仿宋_GB2312"/>
          <w:b/>
          <w:bCs/>
          <w:i w:val="0"/>
          <w:caps w:val="0"/>
          <w:color w:val="auto"/>
          <w:spacing w:val="0"/>
          <w:sz w:val="32"/>
          <w:szCs w:val="32"/>
          <w:highlight w:val="none"/>
          <w:u w:val="none"/>
          <w:shd w:val="clear" w:fill="FFFFFF"/>
        </w:rPr>
        <w:t>新一代信息技术产业、高端装备制造产业、新材料产业、生物产业、新能源产业及新能源汽车产业、数字创意产业、航空物流、航空运营及配套服务、电子商务、航空金融、</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right="0" w:rightChars="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b/>
          <w:bCs/>
          <w:i w:val="0"/>
          <w:caps w:val="0"/>
          <w:color w:val="auto"/>
          <w:spacing w:val="0"/>
          <w:sz w:val="32"/>
          <w:szCs w:val="32"/>
          <w:highlight w:val="none"/>
          <w:u w:val="none"/>
          <w:shd w:val="clear" w:fill="FFFFFF"/>
        </w:rPr>
        <w:t>文旅商贸、总部经济、</w:t>
      </w:r>
      <w:r>
        <w:rPr>
          <w:rFonts w:hint="eastAsia" w:ascii="仿宋_GB2312" w:hAnsi="仿宋_GB2312" w:eastAsia="仿宋_GB2312" w:cs="仿宋_GB2312"/>
          <w:b/>
          <w:bCs/>
          <w:i w:val="0"/>
          <w:caps w:val="0"/>
          <w:color w:val="auto"/>
          <w:spacing w:val="0"/>
          <w:sz w:val="32"/>
          <w:szCs w:val="32"/>
          <w:highlight w:val="none"/>
          <w:u w:val="none"/>
          <w:shd w:val="clear" w:fill="FFFFFF"/>
          <w:lang w:eastAsia="zh-CN"/>
        </w:rPr>
        <w:t>科技服务、</w:t>
      </w:r>
      <w:r>
        <w:rPr>
          <w:rFonts w:hint="eastAsia" w:ascii="仿宋_GB2312" w:hAnsi="仿宋_GB2312" w:eastAsia="仿宋_GB2312" w:cs="仿宋_GB2312"/>
          <w:b/>
          <w:bCs/>
          <w:i w:val="0"/>
          <w:caps w:val="0"/>
          <w:color w:val="auto"/>
          <w:spacing w:val="0"/>
          <w:sz w:val="32"/>
          <w:szCs w:val="32"/>
          <w:highlight w:val="none"/>
          <w:u w:val="none"/>
          <w:shd w:val="clear" w:fill="FFFFFF"/>
        </w:rPr>
        <w:t>相关服务业十</w:t>
      </w:r>
      <w:r>
        <w:rPr>
          <w:rFonts w:hint="eastAsia" w:ascii="仿宋_GB2312" w:hAnsi="仿宋_GB2312" w:eastAsia="仿宋_GB2312" w:cs="仿宋_GB2312"/>
          <w:b/>
          <w:bCs/>
          <w:i w:val="0"/>
          <w:caps w:val="0"/>
          <w:color w:val="auto"/>
          <w:spacing w:val="0"/>
          <w:sz w:val="32"/>
          <w:szCs w:val="32"/>
          <w:highlight w:val="none"/>
          <w:u w:val="none"/>
          <w:shd w:val="clear" w:fill="FFFFFF"/>
          <w:lang w:eastAsia="zh-CN"/>
        </w:rPr>
        <w:t>四</w:t>
      </w:r>
      <w:r>
        <w:rPr>
          <w:rFonts w:hint="eastAsia" w:ascii="仿宋_GB2312" w:hAnsi="仿宋_GB2312" w:eastAsia="仿宋_GB2312" w:cs="仿宋_GB2312"/>
          <w:b/>
          <w:bCs/>
          <w:i w:val="0"/>
          <w:caps w:val="0"/>
          <w:color w:val="auto"/>
          <w:spacing w:val="0"/>
          <w:sz w:val="32"/>
          <w:szCs w:val="32"/>
          <w:highlight w:val="none"/>
          <w:u w:val="none"/>
          <w:shd w:val="clear" w:fill="FFFFFF"/>
        </w:rPr>
        <w:t>个大类</w:t>
      </w:r>
      <w:r>
        <w:rPr>
          <w:rFonts w:hint="eastAsia" w:ascii="仿宋_GB2312" w:hAnsi="仿宋_GB2312" w:eastAsia="仿宋_GB2312" w:cs="仿宋_GB2312"/>
          <w:i w:val="0"/>
          <w:caps w:val="0"/>
          <w:color w:val="auto"/>
          <w:spacing w:val="0"/>
          <w:sz w:val="32"/>
          <w:szCs w:val="32"/>
          <w:highlight w:val="none"/>
          <w:u w:val="none"/>
          <w:shd w:val="clear" w:fill="FFFFFF"/>
        </w:rPr>
        <w:t>，具体见下表。</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lang w:eastAsia="zh-CN"/>
        </w:rPr>
      </w:pPr>
      <w:r>
        <w:rPr>
          <w:rFonts w:hint="eastAsia" w:ascii="仿宋_GB2312" w:hAnsi="仿宋_GB2312" w:eastAsia="仿宋_GB2312" w:cs="仿宋_GB2312"/>
          <w:i w:val="0"/>
          <w:caps w:val="0"/>
          <w:color w:val="auto"/>
          <w:spacing w:val="0"/>
          <w:sz w:val="32"/>
          <w:szCs w:val="32"/>
          <w:highlight w:val="none"/>
          <w:u w:val="none"/>
          <w:shd w:val="clear" w:fill="FFFFFF"/>
          <w:lang w:eastAsia="zh-CN"/>
        </w:rPr>
        <w:t>附表</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eastAsia" w:ascii="黑体" w:hAnsi="黑体" w:eastAsia="黑体" w:cs="黑体"/>
          <w:i w:val="0"/>
          <w:caps w:val="0"/>
          <w:color w:val="auto"/>
          <w:spacing w:val="0"/>
          <w:sz w:val="32"/>
          <w:szCs w:val="32"/>
          <w:highlight w:val="none"/>
          <w:u w:val="none"/>
          <w:shd w:val="clear" w:fill="FFFFFF"/>
          <w:lang w:eastAsia="zh-CN"/>
        </w:rPr>
      </w:pPr>
      <w:r>
        <w:rPr>
          <w:rFonts w:hint="eastAsia" w:ascii="黑体" w:hAnsi="黑体" w:eastAsia="黑体" w:cs="黑体"/>
          <w:i w:val="0"/>
          <w:caps w:val="0"/>
          <w:color w:val="auto"/>
          <w:spacing w:val="0"/>
          <w:sz w:val="32"/>
          <w:szCs w:val="32"/>
          <w:highlight w:val="none"/>
          <w:u w:val="none"/>
          <w:shd w:val="clear" w:fill="FFFFFF"/>
          <w:lang w:eastAsia="zh-CN"/>
        </w:rPr>
        <w:t>郑州航空港实验区优先发展产业指导目录</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7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left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黑体" w:hAnsi="黑体" w:eastAsia="黑体" w:cs="黑体"/>
                <w:i w:val="0"/>
                <w:caps w:val="0"/>
                <w:color w:val="auto"/>
                <w:spacing w:val="0"/>
                <w:sz w:val="21"/>
                <w:szCs w:val="21"/>
                <w:highlight w:val="none"/>
                <w:u w:val="none"/>
                <w:shd w:val="clear" w:fill="FFFFFF"/>
                <w:vertAlign w:val="baseline"/>
                <w:lang w:val="en-US" w:eastAsia="zh-CN"/>
              </w:rPr>
            </w:pPr>
            <w:r>
              <w:rPr>
                <w:rFonts w:hint="eastAsia" w:ascii="黑体" w:hAnsi="黑体" w:eastAsia="黑体" w:cs="黑体"/>
                <w:i w:val="0"/>
                <w:caps w:val="0"/>
                <w:color w:val="auto"/>
                <w:spacing w:val="0"/>
                <w:sz w:val="21"/>
                <w:szCs w:val="21"/>
                <w:highlight w:val="none"/>
                <w:u w:val="none"/>
                <w:shd w:val="clear" w:fill="FFFFFF"/>
                <w:vertAlign w:val="baseline"/>
                <w:lang w:val="en-US" w:eastAsia="zh-CN"/>
              </w:rPr>
              <w:t>代码</w:t>
            </w:r>
          </w:p>
        </w:tc>
        <w:tc>
          <w:tcPr>
            <w:tcW w:w="7345" w:type="dxa"/>
            <w:tcBorders>
              <w:right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黑体" w:hAnsi="黑体" w:eastAsia="黑体" w:cs="黑体"/>
                <w:i w:val="0"/>
                <w:caps w:val="0"/>
                <w:color w:val="auto"/>
                <w:spacing w:val="0"/>
                <w:sz w:val="21"/>
                <w:szCs w:val="21"/>
                <w:highlight w:val="none"/>
                <w:u w:val="none"/>
                <w:shd w:val="clear" w:fill="FFFFFF"/>
                <w:vertAlign w:val="baseline"/>
                <w:lang w:val="en-US" w:eastAsia="zh-CN"/>
              </w:rPr>
            </w:pPr>
            <w:r>
              <w:rPr>
                <w:rFonts w:hint="eastAsia" w:ascii="黑体" w:hAnsi="黑体" w:eastAsia="黑体" w:cs="黑体"/>
                <w:i w:val="0"/>
                <w:caps w:val="0"/>
                <w:color w:val="auto"/>
                <w:spacing w:val="0"/>
                <w:sz w:val="21"/>
                <w:szCs w:val="21"/>
                <w:highlight w:val="none"/>
                <w:u w:val="none"/>
                <w:shd w:val="clear" w:fill="FFFFFF"/>
                <w:vertAlign w:val="baseline"/>
                <w:lang w:val="en-US" w:eastAsia="zh-CN"/>
              </w:rPr>
              <w:t>优先发展产业分类名称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pPr>
            <w:r>
              <w:rPr>
                <w:rFonts w:hint="eastAsia"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t>1</w:t>
            </w:r>
          </w:p>
        </w:tc>
        <w:tc>
          <w:tcPr>
            <w:tcW w:w="7345" w:type="dxa"/>
            <w:tcBorders>
              <w:bottom w:val="nil"/>
              <w:right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pPr>
            <w:r>
              <w:rPr>
                <w:rFonts w:hint="eastAsia"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t>新一代信息技术产业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1.1</w:t>
            </w:r>
          </w:p>
        </w:tc>
        <w:tc>
          <w:tcPr>
            <w:tcW w:w="7345" w:type="dxa"/>
            <w:tcBorders>
              <w:top w:val="nil"/>
              <w:bottom w:val="nil"/>
              <w:right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下一代信息网络产业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1.1.1</w:t>
            </w:r>
          </w:p>
        </w:tc>
        <w:tc>
          <w:tcPr>
            <w:tcW w:w="7345" w:type="dxa"/>
            <w:tcBorders>
              <w:top w:val="nil"/>
              <w:bottom w:val="nil"/>
              <w:right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网络设备制造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1.1.2</w:t>
            </w:r>
          </w:p>
        </w:tc>
        <w:tc>
          <w:tcPr>
            <w:tcW w:w="7345" w:type="dxa"/>
            <w:tcBorders>
              <w:top w:val="nil"/>
              <w:bottom w:val="nil"/>
              <w:right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新型计算机及信息终端设备制造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1.1.3</w:t>
            </w:r>
          </w:p>
        </w:tc>
        <w:tc>
          <w:tcPr>
            <w:tcW w:w="7345" w:type="dxa"/>
            <w:tcBorders>
              <w:top w:val="nil"/>
              <w:bottom w:val="nil"/>
              <w:right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信息安全设备制造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1.1.4</w:t>
            </w:r>
          </w:p>
        </w:tc>
        <w:tc>
          <w:tcPr>
            <w:tcW w:w="7345" w:type="dxa"/>
            <w:tcBorders>
              <w:top w:val="nil"/>
              <w:bottom w:val="nil"/>
              <w:right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新一代移动通信网络服务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1.1.5</w:t>
            </w:r>
          </w:p>
        </w:tc>
        <w:tc>
          <w:tcPr>
            <w:tcW w:w="7345" w:type="dxa"/>
            <w:tcBorders>
              <w:top w:val="nil"/>
              <w:bottom w:val="nil"/>
              <w:right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其他网络运营服务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1.1.6</w:t>
            </w:r>
          </w:p>
        </w:tc>
        <w:tc>
          <w:tcPr>
            <w:tcW w:w="7345" w:type="dxa"/>
            <w:tcBorders>
              <w:top w:val="nil"/>
              <w:bottom w:val="nil"/>
              <w:right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计算机和辅助设备修理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1.2</w:t>
            </w:r>
          </w:p>
        </w:tc>
        <w:tc>
          <w:tcPr>
            <w:tcW w:w="7345" w:type="dxa"/>
            <w:tcBorders>
              <w:top w:val="nil"/>
              <w:bottom w:val="nil"/>
              <w:right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电子核心产业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1.2.1</w:t>
            </w:r>
          </w:p>
        </w:tc>
        <w:tc>
          <w:tcPr>
            <w:tcW w:w="7345" w:type="dxa"/>
            <w:tcBorders>
              <w:top w:val="nil"/>
              <w:bottom w:val="nil"/>
              <w:right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新型电子元器件及设备制造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1.2.2</w:t>
            </w:r>
          </w:p>
        </w:tc>
        <w:tc>
          <w:tcPr>
            <w:tcW w:w="7345" w:type="dxa"/>
            <w:tcBorders>
              <w:top w:val="nil"/>
              <w:bottom w:val="nil"/>
              <w:right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电子专用设备仪器制造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1.2.3</w:t>
            </w:r>
          </w:p>
        </w:tc>
        <w:tc>
          <w:tcPr>
            <w:tcW w:w="7345" w:type="dxa"/>
            <w:tcBorders>
              <w:top w:val="nil"/>
              <w:bottom w:val="nil"/>
              <w:right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高储能和关键电子材料制造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1.2.4</w:t>
            </w:r>
          </w:p>
        </w:tc>
        <w:tc>
          <w:tcPr>
            <w:tcW w:w="7345" w:type="dxa"/>
            <w:tcBorders>
              <w:top w:val="nil"/>
              <w:bottom w:val="nil"/>
              <w:right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集成电路制造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1.3</w:t>
            </w:r>
          </w:p>
        </w:tc>
        <w:tc>
          <w:tcPr>
            <w:tcW w:w="7345" w:type="dxa"/>
            <w:tcBorders>
              <w:top w:val="nil"/>
              <w:bottom w:val="nil"/>
              <w:right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新兴软件和新型信息技术服务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1.3.1</w:t>
            </w:r>
          </w:p>
        </w:tc>
        <w:tc>
          <w:tcPr>
            <w:tcW w:w="7345" w:type="dxa"/>
            <w:tcBorders>
              <w:top w:val="nil"/>
              <w:bottom w:val="nil"/>
              <w:right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新兴软件开发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1.3.2</w:t>
            </w:r>
          </w:p>
        </w:tc>
        <w:tc>
          <w:tcPr>
            <w:tcW w:w="7345" w:type="dxa"/>
            <w:tcBorders>
              <w:top w:val="nil"/>
              <w:bottom w:val="nil"/>
              <w:right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网络与信息安全软件开发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1.3.3</w:t>
            </w:r>
          </w:p>
        </w:tc>
        <w:tc>
          <w:tcPr>
            <w:tcW w:w="7345" w:type="dxa"/>
            <w:tcBorders>
              <w:top w:val="nil"/>
              <w:bottom w:val="nil"/>
              <w:right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互联网安全服务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1.3.4</w:t>
            </w:r>
          </w:p>
        </w:tc>
        <w:tc>
          <w:tcPr>
            <w:tcW w:w="7345" w:type="dxa"/>
            <w:tcBorders>
              <w:top w:val="nil"/>
              <w:bottom w:val="nil"/>
              <w:right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新型信息技术服务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1.4</w:t>
            </w:r>
          </w:p>
        </w:tc>
        <w:tc>
          <w:tcPr>
            <w:tcW w:w="7345" w:type="dxa"/>
            <w:tcBorders>
              <w:top w:val="nil"/>
              <w:bottom w:val="nil"/>
              <w:right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互联网与云计算、大数据服务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1.4.1</w:t>
            </w:r>
          </w:p>
        </w:tc>
        <w:tc>
          <w:tcPr>
            <w:tcW w:w="7345" w:type="dxa"/>
            <w:tcBorders>
              <w:top w:val="nil"/>
              <w:bottom w:val="nil"/>
              <w:right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工业互联网及支持服务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1.4.2</w:t>
            </w:r>
          </w:p>
        </w:tc>
        <w:tc>
          <w:tcPr>
            <w:tcW w:w="7345" w:type="dxa"/>
            <w:tcBorders>
              <w:top w:val="nil"/>
              <w:bottom w:val="nil"/>
              <w:right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互联网平台服务（互联网+）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1.4.3</w:t>
            </w:r>
          </w:p>
        </w:tc>
        <w:tc>
          <w:tcPr>
            <w:tcW w:w="7345" w:type="dxa"/>
            <w:tcBorders>
              <w:top w:val="nil"/>
              <w:bottom w:val="nil"/>
              <w:right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云计算与大数据服务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1.4.4</w:t>
            </w:r>
          </w:p>
        </w:tc>
        <w:tc>
          <w:tcPr>
            <w:tcW w:w="7345" w:type="dxa"/>
            <w:tcBorders>
              <w:top w:val="nil"/>
              <w:bottom w:val="nil"/>
              <w:right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互联网相关信息服务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1.5</w:t>
            </w:r>
          </w:p>
        </w:tc>
        <w:tc>
          <w:tcPr>
            <w:tcW w:w="7345" w:type="dxa"/>
            <w:tcBorders>
              <w:top w:val="nil"/>
              <w:bottom w:val="nil"/>
              <w:right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人工智能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1.5.1</w:t>
            </w:r>
          </w:p>
        </w:tc>
        <w:tc>
          <w:tcPr>
            <w:tcW w:w="7345" w:type="dxa"/>
            <w:tcBorders>
              <w:top w:val="nil"/>
              <w:bottom w:val="nil"/>
              <w:right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人工智能软件开发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1.5.2</w:t>
            </w:r>
          </w:p>
        </w:tc>
        <w:tc>
          <w:tcPr>
            <w:tcW w:w="7345" w:type="dxa"/>
            <w:tcBorders>
              <w:top w:val="nil"/>
              <w:bottom w:val="nil"/>
              <w:right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智能消费相关设备制造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1.5.3</w:t>
            </w:r>
          </w:p>
        </w:tc>
        <w:tc>
          <w:tcPr>
            <w:tcW w:w="7345" w:type="dxa"/>
            <w:tcBorders>
              <w:top w:val="nil"/>
              <w:bottom w:val="nil"/>
              <w:right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人工智能系统服务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1.6</w:t>
            </w:r>
          </w:p>
        </w:tc>
        <w:tc>
          <w:tcPr>
            <w:tcW w:w="7345" w:type="dxa"/>
            <w:tcBorders>
              <w:top w:val="nil"/>
              <w:bottom w:val="nil"/>
              <w:right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其他信息技术产业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pPr>
            <w:r>
              <w:rPr>
                <w:rFonts w:hint="eastAsia"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t>2</w:t>
            </w:r>
          </w:p>
        </w:tc>
        <w:tc>
          <w:tcPr>
            <w:tcW w:w="7345" w:type="dxa"/>
            <w:tcBorders>
              <w:top w:val="nil"/>
              <w:bottom w:val="nil"/>
              <w:right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pPr>
            <w:r>
              <w:rPr>
                <w:rFonts w:hint="eastAsia"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t>高端装备制造产业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2.1</w:t>
            </w:r>
          </w:p>
        </w:tc>
        <w:tc>
          <w:tcPr>
            <w:tcW w:w="7345" w:type="dxa"/>
            <w:tcBorders>
              <w:top w:val="nil"/>
              <w:bottom w:val="nil"/>
              <w:right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智能制造装备产业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2.1.1</w:t>
            </w:r>
          </w:p>
        </w:tc>
        <w:tc>
          <w:tcPr>
            <w:tcW w:w="7345" w:type="dxa"/>
            <w:tcBorders>
              <w:top w:val="nil"/>
              <w:bottom w:val="nil"/>
              <w:right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机器人与增材设备制造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2.1.2</w:t>
            </w:r>
          </w:p>
        </w:tc>
        <w:tc>
          <w:tcPr>
            <w:tcW w:w="7345" w:type="dxa"/>
            <w:tcBorders>
              <w:top w:val="nil"/>
              <w:bottom w:val="nil"/>
              <w:right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重大成套设备制造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2.1.3.</w:t>
            </w:r>
          </w:p>
        </w:tc>
        <w:tc>
          <w:tcPr>
            <w:tcW w:w="7345" w:type="dxa"/>
            <w:tcBorders>
              <w:top w:val="nil"/>
              <w:bottom w:val="nil"/>
              <w:right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智能测控设备制造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2.1.4</w:t>
            </w:r>
          </w:p>
        </w:tc>
        <w:tc>
          <w:tcPr>
            <w:tcW w:w="7345" w:type="dxa"/>
            <w:tcBorders>
              <w:top w:val="nil"/>
              <w:bottom w:val="nil"/>
              <w:right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智能关键基础零部件制造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2.1.5</w:t>
            </w:r>
          </w:p>
        </w:tc>
        <w:tc>
          <w:tcPr>
            <w:tcW w:w="7345" w:type="dxa"/>
            <w:tcBorders>
              <w:top w:val="nil"/>
              <w:bottom w:val="nil"/>
              <w:right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智能制造相关服务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single" w:color="auto" w:sz="4" w:space="0"/>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2.2</w:t>
            </w:r>
          </w:p>
        </w:tc>
        <w:tc>
          <w:tcPr>
            <w:tcW w:w="7345" w:type="dxa"/>
            <w:tcBorders>
              <w:top w:val="nil"/>
              <w:bottom w:val="single" w:color="auto" w:sz="4" w:space="0"/>
              <w:right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航空装备产业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single" w:color="auto" w:sz="4" w:space="0"/>
              <w:left w:val="nil"/>
            </w:tcBorders>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黑体" w:hAnsi="黑体" w:eastAsia="黑体" w:cs="黑体"/>
                <w:i w:val="0"/>
                <w:caps w:val="0"/>
                <w:color w:val="auto"/>
                <w:spacing w:val="0"/>
                <w:kern w:val="0"/>
                <w:sz w:val="21"/>
                <w:szCs w:val="21"/>
                <w:highlight w:val="none"/>
                <w:u w:val="none"/>
                <w:shd w:val="clear" w:fill="FFFFFF"/>
                <w:vertAlign w:val="baseline"/>
                <w:lang w:val="en-US" w:eastAsia="zh-CN" w:bidi="ar"/>
              </w:rPr>
            </w:pPr>
            <w:r>
              <w:rPr>
                <w:rFonts w:hint="eastAsia" w:ascii="黑体" w:hAnsi="黑体" w:eastAsia="黑体" w:cs="黑体"/>
                <w:i w:val="0"/>
                <w:caps w:val="0"/>
                <w:color w:val="auto"/>
                <w:spacing w:val="0"/>
                <w:sz w:val="21"/>
                <w:szCs w:val="21"/>
                <w:highlight w:val="none"/>
                <w:u w:val="none"/>
                <w:shd w:val="clear" w:fill="FFFFFF"/>
                <w:vertAlign w:val="baseline"/>
                <w:lang w:val="en-US" w:eastAsia="zh-CN"/>
              </w:rPr>
              <w:t>代码</w:t>
            </w:r>
          </w:p>
        </w:tc>
        <w:tc>
          <w:tcPr>
            <w:tcW w:w="7345" w:type="dxa"/>
            <w:tcBorders>
              <w:top w:val="single" w:color="auto" w:sz="4" w:space="0"/>
              <w:right w:val="nil"/>
            </w:tcBorders>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黑体" w:hAnsi="黑体" w:eastAsia="黑体" w:cs="黑体"/>
                <w:i w:val="0"/>
                <w:caps w:val="0"/>
                <w:color w:val="auto"/>
                <w:spacing w:val="0"/>
                <w:kern w:val="0"/>
                <w:sz w:val="21"/>
                <w:szCs w:val="21"/>
                <w:highlight w:val="none"/>
                <w:u w:val="none"/>
                <w:shd w:val="clear" w:fill="FFFFFF"/>
                <w:vertAlign w:val="baseline"/>
                <w:lang w:val="en-US" w:eastAsia="zh-CN" w:bidi="ar"/>
              </w:rPr>
            </w:pPr>
            <w:r>
              <w:rPr>
                <w:rFonts w:hint="eastAsia" w:ascii="黑体" w:hAnsi="黑体" w:eastAsia="黑体" w:cs="黑体"/>
                <w:i w:val="0"/>
                <w:caps w:val="0"/>
                <w:color w:val="auto"/>
                <w:spacing w:val="0"/>
                <w:sz w:val="21"/>
                <w:szCs w:val="21"/>
                <w:highlight w:val="none"/>
                <w:u w:val="none"/>
                <w:shd w:val="clear" w:fill="FFFFFF"/>
                <w:vertAlign w:val="baseline"/>
                <w:lang w:val="en-US" w:eastAsia="zh-CN"/>
              </w:rPr>
              <w:t>优先发展产业分类名称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2.2.1</w:t>
            </w:r>
          </w:p>
        </w:tc>
        <w:tc>
          <w:tcPr>
            <w:tcW w:w="7345" w:type="dxa"/>
            <w:tcBorders>
              <w:bottom w:val="nil"/>
              <w:right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航空器装备制造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2.2.2</w:t>
            </w:r>
          </w:p>
        </w:tc>
        <w:tc>
          <w:tcPr>
            <w:tcW w:w="7345" w:type="dxa"/>
            <w:tcBorders>
              <w:top w:val="nil"/>
              <w:bottom w:val="nil"/>
              <w:right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其他航空装备制造及相关服务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2.3</w:t>
            </w:r>
          </w:p>
        </w:tc>
        <w:tc>
          <w:tcPr>
            <w:tcW w:w="7345" w:type="dxa"/>
            <w:tcBorders>
              <w:top w:val="nil"/>
              <w:bottom w:val="nil"/>
              <w:right w:val="nil"/>
            </w:tcBorders>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t>卫星及应用产业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2.3.1</w:t>
            </w:r>
          </w:p>
        </w:tc>
        <w:tc>
          <w:tcPr>
            <w:tcW w:w="7345" w:type="dxa"/>
            <w:tcBorders>
              <w:top w:val="nil"/>
              <w:bottom w:val="nil"/>
              <w:right w:val="nil"/>
            </w:tcBorders>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t>卫星装备</w:t>
            </w: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2.3.2</w:t>
            </w:r>
          </w:p>
        </w:tc>
        <w:tc>
          <w:tcPr>
            <w:tcW w:w="7345" w:type="dxa"/>
            <w:tcBorders>
              <w:top w:val="nil"/>
              <w:bottom w:val="nil"/>
              <w:right w:val="nil"/>
            </w:tcBorders>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t>卫星应用</w:t>
            </w: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技术</w:t>
            </w:r>
            <w:r>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t>设备制造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5" w:type="dxa"/>
            <w:tcBorders>
              <w:top w:val="nil"/>
              <w:left w:val="nil"/>
              <w:bottom w:val="nil"/>
            </w:tcBorders>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2.3.3</w:t>
            </w:r>
          </w:p>
        </w:tc>
        <w:tc>
          <w:tcPr>
            <w:tcW w:w="7345" w:type="dxa"/>
            <w:tcBorders>
              <w:top w:val="nil"/>
              <w:bottom w:val="nil"/>
              <w:right w:val="nil"/>
            </w:tcBorders>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t>卫星应用</w:t>
            </w: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2.3.4</w:t>
            </w:r>
          </w:p>
        </w:tc>
        <w:tc>
          <w:tcPr>
            <w:tcW w:w="7345" w:type="dxa"/>
            <w:tcBorders>
              <w:top w:val="nil"/>
              <w:bottom w:val="nil"/>
              <w:right w:val="nil"/>
            </w:tcBorders>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t>其他航天器及运载火箭制造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2.4</w:t>
            </w:r>
          </w:p>
        </w:tc>
        <w:tc>
          <w:tcPr>
            <w:tcW w:w="7345" w:type="dxa"/>
            <w:tcBorders>
              <w:top w:val="nil"/>
              <w:bottom w:val="nil"/>
              <w:right w:val="nil"/>
            </w:tcBorders>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t>其他</w:t>
            </w: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高端</w:t>
            </w:r>
            <w:r>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t>装备</w:t>
            </w: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制造</w:t>
            </w:r>
            <w:r>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t>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pPr>
            <w:r>
              <w:rPr>
                <w:rFonts w:hint="eastAsia"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t>3</w:t>
            </w:r>
          </w:p>
        </w:tc>
        <w:tc>
          <w:tcPr>
            <w:tcW w:w="7345" w:type="dxa"/>
            <w:tcBorders>
              <w:top w:val="nil"/>
              <w:bottom w:val="nil"/>
              <w:right w:val="nil"/>
            </w:tcBorders>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pPr>
            <w:r>
              <w:rPr>
                <w:rFonts w:hint="default"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t>新材料产业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3.1</w:t>
            </w:r>
          </w:p>
        </w:tc>
        <w:tc>
          <w:tcPr>
            <w:tcW w:w="7345" w:type="dxa"/>
            <w:tcBorders>
              <w:top w:val="nil"/>
              <w:bottom w:val="nil"/>
              <w:right w:val="nil"/>
            </w:tcBorders>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t>先进无机非金属材料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3.1.1</w:t>
            </w:r>
          </w:p>
        </w:tc>
        <w:tc>
          <w:tcPr>
            <w:tcW w:w="7345" w:type="dxa"/>
            <w:tcBorders>
              <w:top w:val="nil"/>
              <w:bottom w:val="nil"/>
              <w:right w:val="nil"/>
            </w:tcBorders>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t>特种玻璃</w:t>
            </w: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3.1.2</w:t>
            </w:r>
          </w:p>
        </w:tc>
        <w:tc>
          <w:tcPr>
            <w:tcW w:w="7345" w:type="dxa"/>
            <w:tcBorders>
              <w:top w:val="nil"/>
              <w:bottom w:val="nil"/>
              <w:right w:val="nil"/>
            </w:tcBorders>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t>特种陶瓷制造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3.1.3</w:t>
            </w:r>
          </w:p>
        </w:tc>
        <w:tc>
          <w:tcPr>
            <w:tcW w:w="7345" w:type="dxa"/>
            <w:tcBorders>
              <w:top w:val="nil"/>
              <w:bottom w:val="nil"/>
              <w:right w:val="nil"/>
            </w:tcBorders>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t>人工晶体</w:t>
            </w: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3.1.4</w:t>
            </w:r>
          </w:p>
        </w:tc>
        <w:tc>
          <w:tcPr>
            <w:tcW w:w="7345" w:type="dxa"/>
            <w:tcBorders>
              <w:top w:val="nil"/>
              <w:bottom w:val="nil"/>
              <w:right w:val="nil"/>
            </w:tcBorders>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t>新型建筑</w:t>
            </w: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材料制造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3.2</w:t>
            </w:r>
          </w:p>
        </w:tc>
        <w:tc>
          <w:tcPr>
            <w:tcW w:w="7345" w:type="dxa"/>
            <w:tcBorders>
              <w:top w:val="nil"/>
              <w:bottom w:val="nil"/>
              <w:right w:val="nil"/>
            </w:tcBorders>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t>高性能纤维及</w:t>
            </w: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制品</w:t>
            </w:r>
            <w:r>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t>和复合材料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3.2.1</w:t>
            </w:r>
          </w:p>
        </w:tc>
        <w:tc>
          <w:tcPr>
            <w:tcW w:w="7345" w:type="dxa"/>
            <w:tcBorders>
              <w:top w:val="nil"/>
              <w:bottom w:val="nil"/>
              <w:right w:val="nil"/>
            </w:tcBorders>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t>高性能纤维及制品制造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3.2.2</w:t>
            </w:r>
          </w:p>
        </w:tc>
        <w:tc>
          <w:tcPr>
            <w:tcW w:w="7345" w:type="dxa"/>
            <w:tcBorders>
              <w:top w:val="nil"/>
              <w:bottom w:val="nil"/>
              <w:right w:val="nil"/>
            </w:tcBorders>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t>高性能纤维复合材料制造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3.2.3</w:t>
            </w:r>
          </w:p>
        </w:tc>
        <w:tc>
          <w:tcPr>
            <w:tcW w:w="7345" w:type="dxa"/>
            <w:tcBorders>
              <w:top w:val="nil"/>
              <w:bottom w:val="nil"/>
              <w:right w:val="nil"/>
            </w:tcBorders>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t>其他高性能复合材料制造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3.3</w:t>
            </w:r>
          </w:p>
        </w:tc>
        <w:tc>
          <w:tcPr>
            <w:tcW w:w="7345" w:type="dxa"/>
            <w:tcBorders>
              <w:top w:val="nil"/>
              <w:bottom w:val="nil"/>
              <w:right w:val="nil"/>
            </w:tcBorders>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t>前沿新材料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3.3.1</w:t>
            </w:r>
          </w:p>
        </w:tc>
        <w:tc>
          <w:tcPr>
            <w:tcW w:w="7345" w:type="dxa"/>
            <w:tcBorders>
              <w:top w:val="nil"/>
              <w:bottom w:val="nil"/>
              <w:right w:val="nil"/>
            </w:tcBorders>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t>3D打印用材料制造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3.3.2</w:t>
            </w:r>
          </w:p>
        </w:tc>
        <w:tc>
          <w:tcPr>
            <w:tcW w:w="7345" w:type="dxa"/>
            <w:tcBorders>
              <w:top w:val="nil"/>
              <w:bottom w:val="nil"/>
              <w:right w:val="nil"/>
            </w:tcBorders>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t>超导材料制造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3.3.3</w:t>
            </w:r>
          </w:p>
        </w:tc>
        <w:tc>
          <w:tcPr>
            <w:tcW w:w="7345" w:type="dxa"/>
            <w:tcBorders>
              <w:top w:val="nil"/>
              <w:bottom w:val="nil"/>
              <w:right w:val="nil"/>
            </w:tcBorders>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t>智能、仿生与超材料制造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3.3.4</w:t>
            </w:r>
          </w:p>
        </w:tc>
        <w:tc>
          <w:tcPr>
            <w:tcW w:w="7345" w:type="dxa"/>
            <w:tcBorders>
              <w:top w:val="nil"/>
              <w:bottom w:val="nil"/>
              <w:right w:val="nil"/>
            </w:tcBorders>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t>纳米材料制造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3.3.5</w:t>
            </w:r>
          </w:p>
        </w:tc>
        <w:tc>
          <w:tcPr>
            <w:tcW w:w="7345" w:type="dxa"/>
            <w:tcBorders>
              <w:top w:val="nil"/>
              <w:bottom w:val="nil"/>
              <w:right w:val="nil"/>
            </w:tcBorders>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t>生物医用材料制造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3.3.6</w:t>
            </w:r>
          </w:p>
        </w:tc>
        <w:tc>
          <w:tcPr>
            <w:tcW w:w="7345" w:type="dxa"/>
            <w:tcBorders>
              <w:top w:val="nil"/>
              <w:bottom w:val="nil"/>
              <w:right w:val="nil"/>
            </w:tcBorders>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液态</w:t>
            </w:r>
            <w:r>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t>金属制造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3.4</w:t>
            </w:r>
          </w:p>
        </w:tc>
        <w:tc>
          <w:tcPr>
            <w:tcW w:w="7345" w:type="dxa"/>
            <w:tcBorders>
              <w:top w:val="nil"/>
              <w:bottom w:val="nil"/>
              <w:right w:val="nil"/>
            </w:tcBorders>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t>新材料相关服务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3.4.1</w:t>
            </w:r>
          </w:p>
        </w:tc>
        <w:tc>
          <w:tcPr>
            <w:tcW w:w="7345" w:type="dxa"/>
            <w:tcBorders>
              <w:top w:val="nil"/>
              <w:bottom w:val="nil"/>
              <w:right w:val="nil"/>
            </w:tcBorders>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t>新材料研发与设计服务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3.4.2</w:t>
            </w:r>
          </w:p>
        </w:tc>
        <w:tc>
          <w:tcPr>
            <w:tcW w:w="7345" w:type="dxa"/>
            <w:tcBorders>
              <w:top w:val="nil"/>
              <w:bottom w:val="nil"/>
              <w:right w:val="nil"/>
            </w:tcBorders>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t>质检技术服务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3.4.3</w:t>
            </w:r>
          </w:p>
        </w:tc>
        <w:tc>
          <w:tcPr>
            <w:tcW w:w="7345" w:type="dxa"/>
            <w:tcBorders>
              <w:top w:val="nil"/>
              <w:bottom w:val="nil"/>
              <w:right w:val="nil"/>
            </w:tcBorders>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t>科技推广和应用服务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pPr>
            <w:r>
              <w:rPr>
                <w:rFonts w:hint="eastAsia"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t>4</w:t>
            </w:r>
          </w:p>
        </w:tc>
        <w:tc>
          <w:tcPr>
            <w:tcW w:w="7345" w:type="dxa"/>
            <w:tcBorders>
              <w:top w:val="nil"/>
              <w:bottom w:val="nil"/>
              <w:right w:val="nil"/>
            </w:tcBorders>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pPr>
            <w:r>
              <w:rPr>
                <w:rFonts w:hint="default"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t>生物产业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4.1</w:t>
            </w:r>
          </w:p>
        </w:tc>
        <w:tc>
          <w:tcPr>
            <w:tcW w:w="7345" w:type="dxa"/>
            <w:tcBorders>
              <w:top w:val="nil"/>
              <w:bottom w:val="nil"/>
              <w:right w:val="nil"/>
            </w:tcBorders>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t>生物医药产业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4.1.1</w:t>
            </w:r>
          </w:p>
        </w:tc>
        <w:tc>
          <w:tcPr>
            <w:tcW w:w="7345" w:type="dxa"/>
            <w:tcBorders>
              <w:top w:val="nil"/>
              <w:bottom w:val="nil"/>
              <w:right w:val="nil"/>
            </w:tcBorders>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t>生物药品制品</w:t>
            </w: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4.1.2</w:t>
            </w:r>
          </w:p>
        </w:tc>
        <w:tc>
          <w:tcPr>
            <w:tcW w:w="7345" w:type="dxa"/>
            <w:tcBorders>
              <w:top w:val="nil"/>
              <w:bottom w:val="nil"/>
              <w:right w:val="nil"/>
            </w:tcBorders>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t>化学药品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4.1.3</w:t>
            </w:r>
          </w:p>
        </w:tc>
        <w:tc>
          <w:tcPr>
            <w:tcW w:w="7345" w:type="dxa"/>
            <w:tcBorders>
              <w:top w:val="nil"/>
              <w:bottom w:val="nil"/>
              <w:right w:val="nil"/>
            </w:tcBorders>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t>现代中药与民族药制造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4.1.4</w:t>
            </w:r>
          </w:p>
        </w:tc>
        <w:tc>
          <w:tcPr>
            <w:tcW w:w="7345" w:type="dxa"/>
            <w:tcBorders>
              <w:top w:val="nil"/>
              <w:bottom w:val="nil"/>
              <w:right w:val="nil"/>
            </w:tcBorders>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t>生物医药</w:t>
            </w: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关键</w:t>
            </w:r>
            <w:r>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t>装备与原辅料制造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4.1.5</w:t>
            </w:r>
          </w:p>
        </w:tc>
        <w:tc>
          <w:tcPr>
            <w:tcW w:w="7345" w:type="dxa"/>
            <w:tcBorders>
              <w:top w:val="nil"/>
              <w:bottom w:val="nil"/>
              <w:right w:val="nil"/>
            </w:tcBorders>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生物</w:t>
            </w:r>
            <w:r>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t>医药相关服务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4.2</w:t>
            </w:r>
          </w:p>
        </w:tc>
        <w:tc>
          <w:tcPr>
            <w:tcW w:w="7345" w:type="dxa"/>
            <w:tcBorders>
              <w:top w:val="nil"/>
              <w:bottom w:val="nil"/>
              <w:right w:val="nil"/>
            </w:tcBorders>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t>生物医学工程产业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4.2.1</w:t>
            </w:r>
          </w:p>
        </w:tc>
        <w:tc>
          <w:tcPr>
            <w:tcW w:w="7345" w:type="dxa"/>
            <w:tcBorders>
              <w:top w:val="nil"/>
              <w:bottom w:val="nil"/>
              <w:right w:val="nil"/>
            </w:tcBorders>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t>细胞技术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4.2.2</w:t>
            </w:r>
          </w:p>
        </w:tc>
        <w:tc>
          <w:tcPr>
            <w:tcW w:w="7345" w:type="dxa"/>
            <w:tcBorders>
              <w:top w:val="nil"/>
              <w:right w:val="nil"/>
            </w:tcBorders>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I</w:t>
            </w:r>
            <w:r>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t>VD/第三方检测分类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left w:val="nil"/>
            </w:tcBorders>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黑体" w:hAnsi="黑体" w:eastAsia="黑体" w:cs="黑体"/>
                <w:i w:val="0"/>
                <w:caps w:val="0"/>
                <w:color w:val="auto"/>
                <w:spacing w:val="0"/>
                <w:sz w:val="21"/>
                <w:szCs w:val="21"/>
                <w:highlight w:val="none"/>
                <w:u w:val="none"/>
                <w:shd w:val="clear" w:fill="FFFFFF"/>
                <w:vertAlign w:val="baseline"/>
                <w:lang w:val="en-US" w:eastAsia="zh-CN"/>
              </w:rPr>
              <w:t>代码</w:t>
            </w:r>
          </w:p>
        </w:tc>
        <w:tc>
          <w:tcPr>
            <w:tcW w:w="7345" w:type="dxa"/>
            <w:tcBorders>
              <w:right w:val="nil"/>
            </w:tcBorders>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黑体" w:hAnsi="黑体" w:eastAsia="黑体" w:cs="黑体"/>
                <w:i w:val="0"/>
                <w:caps w:val="0"/>
                <w:color w:val="auto"/>
                <w:spacing w:val="0"/>
                <w:sz w:val="21"/>
                <w:szCs w:val="21"/>
                <w:highlight w:val="none"/>
                <w:u w:val="none"/>
                <w:shd w:val="clear" w:fill="FFFFFF"/>
                <w:vertAlign w:val="baseline"/>
                <w:lang w:val="en-US" w:eastAsia="zh-CN"/>
              </w:rPr>
              <w:t>优先发展产业分类名称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left w:val="nil"/>
              <w:bottom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仿宋_GB2312" w:hAnsi="仿宋_GB2312" w:eastAsia="仿宋_GB2312" w:cs="仿宋_GB2312"/>
                <w:i w:val="0"/>
                <w:caps w:val="0"/>
                <w:color w:val="auto"/>
                <w:spacing w:val="0"/>
                <w:kern w:val="2"/>
                <w:sz w:val="21"/>
                <w:szCs w:val="21"/>
                <w:highlight w:val="none"/>
                <w:u w:val="none"/>
                <w:shd w:val="clear" w:fill="FFFFFF"/>
                <w:vertAlign w:val="baseline"/>
                <w:lang w:val="en-US" w:eastAsia="zh-CN" w:bidi="ar-SA"/>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4.2.3</w:t>
            </w:r>
          </w:p>
        </w:tc>
        <w:tc>
          <w:tcPr>
            <w:tcW w:w="7345" w:type="dxa"/>
            <w:tcBorders>
              <w:bottom w:val="nil"/>
              <w:right w:val="nil"/>
            </w:tcBorders>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default"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t>先进医疗设备及器械制造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4.2.4</w:t>
            </w:r>
          </w:p>
        </w:tc>
        <w:tc>
          <w:tcPr>
            <w:tcW w:w="7345" w:type="dxa"/>
            <w:tcBorders>
              <w:top w:val="nil"/>
              <w:bottom w:val="nil"/>
              <w:right w:val="nil"/>
            </w:tcBorders>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t>植介入生物医用材料及设备制造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4.2.5</w:t>
            </w:r>
          </w:p>
        </w:tc>
        <w:tc>
          <w:tcPr>
            <w:tcW w:w="7345" w:type="dxa"/>
            <w:tcBorders>
              <w:top w:val="nil"/>
              <w:bottom w:val="nil"/>
              <w:right w:val="nil"/>
            </w:tcBorders>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t>其他生物医用材料及用品制造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4.2.6</w:t>
            </w:r>
          </w:p>
        </w:tc>
        <w:tc>
          <w:tcPr>
            <w:tcW w:w="7345" w:type="dxa"/>
            <w:tcBorders>
              <w:top w:val="nil"/>
              <w:bottom w:val="nil"/>
              <w:right w:val="nil"/>
            </w:tcBorders>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t>生物医学工程信息技术服务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4.2.7</w:t>
            </w:r>
          </w:p>
        </w:tc>
        <w:tc>
          <w:tcPr>
            <w:tcW w:w="7345" w:type="dxa"/>
            <w:tcBorders>
              <w:top w:val="nil"/>
              <w:bottom w:val="nil"/>
              <w:right w:val="nil"/>
            </w:tcBorders>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t>生物医学工程相关服务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4.3</w:t>
            </w:r>
          </w:p>
        </w:tc>
        <w:tc>
          <w:tcPr>
            <w:tcW w:w="7345" w:type="dxa"/>
            <w:tcBorders>
              <w:top w:val="nil"/>
              <w:bottom w:val="nil"/>
              <w:right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default"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生物农业及相关产业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4.3.1</w:t>
            </w:r>
          </w:p>
        </w:tc>
        <w:tc>
          <w:tcPr>
            <w:tcW w:w="7345" w:type="dxa"/>
            <w:tcBorders>
              <w:top w:val="nil"/>
              <w:bottom w:val="nil"/>
              <w:right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default"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发展生物育种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4.3.2</w:t>
            </w:r>
          </w:p>
        </w:tc>
        <w:tc>
          <w:tcPr>
            <w:tcW w:w="7345" w:type="dxa"/>
            <w:tcBorders>
              <w:top w:val="nil"/>
              <w:bottom w:val="nil"/>
              <w:right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default"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生物农药制造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4.3.3</w:t>
            </w:r>
          </w:p>
        </w:tc>
        <w:tc>
          <w:tcPr>
            <w:tcW w:w="7345" w:type="dxa"/>
            <w:tcBorders>
              <w:top w:val="nil"/>
              <w:bottom w:val="nil"/>
              <w:right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default"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生物肥料制造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4.3.4</w:t>
            </w:r>
          </w:p>
        </w:tc>
        <w:tc>
          <w:tcPr>
            <w:tcW w:w="7345" w:type="dxa"/>
            <w:tcBorders>
              <w:top w:val="nil"/>
              <w:bottom w:val="nil"/>
              <w:right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default"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生物</w:t>
            </w: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饲料</w:t>
            </w:r>
            <w:r>
              <w:rPr>
                <w:rFonts w:hint="default"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制造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4.3.5</w:t>
            </w:r>
          </w:p>
        </w:tc>
        <w:tc>
          <w:tcPr>
            <w:tcW w:w="7345" w:type="dxa"/>
            <w:tcBorders>
              <w:top w:val="nil"/>
              <w:bottom w:val="nil"/>
              <w:right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default"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生物兽药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4.3.6</w:t>
            </w:r>
          </w:p>
        </w:tc>
        <w:tc>
          <w:tcPr>
            <w:tcW w:w="7345" w:type="dxa"/>
            <w:tcBorders>
              <w:top w:val="nil"/>
              <w:bottom w:val="nil"/>
              <w:right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default"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兽用生物</w:t>
            </w: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制品</w:t>
            </w:r>
            <w:r>
              <w:rPr>
                <w:rFonts w:hint="default"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及疫苗制造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4.3.7</w:t>
            </w:r>
          </w:p>
        </w:tc>
        <w:tc>
          <w:tcPr>
            <w:tcW w:w="7345" w:type="dxa"/>
            <w:tcBorders>
              <w:top w:val="nil"/>
              <w:bottom w:val="nil"/>
              <w:right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default"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生物农业相关服务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4.4</w:t>
            </w:r>
          </w:p>
        </w:tc>
        <w:tc>
          <w:tcPr>
            <w:tcW w:w="7345" w:type="dxa"/>
            <w:tcBorders>
              <w:top w:val="nil"/>
              <w:bottom w:val="nil"/>
              <w:right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default"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其他生物业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4.4.1</w:t>
            </w:r>
          </w:p>
        </w:tc>
        <w:tc>
          <w:tcPr>
            <w:tcW w:w="7345" w:type="dxa"/>
            <w:tcBorders>
              <w:top w:val="nil"/>
              <w:bottom w:val="nil"/>
              <w:right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default"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生物基材料制造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4.4.2</w:t>
            </w:r>
          </w:p>
        </w:tc>
        <w:tc>
          <w:tcPr>
            <w:tcW w:w="7345" w:type="dxa"/>
            <w:tcBorders>
              <w:top w:val="nil"/>
              <w:bottom w:val="nil"/>
              <w:right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default"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生物化工制品制造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4.4.3</w:t>
            </w:r>
          </w:p>
        </w:tc>
        <w:tc>
          <w:tcPr>
            <w:tcW w:w="7345" w:type="dxa"/>
            <w:tcBorders>
              <w:top w:val="nil"/>
              <w:bottom w:val="nil"/>
              <w:right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default"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生物酶等发酵制品制造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4.4.4</w:t>
            </w:r>
          </w:p>
        </w:tc>
        <w:tc>
          <w:tcPr>
            <w:tcW w:w="7345" w:type="dxa"/>
            <w:tcBorders>
              <w:top w:val="nil"/>
              <w:bottom w:val="nil"/>
              <w:right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default"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海洋生物制品制造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4.4.5</w:t>
            </w:r>
          </w:p>
        </w:tc>
        <w:tc>
          <w:tcPr>
            <w:tcW w:w="7345" w:type="dxa"/>
            <w:tcBorders>
              <w:top w:val="nil"/>
              <w:bottom w:val="nil"/>
              <w:right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default"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其他生物工程相关设备制造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4.4.6</w:t>
            </w:r>
          </w:p>
        </w:tc>
        <w:tc>
          <w:tcPr>
            <w:tcW w:w="7345" w:type="dxa"/>
            <w:tcBorders>
              <w:top w:val="nil"/>
              <w:bottom w:val="nil"/>
              <w:right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default"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其他生物业相关服务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pPr>
            <w:r>
              <w:rPr>
                <w:rFonts w:hint="eastAsia"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t>5</w:t>
            </w:r>
          </w:p>
        </w:tc>
        <w:tc>
          <w:tcPr>
            <w:tcW w:w="7345" w:type="dxa"/>
            <w:tcBorders>
              <w:top w:val="nil"/>
              <w:bottom w:val="nil"/>
              <w:right w:val="nil"/>
            </w:tcBorders>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pPr>
            <w:r>
              <w:rPr>
                <w:rFonts w:hint="default"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t>新能源及新能源汽车产业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5.1</w:t>
            </w:r>
          </w:p>
        </w:tc>
        <w:tc>
          <w:tcPr>
            <w:tcW w:w="7345" w:type="dxa"/>
            <w:tcBorders>
              <w:top w:val="nil"/>
              <w:bottom w:val="nil"/>
              <w:right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default"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智能电网产业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5.1.1</w:t>
            </w:r>
          </w:p>
        </w:tc>
        <w:tc>
          <w:tcPr>
            <w:tcW w:w="7345" w:type="dxa"/>
            <w:tcBorders>
              <w:top w:val="nil"/>
              <w:bottom w:val="nil"/>
              <w:right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default"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智能电力控制设备及电缆制造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5.1.2</w:t>
            </w:r>
          </w:p>
        </w:tc>
        <w:tc>
          <w:tcPr>
            <w:tcW w:w="7345" w:type="dxa"/>
            <w:tcBorders>
              <w:top w:val="nil"/>
              <w:bottom w:val="nil"/>
              <w:right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default"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电力电子基础元器件制造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5.1.3</w:t>
            </w:r>
          </w:p>
        </w:tc>
        <w:tc>
          <w:tcPr>
            <w:tcW w:w="7345" w:type="dxa"/>
            <w:tcBorders>
              <w:top w:val="nil"/>
              <w:bottom w:val="nil"/>
              <w:right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default"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智能电网输送与配电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5.2</w:t>
            </w:r>
          </w:p>
        </w:tc>
        <w:tc>
          <w:tcPr>
            <w:tcW w:w="7345" w:type="dxa"/>
            <w:tcBorders>
              <w:top w:val="nil"/>
              <w:bottom w:val="nil"/>
              <w:right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default"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新能源汽车整车制造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5.3</w:t>
            </w:r>
          </w:p>
        </w:tc>
        <w:tc>
          <w:tcPr>
            <w:tcW w:w="7345" w:type="dxa"/>
            <w:tcBorders>
              <w:top w:val="nil"/>
              <w:bottom w:val="nil"/>
              <w:right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default"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新能源汽车装置、配件</w:t>
            </w: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制造</w:t>
            </w:r>
            <w:r>
              <w:rPr>
                <w:rFonts w:hint="default"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5.3.1</w:t>
            </w:r>
          </w:p>
        </w:tc>
        <w:tc>
          <w:tcPr>
            <w:tcW w:w="7345" w:type="dxa"/>
            <w:tcBorders>
              <w:top w:val="nil"/>
              <w:bottom w:val="nil"/>
              <w:right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default"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电机、发动机制造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5.3.2</w:t>
            </w:r>
          </w:p>
        </w:tc>
        <w:tc>
          <w:tcPr>
            <w:tcW w:w="7345" w:type="dxa"/>
            <w:tcBorders>
              <w:top w:val="nil"/>
              <w:bottom w:val="nil"/>
              <w:right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default"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新能源汽车储能装置制造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5.3.3</w:t>
            </w:r>
          </w:p>
        </w:tc>
        <w:tc>
          <w:tcPr>
            <w:tcW w:w="7345" w:type="dxa"/>
            <w:tcBorders>
              <w:top w:val="nil"/>
              <w:bottom w:val="nil"/>
              <w:right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default"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新能源汽车零部件配件制造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5.4</w:t>
            </w:r>
          </w:p>
        </w:tc>
        <w:tc>
          <w:tcPr>
            <w:tcW w:w="7345" w:type="dxa"/>
            <w:tcBorders>
              <w:top w:val="nil"/>
              <w:bottom w:val="nil"/>
              <w:right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default"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新能源汽车相关设施制造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5.4.1</w:t>
            </w:r>
          </w:p>
        </w:tc>
        <w:tc>
          <w:tcPr>
            <w:tcW w:w="7345" w:type="dxa"/>
            <w:tcBorders>
              <w:top w:val="nil"/>
              <w:bottom w:val="nil"/>
              <w:right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default"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供能装置制造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5.4.2</w:t>
            </w:r>
          </w:p>
        </w:tc>
        <w:tc>
          <w:tcPr>
            <w:tcW w:w="7345" w:type="dxa"/>
            <w:tcBorders>
              <w:top w:val="nil"/>
              <w:bottom w:val="nil"/>
              <w:right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default"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试验装置制造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5.4.3</w:t>
            </w:r>
          </w:p>
        </w:tc>
        <w:tc>
          <w:tcPr>
            <w:tcW w:w="7345" w:type="dxa"/>
            <w:tcBorders>
              <w:top w:val="nil"/>
              <w:bottom w:val="nil"/>
              <w:right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default"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其他相关设施</w:t>
            </w: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制造</w:t>
            </w:r>
            <w:r>
              <w:rPr>
                <w:rFonts w:hint="default"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5.5</w:t>
            </w:r>
          </w:p>
        </w:tc>
        <w:tc>
          <w:tcPr>
            <w:tcW w:w="7345" w:type="dxa"/>
            <w:tcBorders>
              <w:top w:val="nil"/>
              <w:bottom w:val="nil"/>
              <w:right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default"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新能源汽车相关服务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5.5.1</w:t>
            </w:r>
          </w:p>
        </w:tc>
        <w:tc>
          <w:tcPr>
            <w:tcW w:w="7345" w:type="dxa"/>
            <w:tcBorders>
              <w:top w:val="nil"/>
              <w:bottom w:val="nil"/>
              <w:right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default"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新能源汽车充电及维修服务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5.5.2</w:t>
            </w:r>
          </w:p>
        </w:tc>
        <w:tc>
          <w:tcPr>
            <w:tcW w:w="7345" w:type="dxa"/>
            <w:tcBorders>
              <w:top w:val="nil"/>
              <w:bottom w:val="nil"/>
              <w:right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default"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新能源汽车其他相关服务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pPr>
            <w:r>
              <w:rPr>
                <w:rFonts w:hint="eastAsia"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t>6</w:t>
            </w:r>
          </w:p>
        </w:tc>
        <w:tc>
          <w:tcPr>
            <w:tcW w:w="7345" w:type="dxa"/>
            <w:tcBorders>
              <w:top w:val="nil"/>
              <w:bottom w:val="nil"/>
              <w:right w:val="nil"/>
            </w:tcBorders>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pPr>
            <w:r>
              <w:rPr>
                <w:rFonts w:hint="default"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t>数字创意产业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single" w:color="auto" w:sz="4" w:space="0"/>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6.1</w:t>
            </w:r>
          </w:p>
        </w:tc>
        <w:tc>
          <w:tcPr>
            <w:tcW w:w="7345" w:type="dxa"/>
            <w:tcBorders>
              <w:top w:val="nil"/>
              <w:bottom w:val="single" w:color="auto" w:sz="4" w:space="0"/>
              <w:right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default"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数字创意技术设备制道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single" w:color="auto" w:sz="4" w:space="0"/>
              <w:left w:val="nil"/>
            </w:tcBorders>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黑体" w:hAnsi="黑体" w:eastAsia="黑体" w:cs="黑体"/>
                <w:i w:val="0"/>
                <w:caps w:val="0"/>
                <w:color w:val="auto"/>
                <w:spacing w:val="0"/>
                <w:kern w:val="0"/>
                <w:sz w:val="21"/>
                <w:szCs w:val="21"/>
                <w:highlight w:val="none"/>
                <w:u w:val="none"/>
                <w:shd w:val="clear" w:fill="FFFFFF"/>
                <w:vertAlign w:val="baseline"/>
                <w:lang w:val="en-US" w:eastAsia="zh-CN" w:bidi="ar"/>
              </w:rPr>
            </w:pPr>
            <w:r>
              <w:rPr>
                <w:rFonts w:hint="eastAsia" w:ascii="黑体" w:hAnsi="黑体" w:eastAsia="黑体" w:cs="黑体"/>
                <w:i w:val="0"/>
                <w:caps w:val="0"/>
                <w:color w:val="auto"/>
                <w:spacing w:val="0"/>
                <w:sz w:val="21"/>
                <w:szCs w:val="21"/>
                <w:highlight w:val="none"/>
                <w:u w:val="none"/>
                <w:shd w:val="clear" w:fill="FFFFFF"/>
                <w:vertAlign w:val="baseline"/>
                <w:lang w:val="en-US" w:eastAsia="zh-CN"/>
              </w:rPr>
              <w:t>代码</w:t>
            </w:r>
          </w:p>
        </w:tc>
        <w:tc>
          <w:tcPr>
            <w:tcW w:w="7345" w:type="dxa"/>
            <w:tcBorders>
              <w:top w:val="single" w:color="auto" w:sz="4" w:space="0"/>
              <w:right w:val="nil"/>
            </w:tcBorders>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黑体" w:hAnsi="黑体" w:eastAsia="黑体" w:cs="黑体"/>
                <w:i w:val="0"/>
                <w:caps w:val="0"/>
                <w:color w:val="auto"/>
                <w:spacing w:val="0"/>
                <w:kern w:val="0"/>
                <w:sz w:val="21"/>
                <w:szCs w:val="21"/>
                <w:highlight w:val="none"/>
                <w:u w:val="none"/>
                <w:shd w:val="clear" w:fill="FFFFFF"/>
                <w:vertAlign w:val="baseline"/>
                <w:lang w:val="en-US" w:eastAsia="zh-CN" w:bidi="ar"/>
              </w:rPr>
            </w:pPr>
            <w:r>
              <w:rPr>
                <w:rFonts w:hint="eastAsia" w:ascii="黑体" w:hAnsi="黑体" w:eastAsia="黑体" w:cs="黑体"/>
                <w:i w:val="0"/>
                <w:caps w:val="0"/>
                <w:color w:val="auto"/>
                <w:spacing w:val="0"/>
                <w:sz w:val="21"/>
                <w:szCs w:val="21"/>
                <w:highlight w:val="none"/>
                <w:u w:val="none"/>
                <w:shd w:val="clear" w:fill="FFFFFF"/>
                <w:vertAlign w:val="baseline"/>
                <w:lang w:val="en-US" w:eastAsia="zh-CN"/>
              </w:rPr>
              <w:t>优先发展产业分类名称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6.2</w:t>
            </w:r>
          </w:p>
        </w:tc>
        <w:tc>
          <w:tcPr>
            <w:tcW w:w="7345" w:type="dxa"/>
            <w:tcBorders>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数字文化创意活动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6.2.1</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数字文化创意软件开发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6.2.2</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数字文化创意内容制作服务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6.2.3</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新型媒体服务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6.2.4</w:t>
            </w:r>
          </w:p>
        </w:tc>
        <w:tc>
          <w:tcPr>
            <w:tcW w:w="7345" w:type="dxa"/>
            <w:tcBorders>
              <w:top w:val="nil"/>
              <w:bottom w:val="nil"/>
              <w:right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数字文化创意广播电视服务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5" w:type="dxa"/>
            <w:tcBorders>
              <w:top w:val="nil"/>
              <w:left w:val="nil"/>
              <w:bottom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6.2.5</w:t>
            </w:r>
          </w:p>
        </w:tc>
        <w:tc>
          <w:tcPr>
            <w:tcW w:w="7345" w:type="dxa"/>
            <w:tcBorders>
              <w:top w:val="nil"/>
              <w:bottom w:val="nil"/>
              <w:right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其他数字文化创意活动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6.3</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数字设计服务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6.4</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数字创意与融合服务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pPr>
            <w:r>
              <w:rPr>
                <w:rFonts w:hint="eastAsia"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t>7</w:t>
            </w:r>
          </w:p>
        </w:tc>
        <w:tc>
          <w:tcPr>
            <w:tcW w:w="7345" w:type="dxa"/>
            <w:tcBorders>
              <w:top w:val="nil"/>
              <w:bottom w:val="nil"/>
              <w:right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pPr>
            <w:r>
              <w:rPr>
                <w:rFonts w:hint="eastAsia"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t>航空物流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7.1</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航空货物运输及代理服务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7.2</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国际分拨服务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7.3</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保税展示、保税交易等保税物流服务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7.4</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专业化统一配送服务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7.5</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第三方物流服务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7.6</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供应链管理服务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7.7</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多式联运物流枢纽设施建设与运营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7.8</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单证管理、物流结算等服务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7.9</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大型批发采购分销网络建设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7.10</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物流公共信息平台、多式联运公共服务平台、专业化经营平台等建设与应用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7.11</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航空物流设施建设及运营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7.12</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航空物流技术的开发与应用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7.13</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冷链物流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7.14</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电商物流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7.15</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快递物流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pPr>
            <w:r>
              <w:rPr>
                <w:rFonts w:hint="eastAsia"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t>8</w:t>
            </w:r>
          </w:p>
        </w:tc>
        <w:tc>
          <w:tcPr>
            <w:tcW w:w="7345" w:type="dxa"/>
            <w:tcBorders>
              <w:top w:val="nil"/>
              <w:bottom w:val="nil"/>
              <w:right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pPr>
            <w:r>
              <w:rPr>
                <w:rFonts w:hint="eastAsia"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t>航空运营及配套服务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8.1</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民用机场的建设和经营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8.2</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航空运输公司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8.3</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公务机托管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8.4</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飞行员、空乘人员、机务维修人员等专业人员培训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8.5</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公务飞行、测绘摄影等通用航空服务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8.6</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空中交通管制和通讯导航系统建设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8.7</w:t>
            </w:r>
          </w:p>
        </w:tc>
        <w:tc>
          <w:tcPr>
            <w:tcW w:w="7345" w:type="dxa"/>
            <w:tcBorders>
              <w:top w:val="nil"/>
              <w:bottom w:val="nil"/>
              <w:right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航空油料设施建设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8.8</w:t>
            </w:r>
          </w:p>
        </w:tc>
        <w:tc>
          <w:tcPr>
            <w:tcW w:w="7345" w:type="dxa"/>
            <w:tcBorders>
              <w:top w:val="nil"/>
              <w:bottom w:val="nil"/>
              <w:right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航空运输辅助活动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8.9</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配载通信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8.10</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呼叫中心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8.11</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航空广告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8.12</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空港产业职业教育实训和高端职业教育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pPr>
            <w:r>
              <w:rPr>
                <w:rFonts w:hint="eastAsia"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t>9</w:t>
            </w:r>
          </w:p>
        </w:tc>
        <w:tc>
          <w:tcPr>
            <w:tcW w:w="7345" w:type="dxa"/>
            <w:tcBorders>
              <w:top w:val="nil"/>
              <w:bottom w:val="nil"/>
              <w:right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pPr>
            <w:r>
              <w:rPr>
                <w:rFonts w:hint="eastAsia"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t>电子商务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9.1</w:t>
            </w:r>
          </w:p>
        </w:tc>
        <w:tc>
          <w:tcPr>
            <w:tcW w:w="7345" w:type="dxa"/>
            <w:tcBorders>
              <w:top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电子交易平台建设及运营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left w:val="nil"/>
            </w:tcBorders>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黑体" w:hAnsi="黑体" w:eastAsia="黑体" w:cs="黑体"/>
                <w:i w:val="0"/>
                <w:caps w:val="0"/>
                <w:color w:val="auto"/>
                <w:spacing w:val="0"/>
                <w:kern w:val="0"/>
                <w:sz w:val="21"/>
                <w:szCs w:val="21"/>
                <w:highlight w:val="none"/>
                <w:u w:val="none"/>
                <w:shd w:val="clear" w:fill="FFFFFF"/>
                <w:vertAlign w:val="baseline"/>
                <w:lang w:val="en-US" w:eastAsia="zh-CN" w:bidi="ar"/>
              </w:rPr>
            </w:pPr>
            <w:r>
              <w:rPr>
                <w:rFonts w:hint="eastAsia" w:ascii="黑体" w:hAnsi="黑体" w:eastAsia="黑体" w:cs="黑体"/>
                <w:i w:val="0"/>
                <w:caps w:val="0"/>
                <w:color w:val="auto"/>
                <w:spacing w:val="0"/>
                <w:sz w:val="21"/>
                <w:szCs w:val="21"/>
                <w:highlight w:val="none"/>
                <w:u w:val="none"/>
                <w:shd w:val="clear" w:fill="FFFFFF"/>
                <w:vertAlign w:val="baseline"/>
                <w:lang w:val="en-US" w:eastAsia="zh-CN"/>
              </w:rPr>
              <w:t>代码</w:t>
            </w:r>
          </w:p>
        </w:tc>
        <w:tc>
          <w:tcPr>
            <w:tcW w:w="7345" w:type="dxa"/>
            <w:tcBorders>
              <w:right w:val="nil"/>
            </w:tcBorders>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黑体" w:hAnsi="黑体" w:eastAsia="黑体" w:cs="黑体"/>
                <w:i w:val="0"/>
                <w:caps w:val="0"/>
                <w:color w:val="auto"/>
                <w:spacing w:val="0"/>
                <w:kern w:val="0"/>
                <w:sz w:val="21"/>
                <w:szCs w:val="21"/>
                <w:highlight w:val="none"/>
                <w:u w:val="none"/>
                <w:shd w:val="clear" w:fill="FFFFFF"/>
                <w:vertAlign w:val="baseline"/>
                <w:lang w:val="en-US" w:eastAsia="zh-CN" w:bidi="ar"/>
              </w:rPr>
            </w:pPr>
            <w:r>
              <w:rPr>
                <w:rFonts w:hint="eastAsia" w:ascii="黑体" w:hAnsi="黑体" w:eastAsia="黑体" w:cs="黑体"/>
                <w:i w:val="0"/>
                <w:caps w:val="0"/>
                <w:color w:val="auto"/>
                <w:spacing w:val="0"/>
                <w:sz w:val="21"/>
                <w:szCs w:val="21"/>
                <w:highlight w:val="none"/>
                <w:u w:val="none"/>
                <w:shd w:val="clear" w:fill="FFFFFF"/>
                <w:vertAlign w:val="baseline"/>
                <w:lang w:val="en-US" w:eastAsia="zh-CN"/>
              </w:rPr>
              <w:t>优先发展产业分类名称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left w:val="nil"/>
              <w:bottom w:val="nil"/>
            </w:tcBorders>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9.2</w:t>
            </w:r>
          </w:p>
        </w:tc>
        <w:tc>
          <w:tcPr>
            <w:tcW w:w="7345" w:type="dxa"/>
            <w:tcBorders>
              <w:bottom w:val="nil"/>
              <w:right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跨境电子商务平台、公共服务平台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9.3</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通关服务、支付结算、人才培训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9.4</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保税仓储、物流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9.5</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展示展销一体化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pPr>
            <w:r>
              <w:rPr>
                <w:rFonts w:hint="eastAsia"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t>10</w:t>
            </w:r>
          </w:p>
        </w:tc>
        <w:tc>
          <w:tcPr>
            <w:tcW w:w="7345" w:type="dxa"/>
            <w:tcBorders>
              <w:top w:val="nil"/>
              <w:bottom w:val="nil"/>
              <w:right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pPr>
            <w:r>
              <w:rPr>
                <w:rFonts w:hint="eastAsia"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t>航空金融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10.1</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航空租赁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10.1.1</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飞机租赁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10.1.2</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其他航空租赁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10.2</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航空保险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10.3</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航空产业基金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10.4</w:t>
            </w:r>
          </w:p>
        </w:tc>
        <w:tc>
          <w:tcPr>
            <w:tcW w:w="7345" w:type="dxa"/>
            <w:tcBorders>
              <w:top w:val="nil"/>
              <w:bottom w:val="nil"/>
              <w:right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跨境金融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pPr>
            <w:r>
              <w:rPr>
                <w:rFonts w:hint="eastAsia"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t>11</w:t>
            </w:r>
          </w:p>
        </w:tc>
        <w:tc>
          <w:tcPr>
            <w:tcW w:w="7345" w:type="dxa"/>
            <w:tcBorders>
              <w:top w:val="nil"/>
              <w:bottom w:val="nil"/>
              <w:right w:val="nil"/>
            </w:tcBorders>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pPr>
            <w:r>
              <w:rPr>
                <w:rFonts w:hint="eastAsia"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t>商贸会展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11.1</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进出口商品交易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11.2</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高端零售业、大型购物中心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11.3</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高端酒店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11.4</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国际采购中心平台的建设与运营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11.5</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保税展贸服务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11.6</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国际品牌展会、大型国际性会议及专业展览服务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11.7</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会展中心经营和服务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pPr>
            <w:r>
              <w:rPr>
                <w:rFonts w:hint="eastAsia"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t>12</w:t>
            </w:r>
          </w:p>
        </w:tc>
        <w:tc>
          <w:tcPr>
            <w:tcW w:w="7345" w:type="dxa"/>
            <w:tcBorders>
              <w:top w:val="nil"/>
              <w:bottom w:val="nil"/>
              <w:right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pPr>
            <w:r>
              <w:rPr>
                <w:rFonts w:hint="eastAsia"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t>总部经济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12.1</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国内外航空企业的公司总部、地区总部、分支机构或运营中心、结算中研发中心、数据中心、采购中心、物流配送中心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12.2</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世界500强企业的公司总部、地区总部、分支机构或运营中心、结算中心、研发中心、数据中心、采购中心、物流配送中心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12.3</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中国500强企业的公司总部、地区总部、分支机构或运营中心、结算中心、研发中心、数据中心、采购中心、物流配送中心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pPr>
            <w:r>
              <w:rPr>
                <w:rFonts w:hint="eastAsia"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t>13</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bCs/>
                <w:i w:val="0"/>
                <w:caps w:val="0"/>
                <w:color w:val="auto"/>
                <w:spacing w:val="0"/>
                <w:kern w:val="0"/>
                <w:sz w:val="21"/>
                <w:szCs w:val="21"/>
                <w:highlight w:val="none"/>
                <w:u w:val="none"/>
                <w:shd w:val="clear" w:fill="FFFFFF"/>
                <w:vertAlign w:val="baseline"/>
                <w:lang w:val="en-US" w:eastAsia="zh-CN" w:bidi="ar"/>
              </w:rPr>
            </w:pPr>
            <w:r>
              <w:rPr>
                <w:rFonts w:hint="eastAsia" w:ascii="楷体_GB2312" w:hAnsi="楷体_GB2312" w:eastAsia="楷体_GB2312" w:cs="楷体_GB2312"/>
                <w:b/>
                <w:bCs/>
                <w:i w:val="0"/>
                <w:caps w:val="0"/>
                <w:color w:val="auto"/>
                <w:spacing w:val="0"/>
                <w:kern w:val="0"/>
                <w:sz w:val="21"/>
                <w:szCs w:val="21"/>
                <w:highlight w:val="none"/>
                <w:u w:val="none"/>
                <w:shd w:val="clear" w:fill="FFFFFF"/>
                <w:vertAlign w:val="baseline"/>
                <w:lang w:val="en-US" w:eastAsia="zh-CN" w:bidi="ar"/>
              </w:rPr>
              <w:t>科技服务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仿宋_GB2312" w:hAnsi="仿宋_GB2312" w:eastAsia="仿宋_GB2312" w:cs="仿宋_GB2312"/>
                <w:b w:val="0"/>
                <w:bCs w:val="0"/>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21"/>
                <w:szCs w:val="21"/>
                <w:highlight w:val="none"/>
                <w:u w:val="none"/>
                <w:shd w:val="clear" w:fill="FFFFFF"/>
                <w:vertAlign w:val="baseline"/>
                <w:lang w:val="en-US" w:eastAsia="zh-CN"/>
              </w:rPr>
              <w:t>13.1</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b w:val="0"/>
                <w:bCs w:val="0"/>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b w:val="0"/>
                <w:bCs w:val="0"/>
                <w:i w:val="0"/>
                <w:caps w:val="0"/>
                <w:color w:val="auto"/>
                <w:spacing w:val="0"/>
                <w:kern w:val="0"/>
                <w:sz w:val="21"/>
                <w:szCs w:val="21"/>
                <w:highlight w:val="none"/>
                <w:u w:val="none"/>
                <w:shd w:val="clear" w:fill="FFFFFF"/>
                <w:vertAlign w:val="baseline"/>
                <w:lang w:val="en-US" w:eastAsia="zh-CN" w:bidi="ar"/>
              </w:rPr>
              <w:t>科技创新平台、工程实验室等科学研究与试验发展服务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仿宋_GB2312" w:hAnsi="仿宋_GB2312" w:eastAsia="仿宋_GB2312" w:cs="仿宋_GB2312"/>
                <w:b w:val="0"/>
                <w:bCs w:val="0"/>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21"/>
                <w:szCs w:val="21"/>
                <w:highlight w:val="none"/>
                <w:u w:val="none"/>
                <w:shd w:val="clear" w:fill="FFFFFF"/>
                <w:vertAlign w:val="baseline"/>
                <w:lang w:val="en-US" w:eastAsia="zh-CN"/>
              </w:rPr>
              <w:t>13.2</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b w:val="0"/>
                <w:bCs w:val="0"/>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b w:val="0"/>
                <w:bCs w:val="0"/>
                <w:i w:val="0"/>
                <w:caps w:val="0"/>
                <w:color w:val="auto"/>
                <w:spacing w:val="0"/>
                <w:kern w:val="0"/>
                <w:sz w:val="21"/>
                <w:szCs w:val="21"/>
                <w:highlight w:val="none"/>
                <w:u w:val="none"/>
                <w:shd w:val="clear" w:fill="FFFFFF"/>
                <w:vertAlign w:val="baseline"/>
                <w:lang w:val="en-US" w:eastAsia="zh-CN" w:bidi="ar"/>
              </w:rPr>
              <w:t>专业化技术公共服务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tabs>
                <w:tab w:val="left" w:pos="275"/>
              </w:tabs>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仿宋_GB2312" w:hAnsi="仿宋_GB2312" w:eastAsia="仿宋_GB2312" w:cs="仿宋_GB2312"/>
                <w:b w:val="0"/>
                <w:bCs w:val="0"/>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21"/>
                <w:szCs w:val="21"/>
                <w:highlight w:val="none"/>
                <w:u w:val="none"/>
                <w:shd w:val="clear" w:fill="FFFFFF"/>
                <w:vertAlign w:val="baseline"/>
                <w:lang w:val="en-US" w:eastAsia="zh-CN"/>
              </w:rPr>
              <w:t>13.3</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b w:val="0"/>
                <w:bCs w:val="0"/>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b w:val="0"/>
                <w:bCs w:val="0"/>
                <w:i w:val="0"/>
                <w:caps w:val="0"/>
                <w:color w:val="auto"/>
                <w:spacing w:val="0"/>
                <w:kern w:val="0"/>
                <w:sz w:val="21"/>
                <w:szCs w:val="21"/>
                <w:highlight w:val="none"/>
                <w:u w:val="none"/>
                <w:shd w:val="clear" w:fill="FFFFFF"/>
                <w:vertAlign w:val="baseline"/>
                <w:lang w:val="en-US" w:eastAsia="zh-CN" w:bidi="ar"/>
              </w:rPr>
              <w:t>检验、检测、标准、认证和计量服务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仿宋_GB2312" w:hAnsi="仿宋_GB2312" w:eastAsia="仿宋_GB2312" w:cs="仿宋_GB2312"/>
                <w:b w:val="0"/>
                <w:bCs w:val="0"/>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21"/>
                <w:szCs w:val="21"/>
                <w:highlight w:val="none"/>
                <w:u w:val="none"/>
                <w:shd w:val="clear" w:fill="FFFFFF"/>
                <w:vertAlign w:val="baseline"/>
                <w:lang w:val="en-US" w:eastAsia="zh-CN"/>
              </w:rPr>
              <w:t>13.4</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b w:val="0"/>
                <w:bCs w:val="0"/>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b w:val="0"/>
                <w:bCs w:val="0"/>
                <w:i w:val="0"/>
                <w:caps w:val="0"/>
                <w:color w:val="auto"/>
                <w:spacing w:val="0"/>
                <w:kern w:val="0"/>
                <w:sz w:val="21"/>
                <w:szCs w:val="21"/>
                <w:highlight w:val="none"/>
                <w:u w:val="none"/>
                <w:shd w:val="clear" w:fill="FFFFFF"/>
                <w:vertAlign w:val="baseline"/>
                <w:lang w:val="en-US" w:eastAsia="zh-CN" w:bidi="ar"/>
              </w:rPr>
              <w:t>工程技术服务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pPr>
            <w:r>
              <w:rPr>
                <w:rFonts w:hint="eastAsia" w:ascii="楷体_GB2312" w:hAnsi="楷体_GB2312" w:eastAsia="楷体_GB2312" w:cs="楷体_GB2312"/>
                <w:b/>
                <w:bCs/>
                <w:i w:val="0"/>
                <w:caps w:val="0"/>
                <w:color w:val="auto"/>
                <w:spacing w:val="0"/>
                <w:sz w:val="21"/>
                <w:szCs w:val="21"/>
                <w:highlight w:val="none"/>
                <w:u w:val="none"/>
                <w:shd w:val="clear" w:fill="FFFFFF"/>
                <w:vertAlign w:val="baseline"/>
                <w:lang w:val="en-US" w:eastAsia="zh-CN"/>
              </w:rPr>
              <w:t>14</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bCs/>
                <w:i w:val="0"/>
                <w:caps w:val="0"/>
                <w:color w:val="auto"/>
                <w:spacing w:val="0"/>
                <w:kern w:val="0"/>
                <w:sz w:val="21"/>
                <w:szCs w:val="21"/>
                <w:highlight w:val="none"/>
                <w:u w:val="none"/>
                <w:shd w:val="clear" w:fill="FFFFFF"/>
                <w:vertAlign w:val="baseline"/>
                <w:lang w:val="en-US" w:eastAsia="zh-CN" w:bidi="ar"/>
              </w:rPr>
            </w:pPr>
            <w:r>
              <w:rPr>
                <w:rFonts w:hint="eastAsia" w:ascii="楷体_GB2312" w:hAnsi="楷体_GB2312" w:eastAsia="楷体_GB2312" w:cs="楷体_GB2312"/>
                <w:b/>
                <w:bCs/>
                <w:i w:val="0"/>
                <w:caps w:val="0"/>
                <w:color w:val="auto"/>
                <w:spacing w:val="0"/>
                <w:kern w:val="0"/>
                <w:sz w:val="21"/>
                <w:szCs w:val="21"/>
                <w:highlight w:val="none"/>
                <w:u w:val="none"/>
                <w:shd w:val="clear" w:fill="FFFFFF"/>
                <w:vertAlign w:val="baseline"/>
                <w:lang w:val="en-US" w:eastAsia="zh-CN" w:bidi="ar"/>
              </w:rPr>
              <w:t>相关服务业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14.1</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商务服务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14.2</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文旅休闲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14.3</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健康养老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14.4</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 xml:space="preserve">教育培训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14.5</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 xml:space="preserve">影视产业及影视文化制作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bottom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 xml:space="preserve">14.6 </w:t>
            </w:r>
          </w:p>
        </w:tc>
        <w:tc>
          <w:tcPr>
            <w:tcW w:w="7345" w:type="dxa"/>
            <w:tcBorders>
              <w:top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体育赛事产业及电子竞技类产业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top w:val="nil"/>
              <w:left w:val="nil"/>
            </w:tcBorders>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default" w:ascii="仿宋_GB2312" w:hAnsi="仿宋_GB2312" w:eastAsia="仿宋_GB2312" w:cs="仿宋_GB2312"/>
                <w:i w:val="0"/>
                <w:caps w:val="0"/>
                <w:color w:val="auto"/>
                <w:spacing w:val="0"/>
                <w:sz w:val="21"/>
                <w:szCs w:val="21"/>
                <w:highlight w:val="none"/>
                <w:u w:val="none"/>
                <w:shd w:val="clear" w:fill="FFFFFF"/>
                <w:vertAlign w:val="baseline"/>
                <w:lang w:val="en-US" w:eastAsia="zh-CN"/>
              </w:rPr>
            </w:pPr>
            <w:r>
              <w:rPr>
                <w:rFonts w:hint="eastAsia" w:ascii="仿宋_GB2312" w:hAnsi="仿宋_GB2312" w:eastAsia="仿宋_GB2312" w:cs="仿宋_GB2312"/>
                <w:i w:val="0"/>
                <w:caps w:val="0"/>
                <w:color w:val="auto"/>
                <w:spacing w:val="0"/>
                <w:sz w:val="21"/>
                <w:szCs w:val="21"/>
                <w:highlight w:val="none"/>
                <w:u w:val="none"/>
                <w:shd w:val="clear" w:fill="FFFFFF"/>
                <w:vertAlign w:val="baseline"/>
                <w:lang w:val="en-US" w:eastAsia="zh-CN"/>
              </w:rPr>
              <w:t>14.7</w:t>
            </w:r>
          </w:p>
        </w:tc>
        <w:tc>
          <w:tcPr>
            <w:tcW w:w="7345" w:type="dxa"/>
            <w:tcBorders>
              <w:top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pPr>
            <w:r>
              <w:rPr>
                <w:rFonts w:hint="eastAsia" w:ascii="仿宋_GB2312" w:hAnsi="仿宋_GB2312" w:eastAsia="仿宋_GB2312" w:cs="仿宋_GB2312"/>
                <w:i w:val="0"/>
                <w:caps w:val="0"/>
                <w:color w:val="auto"/>
                <w:spacing w:val="0"/>
                <w:kern w:val="0"/>
                <w:sz w:val="21"/>
                <w:szCs w:val="21"/>
                <w:highlight w:val="none"/>
                <w:u w:val="none"/>
                <w:shd w:val="clear" w:fill="FFFFFF"/>
                <w:vertAlign w:val="baseline"/>
                <w:lang w:val="en-US" w:eastAsia="zh-CN" w:bidi="ar"/>
              </w:rPr>
              <w:t>其他相关服务</w:t>
            </w:r>
          </w:p>
        </w:tc>
      </w:tr>
    </w:tbl>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eastAsia" w:ascii="楷体_GB2312" w:hAnsi="楷体_GB2312" w:eastAsia="楷体_GB2312" w:cs="楷体_GB2312"/>
          <w:i w:val="0"/>
          <w:caps w:val="0"/>
          <w:color w:val="auto"/>
          <w:spacing w:val="0"/>
          <w:sz w:val="32"/>
          <w:szCs w:val="32"/>
          <w:highlight w:val="none"/>
          <w:u w:val="none"/>
          <w:shd w:val="clear" w:fill="FFFFFF"/>
          <w:lang w:val="en-US" w:eastAsia="zh-CN"/>
        </w:rPr>
      </w:pPr>
      <w:r>
        <w:rPr>
          <w:rFonts w:hint="eastAsia" w:ascii="楷体_GB2312" w:hAnsi="楷体_GB2312" w:eastAsia="楷体_GB2312" w:cs="楷体_GB2312"/>
          <w:i w:val="0"/>
          <w:caps w:val="0"/>
          <w:color w:val="auto"/>
          <w:spacing w:val="0"/>
          <w:sz w:val="32"/>
          <w:szCs w:val="32"/>
          <w:highlight w:val="none"/>
          <w:u w:val="none"/>
          <w:shd w:val="clear" w:fill="FFFFFF"/>
          <w:lang w:val="en-US" w:eastAsia="zh-CN"/>
        </w:rPr>
        <w:t>（二）鼓励发展类产业</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鼓励发展产业是指符合省、市产业定位的传统优势产业，在航空港实验区具有一定的产业基础和</w:t>
      </w:r>
      <w:r>
        <w:rPr>
          <w:rFonts w:hint="eastAsia" w:ascii="仿宋_GB2312" w:hAnsi="仿宋_GB2312" w:eastAsia="仿宋_GB2312" w:cs="仿宋_GB2312"/>
          <w:color w:val="auto"/>
          <w:sz w:val="32"/>
          <w:szCs w:val="32"/>
          <w:highlight w:val="none"/>
          <w:u w:val="none"/>
        </w:rPr>
        <w:t>转型升级</w:t>
      </w:r>
      <w:r>
        <w:rPr>
          <w:rFonts w:hint="eastAsia" w:ascii="仿宋_GB2312" w:hAnsi="仿宋_GB2312" w:eastAsia="仿宋_GB2312" w:cs="仿宋_GB2312"/>
          <w:color w:val="auto"/>
          <w:sz w:val="32"/>
          <w:szCs w:val="32"/>
          <w:highlight w:val="none"/>
          <w:u w:val="none"/>
          <w:lang w:eastAsia="zh-CN"/>
        </w:rPr>
        <w:t>潜力的</w:t>
      </w:r>
      <w:r>
        <w:rPr>
          <w:rFonts w:hint="eastAsia" w:ascii="仿宋_GB2312" w:hAnsi="仿宋_GB2312" w:eastAsia="仿宋_GB2312" w:cs="仿宋_GB2312"/>
          <w:color w:val="auto"/>
          <w:sz w:val="32"/>
          <w:szCs w:val="32"/>
          <w:highlight w:val="none"/>
          <w:u w:val="none"/>
        </w:rPr>
        <w:t>传统工业企业</w:t>
      </w:r>
      <w:r>
        <w:rPr>
          <w:rFonts w:hint="eastAsia" w:ascii="仿宋_GB2312" w:hAnsi="仿宋_GB2312" w:eastAsia="仿宋_GB2312" w:cs="仿宋_GB2312"/>
          <w:color w:val="auto"/>
          <w:sz w:val="32"/>
          <w:szCs w:val="32"/>
          <w:highlight w:val="none"/>
          <w:u w:val="none"/>
          <w:lang w:eastAsia="zh-CN"/>
        </w:rPr>
        <w:t>，在</w:t>
      </w: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符合能评、环评和相关国家政策的前提下，</w:t>
      </w:r>
      <w:r>
        <w:rPr>
          <w:rFonts w:hint="eastAsia" w:ascii="仿宋_GB2312" w:hAnsi="仿宋_GB2312" w:eastAsia="仿宋_GB2312" w:cs="仿宋_GB2312"/>
          <w:color w:val="auto"/>
          <w:sz w:val="32"/>
          <w:szCs w:val="32"/>
          <w:highlight w:val="none"/>
          <w:u w:val="none"/>
          <w:lang w:eastAsia="zh-CN"/>
        </w:rPr>
        <w:t>可以</w:t>
      </w:r>
      <w:r>
        <w:rPr>
          <w:rFonts w:hint="eastAsia" w:ascii="仿宋_GB2312" w:hAnsi="仿宋_GB2312" w:eastAsia="仿宋_GB2312" w:cs="仿宋_GB2312"/>
          <w:color w:val="auto"/>
          <w:sz w:val="32"/>
          <w:szCs w:val="32"/>
          <w:highlight w:val="none"/>
          <w:u w:val="none"/>
        </w:rPr>
        <w:t>完善产业指导目录的覆盖面</w:t>
      </w:r>
      <w:r>
        <w:rPr>
          <w:rFonts w:hint="eastAsia" w:ascii="仿宋_GB2312" w:hAnsi="仿宋_GB2312" w:eastAsia="仿宋_GB2312" w:cs="仿宋_GB2312"/>
          <w:color w:val="auto"/>
          <w:sz w:val="32"/>
          <w:szCs w:val="32"/>
          <w:highlight w:val="none"/>
          <w:u w:val="none"/>
          <w:lang w:eastAsia="zh-CN"/>
        </w:rPr>
        <w:t>。原则上鼓励发展类项目应具备以下条件：</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仿宋_GB2312" w:hAnsi="仿宋_GB2312" w:eastAsia="仿宋_GB2312" w:cs="仿宋_GB2312"/>
          <w:i w:val="0"/>
          <w:caps w:val="0"/>
          <w:color w:val="auto"/>
          <w:spacing w:val="0"/>
          <w:sz w:val="32"/>
          <w:szCs w:val="32"/>
          <w:highlight w:val="none"/>
          <w:u w:val="none"/>
          <w:shd w:val="clear" w:fill="FFFFFF"/>
          <w:lang w:val="en-US" w:eastAsia="zh-CN"/>
        </w:rPr>
      </w:pP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1.符合航空港实验区主导产业的配套产业项目。</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lang w:val="en-US" w:eastAsia="zh-CN"/>
        </w:rPr>
      </w:pP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2.总投资和营业收入达到一定规模的优势传统产业项目。</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lang w:val="en-US" w:eastAsia="zh-CN"/>
        </w:rPr>
      </w:pP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3.航空港实验区现有投产达产非淘汰类的产业项目。</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lang w:val="en-US" w:eastAsia="zh-CN"/>
        </w:rPr>
      </w:pP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4.经批准入园的中小微企业产业项目。</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lang w:val="en-US" w:eastAsia="zh-CN"/>
        </w:rPr>
      </w:pP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5.经管委会研究批准入区的产业项目。</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lang w:val="en-US" w:eastAsia="zh-CN"/>
        </w:rPr>
      </w:pP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 xml:space="preserve">对行业龙头企业或发展潜力好的高新技术、专精特新企业参照优先发展类予以同等支持。                                                  </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eastAsia" w:ascii="楷体_GB2312" w:hAnsi="楷体_GB2312" w:eastAsia="楷体_GB2312" w:cs="楷体_GB2312"/>
          <w:i w:val="0"/>
          <w:caps w:val="0"/>
          <w:color w:val="auto"/>
          <w:spacing w:val="0"/>
          <w:sz w:val="32"/>
          <w:szCs w:val="32"/>
          <w:highlight w:val="none"/>
          <w:u w:val="none"/>
          <w:shd w:val="clear" w:fill="FFFFFF"/>
          <w:lang w:val="en-US" w:eastAsia="zh-CN"/>
        </w:rPr>
      </w:pPr>
      <w:r>
        <w:rPr>
          <w:rFonts w:hint="eastAsia" w:ascii="楷体_GB2312" w:hAnsi="楷体_GB2312" w:eastAsia="楷体_GB2312" w:cs="楷体_GB2312"/>
          <w:i w:val="0"/>
          <w:caps w:val="0"/>
          <w:color w:val="auto"/>
          <w:spacing w:val="0"/>
          <w:sz w:val="32"/>
          <w:szCs w:val="32"/>
          <w:highlight w:val="none"/>
          <w:u w:val="none"/>
          <w:shd w:val="clear" w:fill="FFFFFF"/>
          <w:lang w:val="en-US" w:eastAsia="zh-CN"/>
        </w:rPr>
        <w:t>（三）地产类产业</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lang w:val="en-US" w:eastAsia="zh-CN"/>
        </w:rPr>
      </w:pP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产业地产是区域经济发展、产业调整和升级的重要聚集形式，担负着聚集创新资源、培育新兴产业、推动城市化建设的使命，决定了航空港实验区的发展方向和品位，原则上应具备以下条件：</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lang w:val="en-US" w:eastAsia="zh-CN"/>
        </w:rPr>
      </w:pP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1.项目的投资主体须为国有投资平台公司或经管委会同意的全国知名产业园投资主体。</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lang w:val="en-US" w:eastAsia="zh-CN"/>
        </w:rPr>
      </w:pP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2.项目方的物业自持比例原则上不低于30％，自持部分五年内不得私自进行物业转租或出售，经航空港实验区管委会研究同意，且报产业准入管理部门备案的除外。</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eastAsia" w:ascii="黑体" w:hAnsi="黑体" w:eastAsia="黑体" w:cs="黑体"/>
          <w:i w:val="0"/>
          <w:caps w:val="0"/>
          <w:color w:val="auto"/>
          <w:spacing w:val="0"/>
          <w:sz w:val="32"/>
          <w:szCs w:val="32"/>
          <w:highlight w:val="none"/>
          <w:u w:val="none"/>
          <w:shd w:val="clear" w:fill="FFFFFF"/>
          <w:lang w:val="en-US" w:eastAsia="zh-CN"/>
        </w:rPr>
      </w:pPr>
      <w:r>
        <w:rPr>
          <w:rFonts w:hint="eastAsia" w:ascii="黑体" w:hAnsi="黑体" w:eastAsia="黑体" w:cs="黑体"/>
          <w:i w:val="0"/>
          <w:caps w:val="0"/>
          <w:color w:val="auto"/>
          <w:spacing w:val="0"/>
          <w:sz w:val="32"/>
          <w:szCs w:val="32"/>
          <w:highlight w:val="none"/>
          <w:u w:val="none"/>
          <w:shd w:val="clear" w:fill="FFFFFF"/>
          <w:lang w:val="en-US" w:eastAsia="zh-CN"/>
        </w:rPr>
        <w:t>二、准入条件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rPr>
        <w:t>本准入条件坚持质量第一、效益优先，对标国内外经济发达地区、先进园区，</w:t>
      </w:r>
      <w:r>
        <w:rPr>
          <w:rFonts w:hint="eastAsia" w:ascii="仿宋_GB2312" w:hAnsi="仿宋_GB2312" w:eastAsia="仿宋_GB2312" w:cs="仿宋_GB2312"/>
          <w:i w:val="0"/>
          <w:caps w:val="0"/>
          <w:color w:val="auto"/>
          <w:spacing w:val="0"/>
          <w:sz w:val="32"/>
          <w:szCs w:val="32"/>
          <w:highlight w:val="none"/>
          <w:u w:val="none"/>
          <w:shd w:val="clear" w:fill="FFFFFF"/>
          <w:lang w:eastAsia="zh-CN"/>
        </w:rPr>
        <w:t>加强单独供地项目管理，</w:t>
      </w:r>
      <w:r>
        <w:rPr>
          <w:rFonts w:hint="eastAsia" w:ascii="仿宋_GB2312" w:hAnsi="仿宋_GB2312" w:eastAsia="仿宋_GB2312" w:cs="仿宋_GB2312"/>
          <w:i w:val="0"/>
          <w:caps w:val="0"/>
          <w:color w:val="auto"/>
          <w:spacing w:val="0"/>
          <w:sz w:val="32"/>
          <w:szCs w:val="32"/>
          <w:highlight w:val="none"/>
          <w:u w:val="none"/>
          <w:shd w:val="clear" w:fill="FFFFFF"/>
        </w:rPr>
        <w:t>严格市场准入，将航空港实验区率先建设成为高质量发展的先行区。</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eastAsia" w:ascii="楷体_GB2312" w:hAnsi="楷体_GB2312" w:eastAsia="楷体_GB2312" w:cs="楷体_GB2312"/>
          <w:i w:val="0"/>
          <w:caps w:val="0"/>
          <w:color w:val="auto"/>
          <w:spacing w:val="0"/>
          <w:sz w:val="32"/>
          <w:szCs w:val="32"/>
          <w:highlight w:val="none"/>
          <w:u w:val="none"/>
          <w:shd w:val="clear" w:fill="FFFFFF"/>
          <w:lang w:eastAsia="zh-CN"/>
        </w:rPr>
      </w:pPr>
      <w:r>
        <w:rPr>
          <w:rFonts w:hint="eastAsia" w:ascii="楷体_GB2312" w:hAnsi="楷体_GB2312" w:eastAsia="楷体_GB2312" w:cs="楷体_GB2312"/>
          <w:i w:val="0"/>
          <w:caps w:val="0"/>
          <w:color w:val="auto"/>
          <w:spacing w:val="0"/>
          <w:sz w:val="32"/>
          <w:szCs w:val="32"/>
          <w:highlight w:val="none"/>
          <w:u w:val="none"/>
          <w:shd w:val="clear" w:fill="FFFFFF"/>
          <w:lang w:eastAsia="zh-CN"/>
        </w:rPr>
        <w:t>（一）基本条件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rPr>
        <w:t>1.项目引进必须符合国家、省、市有关法律、法规、规章、规范标准和有关政策规定，符合航空港实验区总体规划、各类专项规划、发展目标、功能定位、产业布局、节约集约用地、节能环保等相关要求。</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lang w:eastAsia="zh-CN"/>
        </w:rPr>
      </w:pP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2</w:t>
      </w:r>
      <w:r>
        <w:rPr>
          <w:rFonts w:hint="eastAsia" w:ascii="仿宋_GB2312" w:hAnsi="仿宋_GB2312" w:eastAsia="仿宋_GB2312" w:cs="仿宋_GB2312"/>
          <w:i w:val="0"/>
          <w:caps w:val="0"/>
          <w:color w:val="auto"/>
          <w:spacing w:val="0"/>
          <w:sz w:val="32"/>
          <w:szCs w:val="32"/>
          <w:highlight w:val="none"/>
          <w:u w:val="none"/>
          <w:shd w:val="clear" w:fill="FFFFFF"/>
        </w:rPr>
        <w:t>.凡拟选址入驻航空港实验区的项目，</w:t>
      </w:r>
      <w:r>
        <w:rPr>
          <w:rFonts w:hint="eastAsia" w:ascii="仿宋_GB2312" w:hAnsi="仿宋_GB2312" w:eastAsia="仿宋_GB2312" w:cs="仿宋_GB2312"/>
          <w:i w:val="0"/>
          <w:caps w:val="0"/>
          <w:color w:val="auto"/>
          <w:spacing w:val="0"/>
          <w:sz w:val="32"/>
          <w:szCs w:val="32"/>
          <w:highlight w:val="none"/>
          <w:u w:val="none"/>
          <w:shd w:val="clear" w:fill="FFFFFF"/>
          <w:lang w:eastAsia="zh-CN"/>
        </w:rPr>
        <w:t>原则上实施主体应为</w:t>
      </w:r>
      <w:r>
        <w:rPr>
          <w:rFonts w:hint="eastAsia" w:ascii="仿宋_GB2312" w:hAnsi="仿宋_GB2312" w:eastAsia="仿宋_GB2312" w:cs="仿宋_GB2312"/>
          <w:i w:val="0"/>
          <w:caps w:val="0"/>
          <w:color w:val="auto"/>
          <w:spacing w:val="0"/>
          <w:sz w:val="32"/>
          <w:szCs w:val="32"/>
          <w:highlight w:val="none"/>
          <w:u w:val="none"/>
          <w:shd w:val="clear" w:fill="FFFFFF"/>
        </w:rPr>
        <w:t>独立核算、统计和纳税的法人企业。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3</w:t>
      </w:r>
      <w:r>
        <w:rPr>
          <w:rFonts w:hint="eastAsia" w:ascii="仿宋_GB2312" w:hAnsi="仿宋_GB2312" w:eastAsia="仿宋_GB2312" w:cs="仿宋_GB2312"/>
          <w:i w:val="0"/>
          <w:caps w:val="0"/>
          <w:color w:val="auto"/>
          <w:spacing w:val="0"/>
          <w:sz w:val="32"/>
          <w:szCs w:val="32"/>
          <w:highlight w:val="none"/>
          <w:u w:val="none"/>
          <w:shd w:val="clear" w:fill="FFFFFF"/>
        </w:rPr>
        <w:t>.凡拟选址入驻航空港实验区的项目，相关准入标准资料必须为项目申报单位专有（股份制企业以控股单位为准），其他均不包括在内。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仿宋_GB2312" w:hAnsi="仿宋_GB2312" w:eastAsia="仿宋_GB2312" w:cs="仿宋_GB2312"/>
          <w:i w:val="0"/>
          <w:caps w:val="0"/>
          <w:color w:val="auto"/>
          <w:spacing w:val="0"/>
          <w:sz w:val="32"/>
          <w:szCs w:val="32"/>
          <w:highlight w:val="none"/>
          <w:u w:val="none"/>
          <w:shd w:val="clear" w:fill="FFFFFF"/>
          <w:lang w:val="en-US" w:eastAsia="zh-CN"/>
        </w:rPr>
      </w:pP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4.投资规模。工业项目原则上不低于1亿元，航空金融项目原则上不低于1亿元，航空物流项目原则上不低于3亿元，总部经济项目、科技服务项目、文旅商贸种的商业综合体项目和城市综合体项目原则上不低于5亿元，其他服务业类产业项目原则上不低于8000万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5.</w:t>
      </w:r>
      <w:r>
        <w:rPr>
          <w:rFonts w:hint="eastAsia" w:ascii="仿宋_GB2312" w:hAnsi="仿宋_GB2312" w:eastAsia="仿宋_GB2312" w:cs="仿宋_GB2312"/>
          <w:i w:val="0"/>
          <w:caps w:val="0"/>
          <w:color w:val="auto"/>
          <w:spacing w:val="0"/>
          <w:sz w:val="32"/>
          <w:szCs w:val="32"/>
          <w:highlight w:val="none"/>
          <w:u w:val="none"/>
          <w:shd w:val="clear" w:fill="FFFFFF"/>
        </w:rPr>
        <w:t>投资强度。采用“亩均固定资产投资”衡量。工业项目原则上不低于</w:t>
      </w: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300</w:t>
      </w:r>
      <w:r>
        <w:rPr>
          <w:rFonts w:hint="eastAsia" w:ascii="仿宋_GB2312" w:hAnsi="仿宋_GB2312" w:eastAsia="仿宋_GB2312" w:cs="仿宋_GB2312"/>
          <w:i w:val="0"/>
          <w:caps w:val="0"/>
          <w:color w:val="auto"/>
          <w:spacing w:val="0"/>
          <w:sz w:val="32"/>
          <w:szCs w:val="32"/>
          <w:highlight w:val="none"/>
          <w:u w:val="none"/>
          <w:shd w:val="clear" w:fill="FFFFFF"/>
        </w:rPr>
        <w:t>万</w:t>
      </w:r>
      <w:r>
        <w:rPr>
          <w:rFonts w:hint="eastAsia" w:ascii="仿宋_GB2312" w:hAnsi="仿宋_GB2312" w:eastAsia="仿宋_GB2312" w:cs="仿宋_GB2312"/>
          <w:i w:val="0"/>
          <w:caps w:val="0"/>
          <w:color w:val="auto"/>
          <w:spacing w:val="0"/>
          <w:sz w:val="32"/>
          <w:szCs w:val="32"/>
          <w:highlight w:val="none"/>
          <w:u w:val="none"/>
          <w:shd w:val="clear" w:fill="FFFFFF"/>
          <w:lang w:eastAsia="zh-CN"/>
        </w:rPr>
        <w:t>元</w:t>
      </w:r>
      <w:r>
        <w:rPr>
          <w:rFonts w:hint="eastAsia" w:ascii="仿宋_GB2312" w:hAnsi="仿宋_GB2312" w:eastAsia="仿宋_GB2312" w:cs="仿宋_GB2312"/>
          <w:i w:val="0"/>
          <w:caps w:val="0"/>
          <w:color w:val="auto"/>
          <w:spacing w:val="0"/>
          <w:sz w:val="32"/>
          <w:szCs w:val="32"/>
          <w:highlight w:val="none"/>
          <w:u w:val="none"/>
          <w:shd w:val="clear" w:fill="FFFFFF"/>
        </w:rPr>
        <w:t>/亩</w:t>
      </w:r>
      <w:r>
        <w:rPr>
          <w:rFonts w:hint="eastAsia" w:ascii="仿宋_GB2312" w:hAnsi="仿宋_GB2312" w:eastAsia="仿宋_GB2312" w:cs="仿宋_GB2312"/>
          <w:i w:val="0"/>
          <w:caps w:val="0"/>
          <w:color w:val="auto"/>
          <w:spacing w:val="0"/>
          <w:sz w:val="32"/>
          <w:szCs w:val="32"/>
          <w:highlight w:val="none"/>
          <w:u w:val="none"/>
          <w:shd w:val="clear" w:fill="FFFFFF"/>
          <w:lang w:eastAsia="zh-CN"/>
        </w:rPr>
        <w:t>，</w:t>
      </w:r>
      <w:r>
        <w:rPr>
          <w:rFonts w:hint="eastAsia" w:ascii="仿宋_GB2312" w:hAnsi="仿宋_GB2312" w:eastAsia="仿宋_GB2312" w:cs="仿宋_GB2312"/>
          <w:i w:val="0"/>
          <w:caps w:val="0"/>
          <w:color w:val="auto"/>
          <w:spacing w:val="0"/>
          <w:sz w:val="32"/>
          <w:szCs w:val="32"/>
          <w:highlight w:val="none"/>
          <w:u w:val="none"/>
          <w:shd w:val="clear" w:fill="FFFFFF"/>
        </w:rPr>
        <w:t>航空物流类产业项目原则上不低于350万元／亩，总部经济项目、文旅商贸中的商业综合体项目和城市综合体项目原则上不低于1000万元／亩，科技服务项目原则上不低于500万元／亩，其他服务业类产业项目原则上不低于350万元／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6.</w:t>
      </w:r>
      <w:r>
        <w:rPr>
          <w:rFonts w:hint="eastAsia" w:ascii="仿宋_GB2312" w:hAnsi="仿宋_GB2312" w:eastAsia="仿宋_GB2312" w:cs="仿宋_GB2312"/>
          <w:i w:val="0"/>
          <w:caps w:val="0"/>
          <w:color w:val="auto"/>
          <w:spacing w:val="0"/>
          <w:sz w:val="32"/>
          <w:szCs w:val="32"/>
          <w:highlight w:val="none"/>
          <w:u w:val="none"/>
          <w:shd w:val="clear" w:fill="FFFFFF"/>
        </w:rPr>
        <w:t>产出强度。采用“亩均销售（营业）收入”衡量。工业项目原则上不低于</w:t>
      </w: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600</w:t>
      </w:r>
      <w:r>
        <w:rPr>
          <w:rFonts w:hint="eastAsia" w:ascii="仿宋_GB2312" w:hAnsi="仿宋_GB2312" w:eastAsia="仿宋_GB2312" w:cs="仿宋_GB2312"/>
          <w:i w:val="0"/>
          <w:caps w:val="0"/>
          <w:color w:val="auto"/>
          <w:spacing w:val="0"/>
          <w:sz w:val="32"/>
          <w:szCs w:val="32"/>
          <w:highlight w:val="none"/>
          <w:u w:val="none"/>
          <w:shd w:val="clear" w:fill="FFFFFF"/>
        </w:rPr>
        <w:t>万元/亩</w:t>
      </w:r>
      <w:r>
        <w:rPr>
          <w:rFonts w:hint="eastAsia" w:ascii="仿宋_GB2312" w:hAnsi="仿宋_GB2312" w:eastAsia="仿宋_GB2312" w:cs="仿宋_GB2312"/>
          <w:i w:val="0"/>
          <w:caps w:val="0"/>
          <w:color w:val="auto"/>
          <w:spacing w:val="0"/>
          <w:sz w:val="32"/>
          <w:szCs w:val="32"/>
          <w:highlight w:val="none"/>
          <w:u w:val="none"/>
          <w:shd w:val="clear" w:fill="FFFFFF"/>
          <w:lang w:eastAsia="zh-CN"/>
        </w:rPr>
        <w:t>，</w:t>
      </w:r>
      <w:r>
        <w:rPr>
          <w:rFonts w:hint="eastAsia" w:ascii="仿宋_GB2312" w:hAnsi="仿宋_GB2312" w:eastAsia="仿宋_GB2312" w:cs="仿宋_GB2312"/>
          <w:i w:val="0"/>
          <w:caps w:val="0"/>
          <w:color w:val="auto"/>
          <w:spacing w:val="0"/>
          <w:sz w:val="32"/>
          <w:szCs w:val="32"/>
          <w:highlight w:val="none"/>
          <w:u w:val="none"/>
          <w:shd w:val="clear" w:fill="FFFFFF"/>
        </w:rPr>
        <w:t>航空物流类产业项目原则上不低于400万元／亩，总部经济项目、文旅商贸中的商业综合体项目和城市综合体项目原则上不低于800万元／亩，科技服务项目原则上不低于800万元／亩，其他服务业类产业项目原则上不低于400万元／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7.</w:t>
      </w:r>
      <w:r>
        <w:rPr>
          <w:rFonts w:hint="eastAsia" w:ascii="仿宋_GB2312" w:hAnsi="仿宋_GB2312" w:eastAsia="仿宋_GB2312" w:cs="仿宋_GB2312"/>
          <w:i w:val="0"/>
          <w:caps w:val="0"/>
          <w:color w:val="auto"/>
          <w:spacing w:val="0"/>
          <w:sz w:val="32"/>
          <w:szCs w:val="32"/>
          <w:highlight w:val="none"/>
          <w:u w:val="none"/>
          <w:shd w:val="clear" w:fill="FFFFFF"/>
        </w:rPr>
        <w:t>税收贡献。采用“亩均税收”衡量。工业项目原则上不低于</w:t>
      </w: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20</w:t>
      </w:r>
      <w:r>
        <w:rPr>
          <w:rFonts w:hint="eastAsia" w:ascii="仿宋_GB2312" w:hAnsi="仿宋_GB2312" w:eastAsia="仿宋_GB2312" w:cs="仿宋_GB2312"/>
          <w:i w:val="0"/>
          <w:caps w:val="0"/>
          <w:color w:val="auto"/>
          <w:spacing w:val="0"/>
          <w:sz w:val="32"/>
          <w:szCs w:val="32"/>
          <w:highlight w:val="none"/>
          <w:u w:val="none"/>
          <w:shd w:val="clear" w:fill="FFFFFF"/>
        </w:rPr>
        <w:t>万元/亩</w:t>
      </w:r>
      <w:r>
        <w:rPr>
          <w:rFonts w:hint="eastAsia" w:ascii="仿宋_GB2312" w:hAnsi="仿宋_GB2312" w:eastAsia="仿宋_GB2312" w:cs="仿宋_GB2312"/>
          <w:i w:val="0"/>
          <w:caps w:val="0"/>
          <w:color w:val="auto"/>
          <w:spacing w:val="0"/>
          <w:sz w:val="32"/>
          <w:szCs w:val="32"/>
          <w:highlight w:val="none"/>
          <w:u w:val="none"/>
          <w:shd w:val="clear" w:fill="FFFFFF"/>
          <w:lang w:eastAsia="zh-CN"/>
        </w:rPr>
        <w:t>，</w:t>
      </w:r>
      <w:r>
        <w:rPr>
          <w:rFonts w:hint="eastAsia" w:ascii="仿宋_GB2312" w:hAnsi="仿宋_GB2312" w:eastAsia="仿宋_GB2312" w:cs="仿宋_GB2312"/>
          <w:i w:val="0"/>
          <w:caps w:val="0"/>
          <w:color w:val="auto"/>
          <w:spacing w:val="0"/>
          <w:sz w:val="32"/>
          <w:szCs w:val="32"/>
          <w:highlight w:val="none"/>
          <w:u w:val="none"/>
          <w:shd w:val="clear" w:fill="FFFFFF"/>
        </w:rPr>
        <w:t>航空物流类产业项目原则上不低于30万元</w:t>
      </w: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w:t>
      </w:r>
      <w:r>
        <w:rPr>
          <w:rFonts w:hint="eastAsia" w:ascii="仿宋_GB2312" w:hAnsi="仿宋_GB2312" w:eastAsia="仿宋_GB2312" w:cs="仿宋_GB2312"/>
          <w:i w:val="0"/>
          <w:caps w:val="0"/>
          <w:color w:val="auto"/>
          <w:spacing w:val="0"/>
          <w:sz w:val="32"/>
          <w:szCs w:val="32"/>
          <w:highlight w:val="none"/>
          <w:u w:val="none"/>
          <w:shd w:val="clear" w:fill="FFFFFF"/>
        </w:rPr>
        <w:t>亩，总部经济项目、文旅商贸中的商业综合体项目和城市综合体项目原则上不低于50万元</w:t>
      </w: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w:t>
      </w:r>
      <w:r>
        <w:rPr>
          <w:rFonts w:hint="eastAsia" w:ascii="仿宋_GB2312" w:hAnsi="仿宋_GB2312" w:eastAsia="仿宋_GB2312" w:cs="仿宋_GB2312"/>
          <w:i w:val="0"/>
          <w:caps w:val="0"/>
          <w:color w:val="auto"/>
          <w:spacing w:val="0"/>
          <w:sz w:val="32"/>
          <w:szCs w:val="32"/>
          <w:highlight w:val="none"/>
          <w:u w:val="none"/>
          <w:shd w:val="clear" w:fill="FFFFFF"/>
        </w:rPr>
        <w:t>亩，科技服务项目原则上不低于40万元</w:t>
      </w: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w:t>
      </w:r>
      <w:r>
        <w:rPr>
          <w:rFonts w:hint="eastAsia" w:ascii="仿宋_GB2312" w:hAnsi="仿宋_GB2312" w:eastAsia="仿宋_GB2312" w:cs="仿宋_GB2312"/>
          <w:i w:val="0"/>
          <w:caps w:val="0"/>
          <w:color w:val="auto"/>
          <w:spacing w:val="0"/>
          <w:sz w:val="32"/>
          <w:szCs w:val="32"/>
          <w:highlight w:val="none"/>
          <w:u w:val="none"/>
          <w:shd w:val="clear" w:fill="FFFFFF"/>
        </w:rPr>
        <w:t>亩，其他服务业类产业项目原则上不低于30万元</w:t>
      </w: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w:t>
      </w:r>
      <w:r>
        <w:rPr>
          <w:rFonts w:hint="eastAsia" w:ascii="仿宋_GB2312" w:hAnsi="仿宋_GB2312" w:eastAsia="仿宋_GB2312" w:cs="仿宋_GB2312"/>
          <w:i w:val="0"/>
          <w:caps w:val="0"/>
          <w:color w:val="auto"/>
          <w:spacing w:val="0"/>
          <w:sz w:val="32"/>
          <w:szCs w:val="32"/>
          <w:highlight w:val="none"/>
          <w:u w:val="none"/>
          <w:shd w:val="clear" w:fill="FFFFFF"/>
        </w:rPr>
        <w:t>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8.</w:t>
      </w:r>
      <w:r>
        <w:rPr>
          <w:rFonts w:hint="eastAsia" w:ascii="仿宋_GB2312" w:hAnsi="仿宋_GB2312" w:eastAsia="仿宋_GB2312" w:cs="仿宋_GB2312"/>
          <w:i w:val="0"/>
          <w:caps w:val="0"/>
          <w:color w:val="auto"/>
          <w:spacing w:val="0"/>
          <w:sz w:val="32"/>
          <w:szCs w:val="32"/>
          <w:highlight w:val="none"/>
          <w:u w:val="none"/>
          <w:shd w:val="clear" w:fill="FFFFFF"/>
        </w:rPr>
        <w:t>研发投入强度。采用“研究与试验发展支出占营业收入比重”衡量</w:t>
      </w:r>
      <w:r>
        <w:rPr>
          <w:rFonts w:hint="eastAsia" w:ascii="仿宋_GB2312" w:hAnsi="仿宋_GB2312" w:eastAsia="仿宋_GB2312" w:cs="仿宋_GB2312"/>
          <w:i w:val="0"/>
          <w:caps w:val="0"/>
          <w:color w:val="auto"/>
          <w:spacing w:val="0"/>
          <w:sz w:val="32"/>
          <w:szCs w:val="32"/>
          <w:highlight w:val="none"/>
          <w:u w:val="none"/>
          <w:shd w:val="clear" w:fill="FFFFFF"/>
          <w:lang w:eastAsia="zh-CN"/>
        </w:rPr>
        <w:t>，</w:t>
      </w:r>
      <w:r>
        <w:rPr>
          <w:rFonts w:hint="eastAsia" w:ascii="仿宋_GB2312" w:hAnsi="仿宋_GB2312" w:eastAsia="仿宋_GB2312" w:cs="仿宋_GB2312"/>
          <w:i w:val="0"/>
          <w:caps w:val="0"/>
          <w:color w:val="auto"/>
          <w:spacing w:val="0"/>
          <w:sz w:val="32"/>
          <w:szCs w:val="32"/>
          <w:highlight w:val="none"/>
          <w:u w:val="none"/>
          <w:shd w:val="clear" w:fill="FFFFFF"/>
        </w:rPr>
        <w:t>工业项目研发投入强度原则上不低于2％。</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9</w:t>
      </w:r>
      <w:r>
        <w:rPr>
          <w:rFonts w:hint="eastAsia" w:ascii="仿宋_GB2312" w:hAnsi="仿宋_GB2312" w:eastAsia="仿宋_GB2312" w:cs="仿宋_GB2312"/>
          <w:i w:val="0"/>
          <w:caps w:val="0"/>
          <w:color w:val="auto"/>
          <w:spacing w:val="0"/>
          <w:sz w:val="32"/>
          <w:szCs w:val="32"/>
          <w:highlight w:val="none"/>
          <w:u w:val="none"/>
          <w:shd w:val="clear" w:fill="FFFFFF"/>
        </w:rPr>
        <w:t>.航空港实验区范围内所有引进的供地产业项目实行准入管理</w:t>
      </w:r>
      <w:r>
        <w:rPr>
          <w:rFonts w:hint="eastAsia" w:ascii="仿宋_GB2312" w:hAnsi="仿宋_GB2312" w:eastAsia="仿宋_GB2312" w:cs="仿宋_GB2312"/>
          <w:i w:val="0"/>
          <w:caps w:val="0"/>
          <w:color w:val="auto"/>
          <w:spacing w:val="0"/>
          <w:sz w:val="32"/>
          <w:szCs w:val="32"/>
          <w:highlight w:val="none"/>
          <w:u w:val="none"/>
          <w:shd w:val="clear" w:fill="FFFFFF"/>
          <w:lang w:eastAsia="zh-CN"/>
        </w:rPr>
        <w:t>，</w:t>
      </w:r>
      <w:r>
        <w:rPr>
          <w:rFonts w:hint="eastAsia" w:ascii="仿宋_GB2312" w:hAnsi="仿宋_GB2312" w:eastAsia="仿宋_GB2312" w:cs="仿宋_GB2312"/>
          <w:i w:val="0"/>
          <w:caps w:val="0"/>
          <w:color w:val="auto"/>
          <w:spacing w:val="0"/>
          <w:sz w:val="32"/>
          <w:szCs w:val="32"/>
          <w:highlight w:val="none"/>
          <w:u w:val="none"/>
          <w:shd w:val="clear" w:fill="FFFFFF"/>
        </w:rPr>
        <w:t>凡拟选址入</w:t>
      </w:r>
      <w:r>
        <w:rPr>
          <w:rFonts w:hint="eastAsia" w:ascii="仿宋_GB2312" w:hAnsi="仿宋_GB2312" w:eastAsia="仿宋_GB2312" w:cs="仿宋_GB2312"/>
          <w:i w:val="0"/>
          <w:caps w:val="0"/>
          <w:color w:val="auto"/>
          <w:spacing w:val="0"/>
          <w:sz w:val="32"/>
          <w:szCs w:val="32"/>
          <w:highlight w:val="none"/>
          <w:u w:val="none"/>
          <w:shd w:val="clear" w:fill="FFFFFF"/>
          <w:lang w:eastAsia="zh-CN"/>
        </w:rPr>
        <w:t>区</w:t>
      </w:r>
      <w:r>
        <w:rPr>
          <w:rFonts w:hint="eastAsia" w:ascii="仿宋_GB2312" w:hAnsi="仿宋_GB2312" w:eastAsia="仿宋_GB2312" w:cs="仿宋_GB2312"/>
          <w:i w:val="0"/>
          <w:caps w:val="0"/>
          <w:color w:val="auto"/>
          <w:spacing w:val="0"/>
          <w:sz w:val="32"/>
          <w:szCs w:val="32"/>
          <w:highlight w:val="none"/>
          <w:u w:val="none"/>
          <w:shd w:val="clear" w:fill="FFFFFF"/>
        </w:rPr>
        <w:t>项目</w:t>
      </w:r>
      <w:r>
        <w:rPr>
          <w:rFonts w:hint="eastAsia" w:ascii="仿宋_GB2312" w:hAnsi="仿宋_GB2312" w:eastAsia="仿宋_GB2312" w:cs="仿宋_GB2312"/>
          <w:i w:val="0"/>
          <w:caps w:val="0"/>
          <w:color w:val="auto"/>
          <w:spacing w:val="0"/>
          <w:sz w:val="32"/>
          <w:szCs w:val="32"/>
          <w:highlight w:val="none"/>
          <w:u w:val="none"/>
          <w:shd w:val="clear" w:fill="FFFFFF"/>
          <w:lang w:eastAsia="zh-CN"/>
        </w:rPr>
        <w:t>，均</w:t>
      </w:r>
      <w:r>
        <w:rPr>
          <w:rFonts w:hint="eastAsia" w:ascii="仿宋_GB2312" w:eastAsia="仿宋_GB2312"/>
          <w:color w:val="auto"/>
          <w:sz w:val="32"/>
          <w:szCs w:val="32"/>
          <w:highlight w:val="none"/>
          <w:u w:val="none"/>
        </w:rPr>
        <w:t>应</w:t>
      </w:r>
      <w:r>
        <w:rPr>
          <w:rFonts w:hint="eastAsia" w:ascii="仿宋_GB2312" w:eastAsia="仿宋_GB2312"/>
          <w:color w:val="auto"/>
          <w:sz w:val="32"/>
          <w:szCs w:val="32"/>
          <w:highlight w:val="none"/>
          <w:u w:val="none"/>
          <w:lang w:eastAsia="zh-CN"/>
        </w:rPr>
        <w:t>与区产业主管部门签订项目投资建设合同，</w:t>
      </w:r>
      <w:r>
        <w:rPr>
          <w:rFonts w:hint="eastAsia" w:ascii="仿宋_GB2312" w:eastAsia="仿宋_GB2312"/>
          <w:color w:val="auto"/>
          <w:sz w:val="32"/>
          <w:szCs w:val="32"/>
          <w:highlight w:val="none"/>
          <w:u w:val="none"/>
        </w:rPr>
        <w:t>按照合同中约定的开工时间</w:t>
      </w:r>
      <w:r>
        <w:rPr>
          <w:rFonts w:hint="eastAsia" w:ascii="仿宋_GB2312" w:eastAsia="仿宋_GB2312"/>
          <w:color w:val="auto"/>
          <w:sz w:val="32"/>
          <w:szCs w:val="32"/>
          <w:highlight w:val="none"/>
          <w:u w:val="none"/>
          <w:lang w:eastAsia="zh-CN"/>
        </w:rPr>
        <w:t>进行</w:t>
      </w:r>
      <w:r>
        <w:rPr>
          <w:rFonts w:hint="eastAsia" w:ascii="仿宋_GB2312" w:eastAsia="仿宋_GB2312"/>
          <w:color w:val="auto"/>
          <w:sz w:val="32"/>
          <w:szCs w:val="32"/>
          <w:highlight w:val="none"/>
          <w:u w:val="none"/>
        </w:rPr>
        <w:t>建设</w:t>
      </w:r>
      <w:r>
        <w:rPr>
          <w:rFonts w:hint="eastAsia" w:ascii="仿宋_GB2312" w:hAnsi="仿宋_GB2312" w:eastAsia="仿宋_GB2312" w:cs="仿宋_GB2312"/>
          <w:b w:val="0"/>
          <w:bCs w:val="0"/>
          <w:i w:val="0"/>
          <w:caps w:val="0"/>
          <w:color w:val="auto"/>
          <w:spacing w:val="0"/>
          <w:sz w:val="32"/>
          <w:szCs w:val="32"/>
          <w:highlight w:val="none"/>
          <w:u w:val="none"/>
          <w:shd w:val="clear" w:fill="FFFFFF"/>
        </w:rPr>
        <w:t>，建设周期原则上自开工之日起不超过两年，逾期不能开工或建成投产的，将按照有关规定征收土地闲置费直至收回土地。</w:t>
      </w:r>
      <w:r>
        <w:rPr>
          <w:rFonts w:hint="eastAsia" w:ascii="仿宋_GB2312" w:hAnsi="仿宋_GB2312" w:eastAsia="仿宋_GB2312" w:cs="仿宋_GB2312"/>
          <w:i w:val="0"/>
          <w:caps w:val="0"/>
          <w:color w:val="auto"/>
          <w:spacing w:val="0"/>
          <w:sz w:val="32"/>
          <w:szCs w:val="32"/>
          <w:highlight w:val="none"/>
          <w:u w:val="none"/>
          <w:shd w:val="clear" w:fill="FFFFFF"/>
        </w:rPr>
        <w:t>重大投资项目或有特殊工艺要求的项目可根据实际情况科学安排建设周期。</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10</w:t>
      </w:r>
      <w:r>
        <w:rPr>
          <w:rFonts w:hint="eastAsia" w:ascii="仿宋_GB2312" w:hAnsi="仿宋_GB2312" w:eastAsia="仿宋_GB2312" w:cs="仿宋_GB2312"/>
          <w:i w:val="0"/>
          <w:caps w:val="0"/>
          <w:color w:val="auto"/>
          <w:spacing w:val="0"/>
          <w:sz w:val="32"/>
          <w:szCs w:val="32"/>
          <w:highlight w:val="none"/>
          <w:u w:val="none"/>
          <w:shd w:val="clear" w:fill="FFFFFF"/>
        </w:rPr>
        <w:t>.凡拟选址入驻航空港实验区、需分期实施的项目，分期供地，一期项目在完成投资、建筑面积70%且产能达到协议约定的50%后，启动后续项目供地；若一期项目未在约定期限内建成投产，原则上取消后续项目供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11</w:t>
      </w:r>
      <w:r>
        <w:rPr>
          <w:rFonts w:hint="eastAsia" w:ascii="仿宋_GB2312" w:hAnsi="仿宋_GB2312" w:eastAsia="仿宋_GB2312" w:cs="仿宋_GB2312"/>
          <w:i w:val="0"/>
          <w:caps w:val="0"/>
          <w:color w:val="auto"/>
          <w:spacing w:val="0"/>
          <w:sz w:val="32"/>
          <w:szCs w:val="32"/>
          <w:highlight w:val="none"/>
          <w:u w:val="none"/>
          <w:shd w:val="clear" w:fill="FFFFFF"/>
        </w:rPr>
        <w:t>.集约用地。工业项目建设用地建筑密度应高于40%以上，建设类项目用地容积率应高于1.2；“工业项目用地规模较大，确需自行建设行政办公和生活服务设施的，其占地面积不得超过总用地面积的7％，建筑面积不得超过总建筑面积的15％”</w:t>
      </w:r>
      <w:r>
        <w:rPr>
          <w:rFonts w:hint="eastAsia" w:ascii="仿宋_GB2312" w:hAnsi="仿宋_GB2312" w:eastAsia="仿宋_GB2312" w:cs="仿宋_GB2312"/>
          <w:i w:val="0"/>
          <w:caps w:val="0"/>
          <w:color w:val="auto"/>
          <w:spacing w:val="0"/>
          <w:sz w:val="32"/>
          <w:szCs w:val="32"/>
          <w:highlight w:val="none"/>
          <w:u w:val="none"/>
          <w:shd w:val="clear" w:fill="FFFFFF"/>
          <w:lang w:eastAsia="zh-CN"/>
        </w:rPr>
        <w:t>；</w:t>
      </w:r>
      <w:r>
        <w:rPr>
          <w:rFonts w:hint="eastAsia" w:ascii="仿宋_GB2312" w:hAnsi="仿宋_GB2312" w:eastAsia="仿宋_GB2312" w:cs="仿宋_GB2312"/>
          <w:i w:val="0"/>
          <w:caps w:val="0"/>
          <w:color w:val="auto"/>
          <w:spacing w:val="0"/>
          <w:sz w:val="32"/>
          <w:szCs w:val="32"/>
          <w:highlight w:val="none"/>
          <w:u w:val="none"/>
          <w:shd w:val="clear" w:fill="FFFFFF"/>
        </w:rPr>
        <w:t>工业企业内部一般不得安排绿地，但因生产工艺等特殊要求需要安排一定比例绿地的，绿地率控制在15%之内；工业项目建设应采用先进的生产工艺、生产设备，节约使用土地。对适合多层标准厂房生产的工业项目，应建设或进入多层标准厂房。</w:t>
      </w: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原则上用地面积低于20亩的工业项目，不再单独供地。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12</w:t>
      </w:r>
      <w:r>
        <w:rPr>
          <w:rFonts w:hint="eastAsia" w:ascii="仿宋_GB2312" w:hAnsi="仿宋_GB2312" w:eastAsia="仿宋_GB2312" w:cs="仿宋_GB2312"/>
          <w:i w:val="0"/>
          <w:caps w:val="0"/>
          <w:color w:val="auto"/>
          <w:spacing w:val="0"/>
          <w:sz w:val="32"/>
          <w:szCs w:val="32"/>
          <w:highlight w:val="none"/>
          <w:u w:val="none"/>
          <w:shd w:val="clear" w:fill="FFFFFF"/>
        </w:rPr>
        <w:t>.土地复合利用。鼓励产业项目多用途复合利用土地，根据产业需求，同一宗土地可设置不同用途（房地产除外），充分实现土地集约节约利用。”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13</w:t>
      </w:r>
      <w:r>
        <w:rPr>
          <w:rFonts w:hint="eastAsia" w:ascii="仿宋_GB2312" w:hAnsi="仿宋_GB2312" w:eastAsia="仿宋_GB2312" w:cs="仿宋_GB2312"/>
          <w:i w:val="0"/>
          <w:caps w:val="0"/>
          <w:color w:val="auto"/>
          <w:spacing w:val="0"/>
          <w:sz w:val="32"/>
          <w:szCs w:val="32"/>
          <w:highlight w:val="none"/>
          <w:u w:val="none"/>
          <w:shd w:val="clear" w:fill="FFFFFF"/>
        </w:rPr>
        <w:t>.节能环保。</w:t>
      </w:r>
      <w:r>
        <w:rPr>
          <w:rFonts w:hint="eastAsia" w:ascii="仿宋_GB2312" w:hAnsi="仿宋_GB2312" w:eastAsia="仿宋_GB2312" w:cs="仿宋_GB2312"/>
          <w:i w:val="0"/>
          <w:caps w:val="0"/>
          <w:color w:val="auto"/>
          <w:spacing w:val="0"/>
          <w:sz w:val="32"/>
          <w:szCs w:val="32"/>
          <w:highlight w:val="none"/>
          <w:u w:val="none"/>
          <w:shd w:val="clear" w:fill="FFFFFF"/>
          <w:lang w:eastAsia="zh-CN"/>
        </w:rPr>
        <w:t>项目应</w:t>
      </w:r>
      <w:r>
        <w:rPr>
          <w:rFonts w:hint="eastAsia" w:ascii="仿宋_GB2312" w:hAnsi="仿宋_GB2312" w:eastAsia="仿宋_GB2312" w:cs="仿宋_GB2312"/>
          <w:i w:val="0"/>
          <w:caps w:val="0"/>
          <w:color w:val="auto"/>
          <w:spacing w:val="0"/>
          <w:sz w:val="32"/>
          <w:szCs w:val="32"/>
          <w:highlight w:val="none"/>
          <w:u w:val="none"/>
          <w:shd w:val="clear" w:fill="FFFFFF"/>
        </w:rPr>
        <w:t>符合《河南省节约能源条例》（2018）</w:t>
      </w:r>
      <w:r>
        <w:rPr>
          <w:rFonts w:hint="eastAsia" w:ascii="仿宋_GB2312" w:hAnsi="仿宋_GB2312" w:eastAsia="仿宋_GB2312" w:cs="仿宋_GB2312"/>
          <w:i w:val="0"/>
          <w:caps w:val="0"/>
          <w:color w:val="auto"/>
          <w:spacing w:val="0"/>
          <w:sz w:val="32"/>
          <w:szCs w:val="32"/>
          <w:highlight w:val="none"/>
          <w:u w:val="none"/>
          <w:shd w:val="clear" w:fill="FFFFFF"/>
          <w:lang w:eastAsia="zh-CN"/>
        </w:rPr>
        <w:t>，符合</w:t>
      </w:r>
      <w:r>
        <w:rPr>
          <w:rFonts w:hint="eastAsia" w:ascii="仿宋_GB2312" w:hAnsi="仿宋_GB2312" w:eastAsia="仿宋_GB2312" w:cs="仿宋_GB2312"/>
          <w:i w:val="0"/>
          <w:caps w:val="0"/>
          <w:color w:val="auto"/>
          <w:spacing w:val="0"/>
          <w:sz w:val="32"/>
          <w:szCs w:val="32"/>
          <w:highlight w:val="none"/>
          <w:u w:val="none"/>
          <w:shd w:val="clear" w:fill="FFFFFF"/>
        </w:rPr>
        <w:t>环境环保管理</w:t>
      </w:r>
      <w:r>
        <w:rPr>
          <w:rFonts w:hint="eastAsia" w:ascii="仿宋_GB2312" w:hAnsi="仿宋_GB2312" w:eastAsia="仿宋_GB2312" w:cs="仿宋_GB2312"/>
          <w:i w:val="0"/>
          <w:caps w:val="0"/>
          <w:color w:val="auto"/>
          <w:spacing w:val="0"/>
          <w:sz w:val="32"/>
          <w:szCs w:val="32"/>
          <w:highlight w:val="none"/>
          <w:u w:val="none"/>
          <w:shd w:val="clear" w:fill="FFFFFF"/>
          <w:lang w:eastAsia="zh-CN"/>
        </w:rPr>
        <w:t>有关规定，</w:t>
      </w:r>
      <w:r>
        <w:rPr>
          <w:rFonts w:hint="eastAsia" w:ascii="仿宋_GB2312" w:hAnsi="仿宋_GB2312" w:eastAsia="仿宋_GB2312" w:cs="仿宋_GB2312"/>
          <w:i w:val="0"/>
          <w:caps w:val="0"/>
          <w:color w:val="auto"/>
          <w:spacing w:val="0"/>
          <w:sz w:val="32"/>
          <w:szCs w:val="32"/>
          <w:highlight w:val="none"/>
          <w:u w:val="none"/>
          <w:shd w:val="clear" w:fill="FFFFFF"/>
        </w:rPr>
        <w:t>符合城市用地功能与环境承载，符合清洁生产要求，污染物达标排放并满足总量控制和区域环境质量等要求</w:t>
      </w:r>
      <w:r>
        <w:rPr>
          <w:rFonts w:hint="eastAsia" w:ascii="仿宋_GB2312" w:hAnsi="仿宋_GB2312" w:eastAsia="仿宋_GB2312" w:cs="仿宋_GB2312"/>
          <w:i w:val="0"/>
          <w:caps w:val="0"/>
          <w:color w:val="auto"/>
          <w:spacing w:val="0"/>
          <w:sz w:val="32"/>
          <w:szCs w:val="32"/>
          <w:highlight w:val="none"/>
          <w:u w:val="none"/>
          <w:shd w:val="clear" w:fill="FFFFFF"/>
          <w:lang w:eastAsia="zh-CN"/>
        </w:rPr>
        <w:t>，</w:t>
      </w:r>
      <w:r>
        <w:rPr>
          <w:rFonts w:hint="eastAsia" w:ascii="仿宋_GB2312" w:hAnsi="仿宋_GB2312" w:eastAsia="仿宋_GB2312" w:cs="仿宋_GB2312"/>
          <w:i w:val="0"/>
          <w:caps w:val="0"/>
          <w:color w:val="auto"/>
          <w:spacing w:val="0"/>
          <w:sz w:val="32"/>
          <w:szCs w:val="32"/>
          <w:highlight w:val="none"/>
          <w:u w:val="none"/>
          <w:shd w:val="clear" w:fill="FFFFFF"/>
        </w:rPr>
        <w:t>项目单位产品的能耗、物耗和污染物的排放量应达到国家和省相关规定的要求。</w:t>
      </w:r>
      <w:r>
        <w:rPr>
          <w:rFonts w:hint="eastAsia" w:ascii="仿宋_GB2312" w:hAnsi="仿宋_GB2312" w:eastAsia="仿宋_GB2312" w:cs="仿宋_GB2312"/>
          <w:i w:val="0"/>
          <w:caps w:val="0"/>
          <w:color w:val="auto"/>
          <w:spacing w:val="0"/>
          <w:sz w:val="32"/>
          <w:szCs w:val="32"/>
          <w:highlight w:val="none"/>
          <w:u w:val="none"/>
          <w:shd w:val="clear" w:fill="FFFFFF"/>
          <w:lang w:eastAsia="zh-CN"/>
        </w:rPr>
        <w:t>同时，</w:t>
      </w:r>
      <w:r>
        <w:rPr>
          <w:rFonts w:hint="eastAsia" w:ascii="仿宋_GB2312" w:hAnsi="仿宋_GB2312" w:eastAsia="仿宋_GB2312" w:cs="仿宋_GB2312"/>
          <w:i w:val="0"/>
          <w:caps w:val="0"/>
          <w:color w:val="auto"/>
          <w:spacing w:val="0"/>
          <w:sz w:val="32"/>
          <w:szCs w:val="32"/>
          <w:highlight w:val="none"/>
          <w:u w:val="none"/>
          <w:shd w:val="clear" w:fill="FFFFFF"/>
        </w:rPr>
        <w:t>项目符合法律法规和行业标准规定的安全生产条件，生产工艺达到安全、消防、卫生等要求</w:t>
      </w:r>
      <w:r>
        <w:rPr>
          <w:rFonts w:hint="eastAsia" w:ascii="仿宋_GB2312" w:hAnsi="仿宋_GB2312" w:eastAsia="仿宋_GB2312" w:cs="仿宋_GB2312"/>
          <w:i w:val="0"/>
          <w:caps w:val="0"/>
          <w:color w:val="auto"/>
          <w:spacing w:val="0"/>
          <w:sz w:val="32"/>
          <w:szCs w:val="32"/>
          <w:highlight w:val="none"/>
          <w:u w:val="none"/>
          <w:shd w:val="clear" w:fill="FFFFFF"/>
          <w:lang w:eastAsia="zh-CN"/>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eastAsia" w:ascii="楷体_GB2312" w:hAnsi="楷体_GB2312" w:eastAsia="楷体_GB2312" w:cs="楷体_GB2312"/>
          <w:i w:val="0"/>
          <w:caps w:val="0"/>
          <w:color w:val="auto"/>
          <w:spacing w:val="0"/>
          <w:sz w:val="32"/>
          <w:szCs w:val="32"/>
          <w:highlight w:val="none"/>
          <w:u w:val="none"/>
          <w:shd w:val="clear" w:fill="FFFFFF"/>
          <w:lang w:eastAsia="zh-CN"/>
        </w:rPr>
      </w:pPr>
      <w:r>
        <w:rPr>
          <w:rFonts w:hint="eastAsia" w:ascii="楷体_GB2312" w:hAnsi="楷体_GB2312" w:eastAsia="楷体_GB2312" w:cs="楷体_GB2312"/>
          <w:i w:val="0"/>
          <w:caps w:val="0"/>
          <w:color w:val="auto"/>
          <w:spacing w:val="0"/>
          <w:sz w:val="32"/>
          <w:szCs w:val="32"/>
          <w:highlight w:val="none"/>
          <w:u w:val="none"/>
          <w:shd w:val="clear" w:fill="FFFFFF"/>
          <w:lang w:val="en-US" w:eastAsia="zh-CN"/>
        </w:rPr>
        <w:t>（二）</w:t>
      </w:r>
      <w:r>
        <w:rPr>
          <w:rFonts w:hint="eastAsia" w:ascii="楷体_GB2312" w:hAnsi="楷体_GB2312" w:eastAsia="楷体_GB2312" w:cs="楷体_GB2312"/>
          <w:i w:val="0"/>
          <w:caps w:val="0"/>
          <w:color w:val="auto"/>
          <w:spacing w:val="0"/>
          <w:sz w:val="32"/>
          <w:szCs w:val="32"/>
          <w:highlight w:val="none"/>
          <w:u w:val="none"/>
          <w:shd w:val="clear" w:fill="FFFFFF"/>
          <w:lang w:eastAsia="zh-CN"/>
        </w:rPr>
        <w:t>优先条件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rPr>
        <w:t>符合</w:t>
      </w:r>
      <w:r>
        <w:rPr>
          <w:rFonts w:hint="eastAsia" w:ascii="仿宋_GB2312" w:hAnsi="仿宋_GB2312" w:eastAsia="仿宋_GB2312" w:cs="仿宋_GB2312"/>
          <w:i w:val="0"/>
          <w:caps w:val="0"/>
          <w:color w:val="auto"/>
          <w:spacing w:val="0"/>
          <w:sz w:val="32"/>
          <w:szCs w:val="32"/>
          <w:highlight w:val="none"/>
          <w:u w:val="none"/>
          <w:shd w:val="clear" w:fill="FFFFFF"/>
          <w:lang w:eastAsia="zh-CN"/>
        </w:rPr>
        <w:t>上述</w:t>
      </w:r>
      <w:r>
        <w:rPr>
          <w:rFonts w:hint="eastAsia" w:ascii="仿宋_GB2312" w:hAnsi="仿宋_GB2312" w:eastAsia="仿宋_GB2312" w:cs="仿宋_GB2312"/>
          <w:i w:val="0"/>
          <w:caps w:val="0"/>
          <w:color w:val="auto"/>
          <w:spacing w:val="0"/>
          <w:sz w:val="32"/>
          <w:szCs w:val="32"/>
          <w:highlight w:val="none"/>
          <w:u w:val="none"/>
          <w:shd w:val="clear" w:fill="FFFFFF"/>
        </w:rPr>
        <w:t>准入条件并具备下列条件之一者，同等条件下优先准入：</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rPr>
        <w:t>1.世界500强、中国100强、国际国内行业前10强企业、大型央企投资的项目或企业总部及区域性总部办公楼宇项目。</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rPr>
        <w:t>2.总投资10亿元以上的工业项目，总投资30亿元以上的现代服务业项目以及注册资本5亿元以上的项目，总投资3亿元以上的现代高新农业项目。</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rPr>
        <w:t>3.总投资5000万美元以上的外商投资项目以及国际医院、国际学校、国际社区、外国驻华领事馆等重大涉外项目。</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rPr>
        <w:t>4.投入强度、产出强度和税收贡献强度高于基本准入条件50%的项目。</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rPr>
        <w:t>5.上市及上市后备企业的优先发展类和鼓励类发展类募集资金投向项目。</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rPr>
        <w:t>6.属于国家重点支持的高新技术和战略性新兴产业领域、核心关键技术拥有自主知识产权的项目。</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rPr>
        <w:t>7.国内外知名金融机构发起设立的全国性、区域性总部金融机构。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rPr>
        <w:t>8.拥有院士或博士后工作站的企业。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rPr>
        <w:t>9.对提升区域竞争力、影响力、吸引力和开放度作用明显的项目。</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rPr>
        <w:t>10.某一项优先准入条件特别突出可放宽其他项要求。</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黑体" w:hAnsi="黑体" w:eastAsia="黑体" w:cs="黑体"/>
          <w:i w:val="0"/>
          <w:caps w:val="0"/>
          <w:color w:val="auto"/>
          <w:spacing w:val="0"/>
          <w:sz w:val="32"/>
          <w:szCs w:val="32"/>
          <w:highlight w:val="none"/>
          <w:u w:val="none"/>
          <w:shd w:val="clear" w:fill="FFFFFF"/>
        </w:rPr>
      </w:pPr>
      <w:r>
        <w:rPr>
          <w:rFonts w:hint="eastAsia" w:ascii="黑体" w:hAnsi="黑体" w:eastAsia="黑体" w:cs="黑体"/>
          <w:i w:val="0"/>
          <w:caps w:val="0"/>
          <w:color w:val="auto"/>
          <w:spacing w:val="0"/>
          <w:sz w:val="32"/>
          <w:szCs w:val="32"/>
          <w:highlight w:val="none"/>
          <w:u w:val="none"/>
          <w:shd w:val="clear" w:fill="FFFFFF"/>
        </w:rPr>
        <w:t>三、实施要求</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lang w:eastAsia="zh-CN"/>
        </w:rPr>
      </w:pPr>
      <w:r>
        <w:rPr>
          <w:rFonts w:hint="eastAsia" w:ascii="仿宋_GB2312" w:hAnsi="仿宋_GB2312" w:eastAsia="仿宋_GB2312" w:cs="仿宋_GB2312"/>
          <w:i w:val="0"/>
          <w:caps w:val="0"/>
          <w:color w:val="auto"/>
          <w:spacing w:val="0"/>
          <w:sz w:val="32"/>
          <w:szCs w:val="32"/>
          <w:highlight w:val="none"/>
          <w:u w:val="none"/>
          <w:shd w:val="clear" w:fill="FFFFFF"/>
        </w:rPr>
        <w:t>（一）本目录与准入条件作为产业发展、招商引资、土地供应</w:t>
      </w:r>
      <w:r>
        <w:rPr>
          <w:rFonts w:hint="eastAsia" w:ascii="仿宋_GB2312" w:hAnsi="仿宋_GB2312" w:eastAsia="仿宋_GB2312" w:cs="仿宋_GB2312"/>
          <w:i w:val="0"/>
          <w:caps w:val="0"/>
          <w:color w:val="auto"/>
          <w:spacing w:val="0"/>
          <w:sz w:val="32"/>
          <w:szCs w:val="32"/>
          <w:highlight w:val="none"/>
          <w:u w:val="none"/>
          <w:shd w:val="clear" w:fill="FFFFFF"/>
          <w:lang w:eastAsia="zh-CN"/>
        </w:rPr>
        <w:t>所</w:t>
      </w:r>
      <w:r>
        <w:rPr>
          <w:rFonts w:hint="eastAsia" w:ascii="仿宋_GB2312" w:hAnsi="仿宋_GB2312" w:eastAsia="仿宋_GB2312" w:cs="仿宋_GB2312"/>
          <w:i w:val="0"/>
          <w:caps w:val="0"/>
          <w:color w:val="auto"/>
          <w:spacing w:val="0"/>
          <w:sz w:val="32"/>
          <w:szCs w:val="32"/>
          <w:highlight w:val="none"/>
          <w:u w:val="none"/>
          <w:shd w:val="clear" w:fill="FFFFFF"/>
        </w:rPr>
        <w:t>遵循的依据，</w:t>
      </w:r>
      <w:r>
        <w:rPr>
          <w:rFonts w:hint="eastAsia" w:ascii="仿宋_GB2312" w:hAnsi="仿宋_GB2312" w:eastAsia="仿宋_GB2312" w:cs="仿宋_GB2312"/>
          <w:i w:val="0"/>
          <w:caps w:val="0"/>
          <w:color w:val="auto"/>
          <w:spacing w:val="0"/>
          <w:sz w:val="32"/>
          <w:szCs w:val="32"/>
          <w:highlight w:val="none"/>
          <w:u w:val="none"/>
          <w:shd w:val="clear" w:fill="FFFFFF"/>
          <w:lang w:eastAsia="zh-CN"/>
        </w:rPr>
        <w:t>原则上优惠政策重点支持优先发展类产业和具备优先条件的企业</w:t>
      </w:r>
      <w:r>
        <w:rPr>
          <w:rFonts w:hint="eastAsia" w:ascii="仿宋_GB2312" w:hAnsi="仿宋_GB2312" w:eastAsia="仿宋_GB2312" w:cs="仿宋_GB2312"/>
          <w:i w:val="0"/>
          <w:caps w:val="0"/>
          <w:color w:val="auto"/>
          <w:spacing w:val="0"/>
          <w:sz w:val="32"/>
          <w:szCs w:val="32"/>
          <w:highlight w:val="none"/>
          <w:u w:val="none"/>
          <w:shd w:val="clear" w:fill="FFFFFF"/>
        </w:rPr>
        <w:t>，促进</w:t>
      </w:r>
      <w:r>
        <w:rPr>
          <w:rFonts w:hint="eastAsia" w:ascii="仿宋_GB2312" w:hAnsi="仿宋_GB2312" w:eastAsia="仿宋_GB2312" w:cs="仿宋_GB2312"/>
          <w:i w:val="0"/>
          <w:caps w:val="0"/>
          <w:color w:val="auto"/>
          <w:spacing w:val="0"/>
          <w:sz w:val="32"/>
          <w:szCs w:val="32"/>
          <w:highlight w:val="none"/>
          <w:u w:val="none"/>
          <w:shd w:val="clear" w:fill="FFFFFF"/>
          <w:lang w:eastAsia="zh-CN"/>
        </w:rPr>
        <w:t>高端产业和优质企业</w:t>
      </w:r>
      <w:r>
        <w:rPr>
          <w:rFonts w:hint="eastAsia" w:ascii="仿宋_GB2312" w:hAnsi="仿宋_GB2312" w:eastAsia="仿宋_GB2312" w:cs="仿宋_GB2312"/>
          <w:i w:val="0"/>
          <w:caps w:val="0"/>
          <w:color w:val="auto"/>
          <w:spacing w:val="0"/>
          <w:sz w:val="32"/>
          <w:szCs w:val="32"/>
          <w:highlight w:val="none"/>
          <w:u w:val="none"/>
          <w:shd w:val="clear" w:fill="FFFFFF"/>
        </w:rPr>
        <w:t>导入。对于特别重大、急需引进的重大项目可“一事一议”。</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b w:val="0"/>
          <w:bCs w:val="0"/>
          <w:i w:val="0"/>
          <w:caps w:val="0"/>
          <w:color w:val="auto"/>
          <w:spacing w:val="0"/>
          <w:sz w:val="32"/>
          <w:szCs w:val="32"/>
          <w:highlight w:val="none"/>
          <w:u w:val="none"/>
          <w:shd w:val="clear" w:fill="FFFFFF"/>
          <w:lang w:eastAsia="zh-CN"/>
        </w:rPr>
      </w:pPr>
      <w:r>
        <w:rPr>
          <w:rFonts w:hint="eastAsia" w:ascii="仿宋_GB2312" w:hAnsi="仿宋_GB2312" w:eastAsia="仿宋_GB2312" w:cs="仿宋_GB2312"/>
          <w:b w:val="0"/>
          <w:bCs w:val="0"/>
          <w:i w:val="0"/>
          <w:caps w:val="0"/>
          <w:color w:val="auto"/>
          <w:spacing w:val="0"/>
          <w:sz w:val="32"/>
          <w:szCs w:val="32"/>
          <w:highlight w:val="none"/>
          <w:u w:val="none"/>
          <w:shd w:val="clear" w:fill="FFFFFF"/>
          <w:lang w:eastAsia="zh-CN"/>
        </w:rPr>
        <w:t>（二）对于急需引进的战略性新兴产业或产业链上的关键环节项目，在履行相关决策程序后在固定资产投资强度、产出强度和税收等方面可适当放宽限制。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lang w:eastAsia="zh-CN"/>
        </w:rPr>
      </w:pPr>
      <w:r>
        <w:rPr>
          <w:rFonts w:hint="eastAsia" w:ascii="仿宋_GB2312" w:hAnsi="仿宋_GB2312" w:eastAsia="仿宋_GB2312" w:cs="仿宋_GB2312"/>
          <w:i w:val="0"/>
          <w:caps w:val="0"/>
          <w:color w:val="auto"/>
          <w:spacing w:val="0"/>
          <w:sz w:val="32"/>
          <w:szCs w:val="32"/>
          <w:highlight w:val="none"/>
          <w:u w:val="none"/>
          <w:shd w:val="clear" w:fill="FFFFFF"/>
        </w:rPr>
        <w:t>（</w:t>
      </w:r>
      <w:r>
        <w:rPr>
          <w:rFonts w:hint="eastAsia" w:ascii="仿宋_GB2312" w:hAnsi="仿宋_GB2312" w:eastAsia="仿宋_GB2312" w:cs="仿宋_GB2312"/>
          <w:i w:val="0"/>
          <w:caps w:val="0"/>
          <w:color w:val="auto"/>
          <w:spacing w:val="0"/>
          <w:sz w:val="32"/>
          <w:szCs w:val="32"/>
          <w:highlight w:val="none"/>
          <w:u w:val="none"/>
          <w:shd w:val="clear" w:fill="FFFFFF"/>
          <w:lang w:eastAsia="zh-CN"/>
        </w:rPr>
        <w:t>三</w:t>
      </w:r>
      <w:r>
        <w:rPr>
          <w:rFonts w:hint="eastAsia" w:ascii="仿宋_GB2312" w:hAnsi="仿宋_GB2312" w:eastAsia="仿宋_GB2312" w:cs="仿宋_GB2312"/>
          <w:i w:val="0"/>
          <w:caps w:val="0"/>
          <w:color w:val="auto"/>
          <w:spacing w:val="0"/>
          <w:sz w:val="32"/>
          <w:szCs w:val="32"/>
          <w:highlight w:val="none"/>
          <w:u w:val="none"/>
          <w:shd w:val="clear" w:fill="FFFFFF"/>
        </w:rPr>
        <w:t>）本目录与准入条件以国家、河南省、郑州市等有关规划和政策为依据，按照先导性、可持续性和可操作性的原则，实行产业发展分类指导。</w:t>
      </w:r>
      <w:r>
        <w:rPr>
          <w:rFonts w:hint="eastAsia" w:ascii="仿宋_GB2312" w:hAnsi="仿宋_GB2312" w:eastAsia="仿宋_GB2312" w:cs="仿宋_GB2312"/>
          <w:i w:val="0"/>
          <w:caps w:val="0"/>
          <w:color w:val="auto"/>
          <w:spacing w:val="0"/>
          <w:sz w:val="32"/>
          <w:szCs w:val="32"/>
          <w:highlight w:val="none"/>
          <w:u w:val="none"/>
          <w:shd w:val="clear" w:fill="FFFFFF"/>
          <w:lang w:eastAsia="zh-CN"/>
        </w:rPr>
        <w:t>经济发展局（统计局）将会同有关部门适时对产业项目进行准入条件核实。</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rPr>
        <w:t>（</w:t>
      </w:r>
      <w:r>
        <w:rPr>
          <w:rFonts w:hint="eastAsia" w:ascii="仿宋_GB2312" w:hAnsi="仿宋_GB2312" w:eastAsia="仿宋_GB2312" w:cs="仿宋_GB2312"/>
          <w:i w:val="0"/>
          <w:caps w:val="0"/>
          <w:color w:val="auto"/>
          <w:spacing w:val="0"/>
          <w:sz w:val="32"/>
          <w:szCs w:val="32"/>
          <w:highlight w:val="none"/>
          <w:u w:val="none"/>
          <w:shd w:val="clear" w:fill="FFFFFF"/>
          <w:lang w:eastAsia="zh-CN"/>
        </w:rPr>
        <w:t>四</w:t>
      </w:r>
      <w:r>
        <w:rPr>
          <w:rFonts w:hint="eastAsia" w:ascii="仿宋_GB2312" w:hAnsi="仿宋_GB2312" w:eastAsia="仿宋_GB2312" w:cs="仿宋_GB2312"/>
          <w:i w:val="0"/>
          <w:caps w:val="0"/>
          <w:color w:val="auto"/>
          <w:spacing w:val="0"/>
          <w:sz w:val="32"/>
          <w:szCs w:val="32"/>
          <w:highlight w:val="none"/>
          <w:u w:val="none"/>
          <w:shd w:val="clear" w:fill="FFFFFF"/>
        </w:rPr>
        <w:t>）本目录与准入条件由</w:t>
      </w:r>
      <w:r>
        <w:rPr>
          <w:rFonts w:hint="eastAsia" w:ascii="仿宋_GB2312" w:hAnsi="仿宋_GB2312" w:eastAsia="仿宋_GB2312" w:cs="仿宋_GB2312"/>
          <w:i w:val="0"/>
          <w:caps w:val="0"/>
          <w:color w:val="auto"/>
          <w:spacing w:val="0"/>
          <w:sz w:val="32"/>
          <w:szCs w:val="32"/>
          <w:highlight w:val="none"/>
          <w:u w:val="none"/>
          <w:shd w:val="clear" w:fill="FFFFFF"/>
          <w:lang w:eastAsia="zh-CN"/>
        </w:rPr>
        <w:t>经济发展局</w:t>
      </w:r>
      <w:r>
        <w:rPr>
          <w:rFonts w:hint="eastAsia" w:ascii="仿宋_GB2312" w:hAnsi="仿宋_GB2312" w:eastAsia="仿宋_GB2312" w:cs="仿宋_GB2312"/>
          <w:i w:val="0"/>
          <w:caps w:val="0"/>
          <w:color w:val="auto"/>
          <w:spacing w:val="0"/>
          <w:sz w:val="32"/>
          <w:szCs w:val="32"/>
          <w:highlight w:val="none"/>
          <w:u w:val="none"/>
          <w:shd w:val="clear" w:fill="FFFFFF"/>
        </w:rPr>
        <w:t>（</w:t>
      </w:r>
      <w:r>
        <w:rPr>
          <w:rFonts w:hint="eastAsia" w:ascii="仿宋_GB2312" w:hAnsi="仿宋_GB2312" w:eastAsia="仿宋_GB2312" w:cs="仿宋_GB2312"/>
          <w:i w:val="0"/>
          <w:caps w:val="0"/>
          <w:color w:val="auto"/>
          <w:spacing w:val="0"/>
          <w:sz w:val="32"/>
          <w:szCs w:val="32"/>
          <w:highlight w:val="none"/>
          <w:u w:val="none"/>
          <w:shd w:val="clear" w:fill="FFFFFF"/>
          <w:lang w:eastAsia="zh-CN"/>
        </w:rPr>
        <w:t>统计</w:t>
      </w:r>
      <w:r>
        <w:rPr>
          <w:rFonts w:hint="eastAsia" w:ascii="仿宋_GB2312" w:hAnsi="仿宋_GB2312" w:eastAsia="仿宋_GB2312" w:cs="仿宋_GB2312"/>
          <w:i w:val="0"/>
          <w:caps w:val="0"/>
          <w:color w:val="auto"/>
          <w:spacing w:val="0"/>
          <w:sz w:val="32"/>
          <w:szCs w:val="32"/>
          <w:highlight w:val="none"/>
          <w:u w:val="none"/>
          <w:shd w:val="clear" w:fill="FFFFFF"/>
        </w:rPr>
        <w:t>局）负责解释</w:t>
      </w:r>
      <w:r>
        <w:rPr>
          <w:rFonts w:hint="eastAsia" w:ascii="仿宋_GB2312" w:hAnsi="仿宋_GB2312" w:eastAsia="仿宋_GB2312" w:cs="仿宋_GB2312"/>
          <w:i w:val="0"/>
          <w:caps w:val="0"/>
          <w:color w:val="auto"/>
          <w:spacing w:val="0"/>
          <w:sz w:val="32"/>
          <w:szCs w:val="32"/>
          <w:highlight w:val="none"/>
          <w:u w:val="none"/>
          <w:shd w:val="clear" w:fill="FFFFFF"/>
          <w:lang w:eastAsia="zh-CN"/>
        </w:rPr>
        <w:t>，</w:t>
      </w:r>
      <w:r>
        <w:rPr>
          <w:rFonts w:hint="eastAsia" w:ascii="仿宋_GB2312" w:hAnsi="仿宋_GB2312" w:eastAsia="仿宋_GB2312" w:cs="仿宋_GB2312"/>
          <w:i w:val="0"/>
          <w:caps w:val="0"/>
          <w:color w:val="auto"/>
          <w:spacing w:val="0"/>
          <w:sz w:val="32"/>
          <w:szCs w:val="32"/>
          <w:highlight w:val="none"/>
          <w:u w:val="none"/>
          <w:shd w:val="clear" w:fill="FFFFFF"/>
        </w:rPr>
        <w:t>涉及</w:t>
      </w:r>
      <w:r>
        <w:rPr>
          <w:rFonts w:hint="eastAsia" w:ascii="仿宋_GB2312" w:hAnsi="仿宋_GB2312" w:eastAsia="仿宋_GB2312" w:cs="仿宋_GB2312"/>
          <w:i w:val="0"/>
          <w:caps w:val="0"/>
          <w:color w:val="auto"/>
          <w:spacing w:val="0"/>
          <w:sz w:val="32"/>
          <w:szCs w:val="32"/>
          <w:highlight w:val="none"/>
          <w:u w:val="none"/>
          <w:shd w:val="clear" w:fill="FFFFFF"/>
          <w:lang w:eastAsia="zh-CN"/>
        </w:rPr>
        <w:t>规划指标、</w:t>
      </w:r>
      <w:r>
        <w:rPr>
          <w:rFonts w:hint="eastAsia" w:ascii="仿宋_GB2312" w:hAnsi="仿宋_GB2312" w:eastAsia="仿宋_GB2312" w:cs="仿宋_GB2312"/>
          <w:i w:val="0"/>
          <w:caps w:val="0"/>
          <w:color w:val="auto"/>
          <w:spacing w:val="0"/>
          <w:sz w:val="32"/>
          <w:szCs w:val="32"/>
          <w:highlight w:val="none"/>
          <w:u w:val="none"/>
          <w:shd w:val="clear" w:fill="FFFFFF"/>
        </w:rPr>
        <w:t>工艺技术、生产安全、质量标准、环境保护、节能减排等准入条件和要求的，由相关行业主管部门</w:t>
      </w:r>
      <w:r>
        <w:rPr>
          <w:rFonts w:hint="eastAsia" w:ascii="仿宋_GB2312" w:hAnsi="仿宋_GB2312" w:eastAsia="仿宋_GB2312" w:cs="仿宋_GB2312"/>
          <w:i w:val="0"/>
          <w:caps w:val="0"/>
          <w:color w:val="auto"/>
          <w:spacing w:val="0"/>
          <w:sz w:val="32"/>
          <w:szCs w:val="32"/>
          <w:highlight w:val="none"/>
          <w:u w:val="none"/>
          <w:shd w:val="clear" w:fill="FFFFFF"/>
          <w:lang w:eastAsia="zh-CN"/>
        </w:rPr>
        <w:t>负责</w:t>
      </w:r>
      <w:r>
        <w:rPr>
          <w:rFonts w:hint="eastAsia" w:ascii="仿宋_GB2312" w:hAnsi="仿宋_GB2312" w:eastAsia="仿宋_GB2312" w:cs="仿宋_GB2312"/>
          <w:i w:val="0"/>
          <w:caps w:val="0"/>
          <w:color w:val="auto"/>
          <w:spacing w:val="0"/>
          <w:sz w:val="32"/>
          <w:szCs w:val="32"/>
          <w:highlight w:val="none"/>
          <w:u w:val="none"/>
          <w:shd w:val="clear" w:fill="FFFFFF"/>
        </w:rPr>
        <w:t>解释。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rPr>
        <w:t>（</w:t>
      </w:r>
      <w:r>
        <w:rPr>
          <w:rFonts w:hint="eastAsia" w:ascii="仿宋_GB2312" w:hAnsi="仿宋_GB2312" w:eastAsia="仿宋_GB2312" w:cs="仿宋_GB2312"/>
          <w:i w:val="0"/>
          <w:caps w:val="0"/>
          <w:color w:val="auto"/>
          <w:spacing w:val="0"/>
          <w:sz w:val="32"/>
          <w:szCs w:val="32"/>
          <w:highlight w:val="none"/>
          <w:u w:val="none"/>
          <w:shd w:val="clear" w:fill="FFFFFF"/>
          <w:lang w:eastAsia="zh-CN"/>
        </w:rPr>
        <w:t>五</w:t>
      </w:r>
      <w:r>
        <w:rPr>
          <w:rFonts w:hint="eastAsia" w:ascii="仿宋_GB2312" w:hAnsi="仿宋_GB2312" w:eastAsia="仿宋_GB2312" w:cs="仿宋_GB2312"/>
          <w:i w:val="0"/>
          <w:caps w:val="0"/>
          <w:color w:val="auto"/>
          <w:spacing w:val="0"/>
          <w:sz w:val="32"/>
          <w:szCs w:val="32"/>
          <w:highlight w:val="none"/>
          <w:u w:val="none"/>
          <w:shd w:val="clear" w:fill="FFFFFF"/>
        </w:rPr>
        <w:t>）根据国家、省、市有关规定和航空港实验区经济社会发展需要，须对本目录与准入条件进行部分调整时，由经发局（</w:t>
      </w:r>
      <w:r>
        <w:rPr>
          <w:rFonts w:hint="eastAsia" w:ascii="仿宋_GB2312" w:hAnsi="仿宋_GB2312" w:eastAsia="仿宋_GB2312" w:cs="仿宋_GB2312"/>
          <w:i w:val="0"/>
          <w:caps w:val="0"/>
          <w:color w:val="auto"/>
          <w:spacing w:val="0"/>
          <w:sz w:val="32"/>
          <w:szCs w:val="32"/>
          <w:highlight w:val="none"/>
          <w:u w:val="none"/>
          <w:shd w:val="clear" w:fill="FFFFFF"/>
          <w:lang w:eastAsia="zh-CN"/>
        </w:rPr>
        <w:t>统计</w:t>
      </w:r>
      <w:r>
        <w:rPr>
          <w:rFonts w:hint="eastAsia" w:ascii="仿宋_GB2312" w:hAnsi="仿宋_GB2312" w:eastAsia="仿宋_GB2312" w:cs="仿宋_GB2312"/>
          <w:i w:val="0"/>
          <w:caps w:val="0"/>
          <w:color w:val="auto"/>
          <w:spacing w:val="0"/>
          <w:sz w:val="32"/>
          <w:szCs w:val="32"/>
          <w:highlight w:val="none"/>
          <w:u w:val="none"/>
          <w:shd w:val="clear" w:fill="FFFFFF"/>
        </w:rPr>
        <w:t>局）牵头进行动态修订，报航空港实验区管委会批准后公布实施。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rPr>
        <w:t>（</w:t>
      </w:r>
      <w:r>
        <w:rPr>
          <w:rFonts w:hint="eastAsia" w:ascii="仿宋_GB2312" w:hAnsi="仿宋_GB2312" w:eastAsia="仿宋_GB2312" w:cs="仿宋_GB2312"/>
          <w:i w:val="0"/>
          <w:caps w:val="0"/>
          <w:color w:val="auto"/>
          <w:spacing w:val="0"/>
          <w:sz w:val="32"/>
          <w:szCs w:val="32"/>
          <w:highlight w:val="none"/>
          <w:u w:val="none"/>
          <w:shd w:val="clear" w:fill="FFFFFF"/>
          <w:lang w:eastAsia="zh-CN"/>
        </w:rPr>
        <w:t>六</w:t>
      </w:r>
      <w:r>
        <w:rPr>
          <w:rFonts w:hint="eastAsia" w:ascii="仿宋_GB2312" w:hAnsi="仿宋_GB2312" w:eastAsia="仿宋_GB2312" w:cs="仿宋_GB2312"/>
          <w:i w:val="0"/>
          <w:caps w:val="0"/>
          <w:color w:val="auto"/>
          <w:spacing w:val="0"/>
          <w:sz w:val="32"/>
          <w:szCs w:val="32"/>
          <w:highlight w:val="none"/>
          <w:u w:val="none"/>
          <w:shd w:val="clear" w:fill="FFFFFF"/>
        </w:rPr>
        <w:t>）本目录与准入条件自公布之日起实行，至下次修订目录公布之日自行废止。</w:t>
      </w:r>
    </w:p>
    <w:sectPr>
      <w:footerReference r:id="rId3" w:type="default"/>
      <w:pgSz w:w="11906" w:h="16838"/>
      <w:pgMar w:top="2098" w:right="1531" w:bottom="1984" w:left="1531"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Droid Serif">
    <w:panose1 w:val="02020600060500020200"/>
    <w:charset w:val="00"/>
    <w:family w:val="auto"/>
    <w:pitch w:val="default"/>
    <w:sig w:usb0="E00002FF" w:usb1="500078FF" w:usb2="00000029" w:usb3="00000000" w:csb0="600001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Theme="minorEastAsia"/>
                              <w:lang w:val="en-US"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8</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val="en-US"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rPr>
                        <w:rFonts w:hint="default" w:eastAsiaTheme="minorEastAsia"/>
                        <w:lang w:val="en-US"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8</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C7"/>
    <w:rsid w:val="00844D5A"/>
    <w:rsid w:val="00EB15DC"/>
    <w:rsid w:val="018726F0"/>
    <w:rsid w:val="019B46A5"/>
    <w:rsid w:val="02066739"/>
    <w:rsid w:val="04DB46C1"/>
    <w:rsid w:val="06D6438D"/>
    <w:rsid w:val="085F40C8"/>
    <w:rsid w:val="08BE5D50"/>
    <w:rsid w:val="08D66C78"/>
    <w:rsid w:val="10BC7AA2"/>
    <w:rsid w:val="120C03A1"/>
    <w:rsid w:val="14A641F5"/>
    <w:rsid w:val="160B7597"/>
    <w:rsid w:val="17AD3429"/>
    <w:rsid w:val="19117C77"/>
    <w:rsid w:val="1A630112"/>
    <w:rsid w:val="1BE52C5D"/>
    <w:rsid w:val="1D92642C"/>
    <w:rsid w:val="1E186D98"/>
    <w:rsid w:val="1EB50A32"/>
    <w:rsid w:val="1EB80FBB"/>
    <w:rsid w:val="200E6E53"/>
    <w:rsid w:val="21A23CA2"/>
    <w:rsid w:val="246B5DA7"/>
    <w:rsid w:val="24A71990"/>
    <w:rsid w:val="252A7AC1"/>
    <w:rsid w:val="277108DF"/>
    <w:rsid w:val="27C07AFB"/>
    <w:rsid w:val="27D93E51"/>
    <w:rsid w:val="27E8160A"/>
    <w:rsid w:val="282C197D"/>
    <w:rsid w:val="2830008F"/>
    <w:rsid w:val="28C80CE2"/>
    <w:rsid w:val="29AF3081"/>
    <w:rsid w:val="2A14006A"/>
    <w:rsid w:val="2AC35462"/>
    <w:rsid w:val="2C5F42CD"/>
    <w:rsid w:val="2C980EAA"/>
    <w:rsid w:val="2DDC25E3"/>
    <w:rsid w:val="2F5B5B19"/>
    <w:rsid w:val="2FCB34B3"/>
    <w:rsid w:val="2FCE4125"/>
    <w:rsid w:val="31195A4D"/>
    <w:rsid w:val="352969A7"/>
    <w:rsid w:val="37CF0A1F"/>
    <w:rsid w:val="3A405EA7"/>
    <w:rsid w:val="3A854F73"/>
    <w:rsid w:val="3B076972"/>
    <w:rsid w:val="3B9A1BBE"/>
    <w:rsid w:val="3BC05075"/>
    <w:rsid w:val="3E8E4F90"/>
    <w:rsid w:val="3EAD4B91"/>
    <w:rsid w:val="3F673CD7"/>
    <w:rsid w:val="3FBD7129"/>
    <w:rsid w:val="3FEB7DA9"/>
    <w:rsid w:val="40311C6C"/>
    <w:rsid w:val="40426A34"/>
    <w:rsid w:val="410378EE"/>
    <w:rsid w:val="411E111D"/>
    <w:rsid w:val="436B54E7"/>
    <w:rsid w:val="437B5258"/>
    <w:rsid w:val="44DC42E3"/>
    <w:rsid w:val="4579046F"/>
    <w:rsid w:val="466F796F"/>
    <w:rsid w:val="487C73BF"/>
    <w:rsid w:val="4AD22B5F"/>
    <w:rsid w:val="4BEC43B0"/>
    <w:rsid w:val="4BF720FC"/>
    <w:rsid w:val="4D8D2734"/>
    <w:rsid w:val="4DDB7C22"/>
    <w:rsid w:val="4E1B4B43"/>
    <w:rsid w:val="4E327608"/>
    <w:rsid w:val="4F124036"/>
    <w:rsid w:val="4F8A7AD3"/>
    <w:rsid w:val="50D01545"/>
    <w:rsid w:val="516A7FFC"/>
    <w:rsid w:val="52200282"/>
    <w:rsid w:val="52D80F8B"/>
    <w:rsid w:val="536E11F9"/>
    <w:rsid w:val="55627006"/>
    <w:rsid w:val="55F27D34"/>
    <w:rsid w:val="59D70B1C"/>
    <w:rsid w:val="5A8C3E52"/>
    <w:rsid w:val="5B8A5026"/>
    <w:rsid w:val="5E201BB0"/>
    <w:rsid w:val="5EDD14D4"/>
    <w:rsid w:val="5FB17089"/>
    <w:rsid w:val="63155E50"/>
    <w:rsid w:val="63506F66"/>
    <w:rsid w:val="65C867B9"/>
    <w:rsid w:val="684538FF"/>
    <w:rsid w:val="68AA1449"/>
    <w:rsid w:val="69BC621F"/>
    <w:rsid w:val="6A103004"/>
    <w:rsid w:val="6C521475"/>
    <w:rsid w:val="6E0032A3"/>
    <w:rsid w:val="6EC85607"/>
    <w:rsid w:val="6FFEF68F"/>
    <w:rsid w:val="705942B8"/>
    <w:rsid w:val="71380A10"/>
    <w:rsid w:val="714B308F"/>
    <w:rsid w:val="71B830ED"/>
    <w:rsid w:val="72465E11"/>
    <w:rsid w:val="73F1229D"/>
    <w:rsid w:val="747A1EEE"/>
    <w:rsid w:val="74C17378"/>
    <w:rsid w:val="75BE131C"/>
    <w:rsid w:val="766D46AA"/>
    <w:rsid w:val="76BF49AD"/>
    <w:rsid w:val="76CA2D08"/>
    <w:rsid w:val="77C26F86"/>
    <w:rsid w:val="78931D17"/>
    <w:rsid w:val="799F6515"/>
    <w:rsid w:val="79B52830"/>
    <w:rsid w:val="7B883F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wccadmin</cp:lastModifiedBy>
  <cp:lastPrinted>2022-01-14T15:39:00Z</cp:lastPrinted>
  <dcterms:modified xsi:type="dcterms:W3CDTF">2022-01-26T10:56:36Z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D5B2FDB8412E4AE2963A995046F54804</vt:lpwstr>
  </property>
</Properties>
</file>