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val="en-US" w:eastAsia="zh-CN"/>
        </w:rPr>
        <w:t>郑州航空港经济综合实验区政府性产业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4"/>
          <w:szCs w:val="44"/>
          <w:lang w:val="en-US" w:eastAsia="zh-CN"/>
        </w:rPr>
        <w:t>引导基金管理办法（暂行）（征求意见稿）》的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一、起草背景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为深入贯彻落实河南省委、省政府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对航空港实验区赋予的新定位、新目标、新要求，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以及吴祖明主任在全区广大党员干部大会提出的以“时不我待”的精神状态，重整行装再出发，迅速掀起航空港实验区“二次创业”新高潮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的讲话精神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，为全省实施“十大战略”、实现“两个确保”做出应有贡献。充分发挥财政资金的撬动、放大、引导作用，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引导社会资金投向</w:t>
      </w:r>
      <w:r>
        <w:rPr>
          <w:rFonts w:hint="eastAsia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航空港实验区</w:t>
      </w:r>
      <w:r>
        <w:rPr>
          <w:rFonts w:hint="eastAsia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企业、人才，扶持创新创业，满足科技产业发展和投资需求，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hAnsi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政府性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产业引导基金（以下简称</w:t>
      </w:r>
      <w:r>
        <w:rPr>
          <w:rFonts w:hint="eastAsia" w:hAnsi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引导基金</w:t>
      </w:r>
      <w:r>
        <w:rPr>
          <w:rFonts w:hint="eastAsia" w:hAnsi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）的运作，制定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pacing w:val="7"/>
          <w:sz w:val="32"/>
          <w:szCs w:val="32"/>
          <w:lang w:val="en-US" w:eastAsia="zh-CN"/>
        </w:rPr>
        <w:t>郑州航空港经济综合实验区政府性产业引导基金管理办法（暂行）（征求意见稿）》</w:t>
      </w:r>
      <w:r>
        <w:rPr>
          <w:rFonts w:hint="eastAsia" w:hAnsi="仿宋_GB2312" w:cs="仿宋_GB2312"/>
          <w:b w:val="0"/>
          <w:bCs/>
          <w:spacing w:val="7"/>
          <w:sz w:val="32"/>
          <w:szCs w:val="32"/>
          <w:lang w:val="en-US" w:eastAsia="zh-CN"/>
        </w:rPr>
        <w:t>（以下简称《办法》）。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按照郑州航空港经济综合实验区管委会安排部署，202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上旬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财政审计局（金融工作办公室）正式启动起草工作。通过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广泛收集编制所需基础资料，多次组织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金融机构进行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现场调研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认真听取意见建议，并结合</w:t>
      </w:r>
      <w:r>
        <w:rPr>
          <w:rFonts w:hint="eastAsia" w:hAnsi="Verdana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实际，拟定了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《办法》初稿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hAnsi="Verdana" w:cs="宋体"/>
          <w:color w:val="000000"/>
          <w:kern w:val="0"/>
          <w:sz w:val="32"/>
          <w:szCs w:val="32"/>
          <w:lang w:val="en-US" w:eastAsia="zh-CN"/>
        </w:rPr>
        <w:t>7月下旬，牵头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hAnsi="Arial" w:cs="Arial"/>
          <w:color w:val="auto"/>
          <w:sz w:val="32"/>
          <w:szCs w:val="32"/>
          <w:shd w:val="clear" w:color="auto" w:fill="FFFFFF"/>
          <w:lang w:val="en-US" w:eastAsia="zh-CN"/>
        </w:rPr>
        <w:t>相关单位前往嘉兴、苏州、杭州等地考察私募基金及管理机构。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为确保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《办法》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与工作实际相符合，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日，下发书面通知，征求了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相关单位意见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并进行整理汇总。各单位经过认真研究之后，</w:t>
      </w:r>
      <w:r>
        <w:rPr>
          <w:rFonts w:hint="eastAsia" w:hAnsi="Verdana" w:cs="宋体"/>
          <w:color w:val="000000"/>
          <w:kern w:val="0"/>
          <w:sz w:val="32"/>
          <w:szCs w:val="32"/>
          <w:lang w:val="en-US" w:eastAsia="zh-CN"/>
        </w:rPr>
        <w:t>均反馈无意见。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三</w:t>
      </w:r>
      <w:r>
        <w:rPr>
          <w:rFonts w:hint="eastAsia" w:ascii="黑体" w:hAnsi="黑体" w:eastAsia="黑体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4" w:firstLineChars="160"/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 w:val="0"/>
          <w:bCs/>
          <w:spacing w:val="7"/>
          <w:sz w:val="32"/>
          <w:szCs w:val="32"/>
          <w:lang w:val="en-US" w:eastAsia="zh-CN"/>
        </w:rPr>
        <w:t>《办法》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主要内容包括：总则、引导基金的管理、投资运作、终止和退出、让利机制、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容错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zh-TW" w:eastAsia="zh-TW" w:bidi="ar-SA"/>
        </w:rPr>
        <w:t>机制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zh-TW" w:eastAsia="zh-CN" w:bidi="ar-SA"/>
        </w:rPr>
        <w:t>、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监督管理、附则等八章，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共计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三十六条</w:t>
      </w:r>
      <w:r>
        <w:rPr>
          <w:rFonts w:hint="eastAsia" w:hAnsi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Ansi="Calibri" w:cs="Times New Roman"/>
          <w:bCs/>
          <w:color w:val="auto"/>
          <w:szCs w:val="32"/>
        </w:rPr>
      </w:pPr>
      <w:r>
        <w:rPr>
          <w:rFonts w:hint="eastAsia" w:hAnsi="黑体"/>
          <w:color w:val="auto"/>
        </w:rPr>
        <w:t>引导基金的投向: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航空物流、电子信息、航空航天、生物医药</w:t>
      </w:r>
      <w:r>
        <w:rPr>
          <w:rFonts w:hint="eastAsia" w:hAnsi="黑体"/>
          <w:color w:val="auto"/>
        </w:rPr>
        <w:t>等符合</w:t>
      </w:r>
      <w:r>
        <w:rPr>
          <w:rFonts w:hint="eastAsia" w:hAnsi="黑体"/>
          <w:color w:val="auto"/>
          <w:lang w:val="en-US" w:eastAsia="zh-CN"/>
        </w:rPr>
        <w:t>航空港实验区</w:t>
      </w:r>
      <w:r>
        <w:rPr>
          <w:rFonts w:hint="eastAsia" w:hAnsi="黑体"/>
          <w:color w:val="auto"/>
        </w:rPr>
        <w:t>产业发展方向的产业领域。资金来源:财政直接出资、引导基金的投资收益。</w:t>
      </w:r>
      <w:r>
        <w:rPr>
          <w:rFonts w:hint="eastAsia" w:hAnsi="黑体"/>
          <w:color w:val="auto"/>
          <w:lang w:val="en-US" w:eastAsia="zh-CN"/>
        </w:rPr>
        <w:t>管理模式：</w:t>
      </w:r>
      <w:r>
        <w:rPr>
          <w:rFonts w:hint="eastAsia" w:hAnsi="Calibri" w:cs="Times New Roman"/>
          <w:bCs/>
          <w:color w:val="auto"/>
          <w:szCs w:val="32"/>
        </w:rPr>
        <w:t>成立</w:t>
      </w:r>
      <w:r>
        <w:rPr>
          <w:rFonts w:hint="eastAsia" w:hAnsi="Calibri" w:cs="Times New Roman"/>
          <w:bCs/>
          <w:color w:val="auto"/>
          <w:szCs w:val="32"/>
          <w:lang w:eastAsia="zh-CN"/>
        </w:rPr>
        <w:t>政府性</w:t>
      </w:r>
      <w:r>
        <w:rPr>
          <w:rFonts w:hint="eastAsia" w:hAnsi="Calibri" w:cs="Times New Roman"/>
          <w:bCs/>
          <w:color w:val="auto"/>
          <w:szCs w:val="32"/>
          <w:lang w:val="en-US" w:eastAsia="zh-CN"/>
        </w:rPr>
        <w:t>产业</w:t>
      </w:r>
      <w:r>
        <w:rPr>
          <w:rFonts w:hint="eastAsia" w:hAnsi="Calibri" w:cs="Times New Roman"/>
          <w:bCs/>
          <w:color w:val="auto"/>
          <w:szCs w:val="32"/>
          <w:lang w:eastAsia="zh-CN"/>
        </w:rPr>
        <w:t>引导基金工作领导小组（以下简称“领导小组”）</w:t>
      </w:r>
      <w:r>
        <w:rPr>
          <w:rFonts w:hint="eastAsia" w:hAnsi="Calibri" w:cs="Times New Roman"/>
          <w:bCs/>
          <w:color w:val="auto"/>
          <w:szCs w:val="32"/>
        </w:rPr>
        <w:t>，为引导基金的决策机构，负责引导基金重大事项的决策和协调。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Ansi="Calibri" w:cs="Times New Roman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Cs w:val="32"/>
        </w:rPr>
        <w:t>引导基金作</w:t>
      </w:r>
      <w:r>
        <w:rPr>
          <w:rFonts w:hint="eastAsia" w:hAnsi="Calibri" w:cs="Times New Roman"/>
          <w:bCs/>
          <w:color w:val="auto"/>
          <w:szCs w:val="32"/>
        </w:rPr>
        <w:t>为“母基金”，</w:t>
      </w:r>
      <w:r>
        <w:rPr>
          <w:rFonts w:hint="eastAsia" w:hAnsi="Calibri" w:cs="Times New Roman"/>
          <w:bCs/>
          <w:color w:val="auto"/>
          <w:szCs w:val="32"/>
          <w:lang w:val="en-US" w:eastAsia="zh-CN"/>
        </w:rPr>
        <w:t>不参与直接投资，</w:t>
      </w:r>
      <w:r>
        <w:rPr>
          <w:rFonts w:hint="eastAsia" w:hAnsi="Calibri" w:cs="Times New Roman"/>
          <w:bCs/>
          <w:color w:val="auto"/>
          <w:szCs w:val="32"/>
        </w:rPr>
        <w:t>由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引导基金</w:t>
      </w:r>
      <w:r>
        <w:rPr>
          <w:rFonts w:hint="eastAsia" w:hAnsi="Calibri" w:cs="Times New Roman"/>
          <w:bCs/>
          <w:color w:val="auto"/>
          <w:szCs w:val="32"/>
        </w:rPr>
        <w:t>与社会资本合作设立“创业投资子基金”、“天使投资子基金”、“股权投资子基金”等各种“子基金”，由子基金对投资项目进行具体投资管理。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Ansi="微软雅黑"/>
          <w:color w:val="auto"/>
          <w:szCs w:val="32"/>
        </w:rPr>
      </w:pPr>
      <w:r>
        <w:rPr>
          <w:rFonts w:hint="eastAsia" w:hAnsi="微软雅黑"/>
          <w:color w:val="auto"/>
          <w:szCs w:val="32"/>
        </w:rPr>
        <w:t>为更好地发挥政府资金的引导作用，鼓励子基金投资于</w:t>
      </w:r>
      <w:r>
        <w:rPr>
          <w:rFonts w:hint="eastAsia" w:hAnsi="黑体"/>
          <w:color w:val="auto"/>
          <w:lang w:val="en-US" w:eastAsia="zh-CN"/>
        </w:rPr>
        <w:t>航空港实验区</w:t>
      </w:r>
      <w:r>
        <w:rPr>
          <w:rFonts w:hint="eastAsia" w:hAnsi="微软雅黑"/>
          <w:color w:val="auto"/>
          <w:szCs w:val="32"/>
        </w:rPr>
        <w:t>种子期、初创期企业，引导基金对子基金设置激励机制。</w:t>
      </w:r>
      <w:r>
        <w:rPr>
          <w:rFonts w:hint="eastAsia" w:hAnsi="微软雅黑"/>
          <w:color w:val="auto"/>
          <w:szCs w:val="32"/>
          <w:lang w:val="en-US" w:eastAsia="zh-CN"/>
        </w:rPr>
        <w:t>有</w:t>
      </w:r>
      <w:r>
        <w:rPr>
          <w:rFonts w:hint="eastAsia" w:hAnsi="微软雅黑"/>
          <w:color w:val="auto"/>
          <w:szCs w:val="32"/>
        </w:rPr>
        <w:t>让利</w:t>
      </w:r>
      <w:r>
        <w:rPr>
          <w:rFonts w:hint="eastAsia" w:hAnsi="微软雅黑"/>
          <w:color w:val="auto"/>
          <w:szCs w:val="32"/>
          <w:lang w:eastAsia="zh-CN"/>
        </w:rPr>
        <w:t>、</w:t>
      </w:r>
      <w:r>
        <w:rPr>
          <w:rFonts w:hint="eastAsia" w:hAnsi="微软雅黑"/>
          <w:color w:val="auto"/>
          <w:szCs w:val="32"/>
        </w:rPr>
        <w:t>回购</w:t>
      </w:r>
      <w:r>
        <w:rPr>
          <w:rFonts w:hint="eastAsia" w:hAnsi="微软雅黑"/>
          <w:color w:val="auto"/>
          <w:szCs w:val="32"/>
          <w:lang w:val="en-US" w:eastAsia="zh-CN"/>
        </w:rPr>
        <w:t>以及</w:t>
      </w:r>
      <w:r>
        <w:rPr>
          <w:rFonts w:hint="eastAsia" w:hAnsi="微软雅黑"/>
          <w:color w:val="auto"/>
          <w:szCs w:val="32"/>
          <w:lang w:val="zh-TW"/>
        </w:rPr>
        <w:t>被投项目创始人可优先回购引导基金所持基金股权或财产份额。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 w:hAnsi="Microsoft JhengHei Light" w:cs="Microsoft JhengHei Light"/>
          <w:color w:val="auto"/>
          <w:kern w:val="0"/>
          <w:szCs w:val="32"/>
          <w:lang w:val="zh-TW" w:eastAsia="zh-TW"/>
        </w:rPr>
        <w:t>在引导基金运营中，未能实现预期目标或出现偏差失误，符合本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/>
        </w:rPr>
        <w:t>办法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 w:eastAsia="zh-TW"/>
        </w:rPr>
        <w:t>规定的情形，给予免责或从轻定责，对</w:t>
      </w:r>
      <w:r>
        <w:rPr>
          <w:rFonts w:hint="eastAsia" w:hAnsi="Microsoft JhengHei Light" w:cs="Microsoft JhengHei Light"/>
          <w:color w:val="auto"/>
          <w:kern w:val="0"/>
          <w:szCs w:val="32"/>
          <w:lang w:val="en-US" w:eastAsia="zh-CN"/>
        </w:rPr>
        <w:t>产业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 w:eastAsia="zh-TW"/>
        </w:rPr>
        <w:t>引导基金</w:t>
      </w:r>
      <w:r>
        <w:rPr>
          <w:rFonts w:hint="eastAsia" w:hAnsi="Microsoft JhengHei Light" w:cs="Microsoft JhengHei Light"/>
          <w:color w:val="auto"/>
          <w:kern w:val="0"/>
          <w:szCs w:val="32"/>
          <w:lang w:val="en-US" w:eastAsia="zh-CN"/>
        </w:rPr>
        <w:t>管理机构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 w:eastAsia="zh-TW"/>
        </w:rPr>
        <w:t>经营业绩考核不作负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/>
        </w:rPr>
        <w:t>面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 w:eastAsia="zh-TW"/>
        </w:rPr>
        <w:t>评价</w:t>
      </w:r>
      <w:r>
        <w:rPr>
          <w:rFonts w:hint="eastAsia" w:hAnsi="Microsoft JhengHei Light" w:cs="Microsoft JhengHei Light"/>
          <w:color w:val="auto"/>
          <w:kern w:val="0"/>
          <w:szCs w:val="32"/>
          <w:lang w:val="zh-TW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1DE8"/>
    <w:multiLevelType w:val="singleLevel"/>
    <w:tmpl w:val="63071DE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TU1ZmIyN2ZmYTFiMzY4NGYzMTFiMWRjY2MyNTcifQ=="/>
  </w:docVars>
  <w:rsids>
    <w:rsidRoot w:val="00407502"/>
    <w:rsid w:val="000472AF"/>
    <w:rsid w:val="001A4F13"/>
    <w:rsid w:val="00227BB5"/>
    <w:rsid w:val="002728C6"/>
    <w:rsid w:val="004029F2"/>
    <w:rsid w:val="00407502"/>
    <w:rsid w:val="0089490F"/>
    <w:rsid w:val="008C11DE"/>
    <w:rsid w:val="009A49D8"/>
    <w:rsid w:val="00AC6C42"/>
    <w:rsid w:val="00BB6EF0"/>
    <w:rsid w:val="00CF06C8"/>
    <w:rsid w:val="00E71FC4"/>
    <w:rsid w:val="00F765C1"/>
    <w:rsid w:val="053A13B6"/>
    <w:rsid w:val="10E373D8"/>
    <w:rsid w:val="17892E8A"/>
    <w:rsid w:val="1A59485C"/>
    <w:rsid w:val="217F080A"/>
    <w:rsid w:val="2B4C7806"/>
    <w:rsid w:val="2E996D8F"/>
    <w:rsid w:val="36AA432D"/>
    <w:rsid w:val="3F0D790B"/>
    <w:rsid w:val="46A3433B"/>
    <w:rsid w:val="47FB6041"/>
    <w:rsid w:val="486D50EA"/>
    <w:rsid w:val="4A347440"/>
    <w:rsid w:val="4BB90645"/>
    <w:rsid w:val="4D211A22"/>
    <w:rsid w:val="51C37B11"/>
    <w:rsid w:val="56F70D43"/>
    <w:rsid w:val="60BC60E5"/>
    <w:rsid w:val="70E538A5"/>
    <w:rsid w:val="76F300F0"/>
    <w:rsid w:val="79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Subtle Reference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/>
    </w:pPr>
  </w:style>
  <w:style w:type="paragraph" w:customStyle="1" w:styleId="13">
    <w:name w:val="正文首行缩进1"/>
    <w:basedOn w:val="14"/>
    <w:qFormat/>
    <w:uiPriority w:val="0"/>
    <w:pPr>
      <w:ind w:firstLine="420" w:firstLineChars="100"/>
    </w:pPr>
  </w:style>
  <w:style w:type="paragraph" w:customStyle="1" w:styleId="14">
    <w:name w:val="正文文本1"/>
    <w:basedOn w:val="1"/>
    <w:qFormat/>
    <w:uiPriority w:val="0"/>
  </w:style>
  <w:style w:type="paragraph" w:customStyle="1" w:styleId="15">
    <w:name w:val="章节3"/>
    <w:basedOn w:val="1"/>
    <w:qFormat/>
    <w:uiPriority w:val="0"/>
    <w:pPr>
      <w:widowControl w:val="0"/>
      <w:ind w:firstLine="640"/>
    </w:pPr>
    <w:rPr>
      <w:rFonts w:ascii="Times New Roman" w:hAnsi="Times New Roman" w:cs="Times New Roman"/>
      <w:kern w:val="0"/>
      <w:szCs w:val="32"/>
      <w:lang w:val="zh-CN"/>
    </w:rPr>
  </w:style>
  <w:style w:type="paragraph" w:customStyle="1" w:styleId="16">
    <w:name w:val="No Spacing"/>
    <w:qFormat/>
    <w:uiPriority w:val="99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2020-12-08T02:05:00Z</dcterms:created>
  <dc:creator>Lenovo</dc:creator>
  <cp:lastModifiedBy>Administrator</cp:lastModifiedBy>
  <cp:lastPrinted>2022-08-26T03:04:00Z</cp:lastPrinted>
  <dcterms:modified xsi:type="dcterms:W3CDTF">2022-08-29T08:43:03Z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F12F58483BB940BB9315C249DD69BB68</vt:lpwstr>
  </property>
</Properties>
</file>