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</w:rPr>
        <w:t>郑州航空港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  <w:lang w:val="en-US" w:eastAsia="zh-CN"/>
        </w:rPr>
        <w:t>经济综合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</w:rPr>
        <w:t>实验区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w w:val="9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  <w:lang w:val="en-US" w:eastAsia="zh-CN"/>
        </w:rPr>
        <w:t>红十字会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</w:rPr>
        <w:t>“防汛救灾”捐赠资金使用情况公告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7月20日，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郑州等地遭遇特大暴雨灾害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以来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，全国社会各界爱心企业、爱心人士迅速行动，捐款捐物，支援我区救灾工作。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各办事处受灾程度和各单位承担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的救灾、灾后重建任务，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结合资金捐赠意向，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经党工委研究，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区红十字会已将郑州市红十字会下拨的三批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救灾款分配到各受灾单位。现将资金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分配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情况公告如下：</w:t>
      </w:r>
    </w:p>
    <w:tbl>
      <w:tblPr>
        <w:tblStyle w:val="2"/>
        <w:tblW w:w="9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894"/>
        <w:gridCol w:w="3983"/>
        <w:gridCol w:w="956"/>
        <w:gridCol w:w="2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第一批次300万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龙王办事处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群众救灾和生活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八千办事处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群众救灾和生活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冯堂办事处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群众救灾和生活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明港办事处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群众救灾和生活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清河办事处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群众救灾和生活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三官庙办事处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群众救灾和生活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银河办事处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群众救灾和生活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张庄办事处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群众救灾和生活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新港办事处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群众救灾和生活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滨河办事处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群众救灾和生活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八岗办事处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群众救灾和生活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龙港办事处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群众救灾和生活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郑港办事处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群众救灾和生活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群众救灾和生活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第二批次2000万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综合行政执法局（城市管理局）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防汛救灾和重建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教育文化卫生体育局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防汛救灾和重建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防汛救灾和重建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第三批次493万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张庄中心卫生院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医疗防汛救灾及防疫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八千中心卫生院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医疗防汛救灾及防疫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龙王中心卫生院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医疗防汛救灾及防疫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八岗卫生院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医疗防汛救灾及防疫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三官庙中心卫生院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医疗防汛救灾及防疫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冯堂卫生院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192.55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医疗防汛救灾及防疫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郑州市第一人民医院（航空港院区）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医疗防汛救灾及防疫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河南省省立医院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医疗防汛救灾及防疫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医疗防汛救灾及防疫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上述社会捐赠资金不得更改用途，不得挪用、留滞、转借等。否则，将追究相关负责人的责任。我区将依法依规依程序公开透明使用社会捐赠资金，欢迎社会各界监督。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E47B8"/>
    <w:rsid w:val="6650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2021-08-20T01:25:00Z</dcterms:created>
  <dc:creator>PC</dc:creator>
  <cp:lastModifiedBy>小飞</cp:lastModifiedBy>
  <cp:lastPrinted>2021-08-20T01:43:00Z</cp:lastPrinted>
  <dcterms:modified xsi:type="dcterms:W3CDTF">2021-08-20T08:00:24Z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BD2139E9EEC347F3994F229A453C98DE</vt:lpwstr>
  </property>
</Properties>
</file>