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157" w:beforeLines="50" w:after="0" w:afterLines="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郑州航空港经济综合实验区教育文化卫生</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体育局2022年政府信息公开年度报告</w:t>
      </w:r>
    </w:p>
    <w:p>
      <w:pPr>
        <w:pStyle w:val="8"/>
        <w:keepNext w:val="0"/>
        <w:keepLines w:val="0"/>
        <w:widowControl/>
        <w:suppressLineNumbers w:val="0"/>
        <w:wordWrap w:val="0"/>
        <w:spacing w:before="0" w:beforeAutospacing="0" w:after="0" w:afterAutospacing="0" w:line="580" w:lineRule="atLeast"/>
        <w:ind w:left="0" w:right="0" w:firstLine="420"/>
        <w:jc w:val="both"/>
        <w:rPr>
          <w:rFonts w:hint="default" w:ascii="仿宋_GB2312" w:hAnsi="仿宋_GB2312" w:eastAsia="仿宋_GB2312" w:cs="仿宋_GB2312"/>
          <w:b w:val="0"/>
          <w:bCs w:val="0"/>
          <w:color w:val="auto"/>
          <w:kern w:val="2"/>
          <w:sz w:val="32"/>
          <w:szCs w:val="32"/>
          <w:lang w:val="en-US" w:eastAsia="zh-CN" w:bidi="ar-SA"/>
        </w:rPr>
      </w:pPr>
    </w:p>
    <w:p>
      <w:pPr>
        <w:pStyle w:val="8"/>
        <w:keepNext w:val="0"/>
        <w:keepLines w:val="0"/>
        <w:widowControl/>
        <w:suppressLineNumbers w:val="0"/>
        <w:wordWrap w:val="0"/>
        <w:spacing w:before="0" w:beforeAutospacing="0" w:after="0" w:afterAutospacing="0" w:line="580" w:lineRule="atLeast"/>
        <w:ind w:right="0" w:firstLine="640" w:firstLineChars="200"/>
        <w:jc w:val="both"/>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报告是根据《中华人民共和国政府信息公开条例》（以下简称《条例》）第五十条规定，按照《国务院办公厅政府信息与政务公开办公室关于政府信息公开工作年度报告有关事项的通知》(国办公开函〔2019〕60号)要求，现公布郑州航空港经济综合实验区</w:t>
      </w:r>
      <w:r>
        <w:rPr>
          <w:rFonts w:hint="eastAsia" w:ascii="仿宋_GB2312" w:hAnsi="仿宋_GB2312" w:eastAsia="仿宋_GB2312" w:cs="仿宋_GB2312"/>
          <w:b w:val="0"/>
          <w:bCs w:val="0"/>
          <w:color w:val="auto"/>
          <w:kern w:val="2"/>
          <w:sz w:val="32"/>
          <w:szCs w:val="32"/>
          <w:lang w:val="en-US" w:eastAsia="zh-CN" w:bidi="ar-SA"/>
        </w:rPr>
        <w:t>教育文化卫生体育局</w:t>
      </w:r>
      <w:r>
        <w:rPr>
          <w:rFonts w:hint="default" w:ascii="仿宋_GB2312" w:hAnsi="仿宋_GB2312" w:eastAsia="仿宋_GB2312" w:cs="仿宋_GB2312"/>
          <w:b w:val="0"/>
          <w:bCs w:val="0"/>
          <w:color w:val="auto"/>
          <w:kern w:val="2"/>
          <w:sz w:val="32"/>
          <w:szCs w:val="32"/>
          <w:lang w:val="en-US" w:eastAsia="zh-CN" w:bidi="ar-SA"/>
        </w:rPr>
        <w:t>202</w:t>
      </w: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年政府信息公开工作年度报告。本报告由总体情况、主动公开政府信息情况、收到和处理政府信息公开申请情况、政府信息公开被申请行政复议和提起行政诉讼情况、存在问题及改进措施、其他需要报告的事项六部分内容组成。报告中所列数据的统计起止时间为202</w:t>
      </w: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年1月1日至12月31日。</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总体情况</w:t>
      </w:r>
    </w:p>
    <w:p>
      <w:pPr>
        <w:numPr>
          <w:ilvl w:val="0"/>
          <w:numId w:val="0"/>
        </w:numPr>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2022年，郑州航空港经济综合实验区教文卫体局坚持以习近平新时代中国特色社会主义思想为指导，全面贯彻党的二十大和十九大二中、三中、四中、五中、六中、七中全会精神，坚持以人民为中心的发展思想，认真落实国家和省、市关于政务公开工作的决策部署，紧紧围绕管委会中心工作，持续推进政务公开标准化规范化建设，</w:t>
      </w:r>
      <w:r>
        <w:rPr>
          <w:rFonts w:hint="default" w:ascii="仿宋_GB2312" w:hAnsi="仿宋_GB2312" w:eastAsia="仿宋_GB2312" w:cs="仿宋_GB2312"/>
          <w:b w:val="0"/>
          <w:bCs w:val="0"/>
          <w:color w:val="auto"/>
          <w:kern w:val="2"/>
          <w:sz w:val="32"/>
          <w:szCs w:val="32"/>
          <w:lang w:val="en-US" w:eastAsia="zh-CN" w:bidi="ar-SA"/>
        </w:rPr>
        <w:t>扩大公众参与度，强化政民互动，积极推进法治政府、服务型政府建设。</w:t>
      </w:r>
    </w:p>
    <w:p>
      <w:pPr>
        <w:numPr>
          <w:ilvl w:val="0"/>
          <w:numId w:val="0"/>
        </w:numPr>
        <w:ind w:firstLine="640" w:firstLineChars="200"/>
        <w:rPr>
          <w:rFonts w:hint="default" w:ascii="楷体" w:hAnsi="楷体" w:eastAsia="楷体" w:cs="楷体"/>
          <w:i w:val="0"/>
          <w:caps w:val="0"/>
          <w:color w:val="000000"/>
          <w:spacing w:val="0"/>
          <w:sz w:val="32"/>
          <w:szCs w:val="32"/>
          <w:shd w:val="clear" w:fill="FFFFFF"/>
          <w:lang w:val="en-US" w:eastAsia="zh-CN"/>
        </w:rPr>
      </w:pPr>
      <w:r>
        <w:rPr>
          <w:rFonts w:hint="eastAsia" w:ascii="楷体" w:hAnsi="楷体" w:eastAsia="楷体" w:cs="楷体"/>
          <w:i w:val="0"/>
          <w:caps w:val="0"/>
          <w:color w:val="000000"/>
          <w:spacing w:val="0"/>
          <w:sz w:val="32"/>
          <w:szCs w:val="32"/>
          <w:shd w:val="clear" w:fill="FFFFFF"/>
          <w:lang w:val="en-US" w:eastAsia="zh-CN"/>
        </w:rPr>
        <w:t>主动公开情况如下：</w:t>
      </w:r>
    </w:p>
    <w:p>
      <w:pPr>
        <w:numPr>
          <w:ilvl w:val="0"/>
          <w:numId w:val="0"/>
        </w:numPr>
        <w:ind w:firstLine="640" w:firstLineChars="200"/>
        <w:rPr>
          <w:rFonts w:hint="default"/>
        </w:rPr>
      </w:pPr>
      <w:r>
        <w:rPr>
          <w:rFonts w:hint="eastAsia" w:ascii="仿宋_GB2312" w:hAnsi="仿宋_GB2312" w:eastAsia="仿宋_GB2312" w:cs="仿宋_GB2312"/>
          <w:b w:val="0"/>
          <w:bCs w:val="0"/>
          <w:color w:val="auto"/>
          <w:kern w:val="2"/>
          <w:sz w:val="32"/>
          <w:szCs w:val="32"/>
          <w:lang w:val="en-US" w:eastAsia="zh-CN" w:bidi="ar-SA"/>
        </w:rPr>
        <w:t>根据</w:t>
      </w:r>
      <w:r>
        <w:rPr>
          <w:rFonts w:hint="eastAsia" w:ascii="仿宋_GB2312" w:hAnsi="仿宋_GB2312" w:eastAsia="仿宋_GB2312" w:cs="仿宋_GB2312"/>
          <w:sz w:val="32"/>
          <w:szCs w:val="32"/>
          <w:lang w:val="en-US" w:eastAsia="zh-CN"/>
        </w:rPr>
        <w:t>省、市政府对实验区政府信息公开工作要求和</w:t>
      </w:r>
      <w:r>
        <w:rPr>
          <w:rFonts w:hint="eastAsia" w:ascii="仿宋_GB2312" w:hAnsi="仿宋_GB2312" w:eastAsia="仿宋_GB2312" w:cs="仿宋_GB2312"/>
          <w:b w:val="0"/>
          <w:bCs w:val="0"/>
          <w:color w:val="auto"/>
          <w:kern w:val="2"/>
          <w:sz w:val="32"/>
          <w:szCs w:val="32"/>
          <w:lang w:val="en-US" w:eastAsia="zh-CN" w:bidi="ar-SA"/>
        </w:rPr>
        <w:t>《郑州</w:t>
      </w:r>
      <w:r>
        <w:rPr>
          <w:rFonts w:hint="eastAsia" w:ascii="仿宋_GB2312" w:hAnsi="仿宋_GB2312" w:eastAsia="仿宋_GB2312" w:cs="仿宋_GB2312"/>
          <w:sz w:val="32"/>
          <w:szCs w:val="32"/>
          <w:lang w:val="en-US" w:eastAsia="zh-CN"/>
        </w:rPr>
        <w:t>航空港经济综合实验区条例</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sz w:val="32"/>
          <w:szCs w:val="32"/>
          <w:lang w:val="en-US" w:eastAsia="zh-CN"/>
        </w:rPr>
        <w:t>，梳理出教文卫体局政权责事项共436项，</w:t>
      </w:r>
      <w:r>
        <w:rPr>
          <w:rFonts w:hint="eastAsia" w:ascii="仿宋" w:hAnsi="仿宋" w:eastAsia="仿宋" w:cs="仿宋"/>
          <w:sz w:val="32"/>
          <w:szCs w:val="32"/>
          <w:lang w:val="en-US" w:eastAsia="zh-CN"/>
        </w:rPr>
        <w:t>其中教育类39项、文化类179项、卫生类162项、文物类56项，</w:t>
      </w:r>
      <w:r>
        <w:rPr>
          <w:rFonts w:hint="eastAsia" w:ascii="仿宋_GB2312" w:hAnsi="仿宋_GB2312" w:eastAsia="仿宋_GB2312" w:cs="仿宋_GB2312"/>
          <w:sz w:val="32"/>
          <w:szCs w:val="32"/>
          <w:lang w:val="en-US" w:eastAsia="zh-CN"/>
        </w:rPr>
        <w:t>现已全部承接到位，并已开展相关审批业务。2022年</w:t>
      </w:r>
      <w:r>
        <w:rPr>
          <w:rFonts w:hint="eastAsia" w:ascii="仿宋_GB2312" w:hAnsi="仿宋_GB2312" w:eastAsia="仿宋_GB2312" w:cs="仿宋_GB2312"/>
          <w:b w:val="0"/>
          <w:bCs w:val="0"/>
          <w:color w:val="auto"/>
          <w:kern w:val="2"/>
          <w:sz w:val="32"/>
          <w:szCs w:val="32"/>
          <w:lang w:val="en-US" w:eastAsia="zh-CN" w:bidi="ar-SA"/>
        </w:rPr>
        <w:t>共审批行政许可1006件，其中文化类审批6件，教育类24件，卫生类976件。卫生监督领域行政规范性文件3个，共结案行政处罚案件10件；罚没金额共计86500元。由于疫情防控常态化管理要求，卫生监督执法工作加大了对公共场所和医疗机构的日常巡查，全年办理的医疗卫生和公共场所卫生类案件数量显著增长，全年结案行政处罚案件中：传染病防治类案件 1件，职业卫生类案件 1件。</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主动公开政府信息情况</w:t>
      </w:r>
    </w:p>
    <w:p>
      <w:pPr>
        <w:keepNext w:val="0"/>
        <w:keepLines w:val="0"/>
        <w:pageBreakBefore w:val="0"/>
        <w:widowControl w:val="0"/>
        <w:kinsoku/>
        <w:overflowPunct/>
        <w:topLinePunct w:val="0"/>
        <w:autoSpaceDE/>
        <w:autoSpaceDN/>
        <w:bidi w:val="0"/>
        <w:adjustRightInd/>
        <w:snapToGrid/>
        <w:textAlignment w:val="auto"/>
        <w:rPr>
          <w:rFonts w:hint="eastAsia" w:ascii="黑体" w:hAnsi="黑体" w:eastAsia="黑体" w:cs="黑体"/>
        </w:rPr>
      </w:pPr>
    </w:p>
    <w:tbl>
      <w:tblPr>
        <w:tblStyle w:val="9"/>
        <w:tblW w:w="7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583"/>
        <w:gridCol w:w="1754"/>
        <w:gridCol w:w="1745"/>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rPr>
              <w:t>第二十条</w:t>
            </w:r>
            <w:r>
              <w:rPr>
                <w:rFonts w:hint="eastAsia"/>
                <w:lang w:val="en-US" w:eastAsia="zh-CN"/>
              </w:rPr>
              <w:t xml:space="preserve">  </w:t>
            </w:r>
            <w:r>
              <w:rPr>
                <w:rFonts w:hint="eastAsia"/>
              </w:rPr>
              <w:t>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制发件数</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废止件数</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规章</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0</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0</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lang w:eastAsia="zh-CN"/>
              </w:rPr>
              <w:t>行政</w:t>
            </w:r>
            <w:r>
              <w:rPr>
                <w:rFonts w:hint="eastAsia" w:ascii="宋体" w:hAnsi="宋体" w:eastAsia="宋体" w:cs="宋体"/>
                <w:b w:val="0"/>
                <w:bCs w:val="0"/>
              </w:rPr>
              <w:t>规范性文件</w:t>
            </w:r>
          </w:p>
        </w:tc>
        <w:tc>
          <w:tcPr>
            <w:tcW w:w="1754"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p>
        </w:tc>
        <w:tc>
          <w:tcPr>
            <w:tcW w:w="1745"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0</w:t>
            </w:r>
          </w:p>
        </w:tc>
        <w:tc>
          <w:tcPr>
            <w:tcW w:w="1726"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行政许可</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1006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行政处罚</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行政强制</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 xml:space="preserv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7808" w:type="dxa"/>
            <w:gridSpan w:val="4"/>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第二十条</w:t>
            </w:r>
            <w:r>
              <w:rPr>
                <w:rFonts w:hint="eastAsia" w:ascii="宋体" w:hAnsi="宋体" w:eastAsia="宋体" w:cs="宋体"/>
                <w:b w:val="0"/>
                <w:bCs w:val="0"/>
                <w:lang w:val="en-US" w:eastAsia="zh-CN"/>
              </w:rPr>
              <w:t xml:space="preserve">  </w:t>
            </w:r>
            <w:r>
              <w:rPr>
                <w:rFonts w:hint="eastAsia" w:ascii="宋体" w:hAnsi="宋体" w:eastAsia="宋体" w:cs="宋体"/>
                <w:b w:val="0"/>
                <w:bCs w:val="0"/>
              </w:rPr>
              <w:t>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信息内容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eastAsia="zh-CN"/>
              </w:rPr>
            </w:pPr>
            <w:r>
              <w:rPr>
                <w:rFonts w:hint="eastAsia" w:ascii="宋体" w:hAnsi="宋体" w:eastAsia="宋体" w:cs="宋体"/>
                <w:b w:val="0"/>
                <w:bCs w:val="0"/>
              </w:rPr>
              <w:t>本年</w:t>
            </w:r>
            <w:r>
              <w:rPr>
                <w:rFonts w:hint="eastAsia" w:ascii="宋体" w:hAnsi="宋体" w:eastAsia="宋体" w:cs="宋体"/>
                <w:b w:val="0"/>
                <w:bCs w:val="0"/>
                <w:lang w:eastAsia="zh-CN"/>
              </w:rPr>
              <w:t>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jc w:val="center"/>
        </w:trPr>
        <w:tc>
          <w:tcPr>
            <w:tcW w:w="2583" w:type="dxa"/>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rPr>
            </w:pPr>
            <w:r>
              <w:rPr>
                <w:rFonts w:hint="eastAsia" w:ascii="宋体" w:hAnsi="宋体" w:eastAsia="宋体" w:cs="宋体"/>
                <w:b w:val="0"/>
                <w:bCs w:val="0"/>
              </w:rPr>
              <w:t>行政事业性收费</w:t>
            </w:r>
          </w:p>
        </w:tc>
        <w:tc>
          <w:tcPr>
            <w:tcW w:w="5225" w:type="dxa"/>
            <w:gridSpan w:val="3"/>
            <w:shd w:val="clear" w:color="auto" w:fill="auto"/>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 xml:space="preserve">0 </w:t>
            </w:r>
          </w:p>
        </w:tc>
      </w:tr>
    </w:tbl>
    <w:p>
      <w:pPr>
        <w:keepNext w:val="0"/>
        <w:keepLines w:val="0"/>
        <w:pageBreakBefore w:val="0"/>
        <w:widowControl w:val="0"/>
        <w:kinsoku/>
        <w:overflowPunct/>
        <w:topLinePunct w:val="0"/>
        <w:autoSpaceDE/>
        <w:autoSpaceDN/>
        <w:bidi w:val="0"/>
        <w:adjustRightInd/>
        <w:snapToGrid/>
        <w:textAlignment w:val="auto"/>
        <w:rPr>
          <w:rFonts w:hint="eastAsia"/>
          <w:b w:val="0"/>
          <w:bCs/>
          <w:lang w:eastAsia="zh-CN"/>
        </w:rPr>
      </w:pPr>
      <w:r>
        <w:rPr>
          <w:rFonts w:hint="eastAsia"/>
          <w:b w:val="0"/>
          <w:bCs/>
          <w:lang w:eastAsia="zh-CN"/>
        </w:rPr>
        <w:br w:type="page"/>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b w:val="0"/>
          <w:bCs/>
        </w:rPr>
      </w:pPr>
      <w:r>
        <w:rPr>
          <w:rFonts w:hint="eastAsia"/>
          <w:b w:val="0"/>
          <w:bCs/>
          <w:lang w:eastAsia="zh-CN"/>
        </w:rPr>
        <w:t>三、收到和处理政府信息公开申请情况</w:t>
      </w:r>
    </w:p>
    <w:tbl>
      <w:tblPr>
        <w:tblStyle w:val="9"/>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869"/>
        <w:gridCol w:w="552"/>
        <w:gridCol w:w="2587"/>
        <w:gridCol w:w="967"/>
        <w:gridCol w:w="693"/>
        <w:gridCol w:w="693"/>
        <w:gridCol w:w="921"/>
        <w:gridCol w:w="828"/>
        <w:gridCol w:w="648"/>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仿宋_GB2312" w:hAnsi="仿宋_GB2312" w:eastAsia="仿宋_GB2312" w:cs="仿宋_GB2312"/>
                <w:i w:val="0"/>
                <w:iCs w:val="0"/>
                <w:caps w:val="0"/>
                <w:color w:val="000000"/>
                <w:spacing w:val="0"/>
                <w:sz w:val="21"/>
                <w:szCs w:val="21"/>
              </w:rPr>
              <w:t>（本列数据的勾稽关系为：第一项加第二项之和，等于第三项加第四项之和）</w:t>
            </w:r>
          </w:p>
        </w:tc>
        <w:tc>
          <w:tcPr>
            <w:tcW w:w="5518" w:type="dxa"/>
            <w:gridSpan w:val="7"/>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967"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自然人</w:t>
            </w:r>
          </w:p>
        </w:tc>
        <w:tc>
          <w:tcPr>
            <w:tcW w:w="3783" w:type="dxa"/>
            <w:gridSpan w:val="5"/>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法人或其他组织</w:t>
            </w:r>
          </w:p>
        </w:tc>
        <w:tc>
          <w:tcPr>
            <w:tcW w:w="768"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967"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商业企业</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科研机构</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社会公益组织</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法律服务机构</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其他</w:t>
            </w:r>
          </w:p>
        </w:tc>
        <w:tc>
          <w:tcPr>
            <w:tcW w:w="768"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i w:val="0"/>
                <w:iCs w:val="0"/>
                <w:caps w:val="0"/>
                <w:color w:val="000000"/>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一、本年新收政府信息公开申请数量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二、上年结转政府信息公开申请数量</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16" w:hRule="atLeast"/>
          <w:jc w:val="center"/>
        </w:trPr>
        <w:tc>
          <w:tcPr>
            <w:tcW w:w="869" w:type="dxa"/>
            <w:vMerge w:val="restart"/>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三、本年度办理结果</w:t>
            </w: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（一）予以公开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（二）部分公开</w:t>
            </w:r>
            <w:r>
              <w:rPr>
                <w:rFonts w:hint="eastAsia" w:ascii="仿宋_GB2312" w:hAnsi="仿宋_GB2312" w:eastAsia="仿宋_GB2312" w:cs="仿宋_GB2312"/>
                <w:i w:val="0"/>
                <w:iCs w:val="0"/>
                <w:caps w:val="0"/>
                <w:color w:val="000000"/>
                <w:spacing w:val="0"/>
                <w:sz w:val="21"/>
                <w:szCs w:val="21"/>
              </w:rPr>
              <w:t>（区分处理的，只计这一情形，不计其他情形）</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90"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Lr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（三）不予公开</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1.属于国家秘密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2.其他法律行政法规禁止公开</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3.危及“三安全一稳定”</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4.保护第三方合法权益</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40"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5.属于三类内部事务信息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6.属于四类过程性信息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7.属于行政执法案卷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8.属于行政查询事项</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（四）无法提供</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1.本机关不掌握相关政府信息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2.没有现成信息需要另行制作</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3.补正后申请内容仍不明确</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113" w:right="113"/>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（五）不予处理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1.信访举报投诉类申请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253"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3.要求提供公开出版物</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67" w:hRule="exac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4.无正当理由大量反复申请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78"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0</w:t>
            </w:r>
          </w:p>
        </w:tc>
        <w:tc>
          <w:tcPr>
            <w:tcW w:w="552"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5.要求行政机关确认或重新出具已获取信息</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1134" w:hRule="atLeast"/>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restart"/>
            <w:shd w:val="clear" w:color="auto" w:fill="auto"/>
            <w:tcMar>
              <w:left w:w="84" w:type="dxa"/>
              <w:right w:w="84" w:type="dxa"/>
            </w:tcMar>
            <w:textDirection w:val="tbRlV"/>
            <w:vAlign w:val="center"/>
          </w:tcPr>
          <w:p>
            <w:pPr>
              <w:pStyle w:val="8"/>
              <w:keepNext w:val="0"/>
              <w:keepLines w:val="0"/>
              <w:pageBreakBefore w:val="0"/>
              <w:widowControl w:val="0"/>
              <w:suppressLineNumbers w:val="0"/>
              <w:kinsoku/>
              <w:wordWrap/>
              <w:overflowPunct/>
              <w:topLinePunct w:val="0"/>
              <w:autoSpaceDE/>
              <w:autoSpaceDN/>
              <w:bidi w:val="0"/>
              <w:adjustRightInd/>
              <w:snapToGrid/>
              <w:ind w:left="113" w:right="113"/>
              <w:jc w:val="center"/>
              <w:textAlignment w:val="auto"/>
              <w:rPr>
                <w:rFonts w:hint="eastAsia"/>
              </w:rPr>
            </w:pPr>
            <w:r>
              <w:rPr>
                <w:rFonts w:hint="eastAsia" w:ascii="宋体" w:hAnsi="宋体" w:eastAsia="宋体" w:cs="宋体"/>
                <w:i w:val="0"/>
                <w:iCs w:val="0"/>
                <w:caps w:val="0"/>
                <w:color w:val="000000"/>
                <w:spacing w:val="0"/>
                <w:kern w:val="0"/>
                <w:sz w:val="21"/>
                <w:szCs w:val="21"/>
                <w:lang w:val="en-US" w:eastAsia="zh-CN" w:bidi="ar"/>
              </w:rPr>
              <w:t>（六）其他处理</w:t>
            </w: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1.申请人无正当理由逾期不补正、行政机关不再处理其政府信息公开申请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eastAsiaTheme="minorEastAsia"/>
                <w:lang w:eastAsia="zh-CN"/>
              </w:rPr>
            </w:pPr>
            <w:r>
              <w:rPr>
                <w:rFonts w:hint="eastAsia"/>
                <w:lang w:eastAsia="zh-CN"/>
              </w:rPr>
              <w:t>0</w:t>
            </w: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60" w:lineRule="exact"/>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2.申请人逾期未按收费通知要求缴纳费用、行政机关不再处理其政府信息公开申请</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869"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552" w:type="dxa"/>
            <w:vMerge w:val="continue"/>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258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leftChars="0" w:right="0" w:rightChars="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3.其他</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9" w:type="dxa"/>
            <w:vMerge w:val="continue"/>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both"/>
              <w:textAlignment w:val="auto"/>
              <w:rPr>
                <w:rFonts w:hint="eastAsia" w:ascii="宋体" w:hAnsi="宋体" w:eastAsia="宋体" w:cs="宋体"/>
                <w:i w:val="0"/>
                <w:iCs w:val="0"/>
                <w:caps w:val="0"/>
                <w:color w:val="000000"/>
                <w:spacing w:val="0"/>
                <w:sz w:val="21"/>
                <w:szCs w:val="21"/>
              </w:rPr>
            </w:pPr>
          </w:p>
        </w:tc>
        <w:tc>
          <w:tcPr>
            <w:tcW w:w="3139" w:type="dxa"/>
            <w:gridSpan w:val="2"/>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（七）总计</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008" w:type="dxa"/>
            <w:gridSpan w:val="3"/>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四、结转下年度继续办理</w:t>
            </w:r>
          </w:p>
        </w:tc>
        <w:tc>
          <w:tcPr>
            <w:tcW w:w="967"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93"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921"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2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4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68" w:type="dxa"/>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FF0000"/>
          <w:sz w:val="32"/>
          <w:szCs w:val="32"/>
        </w:rPr>
      </w:pPr>
      <w:r>
        <w:rPr>
          <w:rFonts w:hint="default"/>
          <w:b w:val="0"/>
          <w:bCs/>
        </w:rPr>
        <w:t>四、政府信息公开行政复议</w:t>
      </w:r>
      <w:r>
        <w:rPr>
          <w:rFonts w:hint="eastAsia"/>
          <w:b w:val="0"/>
          <w:bCs/>
          <w:lang w:eastAsia="zh-CN"/>
        </w:rPr>
        <w:t>、</w:t>
      </w:r>
      <w:r>
        <w:rPr>
          <w:rFonts w:hint="default"/>
          <w:b w:val="0"/>
          <w:bCs/>
        </w:rPr>
        <w:t>行政诉讼情况</w:t>
      </w:r>
    </w:p>
    <w:tbl>
      <w:tblPr>
        <w:tblStyle w:val="9"/>
        <w:tblpPr w:leftFromText="180" w:rightFromText="180" w:vertAnchor="text" w:horzAnchor="page" w:tblpX="1478" w:tblpY="83"/>
        <w:tblOverlap w:val="never"/>
        <w:tblW w:w="9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0"/>
        <w:gridCol w:w="620"/>
        <w:gridCol w:w="620"/>
        <w:gridCol w:w="620"/>
        <w:gridCol w:w="621"/>
        <w:gridCol w:w="621"/>
        <w:gridCol w:w="621"/>
        <w:gridCol w:w="621"/>
        <w:gridCol w:w="621"/>
        <w:gridCol w:w="621"/>
        <w:gridCol w:w="621"/>
        <w:gridCol w:w="621"/>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3101" w:type="dxa"/>
            <w:gridSpan w:val="5"/>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行政复议</w:t>
            </w:r>
          </w:p>
        </w:tc>
        <w:tc>
          <w:tcPr>
            <w:tcW w:w="6210" w:type="dxa"/>
            <w:gridSpan w:val="10"/>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restart"/>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0"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vMerge w:val="restart"/>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总计</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未经复议直接起诉</w:t>
            </w:r>
          </w:p>
        </w:tc>
        <w:tc>
          <w:tcPr>
            <w:tcW w:w="3105" w:type="dxa"/>
            <w:gridSpan w:val="5"/>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ind w:left="0" w:firstLine="420"/>
              <w:jc w:val="center"/>
              <w:textAlignment w:val="auto"/>
              <w:rPr>
                <w:rFonts w:hint="eastAsia" w:ascii="宋体" w:hAnsi="宋体" w:eastAsia="宋体" w:cs="宋体"/>
                <w:sz w:val="21"/>
                <w:szCs w:val="21"/>
              </w:rPr>
            </w:pPr>
            <w:r>
              <w:rPr>
                <w:rFonts w:hint="eastAsia" w:ascii="宋体" w:hAnsi="宋体" w:eastAsia="宋体" w:cs="宋体"/>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20" w:type="dxa"/>
            <w:vMerge w:val="continue"/>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0"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vMerge w:val="continue"/>
            <w:tcBorders>
              <w:top w:val="nil"/>
              <w:left w:val="nil"/>
              <w:bottom w:val="single" w:color="auto" w:sz="4" w:space="0"/>
              <w:right w:val="single" w:color="auto" w:sz="4" w:space="0"/>
            </w:tcBorders>
            <w:shd w:val="clear" w:color="auto" w:fill="auto"/>
            <w:tcMar>
              <w:left w:w="84" w:type="dxa"/>
              <w:right w:w="84" w:type="dxa"/>
            </w:tcMar>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ascii="宋体" w:hAnsi="宋体" w:eastAsia="宋体" w:cs="宋体"/>
                <w:sz w:val="21"/>
                <w:szCs w:val="21"/>
              </w:rPr>
            </w:pP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结果维持</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结果纠正</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其他结果</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尚未审结</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0" w:type="dxa"/>
            <w:tcBorders>
              <w:top w:val="nil"/>
              <w:left w:val="single" w:color="auto" w:sz="4" w:space="0"/>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0 </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0"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21" w:type="dxa"/>
            <w:tcBorders>
              <w:top w:val="nil"/>
              <w:left w:val="nil"/>
              <w:bottom w:val="single" w:color="auto" w:sz="4" w:space="0"/>
              <w:right w:val="single" w:color="auto" w:sz="4" w:space="0"/>
            </w:tcBorders>
            <w:shd w:val="clear" w:color="auto" w:fill="auto"/>
            <w:tcMar>
              <w:left w:w="84" w:type="dxa"/>
              <w:right w:w="84" w:type="dxa"/>
            </w:tcMar>
            <w:vAlign w:val="center"/>
          </w:tcPr>
          <w:p>
            <w:pPr>
              <w:pStyle w:val="8"/>
              <w:keepNext w:val="0"/>
              <w:keepLines w:val="0"/>
              <w:pageBreakBefore w:val="0"/>
              <w:widowControl w:val="0"/>
              <w:suppressLineNumbers w:val="0"/>
              <w:kinsoku/>
              <w:wordWrap w:val="0"/>
              <w:overflowPunct/>
              <w:topLinePunct w:val="0"/>
              <w:autoSpaceDE/>
              <w:autoSpaceDN/>
              <w:bidi w:val="0"/>
              <w:adjustRightInd/>
              <w:snapToGrid/>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bl>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eastAsia"/>
          <w:b w:val="0"/>
          <w:bCs/>
          <w:lang w:eastAsia="zh-CN"/>
        </w:rPr>
      </w:pPr>
      <w:r>
        <w:rPr>
          <w:rFonts w:hint="default"/>
          <w:b w:val="0"/>
          <w:bCs/>
        </w:rPr>
        <w:t>存在的主要问题和改进</w:t>
      </w:r>
      <w:r>
        <w:rPr>
          <w:rFonts w:hint="eastAsia"/>
          <w:b w:val="0"/>
          <w:bCs/>
          <w:lang w:eastAsia="zh-CN"/>
        </w:rPr>
        <w:t>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局的政务公开工作虽然取得了一定的成绩，但还存在以下问题：一是政策解读不够丰富。二是公开内容不够深入。三是政务公开队伍仍需加强。2022年度，全区卫生监督员克难攻坚，借助现代智能化办案手段，依然圆满完成了“双随机一公开”等重要执法任务，特别是在医疗卫生和公共场所领域取得了显著战果。2023年，随着</w:t>
      </w:r>
      <w:bookmarkStart w:id="0" w:name="_GoBack"/>
      <w:bookmarkEnd w:id="0"/>
      <w:r>
        <w:rPr>
          <w:rFonts w:hint="eastAsia" w:ascii="仿宋" w:hAnsi="仿宋" w:eastAsia="仿宋" w:cs="仿宋"/>
          <w:sz w:val="32"/>
          <w:szCs w:val="32"/>
          <w:lang w:val="en-US" w:eastAsia="zh-CN"/>
        </w:rPr>
        <w:t>疫情防控政策的变化，公共卫生疫情防控体系建设必然提速，也必将对卫生行政执法提出更高要求。如何创新多元化监管手段，提升监管效能，延伸监管触角，增强监管合力，推动卫生监督队伍发展，教文卫体局将努力创新推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针对存在的主要问题，教文卫体局将采取以下改进措施：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一是进一步扩大公众参与加强政民互动。</w:t>
      </w:r>
      <w:r>
        <w:rPr>
          <w:rFonts w:hint="eastAsia" w:ascii="仿宋" w:hAnsi="仿宋" w:eastAsia="仿宋" w:cs="仿宋"/>
          <w:sz w:val="32"/>
          <w:szCs w:val="32"/>
          <w:lang w:val="en-US" w:eastAsia="zh-CN"/>
        </w:rPr>
        <w:t>加大政策解读工作力度，通过意见征集等方式积极积极开展政民互动。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二是进一步充实信息公开内容。</w:t>
      </w:r>
      <w:r>
        <w:rPr>
          <w:rFonts w:hint="eastAsia" w:ascii="仿宋" w:hAnsi="仿宋" w:eastAsia="仿宋" w:cs="仿宋"/>
          <w:sz w:val="32"/>
          <w:szCs w:val="32"/>
          <w:lang w:val="en-US" w:eastAsia="zh-CN"/>
        </w:rPr>
        <w:t>突出重点、热点和难点问题，积极回应社会关切，切实发挥好政信息公开平台的桥梁作用。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三是进一步强化政府信息公开队伍建设</w:t>
      </w:r>
      <w:r>
        <w:rPr>
          <w:rFonts w:hint="eastAsia" w:ascii="仿宋" w:hAnsi="仿宋" w:eastAsia="仿宋" w:cs="仿宋"/>
          <w:sz w:val="32"/>
          <w:szCs w:val="32"/>
          <w:lang w:val="en-US" w:eastAsia="zh-CN"/>
        </w:rPr>
        <w:t>。积极组织学习培训，不断增强政务公开工作的责任感和使命感，从而提升信息公开质量，推动信息公开规范化、常态化、有效化。</w:t>
      </w:r>
    </w:p>
    <w:p>
      <w:pPr>
        <w:pStyle w:val="3"/>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b w:val="0"/>
          <w:bCs/>
        </w:rPr>
      </w:pPr>
      <w:r>
        <w:rPr>
          <w:rFonts w:hint="default"/>
          <w:b w:val="0"/>
          <w:bCs/>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本年度没有其他需要报告的事项。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4854E"/>
    <w:multiLevelType w:val="singleLevel"/>
    <w:tmpl w:val="B104854E"/>
    <w:lvl w:ilvl="0" w:tentative="0">
      <w:start w:val="5"/>
      <w:numFmt w:val="chineseCounting"/>
      <w:suff w:val="nothing"/>
      <w:lvlText w:val="%1、"/>
      <w:lvlJc w:val="left"/>
      <w:rPr>
        <w:rFonts w:hint="eastAsia"/>
      </w:rPr>
    </w:lvl>
  </w:abstractNum>
  <w:abstractNum w:abstractNumId="1">
    <w:nsid w:val="13040B4E"/>
    <w:multiLevelType w:val="singleLevel"/>
    <w:tmpl w:val="13040B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YzVjMzg5NjVmMDlhZDBkYTYxMzJmZTFlN2Y3ZGQifQ=="/>
  </w:docVars>
  <w:rsids>
    <w:rsidRoot w:val="3FBD468E"/>
    <w:rsid w:val="0079606D"/>
    <w:rsid w:val="00C6302F"/>
    <w:rsid w:val="02202B56"/>
    <w:rsid w:val="025A01FA"/>
    <w:rsid w:val="0288005D"/>
    <w:rsid w:val="041F2F73"/>
    <w:rsid w:val="043A3509"/>
    <w:rsid w:val="0A21150B"/>
    <w:rsid w:val="0ADD339A"/>
    <w:rsid w:val="0CCA7BDB"/>
    <w:rsid w:val="0D4D7E25"/>
    <w:rsid w:val="0DB97155"/>
    <w:rsid w:val="0E3D4D16"/>
    <w:rsid w:val="111E4FAD"/>
    <w:rsid w:val="112C2875"/>
    <w:rsid w:val="1355680D"/>
    <w:rsid w:val="17210AD2"/>
    <w:rsid w:val="1C9B2CFE"/>
    <w:rsid w:val="1D260BCF"/>
    <w:rsid w:val="1E4C2733"/>
    <w:rsid w:val="1E6F72BF"/>
    <w:rsid w:val="209B0B03"/>
    <w:rsid w:val="210743EB"/>
    <w:rsid w:val="21706D22"/>
    <w:rsid w:val="27433F89"/>
    <w:rsid w:val="27DB3A7B"/>
    <w:rsid w:val="284B1061"/>
    <w:rsid w:val="29023E15"/>
    <w:rsid w:val="31415C3B"/>
    <w:rsid w:val="324C037B"/>
    <w:rsid w:val="354159C6"/>
    <w:rsid w:val="35E12B4D"/>
    <w:rsid w:val="36DD0EA9"/>
    <w:rsid w:val="37BD2913"/>
    <w:rsid w:val="3962216C"/>
    <w:rsid w:val="3A4B3142"/>
    <w:rsid w:val="3B8D5F63"/>
    <w:rsid w:val="3DDA6921"/>
    <w:rsid w:val="3DE97DB6"/>
    <w:rsid w:val="3E0442B6"/>
    <w:rsid w:val="3E147BC2"/>
    <w:rsid w:val="3ECA737B"/>
    <w:rsid w:val="3FBD468E"/>
    <w:rsid w:val="41DD1346"/>
    <w:rsid w:val="42DB7BCF"/>
    <w:rsid w:val="43822AD9"/>
    <w:rsid w:val="461D2685"/>
    <w:rsid w:val="469A4A54"/>
    <w:rsid w:val="48960A8F"/>
    <w:rsid w:val="4A355DB6"/>
    <w:rsid w:val="4B627A28"/>
    <w:rsid w:val="4B814383"/>
    <w:rsid w:val="4BDC5DB3"/>
    <w:rsid w:val="4D6B23E9"/>
    <w:rsid w:val="4DA67EC1"/>
    <w:rsid w:val="4DE6697F"/>
    <w:rsid w:val="4E6F3571"/>
    <w:rsid w:val="51FA7A4E"/>
    <w:rsid w:val="521A1920"/>
    <w:rsid w:val="52CB6777"/>
    <w:rsid w:val="52F47C24"/>
    <w:rsid w:val="53AB7FA3"/>
    <w:rsid w:val="54752926"/>
    <w:rsid w:val="555836E3"/>
    <w:rsid w:val="565740D6"/>
    <w:rsid w:val="570518EB"/>
    <w:rsid w:val="589439A2"/>
    <w:rsid w:val="58E75B55"/>
    <w:rsid w:val="58FD3449"/>
    <w:rsid w:val="5D9C655C"/>
    <w:rsid w:val="61BC0BFC"/>
    <w:rsid w:val="635B76A3"/>
    <w:rsid w:val="671D539B"/>
    <w:rsid w:val="679C7401"/>
    <w:rsid w:val="67C31259"/>
    <w:rsid w:val="6B0B4E40"/>
    <w:rsid w:val="6C3B6B79"/>
    <w:rsid w:val="6E7B6E4B"/>
    <w:rsid w:val="6F494CED"/>
    <w:rsid w:val="6F4B1E5F"/>
    <w:rsid w:val="6F4D336D"/>
    <w:rsid w:val="71824C29"/>
    <w:rsid w:val="73F05157"/>
    <w:rsid w:val="746C6B3C"/>
    <w:rsid w:val="759D5960"/>
    <w:rsid w:val="772A0CEB"/>
    <w:rsid w:val="78994869"/>
    <w:rsid w:val="79D31A0E"/>
    <w:rsid w:val="7A1D6D01"/>
    <w:rsid w:val="7CAB49F5"/>
    <w:rsid w:val="7EBA1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3 Char"/>
    <w:link w:val="4"/>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2120</Words>
  <Characters>2191</Characters>
  <Lines>0</Lines>
  <Paragraphs>0</Paragraphs>
  <TotalTime>3</TotalTime>
  <ScaleCrop>false</ScaleCrop>
  <LinksUpToDate>false</LinksUpToDate>
  <CharactersWithSpaces>2229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2022-01-07T03:50:00Z</dcterms:created>
  <dc:creator>Administrator</dc:creator>
  <cp:lastModifiedBy>Administrator</cp:lastModifiedBy>
  <cp:lastPrinted>2022-01-26T05:54:00Z</cp:lastPrinted>
  <dcterms:modified xsi:type="dcterms:W3CDTF">2023-01-19T02:09:12Z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E221170C36D04E128859E6AD7977CF86</vt:lpwstr>
  </property>
</Properties>
</file>