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安阳市</w:t>
      </w:r>
      <w:r>
        <w:rPr>
          <w:rFonts w:hint="eastAsia" w:ascii="方正小标宋_GBK" w:hAnsi="方正小标宋_GBK" w:eastAsia="方正小标宋_GBK" w:cs="方正小标宋_GBK"/>
          <w:sz w:val="52"/>
          <w:szCs w:val="52"/>
          <w:lang w:eastAsia="zh-CN"/>
        </w:rPr>
        <w:t>殷都区</w:t>
      </w:r>
      <w:r>
        <w:rPr>
          <w:rFonts w:hint="eastAsia" w:ascii="方正小标宋_GBK" w:hAnsi="方正小标宋_GBK" w:eastAsia="方正小标宋_GBK" w:cs="方正小标宋_GBK"/>
          <w:sz w:val="52"/>
          <w:szCs w:val="52"/>
          <w:lang w:val="en-US" w:eastAsia="zh-CN"/>
        </w:rPr>
        <w:t>工信</w:t>
      </w:r>
      <w:r>
        <w:rPr>
          <w:rFonts w:hint="eastAsia" w:ascii="方正小标宋_GBK" w:hAnsi="方正小标宋_GBK" w:eastAsia="方正小标宋_GBK" w:cs="方正小标宋_GBK"/>
          <w:sz w:val="52"/>
          <w:szCs w:val="52"/>
        </w:rPr>
        <w:t>局</w:t>
      </w: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2020年度部门决算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宋体" w:hAnsi="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r>
        <w:rPr>
          <w:rFonts w:hint="eastAsia" w:ascii="宋体" w:hAnsi="宋体" w:cs="宋体"/>
          <w:sz w:val="32"/>
          <w:szCs w:val="32"/>
        </w:rPr>
        <w:t>二〇二一年</w:t>
      </w:r>
      <w:r>
        <w:rPr>
          <w:rFonts w:hint="eastAsia" w:ascii="宋体" w:hAnsi="宋体" w:cs="宋体"/>
          <w:sz w:val="32"/>
          <w:szCs w:val="32"/>
          <w:lang w:eastAsia="zh-CN"/>
        </w:rPr>
        <w:t>十</w:t>
      </w:r>
      <w:r>
        <w:rPr>
          <w:rFonts w:hint="eastAsia" w:ascii="宋体" w:hAnsi="宋体" w:cs="宋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安阳市</w:t>
      </w:r>
      <w:r>
        <w:rPr>
          <w:rFonts w:hint="eastAsia" w:ascii="黑体" w:hAnsi="黑体" w:eastAsia="黑体" w:cs="黑体"/>
          <w:sz w:val="32"/>
          <w:szCs w:val="32"/>
          <w:lang w:eastAsia="zh-CN"/>
        </w:rPr>
        <w:t>殷都区</w:t>
      </w:r>
      <w:r>
        <w:rPr>
          <w:rFonts w:hint="eastAsia" w:ascii="黑体" w:hAnsi="黑体" w:eastAsia="黑体" w:cs="黑体"/>
          <w:sz w:val="32"/>
          <w:szCs w:val="32"/>
          <w:lang w:val="en-US" w:eastAsia="zh-CN"/>
        </w:rPr>
        <w:t>工信</w:t>
      </w:r>
      <w:r>
        <w:rPr>
          <w:rFonts w:hint="eastAsia" w:ascii="黑体" w:hAnsi="黑体" w:eastAsia="黑体" w:cs="黑体"/>
          <w:sz w:val="32"/>
          <w:szCs w:val="32"/>
        </w:rPr>
        <w:t>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spacing w:line="600" w:lineRule="exact"/>
        <w:ind w:firstLine="640" w:firstLineChars="200"/>
        <w:rPr>
          <w:rFonts w:hint="eastAsia" w:ascii="宋体" w:hAnsi="宋体" w:cs="宋体"/>
          <w:sz w:val="32"/>
          <w:szCs w:val="32"/>
        </w:rPr>
      </w:pPr>
      <w:r>
        <w:rPr>
          <w:rFonts w:hint="eastAsia" w:ascii="宋体" w:hAnsi="宋体" w:cs="宋体"/>
          <w:sz w:val="32"/>
          <w:szCs w:val="32"/>
        </w:rPr>
        <w:t>八、绩效评价结果等情况说明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spacing w:line="580" w:lineRule="exact"/>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widowControl/>
        <w:spacing w:line="590" w:lineRule="exact"/>
        <w:ind w:firstLine="640" w:firstLineChars="200"/>
        <w:outlineLvl w:val="1"/>
        <w:rPr>
          <w:rFonts w:hint="eastAsia" w:ascii="宋体" w:hAnsi="宋体" w:cs="宋体"/>
          <w:sz w:val="32"/>
          <w:szCs w:val="32"/>
        </w:rPr>
      </w:pPr>
      <w:r>
        <w:rPr>
          <w:rFonts w:hint="eastAsia" w:ascii="宋体" w:hAnsi="宋体" w:cs="宋体"/>
          <w:sz w:val="32"/>
          <w:szCs w:val="32"/>
        </w:rPr>
        <w:t>十三、其他需要说明的重要情况</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ascii="宋体" w:hAnsi="宋体" w:cs="宋体"/>
          <w:sz w:val="32"/>
          <w:szCs w:val="32"/>
        </w:rPr>
      </w:pPr>
    </w:p>
    <w:p>
      <w:pPr>
        <w:jc w:val="left"/>
        <w:rPr>
          <w:rFonts w:hint="eastAsia" w:ascii="黑体" w:hAnsi="黑体" w:eastAsia="黑体" w:cs="黑体"/>
          <w:sz w:val="32"/>
          <w:szCs w:val="32"/>
        </w:rPr>
        <w:sectPr>
          <w:footerReference r:id="rId9" w:type="default"/>
          <w:footerReference r:id="rId10" w:type="even"/>
          <w:pgSz w:w="11906" w:h="16838"/>
          <w:pgMar w:top="1871" w:right="1474" w:bottom="1871" w:left="1474" w:header="720" w:footer="1361" w:gutter="0"/>
          <w:pgBorders>
            <w:top w:val="none" w:color="auto" w:sz="0" w:space="0"/>
            <w:left w:val="none" w:color="auto" w:sz="0" w:space="0"/>
            <w:bottom w:val="none" w:color="auto" w:sz="0" w:space="0"/>
            <w:right w:val="none" w:color="auto" w:sz="0" w:space="0"/>
          </w:pgBorders>
          <w:pgNumType w:fmt="numberInDash"/>
          <w:cols w:space="720" w:num="1"/>
          <w:docGrid w:type="lines" w:linePitch="319"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sz w:val="48"/>
          <w:szCs w:val="48"/>
        </w:rPr>
        <w:t>第一部分  安阳市</w:t>
      </w:r>
      <w:r>
        <w:rPr>
          <w:rFonts w:hint="eastAsia" w:ascii="方正小标宋_GBK" w:hAnsi="方正小标宋_GBK" w:eastAsia="方正小标宋_GBK" w:cs="方正小标宋_GBK"/>
          <w:sz w:val="48"/>
          <w:szCs w:val="48"/>
          <w:lang w:eastAsia="zh-CN"/>
        </w:rPr>
        <w:t>殷都区</w:t>
      </w:r>
      <w:r>
        <w:rPr>
          <w:rFonts w:hint="eastAsia" w:ascii="方正小标宋_GBK" w:hAnsi="方正小标宋_GBK" w:eastAsia="方正小标宋_GBK" w:cs="方正小标宋_GBK"/>
          <w:sz w:val="48"/>
          <w:szCs w:val="48"/>
          <w:lang w:val="en-US" w:eastAsia="zh-CN"/>
        </w:rPr>
        <w:t>工信</w:t>
      </w:r>
      <w:r>
        <w:rPr>
          <w:rFonts w:hint="eastAsia" w:ascii="方正小标宋_GBK" w:hAnsi="方正小标宋_GBK" w:eastAsia="方正小标宋_GBK" w:cs="方正小标宋_GBK"/>
          <w:sz w:val="48"/>
          <w:szCs w:val="48"/>
        </w:rPr>
        <w:t>局概况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871" w:right="1474" w:bottom="1871" w:left="1474" w:header="720" w:footer="1361" w:gutter="0"/>
          <w:pgBorders>
            <w:top w:val="none" w:color="auto" w:sz="0" w:space="0"/>
            <w:left w:val="none" w:color="auto" w:sz="0" w:space="0"/>
            <w:bottom w:val="none" w:color="auto" w:sz="0" w:space="0"/>
            <w:right w:val="none" w:color="auto" w:sz="0" w:space="0"/>
          </w:pgBorders>
          <w:pgNumType w:fmt="numberInDash"/>
          <w:cols w:space="720" w:num="1"/>
          <w:docGrid w:type="lines" w:linePitch="319" w:charSpace="0"/>
        </w:sectPr>
      </w:pP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贯彻执行国家、省、市有关工业和信息化的法律、法规和方针政策，协调解决新型工业化进程中的重大问题，拟订并组织实施全区工业和信息化发展规划和推动传统产业技术改造相关政策，推进产业结构战略性调整和优化升级，推进信息化和工业化融合。</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拟订并组织实施全区工业行业规划、计划和产业政策，提出优化产业布局和结构政策建议，引导和扶持工业和信息产业发展，起草相关地方性规章草案，并组织实施行业技术规范和标准，指导行业质量管理工作。</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监测分析全区工业运行态势，统计并发布相关信息，进行预测预警和信息引导，协调解决行业运行发展中的有关问题并提出政策建议；指导相关行业加强安全生产管理，负责工业行业领域安全生产应急管理、产业安全等相关工作。</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拟订并组织实施全区制造业服务化、平台化发展中长期规划和年度计划，促进制造业和生产性服务业融合发展，推进产业融合、生产性服务业功能区和公共服务平台建设；促进供应链管理技术推广应用，协同推进现代物流业发展。</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五）负责提出全区工业和信息化固定资产投资规模和方向（含利用外资和境外投资），国家、省、市对口部门和本区用于工业和产业信息化财政性建设资金安排的意见，按照上级和区政府规定权限审批、核准上级和区规划内以及年度计划规模内固定资产投资项目。</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六）组织实施国家高技术产业中涉及生物医药、新材料、航空航天、信息产业等的规划、政策和标准，指导行业技术创新和技术进步，以先进适用技术改造提升传统产业，组织实施国家和省、市、区有关科技重大专项，推进相关科研成果产业化，推动全区软件业、信息服务业和新兴产业发展。</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七）拟订并组织实施全区工业和信息化的能源节约和资源综合利用、循环经济、绿色化改造促进政策，参与拟订能源节约和资源综合利用、循环经济、绿色化改造促进规划、政策，组织协调相关重大示范工程建设和新产品、新技术、新设备、新材料推广应用。</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八）负责全区振兴装备制造业的组织协调工作，组织拟订重大技术装备发展和自主创新的规划、政策，依托国家和省市区重点工程建设协调有关重大专项的实施，推进重大技术装备国产化，指导引进重大技术装备的消化创新。</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九）负责全区中小企业、民营经济发展的宏观指导，拟订并组织实施中小企业发展中长期规划；负责推动建立完善中小企业服务体系，协调解决重大问题；会同有关部门拟订促进中小企业发展和非公有经济发展的相关政策、措施并监督检查执行情况。</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统筹推进全区信息化工作，组织拟定相关政策并协调信息化建设中的重大问题；促进电信、广播电视和计算机网络融合，指导协调工业电子商务平台建设，推动跨行业等互联互通和重要信息资源的开发利用共享；推进物联网、云计算、大数据等基于信息技术的新兴业态发展。</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（十ー）承担相关信息安全管理责任；负责协调维护全区网络安全和网络安全保障体系建设，指导重点行业的关键信息基础设施和基础网络的相关安全保障工作；承担信息安全应急协调工作，协调处理重大事件。</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二）负责全安区工业和信息化领域对外交流合作事务，研究实施支持政策措施；指导企业开展相关产业交流合作工作，督促交流合作签约项目落实情况；组织实施全区制造业对外合作年度行动计划，编制发布我区工业和信息化领域产业合作指南；研究协调产业转移示范区发展中的重大问题，提出政策建议。</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三）贯彻落实国家煤炭行业法律、法规和有关政策，研究全区煤炭及煤层气发展政策；负责全区煤矿安全生产监督管理，安全生产许可、生产能力监管、安全评价机构资质、安全设施设计审核和标准化建设；对煤矿建设项目提出行业审核意见；负责全区煤炭经营监督管理；承担煤矿机电设施检验检测工作的监督管理职责；指导全区煤炭建设工程质量监督工作；参与煤矿事故调查处理。</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（十四）指导推进区国有和集体企业改革和重组，承担区深化国有企业改革领导小组办公室职责。</w:t>
      </w:r>
    </w:p>
    <w:p>
      <w:pPr>
        <w:spacing w:line="580" w:lineRule="exact"/>
        <w:ind w:firstLine="480" w:firstLineChars="150"/>
        <w:jc w:val="both"/>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五）与安阳市殷都区发展和改革委员会相关职责分工。安阳市殷都区发展和改革委员会承担编制煤炭、煤炭清洁利用等相关能源发展规划、计划和拟订相关政策措施等职责，涉及煤炭的部分应征求的意见。在相关能源发展规划内制定煤炭工业发展专项规划，统一负责煤炭工业管理职责。安阳市殷都区发展和改革委员会按规定权限审批、核准或上报国家、省、市投资主管部门、能源行业主管部门审批、核准煤矿新建、改建、扩建项目，须征求意见，负责提出行业审核意见。</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Times New Roman" w:eastAsia="仿宋_GB2312" w:cs="Times New Roman"/>
          <w:kern w:val="2"/>
          <w:sz w:val="32"/>
          <w:szCs w:val="32"/>
          <w:highlight w:val="none"/>
          <w:lang w:val="en-US" w:eastAsia="zh-CN" w:bidi="ar-SA"/>
        </w:rPr>
        <w:t>（十六）完成区委、区政府交办的其他事项。</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eastAsia="仿宋_GB2312" w:cs="Times New Roman"/>
          <w:kern w:val="2"/>
          <w:sz w:val="32"/>
          <w:szCs w:val="32"/>
          <w:highlight w:val="none"/>
          <w:lang w:val="en-US" w:eastAsia="zh-CN" w:bidi="ar-SA"/>
        </w:rPr>
        <w:t>殷都区</w:t>
      </w:r>
      <w:r>
        <w:rPr>
          <w:rFonts w:hint="eastAsia" w:ascii="仿宋_GB2312" w:hAnsi="仿宋_GB2312" w:eastAsia="仿宋_GB2312" w:cs="仿宋_GB2312"/>
          <w:kern w:val="0"/>
          <w:sz w:val="32"/>
          <w:szCs w:val="32"/>
          <w:highlight w:val="none"/>
          <w:lang w:val="en-US" w:eastAsia="zh-CN"/>
        </w:rPr>
        <w:t>工信局</w:t>
      </w:r>
      <w:r>
        <w:rPr>
          <w:rFonts w:hint="eastAsia" w:ascii="仿宋_GB2312" w:hAnsi="仿宋_GB2312" w:eastAsia="仿宋_GB2312" w:cs="仿宋_GB2312"/>
          <w:kern w:val="0"/>
          <w:sz w:val="32"/>
          <w:szCs w:val="32"/>
          <w:highlight w:val="none"/>
        </w:rPr>
        <w:t>内设机构</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个，包括：</w:t>
      </w:r>
      <w:r>
        <w:rPr>
          <w:rFonts w:hint="eastAsia" w:ascii="仿宋_GB2312" w:hAnsi="仿宋_GB2312" w:eastAsia="仿宋_GB2312" w:cs="仿宋_GB2312"/>
          <w:kern w:val="0"/>
          <w:sz w:val="32"/>
          <w:szCs w:val="32"/>
          <w:highlight w:val="none"/>
          <w:lang w:eastAsia="zh-CN"/>
        </w:rPr>
        <w:t>办公室、规划发展股、洁净型煤办、工业股、运行监测协调与安全生产股、信息化发展股、政策法规股、</w:t>
      </w:r>
      <w:r>
        <w:rPr>
          <w:rFonts w:hint="eastAsia" w:ascii="仿宋_GB2312" w:hAnsi="仿宋_GB2312" w:eastAsia="仿宋_GB2312" w:cs="仿宋_GB2312"/>
          <w:kern w:val="0"/>
          <w:sz w:val="32"/>
          <w:szCs w:val="32"/>
          <w:lang w:eastAsia="zh-CN"/>
        </w:rPr>
        <w:t>中小企业服务股、科技股</w:t>
      </w:r>
      <w:r>
        <w:rPr>
          <w:rFonts w:hint="eastAsia" w:ascii="仿宋_GB2312" w:hAnsi="仿宋_GB2312" w:eastAsia="仿宋_GB2312" w:cs="仿宋_GB2312"/>
          <w:kern w:val="0"/>
          <w:sz w:val="32"/>
          <w:szCs w:val="32"/>
          <w:highlight w:val="none"/>
        </w:rPr>
        <w:t>。</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从决算单位构成看，</w:t>
      </w:r>
      <w:r>
        <w:rPr>
          <w:rFonts w:hint="eastAsia" w:ascii="仿宋_GB2312" w:hAnsi="仿宋_GB2312" w:eastAsia="仿宋_GB2312" w:cs="仿宋_GB2312"/>
          <w:kern w:val="0"/>
          <w:sz w:val="32"/>
          <w:szCs w:val="32"/>
          <w:highlight w:val="none"/>
          <w:lang w:val="en-US" w:eastAsia="zh-CN"/>
        </w:rPr>
        <w:t>殷都区</w:t>
      </w:r>
      <w:r>
        <w:rPr>
          <w:rFonts w:hint="eastAsia" w:ascii="仿宋_GB2312" w:hAnsi="仿宋_GB2312" w:eastAsia="仿宋_GB2312" w:cs="仿宋_GB2312"/>
          <w:kern w:val="0"/>
          <w:sz w:val="32"/>
          <w:szCs w:val="32"/>
          <w:highlight w:val="none"/>
          <w:lang w:eastAsia="zh-CN"/>
        </w:rPr>
        <w:t>工信</w:t>
      </w:r>
      <w:r>
        <w:rPr>
          <w:rFonts w:hint="eastAsia" w:ascii="仿宋_GB2312" w:hAnsi="仿宋_GB2312" w:eastAsia="仿宋_GB2312" w:cs="仿宋_GB2312"/>
          <w:kern w:val="0"/>
          <w:sz w:val="32"/>
          <w:szCs w:val="32"/>
          <w:highlight w:val="none"/>
        </w:rPr>
        <w:t>局部门决算包括：本级决算、所属</w:t>
      </w:r>
      <w:r>
        <w:rPr>
          <w:rFonts w:hint="eastAsia" w:ascii="仿宋_GB2312" w:hAnsi="仿宋_GB2312" w:eastAsia="仿宋_GB2312" w:cs="仿宋_GB2312"/>
          <w:kern w:val="0"/>
          <w:sz w:val="32"/>
          <w:szCs w:val="32"/>
          <w:highlight w:val="none"/>
          <w:lang w:val="en-US" w:eastAsia="zh-CN"/>
        </w:rPr>
        <w:t>行政</w:t>
      </w:r>
      <w:r>
        <w:rPr>
          <w:rFonts w:hint="eastAsia" w:ascii="仿宋_GB2312" w:hAnsi="仿宋_GB2312" w:eastAsia="仿宋_GB2312" w:cs="仿宋_GB2312"/>
          <w:kern w:val="0"/>
          <w:sz w:val="32"/>
          <w:szCs w:val="32"/>
          <w:highlight w:val="none"/>
        </w:rPr>
        <w:t>单位决算。</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纳入本部门2020年度部门决算编制范围的单位共</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kern w:val="0"/>
          <w:sz w:val="32"/>
          <w:szCs w:val="32"/>
          <w:highlight w:val="none"/>
          <w:lang w:val="en-US" w:eastAsia="zh-CN"/>
        </w:rPr>
        <w:t>包</w:t>
      </w:r>
      <w:r>
        <w:rPr>
          <w:rFonts w:hint="eastAsia" w:ascii="仿宋_GB2312" w:hAnsi="仿宋_GB2312" w:eastAsia="仿宋_GB2312" w:cs="仿宋_GB2312"/>
          <w:kern w:val="0"/>
          <w:sz w:val="32"/>
          <w:szCs w:val="32"/>
          <w:highlight w:val="none"/>
        </w:rPr>
        <w:t>括：</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殷都区</w:t>
      </w:r>
      <w:r>
        <w:rPr>
          <w:rFonts w:hint="eastAsia" w:ascii="仿宋_GB2312" w:hAnsi="仿宋_GB2312" w:eastAsia="仿宋_GB2312" w:cs="仿宋_GB2312"/>
          <w:kern w:val="0"/>
          <w:sz w:val="32"/>
          <w:szCs w:val="32"/>
          <w:lang w:eastAsia="zh-CN"/>
        </w:rPr>
        <w:t>工信局</w:t>
      </w:r>
      <w:r>
        <w:rPr>
          <w:rFonts w:hint="eastAsia" w:ascii="仿宋_GB2312" w:hAnsi="仿宋_GB2312" w:eastAsia="仿宋_GB2312" w:cs="仿宋_GB2312"/>
          <w:kern w:val="0"/>
          <w:sz w:val="32"/>
          <w:szCs w:val="32"/>
        </w:rPr>
        <w:t>本级</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tbl>
      <w:tblPr>
        <w:tblStyle w:val="5"/>
        <w:tblpPr w:leftFromText="180" w:rightFromText="180" w:vertAnchor="text" w:horzAnchor="page" w:tblpX="1488" w:tblpY="1649"/>
        <w:tblOverlap w:val="never"/>
        <w:tblW w:w="9167"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05"/>
        <w:gridCol w:w="416"/>
        <w:gridCol w:w="1457"/>
        <w:gridCol w:w="2705"/>
        <w:gridCol w:w="417"/>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9167" w:type="dxa"/>
            <w:gridSpan w:val="6"/>
            <w:tcBorders>
              <w:top w:val="nil"/>
              <w:left w:val="nil"/>
              <w:bottom w:val="nil"/>
              <w:right w:val="nil"/>
            </w:tcBorders>
            <w:shd w:val="clear" w:color="auto" w:fill="FFFFFF"/>
            <w:vAlign w:val="top"/>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45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70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467"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416" w:type="dxa"/>
            <w:tcBorders>
              <w:top w:val="nil"/>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457" w:type="dxa"/>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7" w:type="dxa"/>
            <w:tcBorders>
              <w:top w:val="nil"/>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467" w:type="dxa"/>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收入</w:t>
            </w:r>
          </w:p>
        </w:tc>
        <w:tc>
          <w:tcPr>
            <w:tcW w:w="4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行次</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一、一般公共预算财政拨款收入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1,490.43</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一、一般公共服务支出</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二、政府性基金预算财政拨款收入</w:t>
            </w:r>
          </w:p>
        </w:tc>
        <w:tc>
          <w:tcPr>
            <w:tcW w:w="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145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二、外交支出</w:t>
            </w:r>
          </w:p>
        </w:tc>
        <w:tc>
          <w:tcPr>
            <w:tcW w:w="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w:t>
            </w:r>
          </w:p>
        </w:tc>
        <w:tc>
          <w:tcPr>
            <w:tcW w:w="1467"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三、国有资本经营预算财政拨款收入</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三、国防支出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四、上级补助收入</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四、公共安全支出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6"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五、事业收入</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五、教育支出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六、经营收入</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六、科学技术支出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七、附属单位上缴收入</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七、文化旅游体育与传媒支出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八、其他收入</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八、社会保障和就业支出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九、卫生健康支出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十、节能环保支出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十一、城乡社区支出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十二、农林水支出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十三、交通运输支出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44</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十四、资源勘探工业信息等支出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十五、商业服务业等支出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十六、金融支出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47</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十七、援助其他地区支出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48</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十八、自然资源海洋气象等支出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十九、住房保障支出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二十、粮油物资储备支出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51</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二十一、国有资本经营预算支出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52</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二十二、灾害防治及应急管理支出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二十三、其他支出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二十四、债务还本支出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二十五、债务付息支出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二十六、抗疫特别国债安排的支出</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w:t>
            </w:r>
          </w:p>
        </w:tc>
        <w:tc>
          <w:tcPr>
            <w:tcW w:w="146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本年收入合计</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1,490.43</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本年支出合计</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58</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2,601.96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使用非财政拨款结余</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结余分配</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年初结转和结余</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1,843.99</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年末结转和结余</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60</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w:t>
            </w:r>
          </w:p>
        </w:tc>
        <w:tc>
          <w:tcPr>
            <w:tcW w:w="145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27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61</w:t>
            </w:r>
          </w:p>
        </w:tc>
        <w:tc>
          <w:tcPr>
            <w:tcW w:w="146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总计</w:t>
            </w:r>
          </w:p>
        </w:tc>
        <w:tc>
          <w:tcPr>
            <w:tcW w:w="416" w:type="dxa"/>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w:t>
            </w:r>
          </w:p>
        </w:tc>
        <w:tc>
          <w:tcPr>
            <w:tcW w:w="14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3,334.42</w:t>
            </w:r>
          </w:p>
        </w:tc>
        <w:tc>
          <w:tcPr>
            <w:tcW w:w="27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总计</w:t>
            </w:r>
          </w:p>
        </w:tc>
        <w:tc>
          <w:tcPr>
            <w:tcW w:w="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62</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9167"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注：本表反映部门本年度的总收支和年末结转结余情况。本套报表金额单位转换时可能存在尾数误差。</w:t>
            </w:r>
          </w:p>
        </w:tc>
      </w:tr>
    </w:tbl>
    <w:p>
      <w:pPr>
        <w:numPr>
          <w:ilvl w:val="0"/>
          <w:numId w:val="2"/>
        </w:numPr>
        <w:jc w:val="center"/>
        <w:outlineLvl w:val="0"/>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 xml:space="preserve"> 2020年度部门决算表</w:t>
      </w:r>
    </w:p>
    <w:p>
      <w:pPr>
        <w:numPr>
          <w:ilvl w:val="0"/>
          <w:numId w:val="0"/>
        </w:numPr>
        <w:jc w:val="both"/>
        <w:outlineLvl w:val="0"/>
        <w:rPr>
          <w:rFonts w:hint="eastAsia" w:ascii="方正小标宋_GBK" w:hAnsi="方正小标宋_GBK" w:eastAsia="方正小标宋_GBK" w:cs="方正小标宋_GBK"/>
          <w:sz w:val="48"/>
          <w:szCs w:val="48"/>
        </w:rPr>
      </w:pPr>
    </w:p>
    <w:p>
      <w:pPr>
        <w:jc w:val="center"/>
        <w:outlineLvl w:val="0"/>
        <w:rPr>
          <w:rFonts w:hint="eastAsia" w:ascii="方正小标宋_GBK" w:hAnsi="方正小标宋_GBK" w:eastAsia="方正小标宋_GBK" w:cs="方正小标宋_GBK"/>
          <w:sz w:val="48"/>
          <w:szCs w:val="48"/>
        </w:rPr>
        <w:sectPr>
          <w:pgSz w:w="11906" w:h="16838"/>
          <w:pgMar w:top="1871" w:right="1474" w:bottom="1871" w:left="1474" w:header="720" w:footer="1361" w:gutter="0"/>
          <w:pgBorders>
            <w:top w:val="none" w:color="auto" w:sz="0" w:space="0"/>
            <w:left w:val="none" w:color="auto" w:sz="0" w:space="0"/>
            <w:bottom w:val="none" w:color="auto" w:sz="0" w:space="0"/>
            <w:right w:val="none" w:color="auto" w:sz="0" w:space="0"/>
          </w:pgBorders>
          <w:pgNumType w:fmt="numberInDash"/>
          <w:cols w:space="720" w:num="1"/>
          <w:docGrid w:type="lines" w:linePitch="319" w:charSpace="0"/>
        </w:sectPr>
      </w:pPr>
      <w:r>
        <w:rPr>
          <w:rFonts w:hint="eastAsia" w:ascii="方正小标宋_GBK" w:hAnsi="方正小标宋_GBK" w:eastAsia="方正小标宋_GBK" w:cs="方正小标宋_GBK"/>
          <w:sz w:val="48"/>
          <w:szCs w:val="48"/>
        </w:rPr>
        <w:br w:type="page"/>
      </w:r>
    </w:p>
    <w:tbl>
      <w:tblPr>
        <w:tblStyle w:val="5"/>
        <w:tblW w:w="8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6"/>
        <w:gridCol w:w="222"/>
        <w:gridCol w:w="222"/>
        <w:gridCol w:w="1916"/>
        <w:gridCol w:w="620"/>
        <w:gridCol w:w="713"/>
        <w:gridCol w:w="418"/>
        <w:gridCol w:w="598"/>
        <w:gridCol w:w="631"/>
        <w:gridCol w:w="632"/>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8711" w:type="dxa"/>
            <w:gridSpan w:val="11"/>
            <w:tcBorders>
              <w:top w:val="nil"/>
              <w:left w:val="nil"/>
              <w:bottom w:val="nil"/>
              <w:right w:val="nil"/>
            </w:tcBorders>
            <w:shd w:val="clear" w:color="auto" w:fill="FFFFFF"/>
            <w:vAlign w:val="top"/>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9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2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1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59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3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3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923"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91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20"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13"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p>
        </w:tc>
        <w:tc>
          <w:tcPr>
            <w:tcW w:w="41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59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3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3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923" w:type="dxa"/>
            <w:tcBorders>
              <w:top w:val="nil"/>
              <w:left w:val="nil"/>
              <w:bottom w:val="single" w:color="80808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417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6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本年收入合计</w:t>
            </w:r>
          </w:p>
        </w:tc>
        <w:tc>
          <w:tcPr>
            <w:tcW w:w="71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财政拨款收入</w:t>
            </w:r>
          </w:p>
        </w:tc>
        <w:tc>
          <w:tcPr>
            <w:tcW w:w="4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上级补助收入</w:t>
            </w:r>
          </w:p>
        </w:tc>
        <w:tc>
          <w:tcPr>
            <w:tcW w:w="59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事业收入</w:t>
            </w:r>
          </w:p>
        </w:tc>
        <w:tc>
          <w:tcPr>
            <w:tcW w:w="63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经营收入</w:t>
            </w:r>
          </w:p>
        </w:tc>
        <w:tc>
          <w:tcPr>
            <w:tcW w:w="63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附属单位上缴收入</w:t>
            </w:r>
          </w:p>
        </w:tc>
        <w:tc>
          <w:tcPr>
            <w:tcW w:w="923"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22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功能分类科目编码</w:t>
            </w:r>
          </w:p>
        </w:tc>
        <w:tc>
          <w:tcPr>
            <w:tcW w:w="19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6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5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3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3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12" w:hRule="exact"/>
        </w:trPr>
        <w:tc>
          <w:tcPr>
            <w:tcW w:w="2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9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5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3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3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2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9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1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5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3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3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417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417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1,490.43</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1,490.43</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科学技术支出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1,197.46</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1,197.46</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科学技术管理事务</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232.76</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232.76</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2060101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2060199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其他科学技术管理事务支出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228.66</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228.66</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20603</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应用研究</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738.90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738.90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2060399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其他应用研究支出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738.90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738.90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20604</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技术研究与开发</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225.80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225.80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2060499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其他技术研究与开发支出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225.80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225.80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社会保障和就业支出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8.43</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8.43</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行政事业单位养老支出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8.43</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8.43</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行政单位离退休</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机关事业单位基本养老保险缴费支出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8.27</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8.27</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210</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卫生健康支出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7.12</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7.12</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21011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行政事业单位医疗</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7.12</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7.12</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行政单位医疗</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2101103</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公务员医疗补助</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其他行政事业单位医疗支出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节能环保支出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40.30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40.30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21103</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污染防治</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0.30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0.30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2110301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大气</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0.30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0.30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其他节能环保支出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40.00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40.00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2119901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其他节能环保支出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40.00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40.00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资源勘探工业信息等支出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237.11</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237.11</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工业和信息产业监管</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20.05</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20.05</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2150501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0.05</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0.05</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2150510</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工业和信息产业支持</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20.00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20.00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21508</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支持中小企业发展和管理支出</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217.07</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217.07</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2150801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67.07</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67.07</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2150805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中小企业发展专项</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150.00</w:t>
            </w:r>
          </w:p>
        </w:tc>
        <w:tc>
          <w:tcPr>
            <w:tcW w:w="71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150.00</w:t>
            </w:r>
          </w:p>
        </w:tc>
        <w:tc>
          <w:tcPr>
            <w:tcW w:w="4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5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3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9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8711" w:type="dxa"/>
            <w:gridSpan w:val="1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注：本表反映部门本年度取得的各项收入情况。</w:t>
            </w:r>
          </w:p>
        </w:tc>
      </w:tr>
    </w:tbl>
    <w:p>
      <w:pPr>
        <w:widowControl/>
        <w:spacing w:line="590" w:lineRule="exact"/>
        <w:jc w:val="left"/>
      </w:pPr>
    </w:p>
    <w:p>
      <w:pPr>
        <w:widowControl/>
        <w:spacing w:line="590" w:lineRule="exact"/>
        <w:jc w:val="left"/>
      </w:pPr>
    </w:p>
    <w:p>
      <w:pPr>
        <w:widowControl/>
        <w:spacing w:line="590" w:lineRule="exact"/>
        <w:jc w:val="left"/>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590" w:lineRule="exact"/>
        <w:jc w:val="left"/>
        <w:rPr>
          <w:rFonts w:hint="eastAsia" w:ascii="仿宋_GB2312" w:hAnsi="仿宋_GB2312" w:eastAsia="仿宋_GB2312" w:cs="仿宋_GB2312"/>
          <w:sz w:val="32"/>
          <w:szCs w:val="32"/>
        </w:rPr>
      </w:pPr>
    </w:p>
    <w:tbl>
      <w:tblPr>
        <w:tblStyle w:val="5"/>
        <w:tblpPr w:leftFromText="180" w:rightFromText="180" w:vertAnchor="text" w:horzAnchor="page" w:tblpX="1327" w:tblpY="1101"/>
        <w:tblOverlap w:val="never"/>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6"/>
        <w:gridCol w:w="222"/>
        <w:gridCol w:w="222"/>
        <w:gridCol w:w="1916"/>
        <w:gridCol w:w="715"/>
        <w:gridCol w:w="690"/>
        <w:gridCol w:w="736"/>
        <w:gridCol w:w="736"/>
        <w:gridCol w:w="737"/>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8717" w:type="dxa"/>
            <w:gridSpan w:val="10"/>
            <w:tcBorders>
              <w:top w:val="nil"/>
              <w:left w:val="nil"/>
              <w:bottom w:val="nil"/>
              <w:right w:val="nil"/>
            </w:tcBorders>
            <w:shd w:val="clear" w:color="auto" w:fill="FFFFFF"/>
            <w:vAlign w:val="top"/>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9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1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9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3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3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927"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91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15"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p>
        </w:tc>
        <w:tc>
          <w:tcPr>
            <w:tcW w:w="690"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3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3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37"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927" w:type="dxa"/>
            <w:tcBorders>
              <w:top w:val="nil"/>
              <w:left w:val="nil"/>
              <w:bottom w:val="single" w:color="80808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4176" w:type="dxa"/>
            <w:gridSpan w:val="4"/>
            <w:tcBorders>
              <w:top w:val="single" w:color="80808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715"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本年支出合计</w:t>
            </w:r>
          </w:p>
        </w:tc>
        <w:tc>
          <w:tcPr>
            <w:tcW w:w="690"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基本支出</w:t>
            </w:r>
          </w:p>
        </w:tc>
        <w:tc>
          <w:tcPr>
            <w:tcW w:w="736"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项目支出</w:t>
            </w:r>
          </w:p>
        </w:tc>
        <w:tc>
          <w:tcPr>
            <w:tcW w:w="736"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上缴上级支出</w:t>
            </w:r>
          </w:p>
        </w:tc>
        <w:tc>
          <w:tcPr>
            <w:tcW w:w="737"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经营支出</w:t>
            </w:r>
          </w:p>
        </w:tc>
        <w:tc>
          <w:tcPr>
            <w:tcW w:w="927" w:type="dxa"/>
            <w:vMerge w:val="restart"/>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22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功能分类科目编码</w:t>
            </w:r>
          </w:p>
        </w:tc>
        <w:tc>
          <w:tcPr>
            <w:tcW w:w="19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7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2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12" w:hRule="exact"/>
        </w:trPr>
        <w:tc>
          <w:tcPr>
            <w:tcW w:w="2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9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2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12" w:hRule="exact"/>
        </w:trPr>
        <w:tc>
          <w:tcPr>
            <w:tcW w:w="2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9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2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417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r>
      <w:tr>
        <w:tblPrEx>
          <w:tblLayout w:type="fixed"/>
          <w:tblCellMar>
            <w:top w:w="0" w:type="dxa"/>
            <w:left w:w="108" w:type="dxa"/>
            <w:bottom w:w="0" w:type="dxa"/>
            <w:right w:w="108" w:type="dxa"/>
          </w:tblCellMar>
        </w:tblPrEx>
        <w:trPr>
          <w:cantSplit/>
          <w:trHeight w:val="227" w:hRule="exact"/>
        </w:trPr>
        <w:tc>
          <w:tcPr>
            <w:tcW w:w="417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2,601.96</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2,601.96</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科学技术支出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1,759.84</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1,759.84</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科学技术管理事务</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214.44</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214.44</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2060101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2060199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其他科学技术管理事务支出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210.34</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210.34</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20603</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应用研究</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1,099.00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1,099.00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2060399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其他应用研究支出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1,099.00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1,099.00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20604</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技术研究与开发</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435.40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435.40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2060499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其他技术研究与开发支出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435.40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435.40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其他科学技术支出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2069901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科技奖励</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2069999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其他科学技术支出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社会保障和就业支出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26.43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26.43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行政事业单位养老支出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25.02</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25.02</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行政单位离退休</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机关事业单位基本养老保险缴费支出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24.85</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24.85</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其他社会保障和就业支出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1.41</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1.41</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2089901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其他社会保障和就业支出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1.41</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1.41</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210</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卫生健康支出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21011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行政事业单位医疗</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行政单位医疗</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7.19</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7.19</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2101103</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公务员医疗补助</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其他行政事业单位医疗支出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1.07</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1.07</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节能环保支出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685.27</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685.27</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21103</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污染防治</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645.27</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645.27</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2110301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大气</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645.27</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645.27</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其他节能环保支出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2119901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其他节能环保支出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40.00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40.00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资源勘探工业信息等支出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110.80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110.80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21505</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工业和信息产业监管</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4.97</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4.97</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2150501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4.97</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4.97</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21508</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支持中小企业发展和管理支出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105.83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105.83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2150801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104.23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104.23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2150899</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其他支持中小企业发展和管理支出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221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住房保障支出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22102</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住房改革支出</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2210201</w:t>
            </w:r>
          </w:p>
        </w:tc>
        <w:tc>
          <w:tcPr>
            <w:tcW w:w="1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住房公积金</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c>
          <w:tcPr>
            <w:tcW w:w="6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c>
          <w:tcPr>
            <w:tcW w:w="73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7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6"/>
        <w:gridCol w:w="316"/>
        <w:gridCol w:w="616"/>
        <w:gridCol w:w="1716"/>
        <w:gridCol w:w="1414"/>
        <w:gridCol w:w="616"/>
        <w:gridCol w:w="620"/>
        <w:gridCol w:w="684"/>
        <w:gridCol w:w="917"/>
      </w:tblGrid>
      <w:tr>
        <w:tblPrEx>
          <w:shd w:val="clear" w:color="auto" w:fill="auto"/>
          <w:tblLayout w:type="fixed"/>
          <w:tblCellMar>
            <w:top w:w="0" w:type="dxa"/>
            <w:left w:w="108" w:type="dxa"/>
            <w:bottom w:w="0" w:type="dxa"/>
            <w:right w:w="108" w:type="dxa"/>
          </w:tblCellMar>
        </w:tblPrEx>
        <w:trPr>
          <w:cantSplit/>
          <w:trHeight w:val="227" w:hRule="exact"/>
        </w:trPr>
        <w:tc>
          <w:tcPr>
            <w:tcW w:w="8715" w:type="dxa"/>
            <w:gridSpan w:val="9"/>
            <w:tcBorders>
              <w:top w:val="nil"/>
              <w:left w:val="nil"/>
              <w:bottom w:val="nil"/>
              <w:right w:val="nil"/>
            </w:tcBorders>
            <w:shd w:val="clear" w:color="auto" w:fill="auto"/>
            <w:vAlign w:val="top"/>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7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41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2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8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91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nil"/>
              <w:bottom w:val="single" w:color="80808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316"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16"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716"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414" w:type="dxa"/>
            <w:tcBorders>
              <w:top w:val="nil"/>
              <w:left w:val="nil"/>
              <w:bottom w:val="single" w:color="80808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p>
        </w:tc>
        <w:tc>
          <w:tcPr>
            <w:tcW w:w="616"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20"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684" w:type="dxa"/>
            <w:tcBorders>
              <w:top w:val="nil"/>
              <w:left w:val="nil"/>
              <w:bottom w:val="single" w:color="808080" w:sz="4" w:space="0"/>
              <w:right w:val="nil"/>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917" w:type="dxa"/>
            <w:tcBorders>
              <w:top w:val="nil"/>
              <w:left w:val="nil"/>
              <w:bottom w:val="single" w:color="80808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2748" w:type="dxa"/>
            <w:gridSpan w:val="3"/>
            <w:tcBorders>
              <w:top w:val="single" w:color="80808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收     入</w:t>
            </w:r>
          </w:p>
        </w:tc>
        <w:tc>
          <w:tcPr>
            <w:tcW w:w="5967" w:type="dxa"/>
            <w:gridSpan w:val="6"/>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18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行次</w:t>
            </w:r>
          </w:p>
        </w:tc>
        <w:tc>
          <w:tcPr>
            <w:tcW w:w="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w:t>
            </w:r>
          </w:p>
        </w:tc>
        <w:tc>
          <w:tcPr>
            <w:tcW w:w="1716"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141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行次</w:t>
            </w:r>
          </w:p>
        </w:tc>
        <w:tc>
          <w:tcPr>
            <w:tcW w:w="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6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一般公共预算财政拨款</w:t>
            </w:r>
          </w:p>
        </w:tc>
        <w:tc>
          <w:tcPr>
            <w:tcW w:w="6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政府性基金预算财政拨款</w:t>
            </w:r>
          </w:p>
        </w:tc>
        <w:tc>
          <w:tcPr>
            <w:tcW w:w="9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1816" w:type="dxa"/>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0"/>
                <w:szCs w:val="10"/>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716" w:type="dxa"/>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10"/>
                <w:szCs w:val="10"/>
                <w:u w:val="none"/>
              </w:rPr>
            </w:pPr>
          </w:p>
        </w:tc>
        <w:tc>
          <w:tcPr>
            <w:tcW w:w="141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9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316"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1716"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141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9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一、一般公共预算财政拨款</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1,490.43</w:t>
            </w: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一、一般公共服务支出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二、政府性基金预算财政拨款</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二、外交支出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三、国有资本经营财政拨款</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三、国防支出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四、公共安全支出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五、教育支出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37</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六、科学技术支出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1,759.84</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1,759.84</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七、文化旅游体育与传媒支出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八、社会保障和就业支出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26.43</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26.43</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九、卫生健康支出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14.00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14.00</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十、节能环保支出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685.27</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685.27</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十一、城乡社区支出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十二、农林水支出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44</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十三、交通运输支出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十四、资源勘探工业信息等支出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110.80</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110.80</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15</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十五、商业服务业等支出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47</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十六、金融支出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48</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17</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十七、援助其他地区支出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十八、自然资源海洋气象等支出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50</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十九、住房保障支出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51</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二十、粮油物资储备支出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52</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二十一、国有资本经营预算支出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二十二、灾害防治及应急管理支出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54</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二十三、其他支出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55</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二十四、债务还本支出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二十五、债务付息支出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二十六、抗疫特别国债安排的支出</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58</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本年收入合计</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1,490.43</w:t>
            </w: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本年支出合计</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2,601.96</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2,601.96</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年初财政拨款结转和结余</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1,843.99</w:t>
            </w: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年末财政拨款结转和结余</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732.45</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732.45</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一般公共预算财政拨款</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29</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1,843.99</w:t>
            </w:r>
          </w:p>
        </w:tc>
        <w:tc>
          <w:tcPr>
            <w:tcW w:w="17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61</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政府性基金预算财政拨款</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62</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国有资本经营预算财政拨款</w:t>
            </w:r>
          </w:p>
        </w:tc>
        <w:tc>
          <w:tcPr>
            <w:tcW w:w="3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1716"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63</w:t>
            </w:r>
          </w:p>
        </w:tc>
        <w:tc>
          <w:tcPr>
            <w:tcW w:w="6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总计</w:t>
            </w:r>
          </w:p>
        </w:tc>
        <w:tc>
          <w:tcPr>
            <w:tcW w:w="316" w:type="dxa"/>
            <w:tcBorders>
              <w:top w:val="nil"/>
              <w:left w:val="nil"/>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32</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3,334.42</w:t>
            </w:r>
          </w:p>
        </w:tc>
        <w:tc>
          <w:tcPr>
            <w:tcW w:w="17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总计</w:t>
            </w:r>
          </w:p>
        </w:tc>
        <w:tc>
          <w:tcPr>
            <w:tcW w:w="14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3,334.42</w:t>
            </w:r>
          </w:p>
        </w:tc>
        <w:tc>
          <w:tcPr>
            <w:tcW w:w="6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3,334.42</w:t>
            </w:r>
          </w:p>
        </w:tc>
        <w:tc>
          <w:tcPr>
            <w:tcW w:w="6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9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7798"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注：本表反映部门本年度一般公共预算财政拨款、政府性基金预算财政拨款和国有资本经营预算财政拨款的总收支和年末结转结余情况。</w:t>
            </w:r>
          </w:p>
        </w:tc>
        <w:tc>
          <w:tcPr>
            <w:tcW w:w="91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6"/>
        <w:gridCol w:w="222"/>
        <w:gridCol w:w="222"/>
        <w:gridCol w:w="2446"/>
        <w:gridCol w:w="1334"/>
        <w:gridCol w:w="1335"/>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8717" w:type="dxa"/>
            <w:gridSpan w:val="7"/>
            <w:tcBorders>
              <w:top w:val="nil"/>
              <w:left w:val="nil"/>
              <w:bottom w:val="nil"/>
              <w:right w:val="nil"/>
            </w:tcBorders>
            <w:shd w:val="clear" w:color="auto" w:fill="FFFFFF"/>
            <w:vAlign w:val="top"/>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18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44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33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33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342"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1816"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2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2446"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2020年度</w:t>
            </w:r>
          </w:p>
        </w:tc>
        <w:tc>
          <w:tcPr>
            <w:tcW w:w="1334"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335"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342" w:type="dxa"/>
            <w:tcBorders>
              <w:top w:val="nil"/>
              <w:left w:val="nil"/>
              <w:bottom w:val="single" w:color="80808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470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w:t>
            </w:r>
          </w:p>
        </w:tc>
        <w:tc>
          <w:tcPr>
            <w:tcW w:w="401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功能分类科目编码</w:t>
            </w:r>
          </w:p>
        </w:tc>
        <w:tc>
          <w:tcPr>
            <w:tcW w:w="24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小计</w:t>
            </w:r>
          </w:p>
        </w:tc>
        <w:tc>
          <w:tcPr>
            <w:tcW w:w="13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基本支出</w:t>
            </w:r>
          </w:p>
        </w:tc>
        <w:tc>
          <w:tcPr>
            <w:tcW w:w="134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exact"/>
        </w:trPr>
        <w:tc>
          <w:tcPr>
            <w:tcW w:w="2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24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3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3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trPr>
        <w:tc>
          <w:tcPr>
            <w:tcW w:w="2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24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3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34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470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13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470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2,601.96</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2,601.96</w:t>
            </w:r>
          </w:p>
        </w:tc>
        <w:tc>
          <w:tcPr>
            <w:tcW w:w="13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科学技术支出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1,759.84</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1,759.84</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科学技术管理事务</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214.44</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214.44</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2060101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4.10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2060199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其他科学技术管理事务支出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210.34</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210.34</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20603</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应用研究</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1,099.00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1,099.00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2060399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其他应用研究支出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1,099.00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1,099.00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20604</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技术研究与开发</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435.40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435.40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2060499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其他技术研究与开发支出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435.40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435.40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20699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其他科学技术支出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2069901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科技奖励</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2069999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其他科学技术支出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社会保障和就业支出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26.43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26.43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20805</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行政事业单位养老支出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25.02</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25.02</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行政单位离退休</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2080505</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机关事业单位基本养老保险缴费支出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24.85</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24.85</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20899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其他社会保障和就业支出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1.41</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1.41</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2089901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其他社会保障和就业支出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1.41</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1.41</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210</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卫生健康支出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21011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行政事业单位医疗</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14.00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行政单位医疗</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7.19</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7.19</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2101103</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公务员医疗补助</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其他行政事业单位医疗支出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1.07</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1.07</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节能环保支出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685.27</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685.27</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21103</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污染防治</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645.27</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645.27</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2110301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大气</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645.27</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645.27</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21199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其他节能环保支出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40.00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2119901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其他节能环保支出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40.00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40.00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资源勘探工业信息等支出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110.80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110.80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21505</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工业和信息产业监管</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4.97</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4.97</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2150501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4.97</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4.97</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21508</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支持中小企业发展和管理支出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105.83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105.83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2150801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行政运行</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104.23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104.23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2150899</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其他支持中小企业发展和管理支出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221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住房保障支出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22102</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住房改革支出</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0"/>
                <w:szCs w:val="10"/>
                <w:u w:val="none"/>
              </w:rPr>
            </w:pPr>
            <w:r>
              <w:rPr>
                <w:rFonts w:hint="eastAsia" w:ascii="宋体" w:hAnsi="宋体" w:eastAsia="宋体" w:cs="宋体"/>
                <w:b/>
                <w:bCs/>
                <w:i w:val="0"/>
                <w:iCs w:val="0"/>
                <w:color w:val="000000"/>
                <w:kern w:val="0"/>
                <w:sz w:val="10"/>
                <w:szCs w:val="10"/>
                <w:u w:val="none"/>
                <w:lang w:val="en-US" w:eastAsia="zh-CN" w:bidi="ar"/>
              </w:rPr>
              <w:t>5.63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22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2210201</w:t>
            </w:r>
          </w:p>
        </w:tc>
        <w:tc>
          <w:tcPr>
            <w:tcW w:w="24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住房公积金</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5.63</w:t>
            </w:r>
          </w:p>
        </w:tc>
        <w:tc>
          <w:tcPr>
            <w:tcW w:w="134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exact"/>
        </w:trPr>
        <w:tc>
          <w:tcPr>
            <w:tcW w:w="8717"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注：本表反映部门本年度一般公共预算财政拨款支出情况。</w:t>
            </w:r>
          </w:p>
        </w:tc>
      </w:tr>
    </w:tbl>
    <w:p>
      <w:pPr>
        <w:widowControl/>
        <w:spacing w:line="59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5"/>
        <w:gridCol w:w="1527"/>
        <w:gridCol w:w="478"/>
        <w:gridCol w:w="435"/>
        <w:gridCol w:w="1090"/>
        <w:gridCol w:w="435"/>
        <w:gridCol w:w="435"/>
        <w:gridCol w:w="1877"/>
        <w:gridCol w:w="828"/>
      </w:tblGrid>
      <w:tr>
        <w:tblPrEx>
          <w:shd w:val="clear" w:color="auto" w:fill="auto"/>
          <w:tblLayout w:type="fixed"/>
          <w:tblCellMar>
            <w:top w:w="0" w:type="dxa"/>
            <w:left w:w="108" w:type="dxa"/>
            <w:bottom w:w="0" w:type="dxa"/>
            <w:right w:w="108" w:type="dxa"/>
          </w:tblCellMar>
        </w:tblPrEx>
        <w:trPr>
          <w:cantSplit/>
          <w:trHeight w:val="227" w:hRule="exact"/>
        </w:trPr>
        <w:tc>
          <w:tcPr>
            <w:tcW w:w="8720" w:type="dxa"/>
            <w:gridSpan w:val="9"/>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52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7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3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090"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3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3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87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82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1527"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7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35"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090" w:type="dxa"/>
            <w:tcBorders>
              <w:top w:val="nil"/>
              <w:left w:val="nil"/>
              <w:bottom w:val="single" w:color="808080" w:sz="4" w:space="0"/>
              <w:right w:val="nil"/>
            </w:tcBorders>
            <w:shd w:val="clear" w:color="auto" w:fill="FFFFFF"/>
            <w:vAlign w:val="center"/>
          </w:tcPr>
          <w:p>
            <w:pPr>
              <w:jc w:val="center"/>
              <w:rPr>
                <w:rFonts w:hint="eastAsia" w:ascii="宋体" w:hAnsi="宋体" w:eastAsia="宋体" w:cs="宋体"/>
                <w:i w:val="0"/>
                <w:iCs w:val="0"/>
                <w:color w:val="000000"/>
                <w:sz w:val="10"/>
                <w:szCs w:val="10"/>
                <w:u w:val="none"/>
              </w:rPr>
            </w:pPr>
          </w:p>
        </w:tc>
        <w:tc>
          <w:tcPr>
            <w:tcW w:w="435"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35"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1877"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828" w:type="dxa"/>
            <w:tcBorders>
              <w:top w:val="nil"/>
              <w:left w:val="nil"/>
              <w:bottom w:val="single" w:color="80808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3620" w:type="dxa"/>
            <w:gridSpan w:val="3"/>
            <w:tcBorders>
              <w:top w:val="single" w:color="80808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人员经费</w:t>
            </w:r>
          </w:p>
        </w:tc>
        <w:tc>
          <w:tcPr>
            <w:tcW w:w="5100" w:type="dxa"/>
            <w:gridSpan w:val="6"/>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12" w:hRule="exact"/>
        </w:trPr>
        <w:tc>
          <w:tcPr>
            <w:tcW w:w="16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科目编码</w:t>
            </w:r>
          </w:p>
        </w:tc>
        <w:tc>
          <w:tcPr>
            <w:tcW w:w="152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47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决算数</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科目编码</w:t>
            </w:r>
          </w:p>
        </w:tc>
        <w:tc>
          <w:tcPr>
            <w:tcW w:w="10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决算数</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科目编码</w:t>
            </w:r>
          </w:p>
        </w:tc>
        <w:tc>
          <w:tcPr>
            <w:tcW w:w="18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82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exact"/>
        </w:trPr>
        <w:tc>
          <w:tcPr>
            <w:tcW w:w="16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52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7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0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18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82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工资福利支出</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350.34</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商品和服务支出</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34.46</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债务利息及费用支出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30101</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基本工资</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189.77</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30201</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办公费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18.97</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30701</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国内债务付息</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30102</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津贴补贴</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39.69</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30202</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印刷费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30702</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国外债务付息</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30103</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奖金</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40.15</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30203</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咨询费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资本性支出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30106</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伙食补助费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30204</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手续费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31001</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房屋建筑物购建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30107</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绩效工资</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30205</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水费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31002</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办公设备购置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30108</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机关事业单位基本养老保险缴费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27.11</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30206</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电费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31003</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专用设备购置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30109</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职业年金缴费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0.01</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30207</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邮电费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31005</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基础设施建设</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30110</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职工基本医疗保险缴费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9.33</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30208</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取暖费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31006</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大型修缮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30111</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公务员医疗补助缴费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6.67</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30209</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物业管理费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31007</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信息网络及软件购置更新</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30112</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其他社会保障缴费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30211</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差旅费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3.83</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31008</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物资储备</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30113</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住房公积金</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27.61</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30212</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因公出国（境）费用</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31009</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土地补偿</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30114</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医疗费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30213</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维修（护）费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31010</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安置补助</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30199</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其他工资福利支出</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30214</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租赁费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31011</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地上附着物和青苗补偿</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对个人和家庭的补助</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30215</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会议费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31012</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拆迁补偿</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30301</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离休费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30216</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培训费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0.26</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31013</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公务用车购置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30302</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退休费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0.16</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30217</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公务接待费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31019</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其他交通工具购置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30303</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退职（役）费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30218</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专用材料费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31021</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文物和陈列品购置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30304</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抚恤金</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30224</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被装购置费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31022</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无形资产购置</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30305</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生活补助</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30225</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专用燃料费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31099</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其他资本性支出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30306</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救济费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30226</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劳务费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399</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其他支出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30307</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医疗费补助</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30227</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委托业务费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39906</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赠与</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30308</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助学金</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30228</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工会经费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2.54</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39907</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国家赔偿费用支出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30309</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奖励金</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30229</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福利费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0.76</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39908</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对民间非营利组织和群众性自治组织补贴</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30310</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个人农业生产补贴</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30231</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公务用车运行维护费</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39999</w:t>
            </w:r>
          </w:p>
        </w:tc>
        <w:tc>
          <w:tcPr>
            <w:tcW w:w="1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其他支出</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30311</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代缴社会保险费</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30239</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其他交通费用</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4.22</w:t>
            </w:r>
          </w:p>
        </w:tc>
        <w:tc>
          <w:tcPr>
            <w:tcW w:w="43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8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8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30399</w:t>
            </w:r>
          </w:p>
        </w:tc>
        <w:tc>
          <w:tcPr>
            <w:tcW w:w="15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其他对个人和家庭的补助</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30240</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税金及附加费用</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3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8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8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161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52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30299</w:t>
            </w:r>
          </w:p>
        </w:tc>
        <w:tc>
          <w:tcPr>
            <w:tcW w:w="10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  其他商品和服务支出</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2.28</w:t>
            </w:r>
          </w:p>
        </w:tc>
        <w:tc>
          <w:tcPr>
            <w:tcW w:w="43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187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0"/>
                <w:szCs w:val="10"/>
                <w:u w:val="none"/>
              </w:rPr>
            </w:pPr>
          </w:p>
        </w:tc>
        <w:tc>
          <w:tcPr>
            <w:tcW w:w="82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227" w:hRule="exact"/>
        </w:trPr>
        <w:tc>
          <w:tcPr>
            <w:tcW w:w="314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人员经费合计</w:t>
            </w:r>
          </w:p>
        </w:tc>
        <w:tc>
          <w:tcPr>
            <w:tcW w:w="4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350.51</w:t>
            </w:r>
          </w:p>
        </w:tc>
        <w:tc>
          <w:tcPr>
            <w:tcW w:w="4272"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公用经费合计</w:t>
            </w:r>
          </w:p>
        </w:tc>
        <w:tc>
          <w:tcPr>
            <w:tcW w:w="8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7" w:hRule="exact"/>
        </w:trPr>
        <w:tc>
          <w:tcPr>
            <w:tcW w:w="8720"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注：本表反映部门本年度一般公共预算财政拨款基本支出明细情况。</w:t>
            </w:r>
          </w:p>
        </w:tc>
      </w:tr>
    </w:tbl>
    <w:p>
      <w:pPr>
        <w:widowControl/>
        <w:spacing w:line="59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590" w:lineRule="exact"/>
        <w:jc w:val="left"/>
        <w:rPr>
          <w:rFonts w:hint="eastAsia" w:ascii="仿宋_GB2312" w:hAnsi="仿宋_GB2312" w:eastAsia="仿宋_GB2312" w:cs="仿宋_GB2312"/>
          <w:sz w:val="32"/>
          <w:szCs w:val="32"/>
        </w:rPr>
      </w:pPr>
    </w:p>
    <w:tbl>
      <w:tblPr>
        <w:tblStyle w:val="5"/>
        <w:tblpPr w:leftFromText="180" w:rightFromText="180" w:vertAnchor="text" w:horzAnchor="page" w:tblpX="1392" w:tblpY="206"/>
        <w:tblOverlap w:val="never"/>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4"/>
        <w:gridCol w:w="864"/>
        <w:gridCol w:w="416"/>
        <w:gridCol w:w="779"/>
        <w:gridCol w:w="779"/>
        <w:gridCol w:w="609"/>
        <w:gridCol w:w="416"/>
        <w:gridCol w:w="863"/>
        <w:gridCol w:w="416"/>
        <w:gridCol w:w="779"/>
        <w:gridCol w:w="779"/>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9030" w:type="dxa"/>
            <w:gridSpan w:val="12"/>
            <w:tcBorders>
              <w:top w:val="nil"/>
              <w:left w:val="nil"/>
              <w:bottom w:val="nil"/>
              <w:right w:val="nil"/>
            </w:tcBorders>
            <w:shd w:val="clear" w:color="auto" w:fill="FFFFFF"/>
            <w:vAlign w:val="top"/>
          </w:tcPr>
          <w:p>
            <w:pPr>
              <w:jc w:val="center"/>
              <w:rPr>
                <w:rFonts w:hint="eastAsia" w:ascii="宋体" w:hAnsi="宋体" w:eastAsia="宋体" w:cs="宋体"/>
                <w:i w:val="0"/>
                <w:iCs w:val="0"/>
                <w:color w:val="000000"/>
                <w:sz w:val="10"/>
                <w:szCs w:val="10"/>
                <w:u w:val="none"/>
              </w:rPr>
            </w:pPr>
            <w:r>
              <w:rPr>
                <w:rFonts w:hint="eastAsia" w:ascii="黑体" w:hAnsi="宋体" w:eastAsia="黑体" w:cs="黑体"/>
                <w:i w:val="0"/>
                <w:iCs w:val="0"/>
                <w:color w:val="000000"/>
                <w:kern w:val="0"/>
                <w:sz w:val="10"/>
                <w:szCs w:val="1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7" w:hRule="atLeast"/>
        </w:trPr>
        <w:tc>
          <w:tcPr>
            <w:tcW w:w="1544"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p>
        </w:tc>
        <w:tc>
          <w:tcPr>
            <w:tcW w:w="864"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0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86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8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544"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部门：安阳市殷都区工业和信息化局</w:t>
            </w:r>
          </w:p>
        </w:tc>
        <w:tc>
          <w:tcPr>
            <w:tcW w:w="864"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609" w:type="dxa"/>
            <w:tcBorders>
              <w:top w:val="nil"/>
              <w:left w:val="nil"/>
              <w:bottom w:val="single" w:color="80808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p>
        </w:tc>
        <w:tc>
          <w:tcPr>
            <w:tcW w:w="41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863"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41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79"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10"/>
                <w:szCs w:val="10"/>
                <w:u w:val="none"/>
              </w:rPr>
            </w:pPr>
          </w:p>
        </w:tc>
        <w:tc>
          <w:tcPr>
            <w:tcW w:w="786" w:type="dxa"/>
            <w:tcBorders>
              <w:top w:val="nil"/>
              <w:left w:val="nil"/>
              <w:bottom w:val="single" w:color="80808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 w:hRule="atLeast"/>
        </w:trPr>
        <w:tc>
          <w:tcPr>
            <w:tcW w:w="4991" w:type="dxa"/>
            <w:gridSpan w:val="6"/>
            <w:tcBorders>
              <w:top w:val="single" w:color="80808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预算数</w:t>
            </w:r>
          </w:p>
        </w:tc>
        <w:tc>
          <w:tcPr>
            <w:tcW w:w="4039" w:type="dxa"/>
            <w:gridSpan w:val="6"/>
            <w:tcBorders>
              <w:top w:val="single" w:color="80808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 w:hRule="atLeast"/>
        </w:trPr>
        <w:tc>
          <w:tcPr>
            <w:tcW w:w="154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8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因公出国（境）费</w:t>
            </w:r>
          </w:p>
        </w:tc>
        <w:tc>
          <w:tcPr>
            <w:tcW w:w="1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公务用车购置及运行费</w:t>
            </w:r>
          </w:p>
        </w:tc>
        <w:tc>
          <w:tcPr>
            <w:tcW w:w="60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公务接待费</w:t>
            </w:r>
          </w:p>
        </w:tc>
        <w:tc>
          <w:tcPr>
            <w:tcW w:w="4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8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因公出国（境）费</w:t>
            </w:r>
          </w:p>
        </w:tc>
        <w:tc>
          <w:tcPr>
            <w:tcW w:w="197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公务用车购置及运行费</w:t>
            </w:r>
          </w:p>
        </w:tc>
        <w:tc>
          <w:tcPr>
            <w:tcW w:w="7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2" w:hRule="atLeast"/>
        </w:trPr>
        <w:tc>
          <w:tcPr>
            <w:tcW w:w="154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86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小计</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公务用车购置费</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公务用车运行费</w:t>
            </w:r>
          </w:p>
        </w:tc>
        <w:tc>
          <w:tcPr>
            <w:tcW w:w="6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8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小计</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公务用车购置费</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公务用车运行费</w:t>
            </w:r>
          </w:p>
        </w:tc>
        <w:tc>
          <w:tcPr>
            <w:tcW w:w="7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 w:hRule="atLeast"/>
        </w:trPr>
        <w:tc>
          <w:tcPr>
            <w:tcW w:w="15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6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w:t>
            </w:r>
          </w:p>
        </w:tc>
        <w:tc>
          <w:tcPr>
            <w:tcW w:w="8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w:t>
            </w:r>
          </w:p>
        </w:tc>
        <w:tc>
          <w:tcPr>
            <w:tcW w:w="7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3" w:hRule="atLeast"/>
        </w:trPr>
        <w:tc>
          <w:tcPr>
            <w:tcW w:w="15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6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8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c>
          <w:tcPr>
            <w:tcW w:w="7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3" w:hRule="atLeast"/>
        </w:trPr>
        <w:tc>
          <w:tcPr>
            <w:tcW w:w="9030"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r>
        <w:rPr>
          <w:rFonts w:hint="eastAsia" w:ascii="仿宋" w:hAnsi="仿宋" w:eastAsia="仿宋" w:cs="仿宋"/>
          <w:sz w:val="28"/>
          <w:szCs w:val="28"/>
          <w:lang w:val="en-US" w:eastAsia="zh-CN"/>
        </w:rPr>
        <w:t>我部门没有“三公”经费支出，故本表无数据。</w:t>
      </w:r>
      <w:r>
        <w:rPr>
          <w:rFonts w:hint="eastAsia" w:ascii="仿宋_GB2312" w:hAnsi="仿宋_GB2312" w:eastAsia="仿宋_GB2312" w:cs="仿宋_GB2312"/>
          <w:sz w:val="32"/>
          <w:szCs w:val="32"/>
        </w:rPr>
        <w:br w:type="page"/>
      </w:r>
    </w:p>
    <w:p>
      <w:pPr>
        <w:bidi w:val="0"/>
        <w:rPr>
          <w:rFonts w:hint="eastAsia" w:ascii="仿宋_GB2312" w:hAnsi="仿宋_GB2312" w:eastAsia="仿宋_GB2312" w:cs="仿宋_GB2312"/>
          <w:sz w:val="32"/>
          <w:szCs w:val="32"/>
        </w:rPr>
      </w:pPr>
      <w:r>
        <w:drawing>
          <wp:anchor distT="0" distB="0" distL="114300" distR="114300" simplePos="0" relativeHeight="251664384" behindDoc="1" locked="0" layoutInCell="1" allowOverlap="1">
            <wp:simplePos x="0" y="0"/>
            <wp:positionH relativeFrom="column">
              <wp:posOffset>-343535</wp:posOffset>
            </wp:positionH>
            <wp:positionV relativeFrom="paragraph">
              <wp:posOffset>118110</wp:posOffset>
            </wp:positionV>
            <wp:extent cx="6522720" cy="3280410"/>
            <wp:effectExtent l="0" t="0" r="11430" b="0"/>
            <wp:wrapTight wrapText="bothSides">
              <wp:wrapPolygon>
                <wp:start x="0" y="0"/>
                <wp:lineTo x="0" y="3638"/>
                <wp:lineTo x="1136" y="4265"/>
                <wp:lineTo x="1451" y="6021"/>
                <wp:lineTo x="126" y="6021"/>
                <wp:lineTo x="126" y="7275"/>
                <wp:lineTo x="1514" y="8028"/>
                <wp:lineTo x="1451" y="9408"/>
                <wp:lineTo x="2082" y="10035"/>
                <wp:lineTo x="1451" y="10662"/>
                <wp:lineTo x="1514" y="12042"/>
                <wp:lineTo x="0" y="14049"/>
                <wp:lineTo x="0" y="14174"/>
                <wp:lineTo x="1514" y="16056"/>
                <wp:lineTo x="1514" y="19443"/>
                <wp:lineTo x="4668" y="20070"/>
                <wp:lineTo x="0" y="20070"/>
                <wp:lineTo x="0" y="20697"/>
                <wp:lineTo x="2902" y="20948"/>
                <wp:lineTo x="7192" y="20948"/>
                <wp:lineTo x="11103" y="20697"/>
                <wp:lineTo x="11292" y="20321"/>
                <wp:lineTo x="10787" y="20070"/>
                <wp:lineTo x="6687" y="18063"/>
                <wp:lineTo x="6687" y="16056"/>
                <wp:lineTo x="21512" y="14174"/>
                <wp:lineTo x="21512" y="13923"/>
                <wp:lineTo x="6687" y="12042"/>
                <wp:lineTo x="6687" y="10035"/>
                <wp:lineTo x="20061" y="9659"/>
                <wp:lineTo x="20061" y="9157"/>
                <wp:lineTo x="6687" y="8028"/>
                <wp:lineTo x="9904" y="8028"/>
                <wp:lineTo x="21070" y="6523"/>
                <wp:lineTo x="21133" y="6021"/>
                <wp:lineTo x="14572" y="4014"/>
                <wp:lineTo x="21512" y="3638"/>
                <wp:lineTo x="21512" y="0"/>
                <wp:lineTo x="0" y="0"/>
              </wp:wrapPolygon>
            </wp:wrapTight>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2"/>
                    <a:stretch>
                      <a:fillRect/>
                    </a:stretch>
                  </pic:blipFill>
                  <pic:spPr>
                    <a:xfrm>
                      <a:off x="0" y="0"/>
                      <a:ext cx="6522720" cy="3280410"/>
                    </a:xfrm>
                    <a:prstGeom prst="rect">
                      <a:avLst/>
                    </a:prstGeom>
                    <a:noFill/>
                    <a:ln>
                      <a:noFill/>
                    </a:ln>
                  </pic:spPr>
                </pic:pic>
              </a:graphicData>
            </a:graphic>
          </wp:anchor>
        </w:drawing>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jc w:val="left"/>
        <w:rPr>
          <w:rFonts w:hint="eastAsia" w:ascii="仿宋" w:hAnsi="仿宋" w:eastAsia="仿宋" w:cs="仿宋"/>
          <w:sz w:val="28"/>
          <w:szCs w:val="28"/>
          <w:lang w:val="en-US" w:eastAsia="zh-CN"/>
        </w:rPr>
      </w:pPr>
    </w:p>
    <w:p>
      <w:pPr>
        <w:bidi w:val="0"/>
        <w:jc w:val="left"/>
        <w:rPr>
          <w:rFonts w:hint="eastAsia" w:ascii="仿宋_GB2312" w:hAnsi="仿宋_GB2312" w:eastAsia="仿宋_GB2312" w:cs="仿宋_GB2312"/>
          <w:sz w:val="32"/>
          <w:szCs w:val="32"/>
        </w:rPr>
      </w:pPr>
      <w:r>
        <w:rPr>
          <w:rFonts w:hint="eastAsia" w:ascii="仿宋" w:hAnsi="仿宋" w:eastAsia="仿宋" w:cs="仿宋"/>
          <w:sz w:val="28"/>
          <w:szCs w:val="28"/>
          <w:lang w:val="en-US" w:eastAsia="zh-CN"/>
        </w:rPr>
        <w:t>我部门没有政府性基金预算，故本表无数据。</w:t>
      </w:r>
      <w:r>
        <w:rPr>
          <w:rFonts w:hint="eastAsia" w:ascii="仿宋_GB2312" w:hAnsi="仿宋_GB2312" w:eastAsia="仿宋_GB2312" w:cs="仿宋_GB2312"/>
          <w:sz w:val="32"/>
          <w:szCs w:val="32"/>
        </w:rPr>
        <w:br w:type="page"/>
      </w:r>
      <w:r>
        <w:drawing>
          <wp:anchor distT="0" distB="0" distL="114300" distR="114300" simplePos="0" relativeHeight="251663360" behindDoc="0" locked="0" layoutInCell="1" allowOverlap="1">
            <wp:simplePos x="0" y="0"/>
            <wp:positionH relativeFrom="column">
              <wp:posOffset>-688340</wp:posOffset>
            </wp:positionH>
            <wp:positionV relativeFrom="paragraph">
              <wp:posOffset>702945</wp:posOffset>
            </wp:positionV>
            <wp:extent cx="6901180" cy="4378325"/>
            <wp:effectExtent l="0" t="0" r="13970" b="3175"/>
            <wp:wrapNone/>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3"/>
                    <a:stretch>
                      <a:fillRect/>
                    </a:stretch>
                  </pic:blipFill>
                  <pic:spPr>
                    <a:xfrm>
                      <a:off x="0" y="0"/>
                      <a:ext cx="6901180" cy="4378325"/>
                    </a:xfrm>
                    <a:prstGeom prst="rect">
                      <a:avLst/>
                    </a:prstGeom>
                    <a:noFill/>
                    <a:ln>
                      <a:noFill/>
                    </a:ln>
                  </pic:spPr>
                </pic:pic>
              </a:graphicData>
            </a:graphic>
          </wp:anchor>
        </w:drawing>
      </w:r>
      <w:r>
        <w:rPr>
          <w:rFonts w:hint="eastAsia" w:ascii="仿宋_GB2312" w:hAnsi="仿宋_GB2312" w:eastAsia="仿宋_GB2312" w:cs="仿宋_GB2312"/>
          <w:sz w:val="32"/>
          <w:szCs w:val="32"/>
        </w:rPr>
        <w:br w:type="page"/>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hint="eastAsia" w:ascii="黑体" w:hAnsi="黑体" w:eastAsia="黑体" w:cs="黑体"/>
          <w:sz w:val="48"/>
          <w:szCs w:val="48"/>
        </w:rPr>
        <w:sectPr>
          <w:pgSz w:w="11906" w:h="16838"/>
          <w:pgMar w:top="1417" w:right="1701" w:bottom="1417" w:left="1701" w:header="720" w:footer="1361" w:gutter="0"/>
          <w:pgBorders>
            <w:top w:val="none" w:color="auto" w:sz="0" w:space="0"/>
            <w:left w:val="none" w:color="auto" w:sz="0" w:space="0"/>
            <w:bottom w:val="none" w:color="auto" w:sz="0" w:space="0"/>
            <w:right w:val="none" w:color="auto" w:sz="0" w:space="0"/>
          </w:pgBorders>
          <w:pgNumType w:fmt="numberInDash"/>
          <w:cols w:space="720" w:num="1"/>
          <w:docGrid w:type="lines" w:linePitch="319"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2020年度收、支总计</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为</w:t>
      </w:r>
      <w:r>
        <w:rPr>
          <w:rFonts w:hint="eastAsia" w:ascii="仿宋_GB2312" w:hAnsi="仿宋_GB2312" w:eastAsia="仿宋_GB2312" w:cs="仿宋_GB2312"/>
          <w:color w:val="auto"/>
          <w:sz w:val="32"/>
          <w:szCs w:val="32"/>
          <w:lang w:val="en-US" w:eastAsia="zh-CN"/>
        </w:rPr>
        <w:t>3,334.42</w:t>
      </w:r>
      <w:r>
        <w:rPr>
          <w:rFonts w:hint="eastAsia" w:ascii="仿宋_GB2312" w:hAnsi="仿宋_GB2312" w:eastAsia="仿宋_GB2312" w:cs="仿宋_GB2312"/>
          <w:sz w:val="32"/>
          <w:szCs w:val="32"/>
        </w:rPr>
        <w:t>万元。与上年度相比，收、支总计各</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color w:val="auto"/>
          <w:sz w:val="32"/>
          <w:szCs w:val="32"/>
          <w:lang w:val="en-US" w:eastAsia="zh-CN"/>
        </w:rPr>
        <w:t>884.99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36.13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2019年预算的科研费用支出结转到2020年支出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2020年度收入合计1490.43万元，其中：财政拨款收入1490.43万元，占</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%；经营收入万元，占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2020年度支出合计</w:t>
      </w:r>
      <w:r>
        <w:rPr>
          <w:rFonts w:hint="eastAsia" w:ascii="仿宋_GB2312" w:hAnsi="仿宋_GB2312" w:eastAsia="仿宋_GB2312" w:cs="仿宋_GB2312"/>
          <w:sz w:val="32"/>
          <w:szCs w:val="32"/>
          <w:lang w:eastAsia="zh-CN"/>
        </w:rPr>
        <w:t>2601.96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2601.96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2020年度财政拨款收、支总计</w:t>
      </w:r>
      <w:r>
        <w:rPr>
          <w:rFonts w:hint="eastAsia" w:ascii="仿宋_GB2312" w:hAnsi="仿宋_GB2312" w:eastAsia="仿宋_GB2312" w:cs="仿宋_GB2312"/>
          <w:color w:val="auto"/>
          <w:sz w:val="32"/>
          <w:szCs w:val="32"/>
          <w:lang w:val="en-US" w:eastAsia="zh-CN"/>
        </w:rPr>
        <w:t>分别</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3,334.42万元</w:t>
      </w:r>
      <w:r>
        <w:rPr>
          <w:rFonts w:hint="eastAsia" w:ascii="仿宋_GB2312" w:hAnsi="仿宋_GB2312" w:eastAsia="仿宋_GB2312" w:cs="仿宋_GB2312"/>
          <w:color w:val="auto"/>
          <w:sz w:val="32"/>
          <w:szCs w:val="32"/>
        </w:rPr>
        <w:t>。与上年度相比，财政拨款收、支总计</w:t>
      </w:r>
      <w:r>
        <w:rPr>
          <w:rFonts w:hint="eastAsia" w:ascii="仿宋_GB2312" w:hAnsi="仿宋_GB2312" w:eastAsia="仿宋_GB2312" w:cs="仿宋_GB2312"/>
          <w:color w:val="auto"/>
          <w:sz w:val="32"/>
          <w:szCs w:val="32"/>
          <w:lang w:val="en-US" w:eastAsia="zh-CN"/>
        </w:rPr>
        <w:t>增加884.99万元。</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36.13</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2019年预算的科研费用支出结转到2020年支出</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黑体" w:hAnsi="黑体" w:eastAsia="黑体" w:cs="黑体"/>
          <w:color w:val="auto"/>
          <w:sz w:val="32"/>
          <w:szCs w:val="32"/>
        </w:rPr>
      </w:pPr>
      <w:r>
        <w:rPr>
          <w:rFonts w:hint="eastAsia" w:ascii="黑体" w:hAnsi="黑体" w:eastAsia="黑体" w:cs="黑体"/>
          <w:color w:val="auto"/>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2020年度一般公共预算财政拨款支出2601.96万元，占支出合计的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val="en-US" w:eastAsia="zh-CN"/>
        </w:rPr>
        <w:t>增加1897.98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269.21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2019年预算的科研费用支出结转到本年支出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2020年度一般公共预算财政拨款支出2601.96万元，主要用于以下方面：</w:t>
      </w:r>
      <w:r>
        <w:rPr>
          <w:rFonts w:hint="eastAsia" w:ascii="仿宋_GB2312" w:hAnsi="仿宋_GB2312" w:eastAsia="仿宋_GB2312" w:cs="仿宋_GB2312"/>
          <w:sz w:val="32"/>
          <w:szCs w:val="32"/>
          <w:lang w:val="en-US" w:eastAsia="zh-CN"/>
        </w:rPr>
        <w:t>科学技术支出</w:t>
      </w:r>
      <w:r>
        <w:rPr>
          <w:rFonts w:hint="eastAsia" w:ascii="仿宋_GB2312" w:hAnsi="仿宋_GB2312" w:eastAsia="仿宋_GB2312" w:cs="仿宋_GB2312"/>
          <w:sz w:val="32"/>
          <w:szCs w:val="32"/>
        </w:rPr>
        <w:t>（类）支出1759.84万元，占</w:t>
      </w:r>
      <w:r>
        <w:rPr>
          <w:rFonts w:hint="eastAsia" w:ascii="仿宋_GB2312" w:hAnsi="仿宋_GB2312" w:eastAsia="仿宋_GB2312" w:cs="仿宋_GB2312"/>
          <w:sz w:val="32"/>
          <w:szCs w:val="32"/>
          <w:lang w:val="en-US" w:eastAsia="zh-CN"/>
        </w:rPr>
        <w:t>67.64</w:t>
      </w:r>
      <w:r>
        <w:rPr>
          <w:rFonts w:hint="eastAsia" w:ascii="仿宋_GB2312" w:hAnsi="仿宋_GB2312" w:eastAsia="仿宋_GB2312" w:cs="仿宋_GB2312"/>
          <w:sz w:val="32"/>
          <w:szCs w:val="32"/>
        </w:rPr>
        <w:t>%；社会保障和就业（类）支出26.43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1.02%；卫生健康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支出14.0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0.54%</w:t>
      </w:r>
      <w:r>
        <w:rPr>
          <w:rFonts w:hint="eastAsia" w:ascii="仿宋_GB2312" w:hAnsi="仿宋_GB2312" w:eastAsia="仿宋_GB2312" w:cs="仿宋_GB2312"/>
          <w:sz w:val="32"/>
          <w:szCs w:val="32"/>
          <w:lang w:eastAsia="zh-CN"/>
        </w:rPr>
        <w:t>；节能环保</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支出685.27万元，占</w:t>
      </w:r>
      <w:r>
        <w:rPr>
          <w:rFonts w:hint="eastAsia" w:ascii="仿宋_GB2312" w:hAnsi="仿宋_GB2312" w:eastAsia="仿宋_GB2312" w:cs="仿宋_GB2312"/>
          <w:sz w:val="32"/>
          <w:szCs w:val="32"/>
          <w:lang w:val="en-US" w:eastAsia="zh-CN"/>
        </w:rPr>
        <w:t>26.34%；资源勘探信息</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支出110.8万元，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4.26%；住房保障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支出5.63万元，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2020年度一般公共预算财政拨款支出年初预算为793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19万元，支出决算为2601.96万元，完成年初预算的</w:t>
      </w:r>
      <w:r>
        <w:rPr>
          <w:rFonts w:hint="eastAsia" w:ascii="仿宋_GB2312" w:hAnsi="仿宋_GB2312" w:eastAsia="仿宋_GB2312" w:cs="仿宋_GB2312"/>
          <w:sz w:val="32"/>
          <w:szCs w:val="32"/>
          <w:highlight w:val="none"/>
          <w:lang w:val="en-US" w:eastAsia="zh-CN"/>
        </w:rPr>
        <w:t>328.04</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206科学技术支出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01科学技术管理事务</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01行政运行</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万元，支出决算为4.1万元，完成年初预算的</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科学技术支出资金来自于年初结转资金和本年追加资金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206科学技术支出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01科学技术管理事务</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99其他科学技术管理事务支出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万元，支出决算为210.34万元，完成年初预算的</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科学技术支出资金来自于年初结转资金和本年追加资金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206科学技术支出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03应用研究</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99其他应用研究支出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万元，支出决算为1099万元，完成年初预算的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科学技术支出资金来自于年初结转资金和本年追加资金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206科学技术支出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04技术研究与开发</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99其他技术研究与开发支出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万元，支出决算为435.4万元，完成年初预算的</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科学技术支出资金来自于年初结转资金和本年追加资金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206科学技术支出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99其他科学技术支出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01科技奖励</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科学技术支出资金来自于年初结转资金和本年追加资金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206科学技术支出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99其他科学技术支出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99其他科学技术支出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科学技术支出资金来自于年初结转资金和本年追加资金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208社会保障和就业支出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05行政事业单位养老支出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01行政单位离退休</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0.31</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0.16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51.61</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养老保险制度改革</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208社会保障和就业支出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05行政事业单位养老支出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05机关事业单位基本养老保险缴费支出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年初预算为33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93万元，支出决算为24.85万元，完成年初预算的</w:t>
      </w:r>
      <w:r>
        <w:rPr>
          <w:rFonts w:hint="eastAsia" w:ascii="仿宋_GB2312" w:hAnsi="仿宋_GB2312" w:eastAsia="仿宋_GB2312" w:cs="仿宋_GB2312"/>
          <w:sz w:val="32"/>
          <w:szCs w:val="32"/>
          <w:highlight w:val="none"/>
          <w:lang w:val="en-US" w:eastAsia="zh-CN"/>
        </w:rPr>
        <w:t>73.24</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本单位2020年有一名退休和一名病故人员</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208社会保障和就业支出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99其他社会保障和就业支出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01其他社会保障和就业支出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48万元，支出决算为1.41万元，完成年初预算的</w:t>
      </w:r>
      <w:r>
        <w:rPr>
          <w:rFonts w:hint="eastAsia" w:ascii="仿宋_GB2312" w:hAnsi="仿宋_GB2312" w:eastAsia="仿宋_GB2312" w:cs="仿宋_GB2312"/>
          <w:sz w:val="32"/>
          <w:szCs w:val="32"/>
          <w:highlight w:val="none"/>
          <w:lang w:val="en-US" w:eastAsia="zh-CN"/>
        </w:rPr>
        <w:t>95.27</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本单位本年有一名退休和一名病故人员</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210</w:t>
      </w:r>
      <w:r>
        <w:rPr>
          <w:rFonts w:hint="eastAsia" w:ascii="仿宋_GB2312" w:hAnsi="仿宋_GB2312" w:eastAsia="仿宋_GB2312" w:cs="仿宋_GB2312"/>
          <w:b/>
          <w:bCs/>
          <w:sz w:val="32"/>
          <w:szCs w:val="32"/>
          <w:highlight w:val="none"/>
        </w:rPr>
        <w:t>卫生健康支出（类）</w:t>
      </w:r>
      <w:r>
        <w:rPr>
          <w:rFonts w:hint="eastAsia" w:ascii="仿宋_GB2312" w:hAnsi="仿宋_GB2312" w:eastAsia="仿宋_GB2312" w:cs="仿宋_GB2312"/>
          <w:b/>
          <w:bCs/>
          <w:sz w:val="32"/>
          <w:szCs w:val="32"/>
          <w:highlight w:val="none"/>
          <w:lang w:val="en-US" w:eastAsia="zh-CN"/>
        </w:rPr>
        <w:t>11行政事业单位医疗</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01行政单位医疗</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年初预算为14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7.19</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48.42</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区财政资金紧张，本单位工作人员的医疗保险支出滞后</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210</w:t>
      </w:r>
      <w:r>
        <w:rPr>
          <w:rFonts w:hint="eastAsia" w:ascii="仿宋_GB2312" w:hAnsi="仿宋_GB2312" w:eastAsia="仿宋_GB2312" w:cs="仿宋_GB2312"/>
          <w:b/>
          <w:bCs/>
          <w:sz w:val="32"/>
          <w:szCs w:val="32"/>
          <w:highlight w:val="none"/>
        </w:rPr>
        <w:t>卫生健康支出（类）</w:t>
      </w:r>
      <w:r>
        <w:rPr>
          <w:rFonts w:hint="eastAsia" w:ascii="仿宋_GB2312" w:hAnsi="仿宋_GB2312" w:eastAsia="仿宋_GB2312" w:cs="仿宋_GB2312"/>
          <w:b/>
          <w:bCs/>
          <w:sz w:val="32"/>
          <w:szCs w:val="32"/>
          <w:highlight w:val="none"/>
          <w:lang w:val="en-US" w:eastAsia="zh-CN"/>
        </w:rPr>
        <w:t>11行政事业单位医疗</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)03</w:t>
      </w:r>
      <w:r>
        <w:rPr>
          <w:rFonts w:hint="eastAsia" w:ascii="仿宋_GB2312" w:hAnsi="仿宋_GB2312" w:eastAsia="仿宋_GB2312" w:cs="仿宋_GB2312"/>
          <w:b/>
          <w:bCs/>
          <w:sz w:val="32"/>
          <w:szCs w:val="32"/>
          <w:highlight w:val="none"/>
        </w:rPr>
        <w:t>公务员医疗补助（项）。</w:t>
      </w:r>
      <w:r>
        <w:rPr>
          <w:rFonts w:hint="eastAsia" w:ascii="仿宋_GB2312" w:hAnsi="仿宋_GB2312" w:eastAsia="仿宋_GB2312" w:cs="仿宋_GB2312"/>
          <w:sz w:val="32"/>
          <w:szCs w:val="32"/>
          <w:highlight w:val="none"/>
        </w:rPr>
        <w:t>年初预算为13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5.73</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43.05</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区财政资金紧张，本单位工作人员的医疗保险支出滞后</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12</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210</w:t>
      </w:r>
      <w:r>
        <w:rPr>
          <w:rFonts w:hint="eastAsia" w:ascii="仿宋_GB2312" w:hAnsi="仿宋_GB2312" w:eastAsia="仿宋_GB2312" w:cs="仿宋_GB2312"/>
          <w:b/>
          <w:bCs/>
          <w:sz w:val="32"/>
          <w:szCs w:val="32"/>
          <w:highlight w:val="none"/>
        </w:rPr>
        <w:t>卫生健康支出（类）</w:t>
      </w:r>
      <w:r>
        <w:rPr>
          <w:rFonts w:hint="eastAsia" w:ascii="仿宋_GB2312" w:hAnsi="仿宋_GB2312" w:eastAsia="仿宋_GB2312" w:cs="仿宋_GB2312"/>
          <w:b/>
          <w:bCs/>
          <w:sz w:val="32"/>
          <w:szCs w:val="32"/>
          <w:highlight w:val="none"/>
          <w:lang w:val="en-US" w:eastAsia="zh-CN"/>
        </w:rPr>
        <w:t>11行政事业单位医疗</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99其他行政事业单位医疗支出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2.54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1.07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42.13</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区财政资金紧张，本单位工作人员的医疗保险支出滞后</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211节能环保支出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03污染防治</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01大气</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67.8</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645.27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951.73</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节能环保支出资金来自于年初结转资金和本年追加资金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14</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211节能环保支出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99</w:t>
      </w:r>
      <w:r>
        <w:rPr>
          <w:rFonts w:hint="eastAsia" w:ascii="仿宋_GB2312" w:hAnsi="仿宋_GB2312" w:eastAsia="仿宋_GB2312" w:cs="仿宋_GB2312"/>
          <w:b/>
          <w:bCs/>
          <w:sz w:val="32"/>
          <w:szCs w:val="32"/>
          <w:highlight w:val="none"/>
        </w:rPr>
        <w:t>其他节能环保支出（款）</w:t>
      </w:r>
      <w:r>
        <w:rPr>
          <w:rFonts w:hint="eastAsia" w:ascii="仿宋_GB2312" w:hAnsi="仿宋_GB2312" w:eastAsia="仿宋_GB2312" w:cs="仿宋_GB2312"/>
          <w:b/>
          <w:bCs/>
          <w:sz w:val="32"/>
          <w:szCs w:val="32"/>
          <w:highlight w:val="none"/>
          <w:lang w:val="en-US" w:eastAsia="zh-CN"/>
        </w:rPr>
        <w:t>01其他节能环保支出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此项支出为企业收回的保证金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21资5源勘探工业信息等支出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05工业和信息产业监管</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01行政运行</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4.97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99.4</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区财政资金紧张，支出滞后</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16</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215资源勘探工业信息等支出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08支持中小企业发展和管理支出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01行政运行</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年初预算为343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47万元，支出决算为104.23万元，完成年初预算的</w:t>
      </w:r>
      <w:r>
        <w:rPr>
          <w:rFonts w:hint="eastAsia" w:ascii="仿宋_GB2312" w:hAnsi="仿宋_GB2312" w:eastAsia="仿宋_GB2312" w:cs="仿宋_GB2312"/>
          <w:sz w:val="32"/>
          <w:szCs w:val="32"/>
          <w:highlight w:val="none"/>
          <w:lang w:val="en-US" w:eastAsia="zh-CN"/>
        </w:rPr>
        <w:t>30.35</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区财政资金紧张，支出滞后</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17</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215资源勘探工业信息等支出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08支持中小企业发展和管理支出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99其他支持中小企业发展和管理支出</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%。决算数与年初预算数存在差异的主要原因</w:t>
      </w:r>
      <w:r>
        <w:rPr>
          <w:rFonts w:hint="eastAsia" w:ascii="仿宋_GB2312" w:hAnsi="仿宋_GB2312" w:eastAsia="仿宋_GB2312" w:cs="仿宋_GB2312"/>
          <w:sz w:val="32"/>
          <w:szCs w:val="32"/>
          <w:highlight w:val="none"/>
          <w:lang w:val="en-US" w:eastAsia="zh-CN"/>
        </w:rPr>
        <w:t>是自于年初结转资金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18</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221住房保障支出</w:t>
      </w:r>
      <w:r>
        <w:rPr>
          <w:rFonts w:hint="eastAsia" w:ascii="仿宋_GB2312" w:hAnsi="仿宋_GB2312" w:eastAsia="仿宋_GB2312" w:cs="仿宋_GB2312"/>
          <w:b/>
          <w:bCs/>
          <w:sz w:val="32"/>
          <w:szCs w:val="32"/>
          <w:highlight w:val="none"/>
        </w:rPr>
        <w:t>（类）</w:t>
      </w:r>
      <w:r>
        <w:rPr>
          <w:rFonts w:hint="eastAsia" w:ascii="仿宋_GB2312" w:hAnsi="仿宋_GB2312" w:eastAsia="仿宋_GB2312" w:cs="仿宋_GB2312"/>
          <w:b/>
          <w:bCs/>
          <w:sz w:val="32"/>
          <w:szCs w:val="32"/>
          <w:highlight w:val="none"/>
          <w:lang w:val="en-US" w:eastAsia="zh-CN"/>
        </w:rPr>
        <w:t>02住房改革支出</w:t>
      </w:r>
      <w:r>
        <w:rPr>
          <w:rFonts w:hint="eastAsia" w:ascii="仿宋_GB2312" w:hAnsi="仿宋_GB2312" w:eastAsia="仿宋_GB2312" w:cs="仿宋_GB2312"/>
          <w:b/>
          <w:bCs/>
          <w:sz w:val="32"/>
          <w:szCs w:val="32"/>
          <w:highlight w:val="none"/>
        </w:rPr>
        <w:t>（款）</w:t>
      </w:r>
      <w:r>
        <w:rPr>
          <w:rFonts w:hint="eastAsia" w:ascii="仿宋_GB2312" w:hAnsi="仿宋_GB2312" w:eastAsia="仿宋_GB2312" w:cs="仿宋_GB2312"/>
          <w:b/>
          <w:bCs/>
          <w:sz w:val="32"/>
          <w:szCs w:val="32"/>
          <w:highlight w:val="none"/>
          <w:lang w:val="en-US" w:eastAsia="zh-CN"/>
        </w:rPr>
        <w:t>01住房公积金</w:t>
      </w:r>
      <w:r>
        <w:rPr>
          <w:rFonts w:hint="eastAsia" w:ascii="仿宋_GB2312" w:hAnsi="仿宋_GB2312" w:eastAsia="仿宋_GB2312" w:cs="仿宋_GB2312"/>
          <w:b/>
          <w:bCs/>
          <w:sz w:val="32"/>
          <w:szCs w:val="32"/>
          <w:highlight w:val="none"/>
        </w:rPr>
        <w:t>（项）。</w:t>
      </w:r>
      <w:r>
        <w:rPr>
          <w:rFonts w:hint="eastAsia" w:ascii="仿宋_GB2312" w:hAnsi="仿宋_GB2312" w:eastAsia="仿宋_GB2312" w:cs="仿宋_GB2312"/>
          <w:sz w:val="32"/>
          <w:szCs w:val="32"/>
          <w:highlight w:val="none"/>
        </w:rPr>
        <w:t>年初预算为35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万元，支出决算为5.63万元，完成年初预算的</w:t>
      </w:r>
      <w:r>
        <w:rPr>
          <w:rFonts w:hint="eastAsia" w:ascii="仿宋_GB2312" w:hAnsi="仿宋_GB2312" w:eastAsia="仿宋_GB2312" w:cs="仿宋_GB2312"/>
          <w:sz w:val="32"/>
          <w:szCs w:val="32"/>
          <w:highlight w:val="none"/>
          <w:lang w:val="en-US" w:eastAsia="zh-CN"/>
        </w:rPr>
        <w:t>15.99</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区财政资金紧张，支出滞后</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2020年度一般公共预算财政拨款基本支出</w:t>
      </w:r>
      <w:r>
        <w:rPr>
          <w:rFonts w:hint="eastAsia" w:ascii="仿宋_GB2312" w:hAnsi="仿宋_GB2312" w:eastAsia="仿宋_GB2312" w:cs="仿宋_GB2312"/>
          <w:sz w:val="32"/>
          <w:szCs w:val="32"/>
          <w:highlight w:val="none"/>
          <w:lang w:val="en-US" w:eastAsia="zh-CN"/>
        </w:rPr>
        <w:t>384.97</w:t>
      </w:r>
      <w:r>
        <w:rPr>
          <w:rFonts w:hint="eastAsia" w:ascii="仿宋_GB2312" w:hAnsi="仿宋_GB2312" w:eastAsia="仿宋_GB2312" w:cs="仿宋_GB2312"/>
          <w:sz w:val="32"/>
          <w:szCs w:val="32"/>
          <w:highlight w:val="none"/>
        </w:rPr>
        <w:t>万元。其中：人员经费350.51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34.46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（一）“三公”经费财政拨款支出决算总体情况说明。</w:t>
      </w:r>
    </w:p>
    <w:p>
      <w:pPr>
        <w:widowControl/>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2020年度“三公”经费财政拨款支出预算为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决算数与年初预算数</w:t>
      </w:r>
      <w:r>
        <w:rPr>
          <w:rFonts w:hint="eastAsia" w:ascii="仿宋_GB2312" w:hAnsi="仿宋_GB2312" w:eastAsia="仿宋_GB2312" w:cs="仿宋_GB2312"/>
          <w:sz w:val="32"/>
          <w:szCs w:val="32"/>
          <w:highlight w:val="none"/>
          <w:lang w:val="en-US" w:eastAsia="zh-CN"/>
        </w:rPr>
        <w:t>持平。</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2020年度“三公”经费财政拨款支出决算中，因公出国（境）费支出决算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%；公务用车购置及运行费支出决算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%；公务接待费支出决算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%。具体情况如下：</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因公出国（境）费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因公出国（境）团组数0个，人数0人次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完成年初预算的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决</w:t>
      </w:r>
      <w:r>
        <w:rPr>
          <w:rFonts w:hint="eastAsia" w:ascii="仿宋_GB2312" w:hAnsi="仿宋_GB2312" w:eastAsia="仿宋_GB2312" w:cs="仿宋_GB2312"/>
          <w:sz w:val="32"/>
          <w:szCs w:val="32"/>
          <w:lang w:eastAsia="zh-CN"/>
        </w:rPr>
        <w:t>算数和预算数持平。</w:t>
      </w:r>
    </w:p>
    <w:p>
      <w:pPr>
        <w:widowControl/>
        <w:spacing w:line="59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rPr>
        <w:t>2．公务用车购置及运行费</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sz w:val="32"/>
          <w:szCs w:val="32"/>
          <w:highlight w:val="none"/>
        </w:rPr>
        <w:t>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%。决算数与年初预算数</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公务用车购置支出</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公务用车运行支出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万元。主要用于</w:t>
      </w:r>
      <w:r>
        <w:rPr>
          <w:rFonts w:hint="eastAsia" w:ascii="仿宋_GB2312" w:hAnsi="仿宋_GB2312" w:eastAsia="仿宋_GB2312" w:cs="仿宋_GB2312"/>
          <w:sz w:val="32"/>
          <w:szCs w:val="32"/>
          <w:highlight w:val="none"/>
          <w:lang w:val="en-US" w:eastAsia="zh-CN"/>
        </w:rPr>
        <w:t>公务用车车量</w:t>
      </w:r>
      <w:r>
        <w:rPr>
          <w:rFonts w:hint="eastAsia" w:ascii="仿宋_GB2312" w:hAnsi="仿宋_GB2312" w:eastAsia="仿宋_GB2312" w:cs="仿宋_GB2312"/>
          <w:sz w:val="32"/>
          <w:szCs w:val="32"/>
          <w:highlight w:val="none"/>
        </w:rPr>
        <w:t>运行</w:t>
      </w:r>
      <w:r>
        <w:rPr>
          <w:rFonts w:hint="eastAsia" w:ascii="仿宋_GB2312" w:hAnsi="仿宋_GB2312" w:eastAsia="仿宋_GB2312" w:cs="仿宋_GB2312"/>
          <w:sz w:val="32"/>
          <w:szCs w:val="32"/>
          <w:highlight w:val="none"/>
          <w:lang w:val="en-US" w:eastAsia="zh-CN"/>
        </w:rPr>
        <w:t>和维护</w:t>
      </w:r>
      <w:r>
        <w:rPr>
          <w:rFonts w:hint="eastAsia" w:ascii="仿宋_GB2312" w:hAnsi="仿宋_GB2312" w:eastAsia="仿宋_GB2312" w:cs="仿宋_GB2312"/>
          <w:sz w:val="32"/>
          <w:szCs w:val="32"/>
          <w:highlight w:val="none"/>
        </w:rPr>
        <w:t>费。2020年期末，部门开支财政拨款的公务用车保有量为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量。</w:t>
      </w:r>
    </w:p>
    <w:p>
      <w:pPr>
        <w:widowControl/>
        <w:spacing w:line="59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3.公务接待费</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sz w:val="32"/>
          <w:szCs w:val="32"/>
          <w:highlight w:val="none"/>
        </w:rPr>
        <w:t>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%。决算数与年初预算数</w:t>
      </w:r>
      <w:r>
        <w:rPr>
          <w:rFonts w:hint="eastAsia" w:ascii="仿宋_GB2312" w:hAnsi="仿宋_GB2312" w:eastAsia="仿宋_GB2312" w:cs="仿宋_GB2312"/>
          <w:sz w:val="32"/>
          <w:szCs w:val="32"/>
          <w:highlight w:val="none"/>
          <w:lang w:val="en-US" w:eastAsia="zh-CN"/>
        </w:rPr>
        <w:t>持平。其中：</w:t>
      </w:r>
    </w:p>
    <w:p>
      <w:pPr>
        <w:widowControl/>
        <w:spacing w:line="59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万元。。2020年共接待国（境）外来访团组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个、来访外宾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万元。2020年共接待国内来访团组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p>
    <w:p>
      <w:pPr>
        <w:numPr>
          <w:ilvl w:val="0"/>
          <w:numId w:val="3"/>
        </w:numPr>
        <w:spacing w:line="600" w:lineRule="exact"/>
        <w:ind w:firstLine="640" w:firstLineChars="200"/>
        <w:rPr>
          <w:rFonts w:ascii="黑体" w:hAnsi="黑体" w:eastAsia="黑体" w:cs="黑体"/>
          <w:sz w:val="32"/>
          <w:szCs w:val="40"/>
          <w:highlight w:val="none"/>
        </w:rPr>
      </w:pPr>
      <w:r>
        <w:rPr>
          <w:rFonts w:hint="eastAsia" w:ascii="黑体" w:hAnsi="黑体" w:eastAsia="黑体" w:cs="黑体"/>
          <w:sz w:val="32"/>
          <w:szCs w:val="40"/>
          <w:highlight w:val="none"/>
        </w:rPr>
        <w:t>绩效评价结果等情况说明</w:t>
      </w:r>
    </w:p>
    <w:p>
      <w:pPr>
        <w:widowControl/>
        <w:spacing w:line="590" w:lineRule="exact"/>
        <w:ind w:firstLine="630" w:firstLineChars="196"/>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（一）绩效管理工作开展情况。</w:t>
      </w:r>
    </w:p>
    <w:p>
      <w:pPr>
        <w:spacing w:line="600" w:lineRule="exact"/>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highlight w:val="none"/>
        </w:rPr>
        <w:t>2020年度我部门绩效管理工作开展情况：</w:t>
      </w:r>
      <w:r>
        <w:rPr>
          <w:rFonts w:hint="eastAsia" w:ascii="仿宋_GB2312" w:hAnsi="仿宋_GB2312" w:eastAsia="仿宋_GB2312" w:cs="仿宋_GB2312"/>
          <w:sz w:val="32"/>
          <w:szCs w:val="40"/>
          <w:highlight w:val="none"/>
          <w:lang w:eastAsia="zh-CN"/>
        </w:rPr>
        <w:t>根据财</w:t>
      </w:r>
      <w:r>
        <w:rPr>
          <w:rFonts w:hint="eastAsia" w:ascii="仿宋_GB2312" w:hAnsi="仿宋_GB2312" w:eastAsia="仿宋_GB2312" w:cs="仿宋_GB2312"/>
          <w:sz w:val="32"/>
          <w:szCs w:val="40"/>
          <w:lang w:eastAsia="zh-CN"/>
        </w:rPr>
        <w:t>政预算绩效管理要求，殷都区工信局围绕部门绩效目标设定、事前评估、事中监督、事后评价、结果运用</w:t>
      </w:r>
      <w:r>
        <w:rPr>
          <w:rFonts w:hint="eastAsia" w:ascii="仿宋_GB2312" w:hAnsi="仿宋_GB2312" w:eastAsia="仿宋_GB2312" w:cs="仿宋_GB2312"/>
          <w:sz w:val="32"/>
          <w:szCs w:val="40"/>
          <w:lang w:val="en-US" w:eastAsia="zh-CN"/>
        </w:rPr>
        <w:t>5个方面对</w:t>
      </w:r>
      <w:r>
        <w:rPr>
          <w:rFonts w:hint="eastAsia" w:ascii="仿宋_GB2312" w:hAnsi="仿宋_GB2312" w:eastAsia="仿宋_GB2312" w:cs="仿宋_GB2312"/>
          <w:sz w:val="32"/>
          <w:szCs w:val="40"/>
        </w:rPr>
        <w:t>部门绩效目标</w:t>
      </w:r>
      <w:r>
        <w:rPr>
          <w:rFonts w:hint="eastAsia" w:ascii="仿宋_GB2312" w:hAnsi="仿宋_GB2312" w:eastAsia="仿宋_GB2312" w:cs="仿宋_GB2312"/>
          <w:sz w:val="32"/>
          <w:szCs w:val="40"/>
          <w:lang w:eastAsia="zh-CN"/>
        </w:rPr>
        <w:t>进行绩效评价。各岗位都很好地完成了年初既定目标，工作结果符合岗位要求。</w:t>
      </w:r>
      <w:r>
        <w:rPr>
          <w:rFonts w:hint="default" w:ascii="仿宋_GB2312" w:hAnsi="仿宋_GB2312" w:eastAsia="仿宋_GB2312" w:cs="仿宋_GB2312"/>
          <w:sz w:val="32"/>
          <w:szCs w:val="40"/>
          <w:lang w:eastAsia="zh-CN"/>
        </w:rPr>
        <w:t xml:space="preserve"> </w:t>
      </w:r>
    </w:p>
    <w:p>
      <w:pPr>
        <w:widowControl/>
        <w:spacing w:line="590" w:lineRule="exact"/>
        <w:ind w:firstLine="630" w:firstLineChars="196"/>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（二）项目绩效自评结果。</w:t>
      </w:r>
    </w:p>
    <w:p>
      <w:pPr>
        <w:spacing w:line="600" w:lineRule="exact"/>
        <w:ind w:firstLine="640" w:firstLineChars="200"/>
        <w:rPr>
          <w:rFonts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我部门进行自评的2020年项目支出共</w:t>
      </w:r>
      <w:r>
        <w:rPr>
          <w:rFonts w:hint="eastAsia" w:ascii="仿宋_GB2312" w:hAnsi="仿宋_GB2312" w:eastAsia="仿宋_GB2312" w:cs="仿宋_GB2312"/>
          <w:sz w:val="32"/>
          <w:szCs w:val="40"/>
          <w:highlight w:val="none"/>
          <w:lang w:val="en-US" w:eastAsia="zh-CN"/>
        </w:rPr>
        <w:t>0</w:t>
      </w:r>
      <w:r>
        <w:rPr>
          <w:rFonts w:hint="eastAsia" w:ascii="仿宋_GB2312" w:hAnsi="仿宋_GB2312" w:eastAsia="仿宋_GB2312" w:cs="仿宋_GB2312"/>
          <w:sz w:val="32"/>
          <w:szCs w:val="40"/>
          <w:highlight w:val="none"/>
        </w:rPr>
        <w:t>个，决算资金共</w:t>
      </w:r>
      <w:r>
        <w:rPr>
          <w:rFonts w:hint="eastAsia" w:ascii="仿宋_GB2312" w:hAnsi="仿宋_GB2312" w:eastAsia="仿宋_GB2312" w:cs="仿宋_GB2312"/>
          <w:sz w:val="32"/>
          <w:szCs w:val="40"/>
          <w:highlight w:val="none"/>
          <w:lang w:val="en-US" w:eastAsia="zh-CN"/>
        </w:rPr>
        <w:t>0</w:t>
      </w:r>
      <w:r>
        <w:rPr>
          <w:rFonts w:hint="eastAsia" w:ascii="仿宋_GB2312" w:hAnsi="仿宋_GB2312" w:eastAsia="仿宋_GB2312" w:cs="仿宋_GB2312"/>
          <w:sz w:val="32"/>
          <w:szCs w:val="40"/>
          <w:highlight w:val="none"/>
        </w:rPr>
        <w:t>万元，占部门2020年所有项目支出总额的</w:t>
      </w:r>
      <w:r>
        <w:rPr>
          <w:rFonts w:hint="eastAsia" w:ascii="仿宋_GB2312" w:hAnsi="仿宋_GB2312" w:eastAsia="仿宋_GB2312" w:cs="仿宋_GB2312"/>
          <w:sz w:val="32"/>
          <w:szCs w:val="40"/>
          <w:highlight w:val="none"/>
          <w:lang w:val="en-US" w:eastAsia="zh-CN"/>
        </w:rPr>
        <w:t>0</w:t>
      </w:r>
      <w:r>
        <w:rPr>
          <w:rFonts w:hint="eastAsia" w:ascii="仿宋_GB2312" w:hAnsi="仿宋_GB2312" w:eastAsia="仿宋_GB2312" w:cs="仿宋_GB2312"/>
          <w:sz w:val="32"/>
          <w:szCs w:val="40"/>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2020年度政府性基金预算财政拨款支出年初预算为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2020年度机关运行经费年初预算为</w:t>
      </w:r>
      <w:r>
        <w:rPr>
          <w:rFonts w:hint="eastAsia" w:ascii="仿宋_GB2312" w:hAnsi="仿宋_GB2312" w:eastAsia="仿宋_GB2312" w:cs="仿宋_GB2312"/>
          <w:sz w:val="32"/>
          <w:szCs w:val="32"/>
          <w:highlight w:val="none"/>
          <w:lang w:val="en-US" w:eastAsia="zh-CN"/>
        </w:rPr>
        <w:t>46.03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34.46</w:t>
      </w:r>
      <w:r>
        <w:rPr>
          <w:rFonts w:hint="eastAsia" w:ascii="仿宋_GB2312" w:hAnsi="仿宋_GB2312" w:eastAsia="仿宋_GB2312" w:cs="仿宋_GB2312"/>
          <w:sz w:val="32"/>
          <w:szCs w:val="32"/>
          <w:highlight w:val="none"/>
        </w:rPr>
        <w:t>万元，完</w:t>
      </w:r>
      <w:bookmarkStart w:id="0" w:name="_GoBack"/>
      <w:bookmarkEnd w:id="0"/>
      <w:r>
        <w:rPr>
          <w:rFonts w:hint="eastAsia" w:ascii="仿宋_GB2312" w:hAnsi="仿宋_GB2312" w:eastAsia="仿宋_GB2312" w:cs="仿宋_GB2312"/>
          <w:sz w:val="32"/>
          <w:szCs w:val="32"/>
          <w:highlight w:val="none"/>
        </w:rPr>
        <w:t>成年初预算的</w:t>
      </w:r>
      <w:r>
        <w:rPr>
          <w:rFonts w:hint="eastAsia" w:ascii="仿宋_GB2312" w:hAnsi="仿宋_GB2312" w:eastAsia="仿宋_GB2312" w:cs="仿宋_GB2312"/>
          <w:sz w:val="32"/>
          <w:szCs w:val="32"/>
          <w:highlight w:val="none"/>
          <w:lang w:val="en-US" w:eastAsia="zh-CN"/>
        </w:rPr>
        <w:t>74.73</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val="en-US" w:eastAsia="zh-CN"/>
        </w:rPr>
        <w:t>区财政资金紧张，支出滞后</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2020年度政府采购支出总额</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万元、政府采购工程支出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万元、政府采购服务支出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p>
    <w:p>
      <w:pPr>
        <w:widowControl/>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十二、国有资产占用情况说明</w:t>
      </w:r>
    </w:p>
    <w:p>
      <w:pPr>
        <w:widowControl/>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2019年期末，</w:t>
      </w:r>
      <w:r>
        <w:rPr>
          <w:rFonts w:hint="eastAsia" w:ascii="仿宋_GB2312" w:hAnsi="仿宋_GB2312" w:eastAsia="仿宋_GB2312" w:cs="仿宋_GB2312"/>
          <w:sz w:val="32"/>
          <w:szCs w:val="32"/>
          <w:highlight w:val="none"/>
          <w:lang w:val="en-US" w:eastAsia="zh-CN"/>
        </w:rPr>
        <w:t>工信局</w:t>
      </w:r>
      <w:r>
        <w:rPr>
          <w:rFonts w:hint="eastAsia" w:ascii="仿宋_GB2312" w:hAnsi="仿宋_GB2312" w:eastAsia="仿宋_GB2312" w:cs="仿宋_GB2312"/>
          <w:sz w:val="32"/>
          <w:szCs w:val="32"/>
          <w:highlight w:val="none"/>
        </w:rPr>
        <w:t>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辆，其中：一般公务用车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辆、一般执法执勤用车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辆；单位价值50万元以上通用设备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spacing w:line="58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十三、其他重要事项的情况说明</w:t>
      </w:r>
    </w:p>
    <w:p>
      <w:pPr>
        <w:widowControl/>
        <w:ind w:firstLine="640" w:firstLineChars="200"/>
        <w:jc w:val="left"/>
        <w:rPr>
          <w:rFonts w:hint="eastAsia" w:ascii="黑体" w:hAnsi="宋体" w:eastAsia="黑体" w:cs="宋体"/>
          <w:kern w:val="0"/>
          <w:sz w:val="28"/>
          <w:szCs w:val="28"/>
          <w:highlight w:val="none"/>
        </w:rPr>
      </w:pPr>
      <w:r>
        <w:rPr>
          <w:rFonts w:hint="eastAsia" w:ascii="楷体_GB2312" w:hAnsi="楷体_GB2312" w:eastAsia="楷体_GB2312" w:cs="楷体_GB2312"/>
          <w:sz w:val="32"/>
          <w:szCs w:val="32"/>
          <w:highlight w:val="none"/>
          <w:lang w:val="en-US" w:eastAsia="zh-CN"/>
        </w:rPr>
        <w:t>无</w:t>
      </w:r>
      <w:r>
        <w:rPr>
          <w:rFonts w:hint="eastAsia" w:ascii="楷体_GB2312" w:hAnsi="楷体_GB2312" w:eastAsia="楷体_GB2312" w:cs="楷体_GB2312"/>
          <w:sz w:val="32"/>
          <w:szCs w:val="32"/>
          <w:highlight w:val="none"/>
        </w:rPr>
        <w:br w:type="page"/>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方正小标宋_GBK" w:hAnsi="方正小标宋_GBK" w:eastAsia="方正小标宋_GBK" w:cs="方正小标宋_GBK"/>
          <w:kern w:val="0"/>
          <w:sz w:val="28"/>
          <w:szCs w:val="28"/>
        </w:rPr>
      </w:pPr>
    </w:p>
    <w:p>
      <w:pPr>
        <w:jc w:val="center"/>
        <w:outlineLvl w:val="0"/>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第四部分  名词解释</w:t>
      </w: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snapToGrid w:val="0"/>
                            <w:rPr>
                              <w:rFonts w:hint="eastAsia" w:ascii="宋体" w:hAnsi="宋体" w:cs="宋体"/>
                              <w:sz w:val="28"/>
                              <w:szCs w:val="40"/>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- 4 -</w:t>
                          </w:r>
                          <w:r>
                            <w:rPr>
                              <w:rFonts w:hint="eastAsia" w:ascii="宋体" w:hAnsi="宋体" w:cs="宋体"/>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84hJ9EA&#10;AAADAQAADwAAAAAAAAABACAAAAAiAAAAZHJzL2Rvd25yZXYueG1sUEsBAhQAFAAAAAgAh07iQA3S&#10;iHS0AQAASwMAAA4AAAAAAAAAAQAgAAAAIA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cs="宋体"/>
                        <w:sz w:val="28"/>
                        <w:szCs w:val="40"/>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- 4 -</w:t>
                    </w:r>
                    <w:r>
                      <w:rPr>
                        <w:rFonts w:hint="eastAsia" w:ascii="宋体" w:hAnsi="宋体" w:cs="宋体"/>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snapToGrid w:val="0"/>
                            <w:rPr>
                              <w:rFonts w:hint="eastAsia"/>
                              <w:sz w:val="18"/>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- 20 -</w:t>
                          </w:r>
                          <w:r>
                            <w:rPr>
                              <w:rFonts w:hint="eastAsia" w:ascii="宋体" w:hAnsi="宋体" w:cs="宋体"/>
                              <w:sz w:val="28"/>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PZMfdEA&#10;AAADAQAADwAAAAAAAAABACAAAAAiAAAAZHJzL2Rvd25yZXYueG1sUEsBAhQAFAAAAAgAh07iQKNm&#10;x560AQAASwMAAA4AAAAAAAAAAQAgAAAAIA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- 20 -</w:t>
                    </w:r>
                    <w:r>
                      <w:rPr>
                        <w:rFonts w:hint="eastAsia" w:ascii="宋体" w:hAnsi="宋体" w:cs="宋体"/>
                        <w:sz w:val="28"/>
                        <w:szCs w:val="40"/>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LUWtdEA&#10;AAADAQAADwAAAAAAAAABACAAAAAiAAAAZHJzL2Rvd25yZXYueG1sUEsBAhQAFAAAAAgAh07iQNOi&#10;1My0AQAASQMAAA4AAAAAAAAAAQAgAAAAIAEAAGRycy9lMm9Eb2MueG1sUEsFBgAAAAAGAAYAWQEA&#10;AEY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9C62"/>
    <w:multiLevelType w:val="singleLevel"/>
    <w:tmpl w:val="11749C62"/>
    <w:lvl w:ilvl="0" w:tentative="0">
      <w:start w:val="2"/>
      <w:numFmt w:val="chineseCounting"/>
      <w:suff w:val="space"/>
      <w:lvlText w:val="第%1部分"/>
      <w:lvlJc w:val="left"/>
      <w:rPr>
        <w:rFonts w:hint="eastAsia"/>
      </w:rPr>
    </w:lvl>
  </w:abstractNum>
  <w:abstractNum w:abstractNumId="1">
    <w:nsid w:val="19D7E412"/>
    <w:multiLevelType w:val="singleLevel"/>
    <w:tmpl w:val="19D7E412"/>
    <w:lvl w:ilvl="0" w:tentative="0">
      <w:start w:val="8"/>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NzM2MzQ3MDkwYzgxMTg0MmNmMDRhNzRhMTYwMDIifQ=="/>
  </w:docVars>
  <w:rsids>
    <w:rsidRoot w:val="68663832"/>
    <w:rsid w:val="0176523D"/>
    <w:rsid w:val="050370BF"/>
    <w:rsid w:val="06D717F2"/>
    <w:rsid w:val="0751206A"/>
    <w:rsid w:val="0C092952"/>
    <w:rsid w:val="10805FC5"/>
    <w:rsid w:val="10F243FC"/>
    <w:rsid w:val="199E2969"/>
    <w:rsid w:val="1A754EF4"/>
    <w:rsid w:val="1C180FC6"/>
    <w:rsid w:val="1DEC021B"/>
    <w:rsid w:val="20293670"/>
    <w:rsid w:val="20BC47DA"/>
    <w:rsid w:val="247C2899"/>
    <w:rsid w:val="28BD1ED9"/>
    <w:rsid w:val="2D272637"/>
    <w:rsid w:val="46E72374"/>
    <w:rsid w:val="47FA0C34"/>
    <w:rsid w:val="48C657AA"/>
    <w:rsid w:val="49C8004A"/>
    <w:rsid w:val="4CB15087"/>
    <w:rsid w:val="57DB211A"/>
    <w:rsid w:val="60177926"/>
    <w:rsid w:val="64220E4D"/>
    <w:rsid w:val="65411E09"/>
    <w:rsid w:val="65CE7639"/>
    <w:rsid w:val="66DC3C16"/>
    <w:rsid w:val="68663832"/>
    <w:rsid w:val="7486080B"/>
    <w:rsid w:val="770554CE"/>
    <w:rsid w:val="794F174E"/>
    <w:rsid w:val="7CBB49B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6">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11305</Words>
  <Characters>14884</Characters>
  <Lines>0</Lines>
  <Paragraphs>0</Paragraphs>
  <ScaleCrop>false</ScaleCrop>
  <LinksUpToDate>false</LinksUpToDate>
  <CharactersWithSpaces>15169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2021-10-19T07:26:00Z</dcterms:created>
  <dc:creator>平</dc:creator>
  <cp:lastModifiedBy>ydqczjrh</cp:lastModifiedBy>
  <cp:lastPrinted>2021-10-27T00:44:00Z</cp:lastPrinted>
  <dcterms:modified xsi:type="dcterms:W3CDTF">2022-09-02T13:23:10Z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64385EC90F7F401E8F9BFE65D8C9FA30</vt:lpwstr>
  </property>
</Properties>
</file>