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2022年河南省重点民生实事验收标准</w:t>
      </w:r>
    </w:p>
    <w:p>
      <w:pPr>
        <w:spacing w:line="500" w:lineRule="exact"/>
        <w:jc w:val="center"/>
        <w:rPr>
          <w:rFonts w:ascii="Times New Roman" w:hAnsi="Times New Roman" w:eastAsia="方正小标宋_GBK"/>
          <w:spacing w:val="-6"/>
          <w:sz w:val="44"/>
          <w:szCs w:val="4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571"/>
        <w:gridCol w:w="852"/>
        <w:gridCol w:w="1011"/>
        <w:gridCol w:w="949"/>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blHeader/>
          <w:jc w:val="center"/>
        </w:trPr>
        <w:tc>
          <w:tcPr>
            <w:tcW w:w="193" w:type="pct"/>
            <w:noWrap/>
            <w:vAlign w:val="center"/>
          </w:tcPr>
          <w:p>
            <w:pPr>
              <w:snapToGrid w:val="0"/>
              <w:jc w:val="center"/>
              <w:rPr>
                <w:rFonts w:ascii="Times New Roman" w:hAnsi="Times New Roman" w:eastAsia="黑体"/>
                <w:snapToGrid w:val="0"/>
                <w:sz w:val="28"/>
                <w:szCs w:val="28"/>
              </w:rPr>
            </w:pPr>
            <w:r>
              <w:rPr>
                <w:rFonts w:ascii="Times New Roman" w:hAnsi="Times New Roman" w:eastAsia="黑体" w:cs="Times New Roman"/>
                <w:snapToGrid w:val="0"/>
                <w:sz w:val="28"/>
                <w:szCs w:val="28"/>
              </w:rPr>
              <w:t>序号</w:t>
            </w:r>
          </w:p>
        </w:tc>
        <w:tc>
          <w:tcPr>
            <w:tcW w:w="575" w:type="pct"/>
            <w:noWrap/>
            <w:vAlign w:val="center"/>
          </w:tcPr>
          <w:p>
            <w:pPr>
              <w:snapToGrid w:val="0"/>
              <w:jc w:val="center"/>
              <w:rPr>
                <w:rFonts w:ascii="Times New Roman" w:hAnsi="Times New Roman" w:eastAsia="黑体"/>
                <w:snapToGrid w:val="0"/>
                <w:sz w:val="28"/>
                <w:szCs w:val="28"/>
              </w:rPr>
            </w:pPr>
            <w:r>
              <w:rPr>
                <w:rFonts w:ascii="Times New Roman" w:hAnsi="Times New Roman" w:eastAsia="黑体" w:cs="Times New Roman"/>
                <w:snapToGrid w:val="0"/>
                <w:sz w:val="28"/>
                <w:szCs w:val="28"/>
              </w:rPr>
              <w:t>项目</w:t>
            </w:r>
          </w:p>
        </w:tc>
        <w:tc>
          <w:tcPr>
            <w:tcW w:w="312" w:type="pct"/>
            <w:noWrap/>
            <w:vAlign w:val="center"/>
          </w:tcPr>
          <w:p>
            <w:pPr>
              <w:snapToGrid w:val="0"/>
              <w:jc w:val="center"/>
              <w:rPr>
                <w:rFonts w:ascii="Times New Roman" w:hAnsi="Times New Roman" w:eastAsia="黑体"/>
                <w:snapToGrid w:val="0"/>
                <w:sz w:val="28"/>
                <w:szCs w:val="28"/>
              </w:rPr>
            </w:pPr>
            <w:r>
              <w:rPr>
                <w:rFonts w:ascii="Times New Roman" w:hAnsi="Times New Roman" w:eastAsia="黑体" w:cs="Times New Roman"/>
                <w:snapToGrid w:val="0"/>
                <w:sz w:val="28"/>
                <w:szCs w:val="28"/>
              </w:rPr>
              <w:t>责任单位</w:t>
            </w:r>
          </w:p>
        </w:tc>
        <w:tc>
          <w:tcPr>
            <w:tcW w:w="370" w:type="pct"/>
            <w:noWrap/>
            <w:vAlign w:val="center"/>
          </w:tcPr>
          <w:p>
            <w:pPr>
              <w:snapToGrid w:val="0"/>
              <w:jc w:val="center"/>
              <w:rPr>
                <w:rFonts w:ascii="Times New Roman" w:hAnsi="Times New Roman" w:eastAsia="黑体"/>
                <w:snapToGrid w:val="0"/>
                <w:sz w:val="28"/>
                <w:szCs w:val="28"/>
              </w:rPr>
            </w:pPr>
            <w:r>
              <w:rPr>
                <w:rFonts w:ascii="Times New Roman" w:hAnsi="Times New Roman" w:eastAsia="黑体" w:cs="Times New Roman"/>
                <w:snapToGrid w:val="0"/>
                <w:sz w:val="28"/>
                <w:szCs w:val="28"/>
              </w:rPr>
              <w:t>初核单位</w:t>
            </w:r>
          </w:p>
        </w:tc>
        <w:tc>
          <w:tcPr>
            <w:tcW w:w="347" w:type="pct"/>
            <w:noWrap/>
            <w:vAlign w:val="center"/>
          </w:tcPr>
          <w:p>
            <w:pPr>
              <w:snapToGrid w:val="0"/>
              <w:jc w:val="center"/>
              <w:rPr>
                <w:rFonts w:ascii="Times New Roman" w:hAnsi="Times New Roman" w:eastAsia="黑体"/>
                <w:snapToGrid w:val="0"/>
                <w:sz w:val="28"/>
                <w:szCs w:val="28"/>
              </w:rPr>
            </w:pPr>
            <w:r>
              <w:rPr>
                <w:rFonts w:ascii="Times New Roman" w:hAnsi="Times New Roman" w:eastAsia="黑体" w:cs="Times New Roman"/>
                <w:snapToGrid w:val="0"/>
                <w:sz w:val="28"/>
                <w:szCs w:val="28"/>
              </w:rPr>
              <w:t>认定单位</w:t>
            </w:r>
          </w:p>
        </w:tc>
        <w:tc>
          <w:tcPr>
            <w:tcW w:w="3200" w:type="pct"/>
            <w:noWrap/>
            <w:vAlign w:val="center"/>
          </w:tcPr>
          <w:p>
            <w:pPr>
              <w:snapToGrid w:val="0"/>
              <w:jc w:val="center"/>
              <w:rPr>
                <w:rFonts w:ascii="Times New Roman" w:hAnsi="Times New Roman" w:eastAsia="黑体"/>
                <w:snapToGrid w:val="0"/>
                <w:sz w:val="28"/>
                <w:szCs w:val="28"/>
              </w:rPr>
            </w:pPr>
            <w:r>
              <w:rPr>
                <w:rFonts w:ascii="Times New Roman" w:hAnsi="Times New Roman" w:eastAsia="黑体" w:cs="Times New Roman"/>
                <w:snapToGrid w:val="0"/>
                <w:sz w:val="28"/>
                <w:szCs w:val="28"/>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193" w:type="pct"/>
            <w:vMerge w:val="restar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w:t>
            </w:r>
          </w:p>
        </w:tc>
        <w:tc>
          <w:tcPr>
            <w:tcW w:w="575" w:type="pct"/>
            <w:vMerge w:val="restar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开展职业技能培训和评价取证</w:t>
            </w:r>
          </w:p>
        </w:tc>
        <w:tc>
          <w:tcPr>
            <w:tcW w:w="312"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区人社局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市人力资源社会保障局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restart"/>
            <w:noWrap/>
            <w:vAlign w:val="center"/>
          </w:tcPr>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1.推动年度目标任务完成。职业技能培训人次、新增技能人才、新增高技能人才均完成年度目标任务。</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各级财政及时足额筹措、拨付资金。失业保险基金足额提取到位；就业补助资金用于职业技能培训、评价、生活费、交通费补贴等支出占总量的15%以上，年度补贴性培训和评价补贴资金按时足额支付，确保应保尽保、无欠账。</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3.创新政策措施。健全工作机构，出台工作方案，定期召开会议，强化工作调度，加强培训和评价全过程监管，严格资金使用管理，未发生相关责任问题。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区人社局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市人力资源社会保障局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区人社局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市人力资源社会保障局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4" w:hRule="atLeast"/>
          <w:jc w:val="center"/>
        </w:trPr>
        <w:tc>
          <w:tcPr>
            <w:tcW w:w="193" w:type="pct"/>
            <w:vMerge w:val="restar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w:t>
            </w:r>
          </w:p>
        </w:tc>
        <w:tc>
          <w:tcPr>
            <w:tcW w:w="575" w:type="pct"/>
            <w:vMerge w:val="restar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扩大医院门诊费用异地就医直接结算范围</w:t>
            </w:r>
          </w:p>
        </w:tc>
        <w:tc>
          <w:tcPr>
            <w:tcW w:w="312"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区医保局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市医保局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restart"/>
            <w:noWrap/>
            <w:vAlign w:val="center"/>
          </w:tcPr>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1.成立民生实事工作专班，明确职责分工，结合实际研究制定工作方案，定期召开会议，建立长效工作机制，推动工作开展。</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2.明确专人负责异地就医有关工作。</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年底前，每个县（市、区）均能提供普通门诊医疗费用跨省和省内异地就医直接结算服务，其中提供普通门诊费用跨省直接结算服务的，要在国家医疗保障信息平台上维护定点医疗机构基本信息，将“普通门诊结算对外服务状态”维护为“对外服务”。</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年底前，每个县（市、区）均能够提供高血压、糖尿病、恶性肿瘤门诊放化疗、尿毒症透析、器官移植术后抗排异治疗等5个群众需求大、各地普遍开展的门诊慢特病相关治疗费用跨省和省内异地就医直接结算，其中提供门诊慢特病费用跨省直接结算服务的要在国家医疗保障信息平台上维护定点医疗机构基本信息，将“门诊慢特病结算对外服务状态”维护为“对外服务”。</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5.全市能够提供门诊费用跨省和省内异地就医直接结算的定点医疗机构数不少于40家，基本满足参保人员门诊费用异地就医直接结算需要。</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6.通过多种途径，广泛宣传门诊费用异地就医直接结算政策和办理流程，提高参保人员政策知晓率。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1"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区医保局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市医保局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3" w:hRule="atLeast"/>
          <w:jc w:val="center"/>
        </w:trPr>
        <w:tc>
          <w:tcPr>
            <w:tcW w:w="193" w:type="pct"/>
            <w:vMerge w:val="restar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w:t>
            </w:r>
          </w:p>
        </w:tc>
        <w:tc>
          <w:tcPr>
            <w:tcW w:w="575" w:type="pct"/>
            <w:vMerge w:val="restar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推进城市窨井设施及城镇老旧小区改造提升</w:t>
            </w:r>
          </w:p>
        </w:tc>
        <w:tc>
          <w:tcPr>
            <w:tcW w:w="312"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区城管局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市城管局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noWrap/>
            <w:vAlign w:val="center"/>
          </w:tcPr>
          <w:p>
            <w:pPr>
              <w:snapToGrid w:val="0"/>
              <w:ind w:firstLine="562" w:firstLineChars="200"/>
              <w:rPr>
                <w:rFonts w:ascii="Times New Roman" w:hAnsi="Times New Roman" w:eastAsia="仿宋_GB2312"/>
                <w:b/>
                <w:bCs/>
                <w:snapToGrid w:val="0"/>
                <w:sz w:val="28"/>
                <w:szCs w:val="28"/>
              </w:rPr>
            </w:pPr>
            <w:r>
              <w:rPr>
                <w:rFonts w:ascii="Times New Roman" w:hAnsi="Times New Roman" w:eastAsia="仿宋_GB2312" w:cs="Times New Roman"/>
                <w:b/>
                <w:bCs/>
                <w:snapToGrid w:val="0"/>
                <w:sz w:val="28"/>
                <w:szCs w:val="28"/>
              </w:rPr>
              <w:t>推进城市窨井设施改造提升：</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1.制定《2022年窨井盖专项整治实施方案》，方案符合本级实际，操作性强。</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2.落实工作例会、会商议事、督导检查、情况通报、信息报送等工作机制。</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3.建立窨井设施整治台账，做好达标窨井盖验收、销号、登记工作。</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4.申请整治资金，落实治理经费，确保整治工作顺利推进。</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5.推进隐患整改，整治标准符合《河南省城市公共区域窨井设施治理提升技术导则（试行）》要求。</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6.按时完成年度整治指标任务。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区住房城乡建设局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市住房城乡建设局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noWrap/>
            <w:vAlign w:val="center"/>
          </w:tcPr>
          <w:p>
            <w:pPr>
              <w:snapToGrid w:val="0"/>
              <w:ind w:firstLine="562" w:firstLineChars="200"/>
              <w:rPr>
                <w:rFonts w:ascii="Times New Roman" w:hAnsi="Times New Roman" w:eastAsia="仿宋_GB2312"/>
                <w:b/>
                <w:bCs/>
                <w:snapToGrid w:val="0"/>
                <w:sz w:val="28"/>
                <w:szCs w:val="28"/>
              </w:rPr>
            </w:pPr>
            <w:r>
              <w:rPr>
                <w:rFonts w:ascii="Times New Roman" w:hAnsi="Times New Roman" w:eastAsia="仿宋_GB2312" w:cs="Times New Roman"/>
                <w:b/>
                <w:bCs/>
                <w:snapToGrid w:val="0"/>
                <w:sz w:val="28"/>
                <w:szCs w:val="28"/>
              </w:rPr>
              <w:t>推进城镇老旧小区改造提升：</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1.改造方案和物业管理模式完成征求群众意见工作并形成共识（80%以上同意）。</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2.完成违章建筑和临时建筑拆除工作。</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3.完成项目设计并在小区内公示。</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4.已有确定的施工队伍并签订施工合同。</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5.施工队伍进场且现场有明显的形象进度。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2" w:hRule="atLeast"/>
          <w:jc w:val="center"/>
        </w:trPr>
        <w:tc>
          <w:tcPr>
            <w:tcW w:w="193"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w:t>
            </w:r>
          </w:p>
        </w:tc>
        <w:tc>
          <w:tcPr>
            <w:tcW w:w="575" w:type="pc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加快农村交通物流体系建设</w:t>
            </w: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交通运输局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市交通运输局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noWrap/>
            <w:vAlign w:val="center"/>
          </w:tcPr>
          <w:p>
            <w:pPr>
              <w:snapToGrid w:val="0"/>
              <w:ind w:firstLine="562" w:firstLineChars="200"/>
              <w:rPr>
                <w:rFonts w:ascii="Times New Roman" w:hAnsi="Times New Roman" w:eastAsia="仿宋_GB2312"/>
                <w:b/>
                <w:bCs/>
                <w:snapToGrid w:val="0"/>
                <w:sz w:val="28"/>
                <w:szCs w:val="28"/>
              </w:rPr>
            </w:pPr>
            <w:r>
              <w:rPr>
                <w:rFonts w:ascii="Times New Roman" w:hAnsi="Times New Roman" w:eastAsia="仿宋_GB2312" w:cs="Times New Roman"/>
                <w:b/>
                <w:bCs/>
                <w:snapToGrid w:val="0"/>
                <w:sz w:val="28"/>
                <w:szCs w:val="28"/>
              </w:rPr>
              <w:t>推进“四好农村路”高质量发展：</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1.县级政府作为农村公路建设的责任主体，按照省政府“四好农村路”建设有关要求，加强组织领导，确保工程进度、质量，及时落实建设资金。</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2.路面宽度，一般二级公路不小于7.5米，三级公路不小于6.5米，四级公路（双车道）不小于6米，通村道路不小于3.5米，因征地拆迁等条件限制路段路面宽度可因地制宜适当调整。</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路面厚度，沥青路面一般二级公路不小于7厘米、三级公路不小于5厘米、四级公路（双车道）不小于4厘米，水泥路面一般二级公路不小于24厘米、三级公路不小于22厘米、四级公路不小于18厘米，基础条件好、交通量小的通村组道路路段不小于15厘米。</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4.各地使用统筹整合资金由乡村振兴、发展改革、自然资源等部门实施的道路项目，按相关部门行业标准执行。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1" w:hRule="atLeast"/>
          <w:jc w:val="center"/>
        </w:trPr>
        <w:tc>
          <w:tcPr>
            <w:tcW w:w="193"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4</w:t>
            </w:r>
          </w:p>
        </w:tc>
        <w:tc>
          <w:tcPr>
            <w:tcW w:w="575" w:type="pc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加快农村交通物流体系建设</w:t>
            </w:r>
          </w:p>
        </w:tc>
        <w:tc>
          <w:tcPr>
            <w:tcW w:w="312"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市邮政管理局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市邮政管理局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noWrap/>
            <w:vAlign w:val="center"/>
          </w:tcPr>
          <w:p>
            <w:pPr>
              <w:snapToGrid w:val="0"/>
              <w:ind w:firstLine="562" w:firstLineChars="200"/>
              <w:rPr>
                <w:rFonts w:ascii="Times New Roman" w:hAnsi="Times New Roman" w:eastAsia="仿宋_GB2312"/>
                <w:b/>
                <w:bCs/>
                <w:snapToGrid w:val="0"/>
                <w:sz w:val="28"/>
                <w:szCs w:val="28"/>
              </w:rPr>
            </w:pPr>
            <w:r>
              <w:rPr>
                <w:rFonts w:ascii="Times New Roman" w:hAnsi="Times New Roman" w:eastAsia="仿宋_GB2312" w:cs="Times New Roman"/>
                <w:b/>
                <w:bCs/>
                <w:snapToGrid w:val="0"/>
                <w:sz w:val="28"/>
                <w:szCs w:val="28"/>
              </w:rPr>
              <w:t>积极发展农村电子商务和快递业务：</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1.本辖区行政村设立村级寄递物流综合服务站比例和数量均达到年初确定目标。</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2.村级寄递物流综合服务站资质满足国家邮政局《快递末端网点备案暂行规定》要求，并完成末端网点备案或由快递企业将其列入分支机构名录。</w:t>
            </w:r>
          </w:p>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村级寄递物流综合服务站基础设施和服务保障满足“四固定、三有、三不”条件，“四固定”即固定的营业场所、固定的营业人员、固定的营业时间、固定的投递频次；“三有”即有经营快递业务的企业标识、有经营快递业务的信息系统、有放置邮件快件的货架；“三不”即实现邮件快件不着地、不抛件、不摆地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jc w:val="center"/>
        </w:trPr>
        <w:tc>
          <w:tcPr>
            <w:tcW w:w="193" w:type="pct"/>
            <w:vMerge w:val="restar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5</w:t>
            </w:r>
          </w:p>
        </w:tc>
        <w:tc>
          <w:tcPr>
            <w:tcW w:w="575" w:type="pct"/>
            <w:vMerge w:val="restar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实施学前教育普惠扩容工程</w:t>
            </w: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教育局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市教育局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restart"/>
            <w:noWrap/>
            <w:vAlign w:val="center"/>
          </w:tcPr>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1.年底前，新建公办幼儿园主体完工或投入使用；改扩建公办幼儿园办学条件实现明显提升，满足以下任一条件即可：增加班级学位、购进教学基础设施、改扩建校园校舍等。</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2.工程符合国家相关标准、规范的要求（《幼儿园建设标准（建标175-20160）》和《河南省幼儿园办园基本标准》）。</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3.经验收合格，按合同约定分批次支付相应工程款。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教育局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市教育局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教育局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市教育局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8" w:hRule="atLeast"/>
          <w:jc w:val="center"/>
        </w:trPr>
        <w:tc>
          <w:tcPr>
            <w:tcW w:w="193" w:type="pct"/>
            <w:vMerge w:val="restar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6</w:t>
            </w:r>
          </w:p>
        </w:tc>
        <w:tc>
          <w:tcPr>
            <w:tcW w:w="575" w:type="pct"/>
            <w:vMerge w:val="restar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推进居家社区养老服务设施建设</w:t>
            </w: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民政局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市民政局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restart"/>
            <w:noWrap/>
            <w:vAlign w:val="center"/>
          </w:tcPr>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1.按照2021年年底当地实有街道和社区数，编制街道和社区养老服务设施年度实施计划，建立项目台账。</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严格落实省委办公厅、省政府办公厅印发的关于加快养老服务体系建设的意见等政策规定，当地配建养老设施总面积达到已建成住宅小区按照每百户不低于20平方米、新建住宅小区按照每百户不低于30平方米的总体配建标准。配建、移交管理程序规范。</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3.街道和社区养老服务设施符合老年人建筑设计要求等建设规范，每个街道养老服务设施床位数不少于50张。</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4.智慧养老服务平台建成并投入使用，全市入网人数达到50万以上。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民政局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市民政局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民政局</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市民政局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jc w:val="center"/>
        </w:trPr>
        <w:tc>
          <w:tcPr>
            <w:tcW w:w="193" w:type="pct"/>
            <w:vMerge w:val="restar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7</w:t>
            </w:r>
          </w:p>
        </w:tc>
        <w:tc>
          <w:tcPr>
            <w:tcW w:w="575" w:type="pct"/>
            <w:vMerge w:val="restar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提高妇女儿童健康保障水平</w:t>
            </w: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卫健委</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市卫健委</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restart"/>
            <w:noWrap/>
            <w:vAlign w:val="center"/>
          </w:tcPr>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1.建立健全本地“提高妇女儿童健康保障水平”民生实事工作机构和技术指导小组，结合实际研究制定工作方案，定期召开会议，推动工作落实。</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2.各级财政应足额安排本级应负担资金并及时拨付，根据卫生健康部门提供的服务量及时据实结算。</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3.免费筛查服务机构符合我省相关标准，人员经过专项培训并取得相应专业的合格证书。机构和人员资质达标率达到95%以上。</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4.宣传“两筛”“两癌”知识和进一步普及孕产妇优生优育知识。</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5.各县（市、区）需完成《2022年安阳市免费“两癌”筛查任务分解表》下达的指标任务，产前筛查目标人群覆盖率达到60%，新生儿“两病”筛查率达到98%，新生儿听力筛查率达到98%.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3"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卫健委</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市卫健委</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3" w:hRule="atLeast"/>
          <w:jc w:val="center"/>
        </w:trPr>
        <w:tc>
          <w:tcPr>
            <w:tcW w:w="193"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8</w:t>
            </w:r>
          </w:p>
        </w:tc>
        <w:tc>
          <w:tcPr>
            <w:tcW w:w="575" w:type="pc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实施残疾儿童康复救助</w:t>
            </w: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w:t>
            </w:r>
            <w:r>
              <w:rPr>
                <w:rFonts w:ascii="Times New Roman" w:hAnsi="Times New Roman" w:eastAsia="仿宋_GB2312" w:cs="Times New Roman"/>
                <w:snapToGrid w:val="0"/>
                <w:sz w:val="28"/>
                <w:szCs w:val="28"/>
              </w:rPr>
              <w:t>残联</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市残联</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noWrap/>
            <w:vAlign w:val="center"/>
          </w:tcPr>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1.各地将残疾儿童康复救助纳入政府目标管理和绩效考核范围，细化任务分解，结合实际制定完善残疾儿童康复救助制度，基本实现有需求残疾儿童应救尽救。</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2.各地结合当地实际，制定年度残疾儿童康复救助工作实施方案，切实提高便民服务水平。</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3.加强资金保障，将残疾儿童康复救助纳入财政预算。</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4.加强定点康复机构监督检查，实行动态管理，提高服务能力和水平，加强风险防控，确保残疾儿童人身安全。</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5.加强康复人员培训，提高政策和业务能力，确保服务质量。</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6.残疾儿童康复训练建档率100%、受助残疾儿童家长满意度不低于90%，社会反映良好。</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7.加大宣传力度，提高残疾儿童监护人对救助政策的知晓率。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193" w:type="pct"/>
            <w:vMerge w:val="restar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9</w:t>
            </w:r>
          </w:p>
        </w:tc>
        <w:tc>
          <w:tcPr>
            <w:tcW w:w="575" w:type="pct"/>
            <w:vMerge w:val="restar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开展青少年心理健康服务进村（社区）行动</w:t>
            </w: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区团委</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团市委</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restart"/>
            <w:noWrap/>
            <w:vAlign w:val="center"/>
          </w:tcPr>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1.成立工作专班，研究制定工作方案；全市组建不少于30人的心理健康服务专业队伍；组织业务培训，开展专业督导，提升工作能力，确保服务质量。</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2.以线上线下多种形式组织开展心理讲座、团辅活动等心理健康服务进村（社区）活动，平均每场参与人数不少于40人，有完备的现场照片、签到材料、活动记录、宣传报道等工作资料。</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依托“青年之家”、社区党群服务中心等活动阵地建设青少年心理健康服务阵地“青翼家园”，至少有1名具备专业资质的心理咨询师，定期坐班提供心理健康服务，配备测评室、咨询室、沙盘室、团辅活动室等相关心理服务软硬件设备，有健全的管理制度。</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4.开展线上线下青少年个案咨询，建立相对稳定的服务沟通渠道，有完备的心理健康档案（包含分析报告、治疗方案等），定期进行跟踪服务。</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5.在确保相关人员隐私得到充分保护的基础上，广泛宣传推广，扩大社会影响，营造全社会共同关注青少年心理健康的良好氛围。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区团委</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团市委</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93" w:type="pct"/>
            <w:vMerge w:val="continue"/>
            <w:noWrap/>
            <w:vAlign w:val="center"/>
          </w:tcPr>
          <w:p>
            <w:pPr>
              <w:snapToGrid w:val="0"/>
              <w:jc w:val="center"/>
              <w:rPr>
                <w:rFonts w:ascii="Times New Roman" w:hAnsi="Times New Roman" w:eastAsia="仿宋_GB2312"/>
                <w:snapToGrid w:val="0"/>
                <w:sz w:val="28"/>
                <w:szCs w:val="28"/>
              </w:rPr>
            </w:pPr>
          </w:p>
        </w:tc>
        <w:tc>
          <w:tcPr>
            <w:tcW w:w="575" w:type="pct"/>
            <w:vMerge w:val="continue"/>
            <w:noWrap/>
            <w:vAlign w:val="center"/>
          </w:tcPr>
          <w:p>
            <w:pPr>
              <w:snapToGrid w:val="0"/>
              <w:rPr>
                <w:rFonts w:ascii="Times New Roman" w:hAnsi="Times New Roman" w:eastAsia="仿宋_GB2312"/>
                <w:snapToGrid w:val="0"/>
                <w:sz w:val="28"/>
                <w:szCs w:val="28"/>
              </w:rPr>
            </w:pP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区团委</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团市委</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vMerge w:val="continue"/>
            <w:noWrap/>
            <w:vAlign w:val="center"/>
          </w:tcPr>
          <w:p>
            <w:pPr>
              <w:snapToGrid w:val="0"/>
              <w:rPr>
                <w:rFonts w:ascii="Times New Roman" w:hAnsi="Times New Roman" w:eastAsia="仿宋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93"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10</w:t>
            </w:r>
          </w:p>
        </w:tc>
        <w:tc>
          <w:tcPr>
            <w:tcW w:w="575" w:type="pct"/>
            <w:noWrap/>
            <w:vAlign w:val="center"/>
          </w:tcPr>
          <w:p>
            <w:pPr>
              <w:snapToGrid w:val="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提升移动政务服务能力</w:t>
            </w:r>
          </w:p>
        </w:tc>
        <w:tc>
          <w:tcPr>
            <w:tcW w:w="312" w:type="pct"/>
            <w:noWrap/>
            <w:vAlign w:val="center"/>
          </w:tcPr>
          <w:p>
            <w:pPr>
              <w:snapToGrid w:val="0"/>
              <w:jc w:val="center"/>
              <w:rPr>
                <w:rFonts w:ascii="Times New Roman" w:hAnsi="Times New Roman" w:eastAsia="仿宋_GB2312"/>
                <w:snapToGrid w:val="0"/>
                <w:sz w:val="28"/>
                <w:szCs w:val="28"/>
              </w:rPr>
            </w:pPr>
            <w:r>
              <w:rPr>
                <w:rFonts w:hint="eastAsia" w:ascii="Times New Roman" w:hAnsi="Times New Roman" w:eastAsia="仿宋_GB2312" w:cs="Times New Roman"/>
                <w:snapToGrid w:val="0"/>
                <w:sz w:val="28"/>
                <w:szCs w:val="28"/>
              </w:rPr>
              <w:t>区政数中心</w:t>
            </w:r>
          </w:p>
        </w:tc>
        <w:tc>
          <w:tcPr>
            <w:tcW w:w="370"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市政务服务和大数据局</w:t>
            </w:r>
          </w:p>
        </w:tc>
        <w:tc>
          <w:tcPr>
            <w:tcW w:w="347" w:type="pct"/>
            <w:noWrap/>
            <w:vAlign w:val="center"/>
          </w:tcPr>
          <w:p>
            <w:pPr>
              <w:snapToGrid w:val="0"/>
              <w:jc w:val="center"/>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市统计局</w:t>
            </w:r>
          </w:p>
        </w:tc>
        <w:tc>
          <w:tcPr>
            <w:tcW w:w="3200" w:type="pct"/>
            <w:noWrap/>
            <w:vAlign w:val="center"/>
          </w:tcPr>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1.结合实际，制定“豫事办”分厅建设方案，成立分厅建设项目组，建立长效工作机制，有力推动工作开展。</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2.按照统一规范要求，完成“豫事办”分厅品牌形象统一。</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3.各级财政保障“豫事办”分厅建设经费，确保分厅建设任务完成。</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4.以群众需求为导向，“豫事办”安阳分厅事项上线事项数达到200个以上，且分厅事项月使用率、事项可用率均不低于90%。</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5.充分宣传推广，进一步推动“豫事办”使用普及，切实提升移动政务服务能力。</w:t>
            </w:r>
          </w:p>
          <w:p>
            <w:pPr>
              <w:snapToGrid w:val="0"/>
              <w:ind w:firstLine="560" w:firstLineChars="200"/>
              <w:rPr>
                <w:rFonts w:ascii="Times New Roman" w:hAnsi="Times New Roman" w:eastAsia="仿宋_GB2312"/>
                <w:snapToGrid w:val="0"/>
                <w:sz w:val="28"/>
                <w:szCs w:val="28"/>
              </w:rPr>
            </w:pPr>
            <w:r>
              <w:rPr>
                <w:rFonts w:ascii="Times New Roman" w:hAnsi="Times New Roman" w:eastAsia="仿宋_GB2312" w:cs="Times New Roman"/>
                <w:snapToGrid w:val="0"/>
                <w:sz w:val="28"/>
                <w:szCs w:val="28"/>
              </w:rPr>
              <w:t>6.落实分厅主体责任，做好分厅安全工作，实现分厅安全保障设施同步规划、同步建设、同步使用。全年出现1例以上重大安全事故的，验收不予通过。</w:t>
            </w:r>
          </w:p>
        </w:tc>
      </w:tr>
    </w:tbl>
    <w:p>
      <w:pPr>
        <w:rPr>
          <w:rFonts w:ascii="Times New Roman" w:hAnsi="Times New Roman" w:eastAsia="仿宋_GB2312"/>
          <w:color w:val="FF0000"/>
          <w:sz w:val="32"/>
          <w:szCs w:val="32"/>
        </w:rPr>
        <w:sectPr>
          <w:type w:val="continuous"/>
          <w:pgSz w:w="16838" w:h="11906" w:orient="landscape"/>
          <w:pgMar w:top="1134" w:right="1701" w:bottom="1134" w:left="1701" w:header="851" w:footer="1418"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AA7610"/>
    <w:rsid w:val="009358A7"/>
    <w:rsid w:val="00AA7610"/>
    <w:rsid w:val="00AC44F6"/>
    <w:rsid w:val="00CF7A0A"/>
    <w:rsid w:val="2A225DF1"/>
    <w:rsid w:val="70713172"/>
    <w:rsid w:val="7D5D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7"/>
    <w:qFormat/>
    <w:uiPriority w:val="99"/>
    <w:pPr>
      <w:spacing w:after="120" w:line="480" w:lineRule="auto"/>
      <w:ind w:left="420" w:leftChars="200"/>
    </w:pPr>
    <w:rPr>
      <w:rFonts w:ascii="Calibri" w:hAnsi="Calibri" w:eastAsia="宋体" w:cs="Times New Roman"/>
      <w:szCs w:val="24"/>
    </w:rPr>
  </w:style>
  <w:style w:type="character" w:customStyle="1" w:styleId="6">
    <w:name w:val="标题 1 Char"/>
    <w:basedOn w:val="5"/>
    <w:link w:val="2"/>
    <w:uiPriority w:val="9"/>
    <w:rPr>
      <w:rFonts w:ascii="Calibri" w:hAnsi="Calibri" w:eastAsia="宋体" w:cs="Times New Roman"/>
      <w:b/>
      <w:bCs/>
      <w:kern w:val="44"/>
      <w:sz w:val="44"/>
      <w:szCs w:val="44"/>
    </w:rPr>
  </w:style>
  <w:style w:type="character" w:customStyle="1" w:styleId="7">
    <w:name w:val="正文文本缩进 2 Char"/>
    <w:basedOn w:val="5"/>
    <w:link w:val="3"/>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13</Pages>
  <Words>590</Words>
  <Characters>3367</Characters>
  <Lines>28</Lines>
  <Paragraphs>7</Paragraphs>
  <TotalTime>7</TotalTime>
  <ScaleCrop>false</ScaleCrop>
  <LinksUpToDate>false</LinksUpToDate>
  <CharactersWithSpaces>3950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2022-11-11T06:36:00Z</dcterms:created>
  <dc:creator>mfc</dc:creator>
  <cp:lastModifiedBy>指挥部</cp:lastModifiedBy>
  <dcterms:modified xsi:type="dcterms:W3CDTF">2022-11-14T07:16:53Z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CEBA6866954B43ED8B0E60927BE4B642</vt:lpwstr>
  </property>
</Properties>
</file>