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328"/>
        <w:gridCol w:w="2320"/>
        <w:gridCol w:w="751"/>
        <w:gridCol w:w="5649"/>
        <w:gridCol w:w="280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20" w:hRule="atLeast"/>
        </w:trPr>
        <w:tc>
          <w:tcPr>
            <w:tcW w:w="14370" w:type="dxa"/>
            <w:gridSpan w:val="6"/>
            <w:shd w:val="clear" w:color="auto" w:fill="auto"/>
            <w:vAlign w:val="center"/>
          </w:tcPr>
          <w:p>
            <w:pPr>
              <w:keepNext w:val="0"/>
              <w:keepLines w:val="0"/>
              <w:widowControl/>
              <w:suppressLineNumbers w:val="0"/>
              <w:spacing w:before="0" w:beforeAutospacing="0" w:after="0" w:afterAutospacing="0" w:line="320" w:lineRule="atLeast"/>
              <w:ind w:left="0" w:right="0"/>
              <w:jc w:val="center"/>
              <w:rPr>
                <w:rFonts w:ascii="微软雅黑" w:hAnsi="微软雅黑" w:eastAsia="微软雅黑" w:cs="微软雅黑"/>
                <w:sz w:val="16"/>
                <w:szCs w:val="16"/>
              </w:rPr>
            </w:pPr>
            <w:r>
              <w:rPr>
                <w:rFonts w:hint="eastAsia" w:ascii="微软雅黑" w:hAnsi="微软雅黑" w:eastAsia="微软雅黑" w:cs="微软雅黑"/>
                <w:b/>
                <w:bCs/>
                <w:kern w:val="0"/>
                <w:sz w:val="32"/>
                <w:szCs w:val="32"/>
                <w:lang w:val="en-US" w:eastAsia="zh-CN" w:bidi="ar"/>
              </w:rPr>
              <w:t>息县审计局行政相对人违法风险防控清单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序号</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违法风险点</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风险等级</w:t>
            </w:r>
          </w:p>
        </w:tc>
        <w:tc>
          <w:tcPr>
            <w:tcW w:w="56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行政处罚（强制）等违法后果及依据处罚依据</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防控措施</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拒绝、拖延提供与审计事项有关的资料。</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华人民共和国审计法实施条例》第四十七条“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280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加强《中华人民共和国审计法》和《中华人民共和国审计法实施条例》的宣传力度，让行政相对人熟悉相关法律法规，了解审计、支持审计。</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2</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提供的资料不真实、不完整。</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拒绝、阻碍检查。</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4</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无依据收费、无收费许可证收费、超过规定标准收费等乱收费行为。</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华人民共和国审计法实施条例》第四十九条“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280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加强行政指导，做好政策宣传，让行政相对人熟悉相关政策法规，明白违规行为的后果，增强依法行事的自觉性、主动性。</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5</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无依据罚款、超越职权范围罚款等乱罚款行为</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6</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隐瞒应当上缴的财政收入。</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《财政违法行为处罚处分条例》第四条 财政收入执收单位及其工作人员有下列违反国家财政收入上缴规定的行为之一的，责令改正，调整有关会计账目，收缴应当上缴的财政收入，限期退还违法所得。对单位给予警告或者通报批评。对直接负责的主管人员和其他直接责任人员给予记大过处分;情节较重的，给予降级或者撤职处分;情节严重的，给予开除处分。</w:t>
            </w:r>
          </w:p>
        </w:tc>
        <w:tc>
          <w:tcPr>
            <w:tcW w:w="280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加大宣传力度和培训指导，引导行政相对人规范管理财政收入。</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7</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滞留、截留、挪用应当上缴的财政收入。</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8</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坐支应当上缴的财政收入。</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9</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不依照规定的财政收入预算级次、预算科目入库。</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10</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违反规定退付国库库款或者财政专户资金。</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11</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以虚报、冒领等手段骗取财政资金。</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《财政违法行为处罚处分条例》第六条 国家机关及其工作人员有下列违反规定使用、骗取财政资金的行为之一的，责令改正，调整有关会计账目，追回有关财政资金，限期退还违法所得。对单位给予警告或者通报批评。对直接负责的主管人员和其他直接责任人员给予记大过处分;情节较重的，给予降级或者撤职处分;情节严重的，给予开除处分。</w:t>
            </w:r>
          </w:p>
        </w:tc>
        <w:tc>
          <w:tcPr>
            <w:tcW w:w="280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加大宣传，提高行政相对人规范管理、使用财政资金。</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12</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截留、挪用财政资金。</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13</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滞留应当下拨的财政资金。</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14</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违反规定扩大开支范围，提高开支标准。</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15</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隐瞒应当上缴的财政收入；截留代收的财政收入;其他不缴或者少缴财政收入的行为。</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kern w:val="0"/>
                <w:sz w:val="20"/>
                <w:szCs w:val="20"/>
                <w:lang w:val="en-US" w:eastAsia="zh-CN" w:bidi="ar"/>
              </w:rPr>
            </w:pPr>
            <w:r>
              <w:rPr>
                <w:rFonts w:hint="eastAsia" w:ascii="微软雅黑" w:hAnsi="微软雅黑" w:eastAsia="微软雅黑" w:cs="微软雅黑"/>
                <w:kern w:val="0"/>
                <w:sz w:val="20"/>
                <w:szCs w:val="20"/>
                <w:lang w:val="en-US" w:eastAsia="zh-CN" w:bidi="ar"/>
              </w:rPr>
              <w:t>《财政违法行为处罚处分条例》第十三条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kern w:val="0"/>
                <w:sz w:val="20"/>
                <w:szCs w:val="20"/>
                <w:lang w:val="en-US" w:eastAsia="zh-CN" w:bidi="ar"/>
              </w:rPr>
            </w:pPr>
          </w:p>
        </w:tc>
        <w:tc>
          <w:tcPr>
            <w:tcW w:w="28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加强宣传，引导行政相对人按规定缴纳财政收入。</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16</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私存私放财政资金或者其他公款。</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中</w:t>
            </w:r>
          </w:p>
        </w:tc>
        <w:tc>
          <w:tcPr>
            <w:tcW w:w="564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《财政违法行为处罚处分条例》第十七条 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28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加大宣传力度，引导行政相对人规范管理资金。</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17</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违反规定印制财政收入票据。</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《财政违法行为处罚处分条例》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w:t>
            </w:r>
          </w:p>
        </w:tc>
        <w:tc>
          <w:tcPr>
            <w:tcW w:w="280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加大宣传力度，引导行政相对人按规定取得、使用、管理财政票据。</w:t>
            </w: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18</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转借、串用、代开财政收入票据。</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19</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伪造、变造、买卖、擅自销毁财政收入票据。</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20</w:t>
            </w:r>
          </w:p>
        </w:tc>
        <w:tc>
          <w:tcPr>
            <w:tcW w:w="23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伪造、使用伪造的财政收入票据监(印)制章。</w:t>
            </w:r>
          </w:p>
        </w:tc>
        <w:tc>
          <w:tcPr>
            <w:tcW w:w="7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高</w:t>
            </w:r>
          </w:p>
        </w:tc>
        <w:tc>
          <w:tcPr>
            <w:tcW w:w="564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80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微软雅黑" w:hAnsi="微软雅黑" w:eastAsia="微软雅黑" w:cs="微软雅黑"/>
                <w:sz w:val="20"/>
                <w:szCs w:val="20"/>
              </w:rPr>
            </w:pPr>
          </w:p>
        </w:tc>
        <w:tc>
          <w:tcPr>
            <w:tcW w:w="252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微软雅黑" w:hAnsi="微软雅黑" w:eastAsia="微软雅黑" w:cs="微软雅黑"/>
                <w:sz w:val="20"/>
                <w:szCs w:val="20"/>
              </w:rPr>
            </w:pPr>
            <w:r>
              <w:rPr>
                <w:rFonts w:hint="eastAsia" w:ascii="微软雅黑" w:hAnsi="微软雅黑" w:eastAsia="微软雅黑" w:cs="微软雅黑"/>
                <w:kern w:val="0"/>
                <w:sz w:val="20"/>
                <w:szCs w:val="20"/>
                <w:lang w:val="en-US" w:eastAsia="zh-CN" w:bidi="ar"/>
              </w:rPr>
              <w:t>政策法规股、财政金融审计股、行政事业股、经济责任审计股、固定资产投资审计股</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0" w:beforeAutospacing="0" w:after="0" w:afterAutospacing="0" w:line="400" w:lineRule="atLeast"/>
        <w:ind w:left="0" w:right="0" w:firstLine="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4"/>
          <w:szCs w:val="14"/>
          <w:u w:val="none"/>
          <w:shd w:val="clear" w:fill="F7F7F7"/>
          <w:lang w:val="en-US" w:eastAsia="zh-CN" w:bidi="ar"/>
        </w:rPr>
        <w:t>打印关闭</w:t>
      </w:r>
    </w:p>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NDI0MGU3ZDBkYjMxMGY1ZTYzYTkxZjRkOWU2MGQifQ=="/>
  </w:docVars>
  <w:rsids>
    <w:rsidRoot w:val="3FDF6D98"/>
    <w:rsid w:val="11023183"/>
    <w:rsid w:val="1D695B02"/>
    <w:rsid w:val="327A3B69"/>
    <w:rsid w:val="7C5D4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2673</Words>
  <Characters>2707</Characters>
  <Lines>0</Lines>
  <Paragraphs>0</Paragraphs>
  <TotalTime>37</TotalTime>
  <ScaleCrop>false</ScaleCrop>
  <LinksUpToDate>false</LinksUpToDate>
  <CharactersWithSpaces>2712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2022-12-02T03:05:00Z</dcterms:created>
  <dc:creator>噜啦啦。。。</dc:creator>
  <cp:lastModifiedBy>快到碗里来～</cp:lastModifiedBy>
  <cp:lastPrinted>2022-12-05T08:13:00Z</cp:lastPrinted>
  <dcterms:modified xsi:type="dcterms:W3CDTF">2022-12-27T07:53:40Z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A74A50CE0B0D41C2AA404A656CDE0B85</vt:lpwstr>
  </property>
</Properties>
</file>