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E89D" w14:textId="77777777" w:rsidR="00FE09F6" w:rsidRDefault="00FE09F6">
      <w:pPr>
        <w:pStyle w:val="p0"/>
        <w:spacing w:line="580" w:lineRule="exact"/>
        <w:jc w:val="center"/>
        <w:rPr>
          <w:rFonts w:ascii="宋体" w:hAnsi="宋体" w:cs="宋体"/>
          <w:b/>
          <w:bCs/>
          <w:color w:val="0D0D0D" w:themeColor="text1" w:themeTint="F2"/>
          <w:kern w:val="58"/>
          <w:sz w:val="32"/>
          <w:szCs w:val="32"/>
        </w:rPr>
      </w:pPr>
    </w:p>
    <w:p w14:paraId="2DFEA691" w14:textId="77777777" w:rsidR="002E210B" w:rsidRDefault="00000000" w:rsidP="002E210B">
      <w:pPr>
        <w:pStyle w:val="p0"/>
        <w:spacing w:line="580" w:lineRule="exact"/>
        <w:jc w:val="center"/>
        <w:rPr>
          <w:rFonts w:ascii="方正大标宋_GBK" w:eastAsia="方正大标宋_GBK" w:hAnsi="方正大标宋_GBK" w:cs="方正大标宋_GBK"/>
          <w:color w:val="0D0D0D" w:themeColor="text1" w:themeTint="F2"/>
          <w:kern w:val="58"/>
          <w:sz w:val="44"/>
          <w:szCs w:val="44"/>
        </w:rPr>
      </w:pPr>
      <w:proofErr w:type="gramStart"/>
      <w:r>
        <w:rPr>
          <w:rFonts w:ascii="方正大标宋_GBK" w:eastAsia="方正大标宋_GBK" w:hAnsi="方正大标宋_GBK" w:cs="方正大标宋_GBK" w:hint="eastAsia"/>
          <w:color w:val="0D0D0D" w:themeColor="text1" w:themeTint="F2"/>
          <w:kern w:val="58"/>
          <w:sz w:val="44"/>
          <w:szCs w:val="44"/>
        </w:rPr>
        <w:t>浉</w:t>
      </w:r>
      <w:proofErr w:type="gramEnd"/>
      <w:r>
        <w:rPr>
          <w:rFonts w:ascii="方正大标宋_GBK" w:eastAsia="方正大标宋_GBK" w:hAnsi="方正大标宋_GBK" w:cs="方正大标宋_GBK" w:hint="eastAsia"/>
          <w:color w:val="0D0D0D" w:themeColor="text1" w:themeTint="F2"/>
          <w:kern w:val="58"/>
          <w:sz w:val="44"/>
          <w:szCs w:val="44"/>
        </w:rPr>
        <w:t>河区主导产业招商引资优惠政策（试行）</w:t>
      </w:r>
    </w:p>
    <w:p w14:paraId="15C6AB3A" w14:textId="2975F9D8" w:rsidR="00FE09F6" w:rsidRPr="002E210B" w:rsidRDefault="002E210B" w:rsidP="002E210B">
      <w:pPr>
        <w:pStyle w:val="p0"/>
        <w:spacing w:line="580" w:lineRule="exact"/>
        <w:jc w:val="center"/>
        <w:rPr>
          <w:rFonts w:ascii="方正大标宋_GBK" w:eastAsia="方正大标宋_GBK" w:hAnsi="方正大标宋_GBK" w:cs="方正大标宋_GBK"/>
          <w:color w:val="0D0D0D" w:themeColor="text1" w:themeTint="F2"/>
          <w:kern w:val="58"/>
          <w:sz w:val="44"/>
          <w:szCs w:val="44"/>
        </w:rPr>
      </w:pPr>
      <w:r w:rsidRPr="002E210B"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（征求意见稿）</w:t>
      </w:r>
    </w:p>
    <w:p w14:paraId="01A37BC2" w14:textId="77777777" w:rsidR="00FE09F6" w:rsidRDefault="00000000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 w:cs="仿宋"/>
          <w:color w:val="0D0D0D" w:themeColor="text1" w:themeTint="F2"/>
          <w:kern w:val="58"/>
          <w:sz w:val="32"/>
          <w:szCs w:val="32"/>
        </w:rPr>
      </w:pP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为加快我区主导产业（茶产业、</w:t>
      </w:r>
      <w:proofErr w:type="gramStart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文旅产业</w:t>
      </w:r>
      <w:proofErr w:type="gramEnd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、预制菜产业）高质量发展，</w:t>
      </w:r>
      <w:r>
        <w:rPr>
          <w:rFonts w:ascii="仿宋_GB2312" w:eastAsia="仿宋_GB2312" w:hAnsi="仿宋_GB2312" w:cs="仿宋_GB2312" w:hint="eastAsia"/>
          <w:color w:val="0D0D0D" w:themeColor="text1" w:themeTint="F2"/>
          <w:kern w:val="58"/>
          <w:sz w:val="32"/>
          <w:szCs w:val="32"/>
        </w:rPr>
        <w:t>特制定本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政策。</w:t>
      </w:r>
    </w:p>
    <w:p w14:paraId="77CF70FA" w14:textId="77777777" w:rsidR="00FE09F6" w:rsidRDefault="00000000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黑体"/>
          <w:color w:val="0D0D0D" w:themeColor="text1" w:themeTint="F2"/>
          <w:kern w:val="58"/>
          <w:sz w:val="32"/>
          <w:szCs w:val="32"/>
        </w:rPr>
      </w:pPr>
      <w:r>
        <w:rPr>
          <w:rFonts w:ascii="黑体" w:eastAsia="黑体" w:hAnsi="黑体" w:cs="黑体" w:hint="eastAsia"/>
          <w:color w:val="0D0D0D" w:themeColor="text1" w:themeTint="F2"/>
          <w:kern w:val="58"/>
          <w:sz w:val="32"/>
          <w:szCs w:val="32"/>
        </w:rPr>
        <w:t>一、政策适用条件</w:t>
      </w:r>
    </w:p>
    <w:p w14:paraId="6C2E2D2A" w14:textId="77777777" w:rsidR="00FE09F6" w:rsidRDefault="00000000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"/>
          <w:color w:val="0D0D0D" w:themeColor="text1" w:themeTint="F2"/>
          <w:kern w:val="58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注册且纳税在</w:t>
      </w:r>
      <w:proofErr w:type="gramStart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浉</w:t>
      </w:r>
      <w:proofErr w:type="gramEnd"/>
      <w:r>
        <w:rPr>
          <w:rFonts w:ascii="仿宋_GB2312" w:eastAsia="仿宋_GB2312" w:hAnsi="仿宋_GB2312" w:cs="仿宋_GB2312" w:hint="eastAsia"/>
          <w:color w:val="0D0D0D" w:themeColor="text1" w:themeTint="F2"/>
          <w:kern w:val="58"/>
          <w:sz w:val="32"/>
          <w:szCs w:val="32"/>
          <w:lang w:bidi="ar"/>
        </w:rPr>
        <w:t>河区，固定资产投资不得低于</w:t>
      </w:r>
      <w:r>
        <w:rPr>
          <w:rFonts w:ascii="仿宋_GB2312" w:eastAsia="仿宋_GB2312" w:hAnsi="Times New Roman" w:hint="eastAsia"/>
          <w:color w:val="0D0D0D" w:themeColor="text1" w:themeTint="F2"/>
          <w:kern w:val="58"/>
          <w:sz w:val="32"/>
          <w:szCs w:val="32"/>
          <w:lang w:bidi="ar"/>
        </w:rPr>
        <w:t>2000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万元的主导产业，且投产一年内必须进入“四上企业”。</w:t>
      </w:r>
    </w:p>
    <w:p w14:paraId="4287A3DC" w14:textId="77777777" w:rsidR="00FE09F6" w:rsidRDefault="00000000">
      <w:pPr>
        <w:pStyle w:val="a6"/>
        <w:widowControl/>
        <w:spacing w:before="0" w:beforeAutospacing="0" w:after="0" w:afterAutospacing="0" w:line="580" w:lineRule="exact"/>
        <w:ind w:firstLineChars="200" w:firstLine="640"/>
        <w:rPr>
          <w:rFonts w:ascii="黑体" w:eastAsia="黑体" w:hAnsi="黑体" w:cs="黑体"/>
          <w:color w:val="0D0D0D" w:themeColor="text1" w:themeTint="F2"/>
          <w:kern w:val="58"/>
          <w:sz w:val="32"/>
          <w:szCs w:val="32"/>
        </w:rPr>
      </w:pPr>
      <w:r>
        <w:rPr>
          <w:rFonts w:ascii="黑体" w:eastAsia="黑体" w:hAnsi="黑体" w:cs="黑体" w:hint="eastAsia"/>
          <w:color w:val="0D0D0D" w:themeColor="text1" w:themeTint="F2"/>
          <w:kern w:val="58"/>
          <w:sz w:val="32"/>
          <w:szCs w:val="32"/>
        </w:rPr>
        <w:t>二、政策支持内容</w:t>
      </w:r>
    </w:p>
    <w:p w14:paraId="68A615A5" w14:textId="77777777" w:rsidR="00FE09F6" w:rsidRDefault="00000000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bCs/>
          <w:color w:val="0D0D0D" w:themeColor="text1" w:themeTint="F2"/>
          <w:kern w:val="58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D0D0D" w:themeColor="text1" w:themeTint="F2"/>
          <w:kern w:val="58"/>
          <w:sz w:val="32"/>
          <w:szCs w:val="32"/>
        </w:rPr>
        <w:t>（一）土地保障</w:t>
      </w:r>
    </w:p>
    <w:p w14:paraId="46995C44" w14:textId="77777777" w:rsidR="00FE09F6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color w:val="0D0D0D" w:themeColor="text1" w:themeTint="F2"/>
          <w:kern w:val="58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固定资产投资总额低于</w:t>
      </w:r>
      <w:r>
        <w:rPr>
          <w:rFonts w:ascii="仿宋_GB2312" w:eastAsia="仿宋_GB2312" w:hAnsi="Times New Roman" w:hint="eastAsia"/>
          <w:color w:val="0D0D0D" w:themeColor="text1" w:themeTint="F2"/>
          <w:kern w:val="58"/>
          <w:sz w:val="32"/>
          <w:szCs w:val="32"/>
          <w:lang w:bidi="ar"/>
        </w:rPr>
        <w:t>1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亿元的茶产业、预制</w:t>
      </w:r>
      <w:proofErr w:type="gramStart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菜产业</w:t>
      </w:r>
      <w:proofErr w:type="gramEnd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项目，原则上进入标准化厂房；固定资产投资</w:t>
      </w:r>
      <w:r>
        <w:rPr>
          <w:rFonts w:ascii="仿宋_GB2312" w:eastAsia="仿宋_GB2312" w:hAnsi="Times New Roman" w:hint="eastAsia"/>
          <w:color w:val="0D0D0D" w:themeColor="text1" w:themeTint="F2"/>
          <w:kern w:val="58"/>
          <w:sz w:val="32"/>
          <w:szCs w:val="32"/>
          <w:lang w:bidi="ar"/>
        </w:rPr>
        <w:t>1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亿元以上，亩均投资强度不低于</w:t>
      </w:r>
      <w:r>
        <w:rPr>
          <w:rFonts w:ascii="仿宋_GB2312" w:eastAsia="仿宋_GB2312" w:hAnsi="Times New Roman" w:hint="eastAsia"/>
          <w:color w:val="0D0D0D" w:themeColor="text1" w:themeTint="F2"/>
          <w:kern w:val="58"/>
          <w:sz w:val="32"/>
          <w:szCs w:val="32"/>
          <w:lang w:bidi="ar"/>
        </w:rPr>
        <w:t>200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万元的，优先提供用地；</w:t>
      </w:r>
      <w:proofErr w:type="gramStart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文旅产业</w:t>
      </w:r>
      <w:proofErr w:type="gramEnd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项目，用地需出让的实行计划打包、点状供地，根据投资方需要可以先租后让、租让并举，涉及经营权的，通过产权交易平台有序合法流转。</w:t>
      </w:r>
    </w:p>
    <w:p w14:paraId="04758A2D" w14:textId="77777777" w:rsidR="00FE09F6" w:rsidRDefault="00000000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bCs/>
          <w:color w:val="0D0D0D" w:themeColor="text1" w:themeTint="F2"/>
          <w:kern w:val="58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D0D0D" w:themeColor="text1" w:themeTint="F2"/>
          <w:kern w:val="58"/>
          <w:sz w:val="32"/>
          <w:szCs w:val="32"/>
        </w:rPr>
        <w:t>（二）厂房优惠</w:t>
      </w:r>
    </w:p>
    <w:p w14:paraId="2C42A249" w14:textId="77777777" w:rsidR="00FE09F6" w:rsidRDefault="00000000">
      <w:pPr>
        <w:pStyle w:val="a6"/>
        <w:widowControl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" w:cs="仿宋"/>
          <w:color w:val="0D0D0D" w:themeColor="text1" w:themeTint="F2"/>
          <w:kern w:val="58"/>
          <w:sz w:val="32"/>
          <w:szCs w:val="32"/>
        </w:rPr>
      </w:pP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辖区内租赁厂房的茶产业、预制</w:t>
      </w:r>
      <w:proofErr w:type="gramStart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菜产业</w:t>
      </w:r>
      <w:proofErr w:type="gramEnd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企业，生产性用房面积不得低于租赁总面积的</w:t>
      </w:r>
      <w:r>
        <w:rPr>
          <w:rFonts w:ascii="仿宋_GB2312" w:eastAsia="仿宋_GB2312" w:hAnsi="Times New Roman" w:hint="eastAsia"/>
          <w:color w:val="0D0D0D" w:themeColor="text1" w:themeTint="F2"/>
          <w:kern w:val="58"/>
          <w:sz w:val="32"/>
          <w:szCs w:val="32"/>
          <w:lang w:bidi="ar"/>
        </w:rPr>
        <w:t>80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%。租金前三年全免，后两年减半，先缴后补，区财政</w:t>
      </w:r>
      <w:r>
        <w:rPr>
          <w:rFonts w:ascii="仿宋_GB2312" w:eastAsia="仿宋_GB2312" w:hAnsi="Times New Roman" w:hint="eastAsia"/>
          <w:color w:val="0D0D0D" w:themeColor="text1" w:themeTint="F2"/>
          <w:kern w:val="58"/>
          <w:sz w:val="32"/>
          <w:szCs w:val="32"/>
          <w:lang w:bidi="ar"/>
        </w:rPr>
        <w:t>1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个月内补贴到位。</w:t>
      </w:r>
    </w:p>
    <w:p w14:paraId="13589E5E" w14:textId="77777777" w:rsidR="00FE09F6" w:rsidRDefault="00000000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bCs/>
          <w:color w:val="0D0D0D" w:themeColor="text1" w:themeTint="F2"/>
          <w:kern w:val="58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D0D0D" w:themeColor="text1" w:themeTint="F2"/>
          <w:kern w:val="58"/>
          <w:sz w:val="32"/>
          <w:szCs w:val="32"/>
        </w:rPr>
        <w:t>（三）经济贡献鼓励</w:t>
      </w:r>
    </w:p>
    <w:p w14:paraId="49C03971" w14:textId="77777777" w:rsidR="00FE09F6" w:rsidRDefault="00000000">
      <w:pPr>
        <w:spacing w:line="580" w:lineRule="exact"/>
        <w:ind w:firstLineChars="200" w:firstLine="640"/>
        <w:rPr>
          <w:rFonts w:ascii="仿宋_GB2312" w:eastAsia="仿宋_GB2312" w:hAnsi="仿宋" w:cs="仿宋"/>
          <w:color w:val="0D0D0D" w:themeColor="text1" w:themeTint="F2"/>
          <w:kern w:val="58"/>
          <w:sz w:val="32"/>
          <w:szCs w:val="32"/>
        </w:rPr>
      </w:pP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从企业投产之日起三年期内，按其当年对地方经济贡献量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lastRenderedPageBreak/>
        <w:t>给予</w:t>
      </w:r>
      <w:r>
        <w:rPr>
          <w:rFonts w:ascii="仿宋_GB2312" w:eastAsia="仿宋_GB2312" w:hAnsi="Times New Roman" w:hint="eastAsia"/>
          <w:color w:val="0D0D0D" w:themeColor="text1" w:themeTint="F2"/>
          <w:kern w:val="58"/>
          <w:sz w:val="32"/>
          <w:szCs w:val="32"/>
          <w:lang w:bidi="ar"/>
        </w:rPr>
        <w:t>50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%奖励。对法人代表及高管，可按照个人对地方综合贡献的</w:t>
      </w:r>
      <w:r>
        <w:rPr>
          <w:rFonts w:ascii="仿宋_GB2312" w:eastAsia="仿宋_GB2312" w:hAnsi="Times New Roman"/>
          <w:color w:val="0D0D0D" w:themeColor="text1" w:themeTint="F2"/>
          <w:kern w:val="58"/>
          <w:sz w:val="32"/>
          <w:szCs w:val="32"/>
          <w:lang w:bidi="ar"/>
        </w:rPr>
        <w:t>100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%给予奖励，期限三年。</w:t>
      </w:r>
    </w:p>
    <w:p w14:paraId="6E686DDA" w14:textId="77777777" w:rsidR="00FE09F6" w:rsidRDefault="00000000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bCs/>
          <w:color w:val="0D0D0D" w:themeColor="text1" w:themeTint="F2"/>
          <w:kern w:val="58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D0D0D" w:themeColor="text1" w:themeTint="F2"/>
          <w:kern w:val="58"/>
          <w:sz w:val="32"/>
          <w:szCs w:val="32"/>
        </w:rPr>
        <w:t>（四）融资支持</w:t>
      </w:r>
    </w:p>
    <w:p w14:paraId="374B412D" w14:textId="77777777" w:rsidR="00FE09F6" w:rsidRDefault="00000000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 w:cs="仿宋"/>
          <w:color w:val="0D0D0D" w:themeColor="text1" w:themeTint="F2"/>
          <w:kern w:val="58"/>
          <w:sz w:val="32"/>
          <w:szCs w:val="32"/>
        </w:rPr>
      </w:pP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区属国有企业根据市场化要求，可以采取“国企股权投资+优质项目”模式，以入股、基金投资等形式进行合作。</w:t>
      </w:r>
    </w:p>
    <w:p w14:paraId="5D103449" w14:textId="77777777" w:rsidR="00FE09F6" w:rsidRDefault="00000000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bCs/>
          <w:color w:val="0D0D0D" w:themeColor="text1" w:themeTint="F2"/>
          <w:kern w:val="58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D0D0D" w:themeColor="text1" w:themeTint="F2"/>
          <w:kern w:val="58"/>
          <w:sz w:val="32"/>
          <w:szCs w:val="32"/>
        </w:rPr>
        <w:t>（五）“一事一议”</w:t>
      </w:r>
    </w:p>
    <w:p w14:paraId="51B2C5A9" w14:textId="77777777" w:rsidR="00FE09F6" w:rsidRDefault="00000000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 w:cs="仿宋"/>
          <w:color w:val="0D0D0D" w:themeColor="text1" w:themeTint="F2"/>
          <w:kern w:val="58"/>
          <w:sz w:val="32"/>
          <w:szCs w:val="32"/>
        </w:rPr>
      </w:pP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对投资亿元以上的茶产业、预制</w:t>
      </w:r>
      <w:proofErr w:type="gramStart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菜产业</w:t>
      </w:r>
      <w:proofErr w:type="gramEnd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企业，投资</w:t>
      </w:r>
      <w:r>
        <w:rPr>
          <w:rFonts w:ascii="仿宋_GB2312" w:eastAsia="仿宋_GB2312" w:hAnsi="Times New Roman" w:hint="eastAsia"/>
          <w:color w:val="0D0D0D" w:themeColor="text1" w:themeTint="F2"/>
          <w:kern w:val="58"/>
          <w:sz w:val="32"/>
          <w:szCs w:val="32"/>
          <w:lang w:bidi="ar"/>
        </w:rPr>
        <w:t>5000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万元以上的</w:t>
      </w:r>
      <w:proofErr w:type="gramStart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文旅产业</w:t>
      </w:r>
      <w:proofErr w:type="gramEnd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企业，投资3</w:t>
      </w:r>
      <w:r>
        <w:rPr>
          <w:rFonts w:ascii="仿宋_GB2312" w:eastAsia="仿宋_GB2312" w:hAnsi="仿宋" w:cs="仿宋"/>
          <w:color w:val="0D0D0D" w:themeColor="text1" w:themeTint="F2"/>
          <w:kern w:val="58"/>
          <w:sz w:val="32"/>
          <w:szCs w:val="32"/>
        </w:rPr>
        <w:t>000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万元以上民宿企业（包含地方配套资金），以及符合我区主导产业发展方向的头部企业可采取“一事一议”方式给予支持。</w:t>
      </w:r>
    </w:p>
    <w:p w14:paraId="5255C8DF" w14:textId="77777777" w:rsidR="00FE09F6" w:rsidRDefault="00000000">
      <w:pPr>
        <w:spacing w:line="580" w:lineRule="exact"/>
        <w:ind w:firstLineChars="200" w:firstLine="640"/>
        <w:rPr>
          <w:rFonts w:ascii="仿宋" w:eastAsia="仿宋" w:hAnsi="仿宋" w:cs="仿宋"/>
          <w:color w:val="0D0D0D" w:themeColor="text1" w:themeTint="F2"/>
          <w:kern w:val="58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D0D0D" w:themeColor="text1" w:themeTint="F2"/>
          <w:kern w:val="58"/>
          <w:sz w:val="32"/>
          <w:szCs w:val="32"/>
        </w:rPr>
        <w:t>三、附则</w:t>
      </w:r>
      <w:r>
        <w:rPr>
          <w:rFonts w:ascii="仿宋" w:eastAsia="仿宋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 </w:t>
      </w:r>
    </w:p>
    <w:p w14:paraId="4008031B" w14:textId="77777777" w:rsidR="00FE09F6" w:rsidRDefault="00000000">
      <w:pPr>
        <w:overflowPunct w:val="0"/>
        <w:spacing w:line="580" w:lineRule="exact"/>
        <w:ind w:firstLineChars="200" w:firstLine="643"/>
        <w:rPr>
          <w:rFonts w:ascii="仿宋_GB2312" w:eastAsia="仿宋_GB2312" w:hAnsi="仿宋" w:cs="仿宋"/>
          <w:color w:val="0D0D0D" w:themeColor="text1" w:themeTint="F2"/>
          <w:kern w:val="58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b/>
          <w:bCs/>
          <w:color w:val="0D0D0D" w:themeColor="text1" w:themeTint="F2"/>
          <w:kern w:val="58"/>
          <w:sz w:val="32"/>
          <w:szCs w:val="32"/>
          <w:lang w:bidi="ar"/>
        </w:rPr>
        <w:t>（一）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本政策为主导产业通用性优惠政策，其他详细优惠条款见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茶产业、</w:t>
      </w:r>
      <w:proofErr w:type="gramStart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文旅产业</w:t>
      </w:r>
      <w:proofErr w:type="gramEnd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、预制</w:t>
      </w:r>
      <w:proofErr w:type="gramStart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</w:rPr>
        <w:t>菜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产业</w:t>
      </w:r>
      <w:proofErr w:type="gramEnd"/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优惠政策细则。</w:t>
      </w:r>
    </w:p>
    <w:p w14:paraId="0E6BF276" w14:textId="77777777" w:rsidR="00FE09F6" w:rsidRDefault="00000000">
      <w:pPr>
        <w:spacing w:line="580" w:lineRule="exact"/>
        <w:ind w:firstLineChars="200" w:firstLine="643"/>
        <w:rPr>
          <w:rFonts w:ascii="仿宋_GB2312" w:eastAsia="仿宋_GB2312" w:hAnsi="仿宋" w:cs="仿宋"/>
          <w:color w:val="0D0D0D" w:themeColor="text1" w:themeTint="F2"/>
          <w:kern w:val="58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b/>
          <w:bCs/>
          <w:color w:val="0D0D0D" w:themeColor="text1" w:themeTint="F2"/>
          <w:kern w:val="58"/>
          <w:sz w:val="32"/>
          <w:szCs w:val="32"/>
          <w:lang w:bidi="ar"/>
        </w:rPr>
        <w:t>（二）</w:t>
      </w:r>
      <w:r>
        <w:rPr>
          <w:rFonts w:ascii="仿宋_GB2312" w:eastAsia="仿宋_GB2312" w:hAnsi="仿宋" w:cs="仿宋" w:hint="eastAsia"/>
          <w:color w:val="0D0D0D" w:themeColor="text1" w:themeTint="F2"/>
          <w:kern w:val="58"/>
          <w:sz w:val="32"/>
          <w:szCs w:val="32"/>
          <w:lang w:bidi="ar"/>
        </w:rPr>
        <w:t>本政策自印发之日起实施，由区政府办公室负责解释。</w:t>
      </w:r>
    </w:p>
    <w:p w14:paraId="5E414F90" w14:textId="77777777" w:rsidR="00FE09F6" w:rsidRDefault="00FE09F6">
      <w:pPr>
        <w:overflowPunct w:val="0"/>
        <w:spacing w:line="580" w:lineRule="exact"/>
        <w:ind w:firstLineChars="200" w:firstLine="640"/>
        <w:rPr>
          <w:rFonts w:ascii="仿宋_GB2312" w:eastAsia="仿宋" w:hAnsi="仿宋" w:cs="仿宋"/>
          <w:color w:val="0D0D0D" w:themeColor="text1" w:themeTint="F2"/>
          <w:kern w:val="58"/>
          <w:sz w:val="32"/>
          <w:szCs w:val="32"/>
          <w:lang w:bidi="ar"/>
        </w:rPr>
      </w:pPr>
    </w:p>
    <w:sectPr w:rsidR="00FE09F6">
      <w:footerReference w:type="default" r:id="rId7"/>
      <w:pgSz w:w="11906" w:h="16838"/>
      <w:pgMar w:top="1985" w:right="1588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B636" w14:textId="77777777" w:rsidR="00264F40" w:rsidRDefault="00264F40">
      <w:r>
        <w:separator/>
      </w:r>
    </w:p>
  </w:endnote>
  <w:endnote w:type="continuationSeparator" w:id="0">
    <w:p w14:paraId="425250FC" w14:textId="77777777" w:rsidR="00264F40" w:rsidRDefault="0026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EE2F" w14:textId="77777777" w:rsidR="00FE09F6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1C922" wp14:editId="508DF3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7520" cy="1828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20" cy="182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0BB6B32" w14:textId="77777777" w:rsidR="00FE09F6" w:rsidRDefault="00000000">
                          <w:pPr>
                            <w:pStyle w:val="a4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1C92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3.6pt;margin-top:0;width:37.6pt;height:14.4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" filled="f" stroked="f">
              <v:textbox inset="0,0,0,0">
                <w:txbxContent>
                  <w:p w14:paraId="70BB6B32" w14:textId="77777777" w:rsidR="00FE09F6" w:rsidRDefault="00000000">
                    <w:pPr>
                      <w:pStyle w:val="a4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FACF" w14:textId="77777777" w:rsidR="00264F40" w:rsidRDefault="00264F40">
      <w:r>
        <w:separator/>
      </w:r>
    </w:p>
  </w:footnote>
  <w:footnote w:type="continuationSeparator" w:id="0">
    <w:p w14:paraId="43BEF977" w14:textId="77777777" w:rsidR="00264F40" w:rsidRDefault="0026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1NmUzMzIzMmNkYjNjMzcyMWEzZmY0MWE1MDkyY2MifQ=="/>
  </w:docVars>
  <w:rsids>
    <w:rsidRoot w:val="00D5789E"/>
    <w:rsid w:val="EFF5F4BA"/>
    <w:rsid w:val="00075644"/>
    <w:rsid w:val="000D131D"/>
    <w:rsid w:val="000F1CC9"/>
    <w:rsid w:val="00142259"/>
    <w:rsid w:val="00264F40"/>
    <w:rsid w:val="002E210B"/>
    <w:rsid w:val="00311D27"/>
    <w:rsid w:val="00356A52"/>
    <w:rsid w:val="004C547F"/>
    <w:rsid w:val="004C79C9"/>
    <w:rsid w:val="005B41C5"/>
    <w:rsid w:val="00683CC0"/>
    <w:rsid w:val="008663E0"/>
    <w:rsid w:val="008E2B89"/>
    <w:rsid w:val="0098250A"/>
    <w:rsid w:val="00A84A13"/>
    <w:rsid w:val="00CE7A6A"/>
    <w:rsid w:val="00D5789E"/>
    <w:rsid w:val="00FE09F6"/>
    <w:rsid w:val="062E0F76"/>
    <w:rsid w:val="066945DC"/>
    <w:rsid w:val="066C6331"/>
    <w:rsid w:val="08910034"/>
    <w:rsid w:val="092576EA"/>
    <w:rsid w:val="0F397BD0"/>
    <w:rsid w:val="0F9B5F3D"/>
    <w:rsid w:val="11643A43"/>
    <w:rsid w:val="12266F4A"/>
    <w:rsid w:val="15A5287C"/>
    <w:rsid w:val="171C4577"/>
    <w:rsid w:val="173B67B6"/>
    <w:rsid w:val="176C3714"/>
    <w:rsid w:val="17F35B20"/>
    <w:rsid w:val="18CD11CA"/>
    <w:rsid w:val="19636CD6"/>
    <w:rsid w:val="198B3B37"/>
    <w:rsid w:val="1B830F69"/>
    <w:rsid w:val="1D322C47"/>
    <w:rsid w:val="2008489E"/>
    <w:rsid w:val="20536DEF"/>
    <w:rsid w:val="21D85F56"/>
    <w:rsid w:val="22F56664"/>
    <w:rsid w:val="24634D25"/>
    <w:rsid w:val="25577F9C"/>
    <w:rsid w:val="25B83F05"/>
    <w:rsid w:val="25FF38E2"/>
    <w:rsid w:val="2AA548A2"/>
    <w:rsid w:val="2CAB6572"/>
    <w:rsid w:val="2CBA0563"/>
    <w:rsid w:val="2E47644D"/>
    <w:rsid w:val="2EE45280"/>
    <w:rsid w:val="2F634EE2"/>
    <w:rsid w:val="303E2D28"/>
    <w:rsid w:val="316E4F61"/>
    <w:rsid w:val="32371736"/>
    <w:rsid w:val="344D6161"/>
    <w:rsid w:val="36910587"/>
    <w:rsid w:val="3A44036E"/>
    <w:rsid w:val="3BAB657B"/>
    <w:rsid w:val="3BEA0B5B"/>
    <w:rsid w:val="3C8849E6"/>
    <w:rsid w:val="3C973D25"/>
    <w:rsid w:val="3CA8662A"/>
    <w:rsid w:val="3CD43654"/>
    <w:rsid w:val="3DDB631F"/>
    <w:rsid w:val="400F5F1A"/>
    <w:rsid w:val="41377495"/>
    <w:rsid w:val="414E5ACA"/>
    <w:rsid w:val="420A5691"/>
    <w:rsid w:val="42666D6B"/>
    <w:rsid w:val="42997141"/>
    <w:rsid w:val="435E7129"/>
    <w:rsid w:val="44BC0A07"/>
    <w:rsid w:val="45DF7C2B"/>
    <w:rsid w:val="466B2BA2"/>
    <w:rsid w:val="46A10CDC"/>
    <w:rsid w:val="47CF4671"/>
    <w:rsid w:val="47E26E94"/>
    <w:rsid w:val="483671E0"/>
    <w:rsid w:val="4B245A16"/>
    <w:rsid w:val="4C01713B"/>
    <w:rsid w:val="4D754306"/>
    <w:rsid w:val="4FC7696F"/>
    <w:rsid w:val="50CC5727"/>
    <w:rsid w:val="532564A3"/>
    <w:rsid w:val="539175A4"/>
    <w:rsid w:val="54992FD0"/>
    <w:rsid w:val="578F5158"/>
    <w:rsid w:val="57961A49"/>
    <w:rsid w:val="5AE3311B"/>
    <w:rsid w:val="5AF55909"/>
    <w:rsid w:val="5BD4669C"/>
    <w:rsid w:val="5D8958E1"/>
    <w:rsid w:val="629103E3"/>
    <w:rsid w:val="633E7923"/>
    <w:rsid w:val="64B61035"/>
    <w:rsid w:val="67073DC9"/>
    <w:rsid w:val="6ACB3360"/>
    <w:rsid w:val="6C034FF2"/>
    <w:rsid w:val="6E5673E4"/>
    <w:rsid w:val="6E5C7243"/>
    <w:rsid w:val="6F06705D"/>
    <w:rsid w:val="70FA674D"/>
    <w:rsid w:val="711968FA"/>
    <w:rsid w:val="74861898"/>
    <w:rsid w:val="775704C0"/>
    <w:rsid w:val="798B2638"/>
    <w:rsid w:val="7A4456B4"/>
    <w:rsid w:val="7B304F7F"/>
    <w:rsid w:val="7FAFA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09C1F"/>
  <w15:docId w15:val="{C8ED074E-3766-45F5-B0AA-C99DAF1E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0">
    <w:name w:val="p0"/>
    <w:basedOn w:val="a"/>
    <w:qFormat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小龙</cp:lastModifiedBy>
  <cp:revision>5</cp:revision>
  <cp:lastPrinted>2023-01-30T10:11:00Z</cp:lastPrinted>
  <dcterms:created xsi:type="dcterms:W3CDTF">2023-01-17T03:29:00Z</dcterms:created>
  <dcterms:modified xsi:type="dcterms:W3CDTF">2023-02-13T03:04:00Z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3AC9AF03060B4BF78AB0E8B431BC9929</vt:lpwstr>
  </property>
</Properties>
</file>