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关于2023年</w:t>
      </w:r>
      <w:r>
        <w:rPr>
          <w:rFonts w:hint="eastAsia" w:ascii="宋体" w:hAnsi="宋体"/>
          <w:sz w:val="44"/>
          <w:szCs w:val="44"/>
        </w:rPr>
        <w:t>息县</w:t>
      </w:r>
      <w:r>
        <w:rPr>
          <w:rFonts w:ascii="宋体" w:hAnsi="宋体"/>
          <w:sz w:val="44"/>
          <w:szCs w:val="44"/>
        </w:rPr>
        <w:t>社会保险基金预算收支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安排情况的说明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60" w:lineRule="exact"/>
        <w:ind w:firstLine="61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一、编制原则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息县</w:t>
      </w:r>
      <w:r>
        <w:rPr>
          <w:rFonts w:ascii="仿宋" w:hAnsi="仿宋" w:eastAsia="仿宋"/>
          <w:sz w:val="32"/>
          <w:szCs w:val="32"/>
        </w:rPr>
        <w:t>社会保险基金预算单独编报，与一般公共预算、政府性基金预算和国有资本经营预算相对独立，有机衔接。社会保险基金预算坚持收支平衡，适当留有结余。收入预算安排要应收尽收，在充分考虑扩面因素上，合理预计收入中的一次性因素。支出预算安排</w:t>
      </w: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ascii="仿宋" w:hAnsi="仿宋" w:eastAsia="仿宋"/>
          <w:sz w:val="32"/>
          <w:szCs w:val="32"/>
        </w:rPr>
        <w:t>规范有序，严格执行有关规定，从严从紧编制。</w:t>
      </w:r>
    </w:p>
    <w:p>
      <w:pPr>
        <w:snapToGrid w:val="0"/>
        <w:spacing w:line="560" w:lineRule="exact"/>
        <w:ind w:firstLine="61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二、编报范围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</w:rPr>
        <w:t>，息县</w:t>
      </w:r>
      <w:r>
        <w:rPr>
          <w:rFonts w:ascii="仿宋" w:hAnsi="仿宋" w:eastAsia="仿宋"/>
          <w:sz w:val="32"/>
          <w:szCs w:val="32"/>
        </w:rPr>
        <w:t>社会保险基金预算编制范围包括机关事业养老保险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基金</w:t>
      </w:r>
      <w:r>
        <w:rPr>
          <w:rFonts w:hint="eastAsia" w:ascii="仿宋" w:hAnsi="仿宋" w:eastAsia="仿宋"/>
          <w:sz w:val="32"/>
          <w:szCs w:val="32"/>
        </w:rPr>
        <w:t>和城乡居民养老</w:t>
      </w:r>
      <w:r>
        <w:rPr>
          <w:rFonts w:ascii="仿宋" w:hAnsi="仿宋" w:eastAsia="仿宋"/>
          <w:sz w:val="32"/>
          <w:szCs w:val="32"/>
        </w:rPr>
        <w:t>保险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基金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560" w:lineRule="exact"/>
        <w:ind w:firstLine="61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三、收入预算编制情况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社会保险基金预算收入主要包括保险缴费收入、财政补贴收入、利息收入、上级补助收入、转移收入和其他收入。202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息县</w:t>
      </w:r>
      <w:r>
        <w:rPr>
          <w:rFonts w:ascii="仿宋" w:hAnsi="仿宋" w:eastAsia="仿宋"/>
          <w:sz w:val="32"/>
          <w:szCs w:val="32"/>
        </w:rPr>
        <w:t>社会保险基金预算收入</w:t>
      </w:r>
      <w:r>
        <w:rPr>
          <w:rFonts w:hint="eastAsia" w:ascii="仿宋" w:hAnsi="仿宋" w:eastAsia="仿宋"/>
          <w:sz w:val="32"/>
          <w:szCs w:val="32"/>
        </w:rPr>
        <w:t>79409</w:t>
      </w:r>
      <w:r>
        <w:rPr>
          <w:rFonts w:ascii="仿宋" w:hAnsi="仿宋" w:eastAsia="仿宋"/>
          <w:sz w:val="32"/>
          <w:szCs w:val="32"/>
        </w:rPr>
        <w:t>万元，比去年增长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ascii="仿宋" w:hAnsi="仿宋" w:eastAsia="仿宋"/>
          <w:sz w:val="32"/>
          <w:szCs w:val="32"/>
        </w:rPr>
        <w:t>：机关事业</w:t>
      </w:r>
      <w:r>
        <w:rPr>
          <w:rFonts w:hint="eastAsia" w:ascii="仿宋" w:hAnsi="仿宋" w:eastAsia="仿宋"/>
          <w:sz w:val="32"/>
          <w:szCs w:val="32"/>
        </w:rPr>
        <w:t>养老</w:t>
      </w:r>
      <w:r>
        <w:rPr>
          <w:rFonts w:ascii="仿宋" w:hAnsi="仿宋" w:eastAsia="仿宋"/>
          <w:sz w:val="32"/>
          <w:szCs w:val="32"/>
        </w:rPr>
        <w:t>保险基金预算收入</w:t>
      </w:r>
      <w:r>
        <w:rPr>
          <w:rFonts w:hint="eastAsia" w:ascii="仿宋" w:hAnsi="仿宋" w:eastAsia="仿宋"/>
          <w:sz w:val="32"/>
          <w:szCs w:val="32"/>
        </w:rPr>
        <w:t>45012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比去年增长</w:t>
      </w:r>
      <w:r>
        <w:rPr>
          <w:rFonts w:hint="eastAsia" w:ascii="仿宋" w:hAnsi="仿宋" w:eastAsia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;城乡居民养老</w:t>
      </w:r>
      <w:r>
        <w:rPr>
          <w:rFonts w:ascii="仿宋" w:hAnsi="仿宋" w:eastAsia="仿宋"/>
          <w:sz w:val="32"/>
          <w:szCs w:val="32"/>
        </w:rPr>
        <w:t>保险基金预算收入</w:t>
      </w:r>
      <w:r>
        <w:rPr>
          <w:rFonts w:hint="eastAsia" w:ascii="仿宋" w:hAnsi="仿宋" w:eastAsia="仿宋"/>
          <w:sz w:val="32"/>
          <w:szCs w:val="32"/>
        </w:rPr>
        <w:t>34397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比去年增长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按收入来源分类，保险费收入 301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万元、利息收入 2915 万元、财政补贴收入 20736 万元、转移收入355  万元、其他收入1790万元、上级补助收入23423万元。</w:t>
      </w:r>
    </w:p>
    <w:p>
      <w:pPr>
        <w:snapToGrid w:val="0"/>
        <w:spacing w:line="560" w:lineRule="exact"/>
        <w:ind w:firstLine="61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四、支出预算编制情况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2023年社会保险基金预算支出</w:t>
      </w:r>
      <w:r>
        <w:rPr>
          <w:rFonts w:hint="eastAsia" w:ascii="仿宋" w:hAnsi="仿宋" w:eastAsia="仿宋"/>
          <w:sz w:val="32"/>
          <w:szCs w:val="32"/>
        </w:rPr>
        <w:t>64338</w:t>
      </w:r>
      <w:r>
        <w:rPr>
          <w:rFonts w:ascii="仿宋" w:hAnsi="仿宋" w:eastAsia="仿宋"/>
          <w:sz w:val="32"/>
          <w:szCs w:val="32"/>
        </w:rPr>
        <w:t>万元（包含上级补助收入和转移收入等安排的支出），</w:t>
      </w:r>
      <w:r>
        <w:rPr>
          <w:rFonts w:hint="eastAsia" w:ascii="仿宋" w:hAnsi="仿宋" w:eastAsia="仿宋"/>
          <w:sz w:val="32"/>
          <w:szCs w:val="32"/>
        </w:rPr>
        <w:t>比去年</w:t>
      </w:r>
      <w:r>
        <w:rPr>
          <w:rFonts w:ascii="仿宋" w:hAnsi="仿宋" w:eastAsia="仿宋"/>
          <w:sz w:val="32"/>
          <w:szCs w:val="32"/>
        </w:rPr>
        <w:t>增长</w:t>
      </w:r>
      <w:r>
        <w:rPr>
          <w:rFonts w:hint="eastAsia" w:ascii="仿宋" w:hAnsi="仿宋" w:eastAsia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ascii="仿宋" w:hAnsi="仿宋" w:eastAsia="仿宋"/>
          <w:sz w:val="32"/>
          <w:szCs w:val="32"/>
        </w:rPr>
        <w:t>：机关事业养老保险基金预算支出</w:t>
      </w:r>
      <w:r>
        <w:rPr>
          <w:rFonts w:hint="eastAsia" w:ascii="仿宋" w:hAnsi="仿宋" w:eastAsia="仿宋"/>
          <w:sz w:val="32"/>
          <w:szCs w:val="32"/>
        </w:rPr>
        <w:t>43704</w:t>
      </w:r>
      <w:r>
        <w:rPr>
          <w:rFonts w:ascii="仿宋" w:hAnsi="仿宋" w:eastAsia="仿宋"/>
          <w:sz w:val="32"/>
          <w:szCs w:val="32"/>
        </w:rPr>
        <w:t>万元，比去年增长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;城乡居民养老</w:t>
      </w:r>
      <w:r>
        <w:rPr>
          <w:rFonts w:ascii="仿宋" w:hAnsi="仿宋" w:eastAsia="仿宋"/>
          <w:sz w:val="32"/>
          <w:szCs w:val="32"/>
        </w:rPr>
        <w:t>保险基金预算</w:t>
      </w:r>
      <w:r>
        <w:rPr>
          <w:rFonts w:hint="eastAsia" w:ascii="仿宋" w:hAnsi="仿宋" w:eastAsia="仿宋"/>
          <w:sz w:val="32"/>
          <w:szCs w:val="32"/>
        </w:rPr>
        <w:t>支出20634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比去年增长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按支出内容分类，社会保险待遇支出64308万元、转移支出 30万元。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numberInDash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52"/>
        <w:tab w:val="clear" w:pos="4153"/>
        <w:tab w:val="clear" w:pos="8306"/>
      </w:tabs>
      <w:rPr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18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18</w:t>
                    </w:r>
                  </w:p>
                </w:txbxContent>
              </v:textbox>
            </v:shape>
          </w:pict>
        </mc:Fallback>
      </mc:AlternateContent>
    </w:r>
    <w:r>
      <w:rPr>
        <w:szCs w:val="2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zhhYjU2NmFhZjNiOTI3MDZlMThmMDNhNGQ0MTcifQ=="/>
  </w:docVars>
  <w:rsids>
    <w:rsidRoot w:val="276A6325"/>
    <w:rsid w:val="1E557EE4"/>
    <w:rsid w:val="276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614</Characters>
  <Lines>0</Lines>
  <Paragraphs>0</Paragraphs>
  <TotalTime>0</TotalTime>
  <ScaleCrop>false</ScaleCrop>
  <LinksUpToDate>false</LinksUpToDate>
  <CharactersWithSpaces>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2023-03-01T02:05:00Z</dcterms:created>
  <dc:creator>55202</dc:creator>
  <cp:lastModifiedBy>55202</cp:lastModifiedBy>
  <dcterms:modified xsi:type="dcterms:W3CDTF">2023-03-01T02:10:43Z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DD5759416EF2496BA44AE1904D503916</vt:lpwstr>
  </property>
</Properties>
</file>