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ascii="黑体" w:hAnsi="宋体" w:eastAsia="黑体" w:cs="宋体"/>
          <w:kern w:val="0"/>
          <w:sz w:val="28"/>
          <w:szCs w:val="28"/>
        </w:rPr>
      </w:pPr>
      <w:bookmarkStart w:id="0" w:name="_GoBack"/>
      <w:bookmarkEnd w:id="0"/>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spacing w:line="240" w:lineRule="auto"/>
        <w:ind w:firstLine="0" w:firstLineChars="0"/>
        <w:jc w:val="center"/>
        <w:rPr>
          <w:rFonts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spacing w:line="240" w:lineRule="auto"/>
        <w:ind w:firstLine="0" w:firstLineChars="0"/>
        <w:jc w:val="center"/>
        <w:rPr>
          <w:rFonts w:ascii="黑体" w:hAnsi="黑体" w:eastAsia="黑体" w:cs="黑体"/>
          <w:sz w:val="52"/>
          <w:szCs w:val="52"/>
        </w:rPr>
      </w:pPr>
      <w:r>
        <w:rPr>
          <w:rFonts w:hint="eastAsia" w:ascii="黑体" w:hAnsi="黑体" w:eastAsia="黑体" w:cs="黑体"/>
          <w:sz w:val="52"/>
          <w:szCs w:val="52"/>
        </w:rPr>
        <w:t>浉河区发展和改革委员会决算</w:t>
      </w:r>
    </w:p>
    <w:p>
      <w:pPr>
        <w:spacing w:line="240" w:lineRule="auto"/>
        <w:ind w:firstLine="0" w:firstLineChars="0"/>
        <w:jc w:val="center"/>
        <w:rPr>
          <w:rFonts w:ascii="黑体" w:hAnsi="黑体" w:eastAsia="黑体" w:cs="黑体"/>
          <w:sz w:val="52"/>
          <w:szCs w:val="52"/>
        </w:rPr>
      </w:pPr>
    </w:p>
    <w:p>
      <w:pPr>
        <w:spacing w:line="240" w:lineRule="auto"/>
        <w:ind w:firstLine="0" w:firstLineChars="0"/>
        <w:jc w:val="center"/>
        <w:rPr>
          <w:rFonts w:ascii="黑体" w:hAnsi="黑体" w:eastAsia="黑体" w:cs="黑体"/>
          <w:sz w:val="52"/>
          <w:szCs w:val="52"/>
        </w:rPr>
      </w:pPr>
    </w:p>
    <w:p>
      <w:pPr>
        <w:spacing w:line="240" w:lineRule="auto"/>
        <w:ind w:firstLine="0" w:firstLineChars="0"/>
        <w:jc w:val="center"/>
        <w:rPr>
          <w:rFonts w:ascii="黑体" w:hAnsi="黑体" w:eastAsia="黑体" w:cs="黑体"/>
          <w:sz w:val="52"/>
          <w:szCs w:val="52"/>
        </w:rPr>
      </w:pPr>
    </w:p>
    <w:p>
      <w:pPr>
        <w:spacing w:line="240" w:lineRule="auto"/>
        <w:ind w:firstLine="0" w:firstLineChars="0"/>
        <w:jc w:val="center"/>
        <w:rPr>
          <w:rFonts w:ascii="黑体" w:hAnsi="黑体" w:eastAsia="黑体" w:cs="黑体"/>
          <w:sz w:val="52"/>
          <w:szCs w:val="52"/>
        </w:rPr>
      </w:pPr>
    </w:p>
    <w:p>
      <w:pPr>
        <w:spacing w:line="240" w:lineRule="auto"/>
        <w:ind w:firstLine="0" w:firstLineChars="0"/>
        <w:jc w:val="center"/>
        <w:rPr>
          <w:rFonts w:ascii="黑体" w:hAnsi="黑体" w:eastAsia="黑体" w:cs="黑体"/>
          <w:sz w:val="52"/>
          <w:szCs w:val="52"/>
        </w:rPr>
      </w:pPr>
    </w:p>
    <w:p>
      <w:pPr>
        <w:spacing w:line="240" w:lineRule="auto"/>
        <w:ind w:firstLine="0" w:firstLineChars="0"/>
        <w:jc w:val="center"/>
        <w:rPr>
          <w:rFonts w:ascii="黑体" w:hAnsi="黑体" w:eastAsia="黑体" w:cs="黑体"/>
          <w:sz w:val="52"/>
          <w:szCs w:val="52"/>
        </w:rPr>
      </w:pPr>
    </w:p>
    <w:p>
      <w:pPr>
        <w:spacing w:line="240" w:lineRule="auto"/>
        <w:ind w:firstLine="0" w:firstLineChars="0"/>
        <w:jc w:val="center"/>
        <w:rPr>
          <w:rFonts w:ascii="黑体" w:hAnsi="黑体" w:eastAsia="黑体" w:cs="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Cs w:val="32"/>
        </w:rPr>
        <w:t>二〇二二年八月</w:t>
      </w:r>
    </w:p>
    <w:p>
      <w:pPr>
        <w:spacing w:line="240" w:lineRule="auto"/>
        <w:ind w:firstLine="0" w:firstLineChars="0"/>
        <w:jc w:val="center"/>
        <w:rPr>
          <w:rFonts w:ascii="黑体" w:hAnsi="黑体" w:eastAsia="黑体" w:cs="黑体"/>
          <w:sz w:val="36"/>
          <w:szCs w:val="36"/>
        </w:rPr>
      </w:pPr>
      <w:r>
        <w:rPr>
          <w:rFonts w:hint="eastAsia" w:ascii="黑体" w:hAnsi="黑体" w:eastAsia="黑体" w:cs="黑体"/>
          <w:sz w:val="36"/>
          <w:szCs w:val="36"/>
        </w:rPr>
        <w:t>目　　录</w:t>
      </w:r>
    </w:p>
    <w:p>
      <w:pPr>
        <w:spacing w:line="240" w:lineRule="auto"/>
        <w:ind w:firstLine="0" w:firstLineChars="0"/>
        <w:jc w:val="left"/>
        <w:rPr>
          <w:rFonts w:ascii="黑体" w:hAnsi="黑体" w:eastAsia="黑体" w:cs="黑体"/>
          <w:szCs w:val="32"/>
        </w:rPr>
      </w:pPr>
      <w:r>
        <w:rPr>
          <w:rFonts w:hint="eastAsia" w:ascii="黑体" w:hAnsi="黑体" w:eastAsia="黑体" w:cs="黑体"/>
          <w:szCs w:val="32"/>
        </w:rPr>
        <w:t>第一部分　发改委概况</w:t>
      </w:r>
    </w:p>
    <w:p>
      <w:pPr>
        <w:numPr>
          <w:ilvl w:val="0"/>
          <w:numId w:val="1"/>
        </w:numPr>
        <w:spacing w:line="240" w:lineRule="auto"/>
        <w:ind w:firstLine="640" w:firstLineChars="0"/>
        <w:jc w:val="left"/>
        <w:rPr>
          <w:rFonts w:ascii="宋体" w:hAnsi="宋体" w:eastAsia="宋体" w:cs="宋体"/>
          <w:szCs w:val="32"/>
        </w:rPr>
      </w:pPr>
      <w:r>
        <w:rPr>
          <w:rFonts w:hint="eastAsia" w:ascii="宋体" w:hAnsi="宋体" w:eastAsia="宋体" w:cs="宋体"/>
          <w:szCs w:val="32"/>
        </w:rPr>
        <w:t>部门职责</w:t>
      </w:r>
    </w:p>
    <w:p>
      <w:pPr>
        <w:numPr>
          <w:ilvl w:val="0"/>
          <w:numId w:val="1"/>
        </w:numPr>
        <w:spacing w:line="240" w:lineRule="auto"/>
        <w:ind w:firstLine="640" w:firstLineChars="0"/>
        <w:jc w:val="left"/>
        <w:rPr>
          <w:rFonts w:ascii="宋体" w:hAnsi="宋体" w:eastAsia="宋体" w:cs="宋体"/>
          <w:szCs w:val="32"/>
        </w:rPr>
      </w:pPr>
      <w:r>
        <w:rPr>
          <w:rFonts w:hint="eastAsia" w:ascii="宋体" w:hAnsi="宋体" w:eastAsia="宋体" w:cs="宋体"/>
          <w:szCs w:val="32"/>
        </w:rPr>
        <w:t>机构设置</w:t>
      </w:r>
    </w:p>
    <w:p>
      <w:pPr>
        <w:spacing w:line="240" w:lineRule="auto"/>
        <w:ind w:firstLine="0" w:firstLineChars="0"/>
        <w:jc w:val="left"/>
        <w:rPr>
          <w:rFonts w:ascii="黑体" w:hAnsi="黑体" w:eastAsia="黑体" w:cs="黑体"/>
          <w:szCs w:val="32"/>
        </w:rPr>
      </w:pPr>
      <w:r>
        <w:rPr>
          <w:rFonts w:hint="eastAsia" w:ascii="黑体" w:hAnsi="黑体" w:eastAsia="黑体" w:cs="黑体"/>
          <w:szCs w:val="32"/>
        </w:rPr>
        <w:t>第二部分  2021年度部门决算表</w:t>
      </w:r>
    </w:p>
    <w:p>
      <w:pPr>
        <w:spacing w:line="240" w:lineRule="auto"/>
        <w:ind w:firstLine="640"/>
        <w:jc w:val="left"/>
        <w:rPr>
          <w:rFonts w:ascii="宋体" w:hAnsi="宋体" w:eastAsia="宋体" w:cs="黑体"/>
          <w:szCs w:val="32"/>
        </w:rPr>
      </w:pPr>
      <w:r>
        <w:rPr>
          <w:rFonts w:hint="eastAsia" w:ascii="宋体" w:hAnsi="宋体" w:eastAsia="宋体" w:cs="黑体"/>
          <w:szCs w:val="32"/>
        </w:rPr>
        <w:t>一、收入支出决算总表</w:t>
      </w:r>
    </w:p>
    <w:p>
      <w:pPr>
        <w:spacing w:line="240" w:lineRule="auto"/>
        <w:ind w:firstLine="640"/>
        <w:jc w:val="left"/>
        <w:rPr>
          <w:rFonts w:ascii="宋体" w:hAnsi="宋体" w:eastAsia="宋体" w:cs="黑体"/>
          <w:szCs w:val="32"/>
        </w:rPr>
      </w:pPr>
      <w:r>
        <w:rPr>
          <w:rFonts w:hint="eastAsia" w:ascii="宋体" w:hAnsi="宋体" w:eastAsia="宋体" w:cs="黑体"/>
          <w:szCs w:val="32"/>
        </w:rPr>
        <w:t>二、收入决算表</w:t>
      </w:r>
    </w:p>
    <w:p>
      <w:pPr>
        <w:spacing w:line="240" w:lineRule="auto"/>
        <w:ind w:firstLine="640"/>
        <w:jc w:val="left"/>
        <w:rPr>
          <w:rFonts w:ascii="宋体" w:hAnsi="宋体" w:eastAsia="宋体" w:cs="黑体"/>
          <w:szCs w:val="32"/>
        </w:rPr>
      </w:pPr>
      <w:r>
        <w:rPr>
          <w:rFonts w:hint="eastAsia" w:ascii="宋体" w:hAnsi="宋体" w:eastAsia="宋体" w:cs="黑体"/>
          <w:szCs w:val="32"/>
        </w:rPr>
        <w:t>三、支出决算表</w:t>
      </w:r>
    </w:p>
    <w:p>
      <w:pPr>
        <w:spacing w:line="240" w:lineRule="auto"/>
        <w:ind w:firstLine="640"/>
        <w:jc w:val="left"/>
        <w:rPr>
          <w:rFonts w:ascii="宋体" w:hAnsi="宋体" w:eastAsia="宋体" w:cs="黑体"/>
          <w:szCs w:val="32"/>
        </w:rPr>
      </w:pPr>
      <w:r>
        <w:rPr>
          <w:rFonts w:hint="eastAsia" w:ascii="宋体" w:hAnsi="宋体" w:eastAsia="宋体" w:cs="黑体"/>
          <w:szCs w:val="32"/>
        </w:rPr>
        <w:t>四、财政拨款收入支出决算总表</w:t>
      </w:r>
    </w:p>
    <w:p>
      <w:pPr>
        <w:spacing w:line="240" w:lineRule="auto"/>
        <w:ind w:firstLine="640"/>
        <w:jc w:val="left"/>
        <w:rPr>
          <w:rFonts w:ascii="宋体" w:hAnsi="宋体" w:eastAsia="宋体" w:cs="黑体"/>
          <w:szCs w:val="32"/>
        </w:rPr>
      </w:pPr>
      <w:r>
        <w:rPr>
          <w:rFonts w:hint="eastAsia" w:ascii="宋体" w:hAnsi="宋体" w:eastAsia="宋体" w:cs="黑体"/>
          <w:szCs w:val="32"/>
        </w:rPr>
        <w:t>五、一般公共预算财政拨款支出决算表</w:t>
      </w:r>
    </w:p>
    <w:p>
      <w:pPr>
        <w:spacing w:line="240" w:lineRule="auto"/>
        <w:ind w:firstLine="640"/>
        <w:jc w:val="left"/>
        <w:rPr>
          <w:rFonts w:ascii="宋体" w:hAnsi="宋体" w:eastAsia="宋体" w:cs="黑体"/>
          <w:szCs w:val="32"/>
        </w:rPr>
      </w:pPr>
      <w:r>
        <w:rPr>
          <w:rFonts w:hint="eastAsia" w:ascii="宋体" w:hAnsi="宋体" w:eastAsia="宋体" w:cs="黑体"/>
          <w:szCs w:val="32"/>
        </w:rPr>
        <w:t>六、一般公共预算财政拨款基本支出决算明细表</w:t>
      </w:r>
    </w:p>
    <w:p>
      <w:pPr>
        <w:spacing w:line="240" w:lineRule="auto"/>
        <w:ind w:firstLine="640"/>
        <w:jc w:val="left"/>
        <w:rPr>
          <w:rFonts w:ascii="宋体" w:hAnsi="宋体" w:eastAsia="宋体" w:cs="黑体"/>
          <w:szCs w:val="32"/>
        </w:rPr>
      </w:pPr>
      <w:r>
        <w:rPr>
          <w:rFonts w:hint="eastAsia" w:ascii="宋体" w:hAnsi="宋体" w:eastAsia="宋体" w:cs="黑体"/>
          <w:szCs w:val="32"/>
        </w:rPr>
        <w:t>七、一般公共预算财政拨款“三公”经费支出决算表</w:t>
      </w:r>
    </w:p>
    <w:p>
      <w:pPr>
        <w:spacing w:line="240" w:lineRule="auto"/>
        <w:ind w:firstLine="640"/>
        <w:jc w:val="left"/>
        <w:rPr>
          <w:rFonts w:ascii="宋体" w:hAnsi="宋体" w:eastAsia="宋体" w:cs="黑体"/>
          <w:szCs w:val="32"/>
        </w:rPr>
      </w:pPr>
      <w:r>
        <w:rPr>
          <w:rFonts w:hint="eastAsia" w:ascii="宋体" w:hAnsi="宋体" w:eastAsia="宋体" w:cs="黑体"/>
          <w:szCs w:val="32"/>
        </w:rPr>
        <w:t>八、政府性基金预算财政拨款收入支出决算表</w:t>
      </w:r>
    </w:p>
    <w:p>
      <w:pPr>
        <w:spacing w:line="240" w:lineRule="auto"/>
        <w:ind w:firstLine="640"/>
        <w:jc w:val="left"/>
        <w:rPr>
          <w:rFonts w:ascii="宋体" w:hAnsi="宋体" w:eastAsia="宋体" w:cs="黑体"/>
          <w:szCs w:val="32"/>
        </w:rPr>
      </w:pPr>
      <w:r>
        <w:rPr>
          <w:rFonts w:hint="eastAsia" w:ascii="宋体" w:hAnsi="宋体" w:eastAsia="宋体" w:cs="黑体"/>
          <w:szCs w:val="32"/>
        </w:rPr>
        <w:t>九、政府采购支出情况表</w:t>
      </w:r>
    </w:p>
    <w:p>
      <w:pPr>
        <w:spacing w:line="240" w:lineRule="auto"/>
        <w:ind w:firstLine="640"/>
        <w:jc w:val="left"/>
        <w:rPr>
          <w:rFonts w:ascii="宋体" w:hAnsi="宋体" w:eastAsia="宋体" w:cs="黑体"/>
          <w:szCs w:val="32"/>
        </w:rPr>
      </w:pPr>
      <w:r>
        <w:rPr>
          <w:rFonts w:hint="eastAsia" w:ascii="宋体" w:hAnsi="宋体" w:eastAsia="宋体" w:cs="黑体"/>
          <w:szCs w:val="32"/>
        </w:rPr>
        <w:t>十、国有资本经营收支决算表</w:t>
      </w:r>
    </w:p>
    <w:p>
      <w:pPr>
        <w:spacing w:line="240" w:lineRule="auto"/>
        <w:ind w:firstLine="0" w:firstLineChars="0"/>
        <w:jc w:val="left"/>
        <w:rPr>
          <w:rFonts w:ascii="黑体" w:hAnsi="黑体" w:eastAsia="黑体" w:cs="黑体"/>
          <w:szCs w:val="32"/>
        </w:rPr>
      </w:pPr>
      <w:r>
        <w:rPr>
          <w:rFonts w:hint="eastAsia" w:ascii="黑体" w:hAnsi="黑体" w:eastAsia="黑体" w:cs="黑体"/>
          <w:szCs w:val="32"/>
        </w:rPr>
        <w:t>第三部分　</w:t>
      </w:r>
      <w:r>
        <w:rPr>
          <w:rFonts w:ascii="黑体" w:hAnsi="黑体" w:eastAsia="黑体" w:cs="黑体"/>
          <w:szCs w:val="32"/>
        </w:rPr>
        <w:t>2021</w:t>
      </w:r>
      <w:r>
        <w:rPr>
          <w:rFonts w:hint="eastAsia" w:ascii="黑体" w:hAnsi="黑体" w:eastAsia="黑体" w:cs="黑体"/>
          <w:szCs w:val="32"/>
        </w:rPr>
        <w:t>年度</w:t>
      </w:r>
      <w:r>
        <w:rPr>
          <w:rFonts w:ascii="黑体" w:hAnsi="黑体" w:eastAsia="黑体" w:cs="黑体"/>
          <w:szCs w:val="32"/>
        </w:rPr>
        <w:t>部门</w:t>
      </w:r>
      <w:r>
        <w:rPr>
          <w:rFonts w:hint="eastAsia" w:ascii="黑体" w:hAnsi="黑体" w:eastAsia="黑体" w:cs="黑体"/>
          <w:szCs w:val="32"/>
        </w:rPr>
        <w:t>决算情况说明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一、收入支出决算总体情况说明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二、收入决算情况说明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三、支出决算情况说明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四、财政拨款收入支出决算总体情况说明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五、一般公共预算财政拨款支出决算情况说明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六、一般公共预算财政拨款基本支出决算情况说明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七、一般公共预算财政拨款“三公”经费支出决算情况说明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八、政府性基金预算财政拨款支出决算情况说明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九、机关运行经费支出情况说明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十、政府采购支出情况说明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十一、国有资产占用情况说明</w:t>
      </w:r>
    </w:p>
    <w:p>
      <w:pPr>
        <w:spacing w:line="240" w:lineRule="auto"/>
        <w:ind w:firstLine="640"/>
        <w:jc w:val="left"/>
        <w:rPr>
          <w:rFonts w:ascii="宋体" w:hAnsi="宋体" w:eastAsia="宋体" w:cs="宋体"/>
          <w:szCs w:val="32"/>
        </w:rPr>
      </w:pPr>
      <w:r>
        <w:rPr>
          <w:rFonts w:hint="eastAsia" w:ascii="宋体" w:hAnsi="宋体" w:eastAsia="宋体" w:cs="宋体"/>
          <w:szCs w:val="32"/>
        </w:rPr>
        <w:t>十二、预算绩效情况说明</w:t>
      </w:r>
    </w:p>
    <w:p>
      <w:pPr>
        <w:spacing w:line="240" w:lineRule="auto"/>
        <w:ind w:firstLine="0" w:firstLineChars="0"/>
        <w:jc w:val="left"/>
        <w:rPr>
          <w:rFonts w:ascii="黑体" w:hAnsi="黑体" w:eastAsia="黑体" w:cs="黑体"/>
          <w:szCs w:val="32"/>
        </w:rPr>
      </w:pPr>
      <w:r>
        <w:rPr>
          <w:rFonts w:hint="eastAsia" w:ascii="黑体" w:hAnsi="黑体" w:eastAsia="黑体" w:cs="黑体"/>
          <w:szCs w:val="32"/>
        </w:rPr>
        <w:t>第四部分　　名词解释</w:t>
      </w: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pPr>
    </w:p>
    <w:p>
      <w:pPr>
        <w:pStyle w:val="2"/>
        <w:rPr>
          <w:rFonts w:hAnsi="宋体" w:cs="宋体"/>
          <w:kern w:val="0"/>
          <w:sz w:val="28"/>
          <w:szCs w:val="28"/>
        </w:rPr>
      </w:pPr>
      <w:r>
        <w:rPr>
          <w:rFonts w:hint="eastAsia"/>
        </w:rPr>
        <w:t>第一部分  浉河区发改委概况</w:t>
      </w:r>
    </w:p>
    <w:p>
      <w:pPr>
        <w:pStyle w:val="3"/>
        <w:ind w:firstLine="640"/>
      </w:pPr>
      <w:r>
        <w:rPr>
          <w:rFonts w:hint="eastAsia"/>
        </w:rPr>
        <w:t>一、部门职责</w:t>
      </w:r>
    </w:p>
    <w:p>
      <w:pPr>
        <w:spacing w:line="560" w:lineRule="exact"/>
        <w:ind w:firstLine="643"/>
      </w:pPr>
      <w:r>
        <w:rPr>
          <w:rFonts w:hint="eastAsia" w:ascii="仿宋"/>
          <w:b/>
          <w:bCs/>
          <w:szCs w:val="32"/>
        </w:rPr>
        <w:t>（一）</w:t>
      </w:r>
      <w:r>
        <w:rPr>
          <w:rFonts w:hint="eastAsia"/>
        </w:rPr>
        <w:t>拟订并组织实施全区国民经济和社会发展战略、中长期规划和年度计划；统筹协调经济社会发展，研究分析经济形势，提出国民经济发展、价格总水平调控和优化经济结构的目标、政策，提出综合运用各种经济手段和政策的建议；衔接平衡区域性规划、行业规划与专项规划；受区政府委托向区人大提交国民经济和社会发展计划及执行情况的报告。</w:t>
      </w:r>
    </w:p>
    <w:p>
      <w:pPr>
        <w:pStyle w:val="3"/>
        <w:ind w:firstLine="640"/>
      </w:pPr>
      <w:r>
        <w:rPr>
          <w:rFonts w:hint="eastAsia"/>
        </w:rPr>
        <w:t>二、机构设置</w:t>
      </w:r>
    </w:p>
    <w:p>
      <w:pPr>
        <w:widowControl/>
        <w:spacing w:line="240" w:lineRule="auto"/>
        <w:ind w:firstLine="64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信阳市浉河区发改委内设5个职能股室，包括4个二级机构。</w:t>
      </w:r>
    </w:p>
    <w:p>
      <w:pPr>
        <w:widowControl/>
        <w:spacing w:line="240" w:lineRule="auto"/>
        <w:ind w:firstLine="64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从决算单位构成看，发改委部门决算包括：本级决算、所属事业单位决算。</w:t>
      </w:r>
    </w:p>
    <w:p>
      <w:pPr>
        <w:widowControl/>
        <w:spacing w:line="240" w:lineRule="auto"/>
        <w:ind w:firstLine="640"/>
        <w:jc w:val="left"/>
        <w:rPr>
          <w:rFonts w:ascii="仿宋_GB2312" w:hAnsi="仿宋_GB2312" w:eastAsia="仿宋_GB2312" w:cs="仿宋_GB2312"/>
          <w:kern w:val="0"/>
          <w:szCs w:val="32"/>
        </w:rPr>
      </w:pPr>
      <w:r>
        <w:rPr>
          <w:rFonts w:ascii="仿宋_GB2312" w:hAnsi="仿宋_GB2312" w:eastAsia="仿宋_GB2312" w:cs="仿宋_GB2312"/>
          <w:kern w:val="0"/>
          <w:szCs w:val="32"/>
        </w:rPr>
        <w:t>2021</w:t>
      </w:r>
      <w:r>
        <w:rPr>
          <w:rFonts w:hint="eastAsia" w:ascii="仿宋_GB2312" w:hAnsi="仿宋_GB2312" w:eastAsia="仿宋_GB2312" w:cs="仿宋_GB2312"/>
          <w:kern w:val="0"/>
          <w:szCs w:val="32"/>
        </w:rPr>
        <w:t>年度</w:t>
      </w:r>
    </w:p>
    <w:p>
      <w:pPr>
        <w:widowControl/>
        <w:spacing w:line="240" w:lineRule="auto"/>
        <w:ind w:firstLine="64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纳入本部门2021年度部门决算编制范围的单位共4个，其中二级预算单位包括：</w:t>
      </w:r>
    </w:p>
    <w:p>
      <w:pPr>
        <w:spacing w:line="360" w:lineRule="auto"/>
        <w:ind w:left="210" w:firstLine="320" w:firstLineChars="100"/>
        <w:jc w:val="left"/>
        <w:rPr>
          <w:rFonts w:ascii="??_GB2312" w:hAnsi="??_GB2312" w:eastAsia="宋体" w:cs="??_GB2312"/>
          <w:szCs w:val="32"/>
        </w:rPr>
      </w:pPr>
      <w:r>
        <w:rPr>
          <w:rFonts w:hint="eastAsia" w:ascii="仿宋_GB2312" w:hAnsi="仿宋_GB2312" w:eastAsia="仿宋_GB2312" w:cs="仿宋_GB2312"/>
          <w:kern w:val="0"/>
          <w:szCs w:val="32"/>
        </w:rPr>
        <w:t>1.</w:t>
      </w:r>
      <w:r>
        <w:rPr>
          <w:rFonts w:hint="eastAsia" w:ascii="宋体" w:hAnsi="宋体" w:eastAsia="宋体" w:cs="宋体"/>
          <w:szCs w:val="32"/>
        </w:rPr>
        <w:t>浉河区项目办</w:t>
      </w:r>
    </w:p>
    <w:p>
      <w:pPr>
        <w:spacing w:line="360" w:lineRule="auto"/>
        <w:ind w:left="210" w:firstLine="320" w:firstLineChars="1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2.浉河区经济协作办公室</w:t>
      </w:r>
    </w:p>
    <w:p>
      <w:pPr>
        <w:spacing w:line="360" w:lineRule="auto"/>
        <w:ind w:left="210" w:firstLine="320" w:firstLineChars="1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3.浉河区国民经济动员办公室</w:t>
      </w:r>
    </w:p>
    <w:p>
      <w:pPr>
        <w:spacing w:line="360" w:lineRule="auto"/>
        <w:ind w:left="210" w:firstLine="320" w:firstLineChars="1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4.浉河区以工代赈办公室</w:t>
      </w:r>
    </w:p>
    <w:p>
      <w:pPr>
        <w:widowControl/>
        <w:spacing w:line="240" w:lineRule="auto"/>
        <w:ind w:firstLine="0" w:firstLineChars="0"/>
        <w:jc w:val="left"/>
        <w:rPr>
          <w:rFonts w:ascii="黑体" w:hAnsi="宋体" w:eastAsia="黑体" w:cs="宋体"/>
          <w:kern w:val="0"/>
          <w:sz w:val="28"/>
          <w:szCs w:val="28"/>
        </w:rPr>
      </w:pPr>
    </w:p>
    <w:p>
      <w:pPr>
        <w:widowControl/>
        <w:spacing w:line="240" w:lineRule="auto"/>
        <w:ind w:firstLine="0" w:firstLineChars="0"/>
        <w:jc w:val="left"/>
        <w:rPr>
          <w:rFonts w:ascii="黑体" w:hAnsi="宋体" w:eastAsia="黑体" w:cs="宋体"/>
          <w:kern w:val="0"/>
          <w:sz w:val="28"/>
          <w:szCs w:val="28"/>
        </w:rPr>
        <w:sectPr>
          <w:footerReference r:id="rId11" w:type="default"/>
          <w:footerReference r:id="rId12" w:type="even"/>
          <w:pgSz w:w="11906" w:h="16838"/>
          <w:pgMar w:top="1440" w:right="1800" w:bottom="1440" w:left="1800" w:header="720" w:footer="720" w:gutter="0"/>
          <w:pgNumType w:fmt="numberInDash"/>
          <w:cols w:space="720" w:num="1"/>
          <w:docGrid w:type="lines" w:linePitch="312" w:charSpace="0"/>
        </w:sectPr>
      </w:pPr>
    </w:p>
    <w:p>
      <w:pPr>
        <w:numPr>
          <w:ilvl w:val="0"/>
          <w:numId w:val="2"/>
        </w:numPr>
        <w:spacing w:line="240" w:lineRule="auto"/>
        <w:ind w:firstLineChars="0"/>
        <w:jc w:val="center"/>
        <w:outlineLvl w:val="0"/>
        <w:rPr>
          <w:rFonts w:ascii="黑体" w:hAnsi="黑体" w:eastAsia="黑体" w:cs="黑体"/>
          <w:sz w:val="48"/>
          <w:szCs w:val="48"/>
        </w:rPr>
      </w:pPr>
      <w:r>
        <w:rPr>
          <w:rFonts w:hint="eastAsia" w:ascii="黑体" w:hAnsi="黑体" w:eastAsia="黑体" w:cs="黑体"/>
          <w:sz w:val="48"/>
          <w:szCs w:val="48"/>
        </w:rPr>
        <w:t>2021年度部门决算表</w:t>
      </w:r>
    </w:p>
    <w:p>
      <w:pPr>
        <w:spacing w:line="240" w:lineRule="auto"/>
        <w:ind w:firstLine="0" w:firstLineChars="0"/>
        <w:jc w:val="center"/>
        <w:outlineLvl w:val="0"/>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435" w:charSpace="0"/>
        </w:sectPr>
      </w:pPr>
      <w:r>
        <w:rPr>
          <w:rFonts w:hint="eastAsia" w:ascii="黑体" w:hAnsi="黑体" w:eastAsia="黑体" w:cs="黑体"/>
          <w:sz w:val="48"/>
          <w:szCs w:val="48"/>
        </w:rPr>
        <w:t>（见Excel表）</w:t>
      </w:r>
    </w:p>
    <w:p>
      <w:pPr>
        <w:spacing w:line="240" w:lineRule="auto"/>
        <w:ind w:firstLine="0" w:firstLineChars="0"/>
        <w:jc w:val="center"/>
        <w:outlineLvl w:val="0"/>
        <w:rPr>
          <w:rFonts w:ascii="黑体" w:hAnsi="黑体" w:eastAsia="黑体" w:cs="黑体"/>
          <w:sz w:val="48"/>
          <w:szCs w:val="48"/>
        </w:rPr>
      </w:pPr>
      <w:r>
        <w:rPr>
          <w:rFonts w:hint="eastAsia" w:ascii="黑体" w:hAnsi="黑体" w:eastAsia="黑体" w:cs="黑体"/>
          <w:sz w:val="48"/>
          <w:szCs w:val="48"/>
        </w:rPr>
        <w:t>第三部分 2021年度部门决算情况说明</w:t>
      </w:r>
    </w:p>
    <w:p>
      <w:pPr>
        <w:widowControl/>
        <w:spacing w:line="240" w:lineRule="auto"/>
        <w:ind w:firstLine="0" w:firstLineChars="0"/>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pStyle w:val="3"/>
        <w:ind w:firstLine="640"/>
      </w:pPr>
      <w:r>
        <w:rPr>
          <w:rFonts w:hint="eastAsia"/>
        </w:rPr>
        <w:t>一、收入支出决算总体情况说明</w:t>
      </w:r>
    </w:p>
    <w:p>
      <w:pPr>
        <w:ind w:firstLine="640"/>
        <w:rPr>
          <w:rFonts w:ascii="黑体" w:hAnsi="黑体" w:eastAsia="黑体" w:cs="黑体"/>
        </w:rPr>
      </w:pPr>
      <w:r>
        <w:t>2021</w:t>
      </w:r>
      <w:r>
        <w:rPr>
          <w:rFonts w:hint="eastAsia"/>
        </w:rPr>
        <w:t>年度收、支总计均为1072.42万元。与上年度相比，收、支总计各增加20万元，增长1%。主要原因是因目标考核奖、健康修养费、职业年金做入预算及新增项目，费用增加。</w:t>
      </w:r>
    </w:p>
    <w:p>
      <w:pPr>
        <w:pStyle w:val="3"/>
        <w:ind w:firstLine="640"/>
      </w:pPr>
      <w:r>
        <w:rPr>
          <w:rFonts w:hint="eastAsia"/>
        </w:rPr>
        <w:t>二、收入决算情况说明</w:t>
      </w:r>
    </w:p>
    <w:p>
      <w:pPr>
        <w:ind w:firstLine="640"/>
        <w:rPr>
          <w:rFonts w:ascii="黑体" w:hAnsi="黑体" w:eastAsia="黑体" w:cs="黑体"/>
        </w:rPr>
      </w:pPr>
      <w:r>
        <w:t>2021</w:t>
      </w:r>
      <w:r>
        <w:rPr>
          <w:rFonts w:hint="eastAsia"/>
        </w:rPr>
        <w:t>年度收入合计1072.42万元，其中：财政拨款收入1072.2万元，占100%；上级补助收入0万元，占0%；事业收入0万元，占0%；经营收入0万元，占0%；附属单位上缴收入0万元，占0%；其他收入0万元，占0%。</w:t>
      </w:r>
    </w:p>
    <w:p>
      <w:pPr>
        <w:pStyle w:val="3"/>
        <w:ind w:firstLine="640"/>
      </w:pPr>
      <w:r>
        <w:rPr>
          <w:rFonts w:hint="eastAsia"/>
        </w:rPr>
        <w:t>三、支出决算情况说明</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年度支出合计1072.42万元，其中：基本支出1072.42万元，占100%；项目支出0万元，占0%；上缴上级支出0万元，占0%；经营支出0万元，占0%；对附属单位补助支出0万元，占0%。</w:t>
      </w:r>
    </w:p>
    <w:p>
      <w:pPr>
        <w:pStyle w:val="3"/>
        <w:ind w:firstLine="640"/>
      </w:pPr>
      <w:r>
        <w:rPr>
          <w:rFonts w:hint="eastAsia"/>
        </w:rPr>
        <w:t>四、财政拨款收入支出决算总体情况说明</w:t>
      </w:r>
    </w:p>
    <w:p>
      <w:pPr>
        <w:ind w:firstLine="640"/>
      </w:pPr>
      <w:r>
        <w:t>2021</w:t>
      </w:r>
      <w:r>
        <w:rPr>
          <w:rFonts w:hint="eastAsia"/>
        </w:rPr>
        <w:t>年度财政拨款收、支总计均为1072.42万元。与上年度相比，财政拨款收、支总计各增加20万元，增长1%。主要原因是因目标考核奖、健康修养费、职业年金做入预算及新增项目，费用增加。</w:t>
      </w:r>
    </w:p>
    <w:p>
      <w:pPr>
        <w:pStyle w:val="3"/>
        <w:ind w:firstLine="640"/>
      </w:pPr>
      <w:r>
        <w:rPr>
          <w:rFonts w:hint="eastAsia"/>
        </w:rPr>
        <w:t>五、一般公共预算财政拨款支出决算情况说明</w:t>
      </w:r>
    </w:p>
    <w:p>
      <w:pPr>
        <w:widowControl/>
        <w:ind w:firstLine="643"/>
        <w:rPr>
          <w:rFonts w:ascii="楷体_GB2312" w:hAnsi="楷体_GB2312" w:eastAsia="楷体_GB2312" w:cs="楷体_GB2312"/>
          <w:b/>
          <w:bCs/>
          <w:szCs w:val="32"/>
        </w:rPr>
      </w:pPr>
      <w:r>
        <w:rPr>
          <w:rFonts w:hint="eastAsia" w:ascii="楷体_GB2312" w:hAnsi="楷体_GB2312" w:eastAsia="楷体_GB2312" w:cs="楷体_GB2312"/>
          <w:b/>
          <w:bCs/>
          <w:szCs w:val="32"/>
        </w:rPr>
        <w:t>（一）总体情况。</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年度一般公共预算财政拨款支出1072.42万元，占支出合计的100%。与上年度相比，一般公共预算财政拨款支出增加20万元，增长1%。主要原因是</w:t>
      </w:r>
      <w:r>
        <w:rPr>
          <w:rFonts w:hint="eastAsia" w:ascii="??_GB2312" w:hAnsi="宋体" w:eastAsia="宋体" w:cs="Courier New"/>
          <w:szCs w:val="32"/>
        </w:rPr>
        <w:t>因目标考核奖、健康修养费、职业年金做入预算及新增项目，费用增加。</w:t>
      </w:r>
      <w:r>
        <w:rPr>
          <w:rFonts w:hint="eastAsia" w:ascii="仿宋_GB2312" w:hAnsi="仿宋_GB2312" w:eastAsia="仿宋_GB2312" w:cs="仿宋_GB2312"/>
          <w:szCs w:val="32"/>
        </w:rPr>
        <w:t>。</w:t>
      </w:r>
    </w:p>
    <w:p>
      <w:pPr>
        <w:widowControl/>
        <w:ind w:firstLine="643"/>
        <w:rPr>
          <w:rFonts w:ascii="楷体_GB2312" w:hAnsi="楷体_GB2312" w:eastAsia="楷体_GB2312" w:cs="楷体_GB2312"/>
          <w:b/>
          <w:bCs/>
          <w:szCs w:val="32"/>
        </w:rPr>
      </w:pPr>
      <w:r>
        <w:rPr>
          <w:rFonts w:hint="eastAsia" w:ascii="楷体_GB2312" w:hAnsi="楷体_GB2312" w:eastAsia="楷体_GB2312" w:cs="楷体_GB2312"/>
          <w:b/>
          <w:bCs/>
          <w:szCs w:val="32"/>
        </w:rPr>
        <w:t>（二）结构情况。</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一般公共预算财政拨款支出1072.2万元，主要用于以下方面：一般公共服务（类）支出943.11万元，占87.96%；外交（类）支出0，占0%；社会报账与就业支出74.21万元，占7%。卫生健康支出32.57万，占3%，住房保障支出22.52万，占2%。</w:t>
      </w:r>
    </w:p>
    <w:p>
      <w:pPr>
        <w:widowControl/>
        <w:ind w:firstLine="643"/>
        <w:rPr>
          <w:rFonts w:ascii="楷体_GB2312" w:hAnsi="楷体_GB2312" w:eastAsia="楷体_GB2312" w:cs="楷体_GB2312"/>
          <w:b/>
          <w:bCs/>
          <w:szCs w:val="32"/>
        </w:rPr>
      </w:pPr>
      <w:r>
        <w:rPr>
          <w:rFonts w:hint="eastAsia" w:ascii="楷体_GB2312" w:hAnsi="楷体_GB2312" w:eastAsia="楷体_GB2312" w:cs="楷体_GB2312"/>
          <w:b/>
          <w:bCs/>
          <w:szCs w:val="32"/>
        </w:rPr>
        <w:t>（三）具体情况。</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年度一般公共预算财政拨款支出年初预算为1613.2万元，支出决算为1072.2万元，完成年初预算的66%。其中：</w:t>
      </w:r>
    </w:p>
    <w:p>
      <w:pPr>
        <w:widowControl/>
        <w:ind w:firstLine="640"/>
        <w:rPr>
          <w:rFonts w:ascii="仿宋_GB2312" w:hAnsi="仿宋_GB2312" w:eastAsia="仿宋_GB2312" w:cs="仿宋_GB2312"/>
          <w:szCs w:val="32"/>
        </w:rPr>
      </w:pPr>
      <w:r>
        <w:rPr>
          <w:rFonts w:hint="eastAsia" w:ascii="仿宋_GB2312" w:hAnsi="仿宋_GB2312" w:eastAsia="仿宋_GB2312" w:cs="仿宋_GB2312"/>
          <w:b/>
          <w:bCs/>
          <w:szCs w:val="32"/>
        </w:rPr>
        <w:t>1．</w:t>
      </w:r>
      <w:r>
        <w:rPr>
          <w:rFonts w:hint="eastAsia" w:ascii="仿宋_GB2312" w:eastAsia="仿宋_GB2312" w:cs="Courier New"/>
          <w:b/>
          <w:bCs/>
          <w:szCs w:val="32"/>
        </w:rPr>
        <w:t>一般公共服务</w:t>
      </w:r>
      <w:r>
        <w:rPr>
          <w:rFonts w:hint="eastAsia" w:ascii="仿宋_GB2312" w:hAnsi="仿宋_GB2312" w:eastAsia="仿宋_GB2312" w:cs="仿宋_GB2312"/>
          <w:b/>
          <w:bCs/>
          <w:szCs w:val="32"/>
        </w:rPr>
        <w:t>（类）发展与改革事务（款）</w:t>
      </w:r>
      <w:r>
        <w:rPr>
          <w:rFonts w:hint="eastAsia" w:ascii="仿宋_GB2312" w:eastAsia="仿宋_GB2312" w:cs="Courier New"/>
          <w:b/>
          <w:bCs/>
          <w:szCs w:val="32"/>
        </w:rPr>
        <w:t>行政运行</w:t>
      </w:r>
      <w:r>
        <w:rPr>
          <w:rFonts w:hint="eastAsia" w:ascii="仿宋_GB2312" w:hAnsi="仿宋_GB2312" w:eastAsia="仿宋_GB2312" w:cs="仿宋_GB2312"/>
          <w:b/>
          <w:bCs/>
          <w:szCs w:val="32"/>
        </w:rPr>
        <w:t>（项）。</w:t>
      </w:r>
      <w:r>
        <w:rPr>
          <w:rFonts w:hint="eastAsia" w:ascii="仿宋_GB2312" w:hAnsi="仿宋_GB2312" w:eastAsia="仿宋_GB2312" w:cs="仿宋_GB2312"/>
          <w:szCs w:val="32"/>
        </w:rPr>
        <w:t>年初预算为1379.9万元，支出决算为943.11万元，完成年初预算的68%。决算数与年初预算数存在差异的主要原因是压缩开支。</w:t>
      </w:r>
    </w:p>
    <w:p>
      <w:pPr>
        <w:widowControl/>
        <w:ind w:firstLine="640"/>
        <w:rPr>
          <w:rFonts w:ascii="仿宋_GB2312" w:hAnsi="仿宋_GB2312" w:eastAsia="仿宋_GB2312" w:cs="仿宋_GB2312"/>
          <w:szCs w:val="32"/>
        </w:rPr>
      </w:pPr>
      <w:r>
        <w:rPr>
          <w:rFonts w:hint="eastAsia" w:ascii="仿宋_GB2312" w:hAnsi="仿宋_GB2312" w:eastAsia="仿宋_GB2312" w:cs="仿宋_GB2312"/>
          <w:b/>
          <w:bCs/>
          <w:szCs w:val="32"/>
        </w:rPr>
        <w:t>2．社会保障和就业支出（类）行政事业单位养老支出（款）</w:t>
      </w:r>
      <w:r>
        <w:rPr>
          <w:rFonts w:hint="eastAsia" w:ascii="仿宋_GB2312" w:eastAsia="仿宋_GB2312" w:cs="Courier New"/>
          <w:b/>
          <w:bCs/>
          <w:szCs w:val="32"/>
        </w:rPr>
        <w:t xml:space="preserve">  机关事业单位基本养老保险缴费支出</w:t>
      </w:r>
      <w:r>
        <w:rPr>
          <w:rFonts w:hint="eastAsia" w:ascii="仿宋_GB2312" w:hAnsi="仿宋_GB2312" w:eastAsia="仿宋_GB2312" w:cs="仿宋_GB2312"/>
          <w:b/>
          <w:bCs/>
          <w:szCs w:val="32"/>
        </w:rPr>
        <w:t>（项）。</w:t>
      </w:r>
      <w:r>
        <w:rPr>
          <w:rFonts w:hint="eastAsia" w:ascii="仿宋_GB2312" w:hAnsi="仿宋_GB2312" w:eastAsia="仿宋_GB2312" w:cs="仿宋_GB2312"/>
          <w:szCs w:val="32"/>
        </w:rPr>
        <w:t>年初预算为107.33万元，支出决算为74.21万元，完成年初预算的69%。决算数与年初预算数存在差异的主要原因是压缩开支。</w:t>
      </w:r>
    </w:p>
    <w:p>
      <w:pPr>
        <w:adjustRightInd w:val="0"/>
        <w:snapToGrid w:val="0"/>
        <w:spacing w:line="360" w:lineRule="auto"/>
        <w:ind w:firstLine="640"/>
        <w:rPr>
          <w:rFonts w:ascii="仿宋_GB2312" w:eastAsia="仿宋_GB2312" w:cs="Courier New"/>
          <w:szCs w:val="32"/>
        </w:rPr>
      </w:pPr>
      <w:r>
        <w:rPr>
          <w:rFonts w:hint="eastAsia" w:ascii="仿宋_GB2312" w:eastAsia="仿宋_GB2312"/>
          <w:b/>
          <w:bCs/>
          <w:szCs w:val="32"/>
        </w:rPr>
        <w:t>3．卫生健康支出</w:t>
      </w:r>
      <w:r>
        <w:rPr>
          <w:rFonts w:hint="eastAsia" w:ascii="仿宋_GB2312" w:eastAsia="仿宋_GB2312" w:cs="Courier New"/>
          <w:b/>
          <w:bCs/>
          <w:szCs w:val="32"/>
        </w:rPr>
        <w:t>（类）行政事业单位医疗（款）  行政单位医疗（项）。</w:t>
      </w:r>
      <w:r>
        <w:rPr>
          <w:rFonts w:hint="eastAsia" w:ascii="仿宋_GB2312" w:eastAsia="仿宋_GB2312"/>
          <w:szCs w:val="32"/>
        </w:rPr>
        <w:t>年初预算为34.35万元，支出决算为32.57万元，完成年初预算的95%。决算数与年初预算数存在差异的主要原因是</w:t>
      </w:r>
      <w:r>
        <w:rPr>
          <w:rFonts w:hint="eastAsia" w:ascii="仿宋_GB2312" w:eastAsia="仿宋_GB2312" w:cs="Courier New"/>
          <w:szCs w:val="32"/>
        </w:rPr>
        <w:t>压缩开支。</w:t>
      </w:r>
    </w:p>
    <w:p>
      <w:pPr>
        <w:adjustRightInd w:val="0"/>
        <w:snapToGrid w:val="0"/>
        <w:spacing w:line="360" w:lineRule="auto"/>
        <w:ind w:firstLine="640"/>
        <w:rPr>
          <w:rFonts w:ascii="仿宋_GB2312" w:eastAsia="仿宋_GB2312" w:cs="Courier New"/>
          <w:szCs w:val="32"/>
        </w:rPr>
      </w:pPr>
      <w:r>
        <w:rPr>
          <w:rFonts w:hint="eastAsia" w:ascii="仿宋_GB2312" w:eastAsia="仿宋_GB2312"/>
          <w:b/>
          <w:bCs/>
          <w:szCs w:val="32"/>
        </w:rPr>
        <w:t>4．住房保障支出</w:t>
      </w:r>
      <w:r>
        <w:rPr>
          <w:rFonts w:hint="eastAsia" w:ascii="仿宋_GB2312" w:eastAsia="仿宋_GB2312" w:cs="Courier New"/>
          <w:b/>
          <w:bCs/>
          <w:szCs w:val="32"/>
        </w:rPr>
        <w:t>（类）住房改革支出（款）住房公积金（项）。</w:t>
      </w:r>
      <w:r>
        <w:rPr>
          <w:rFonts w:hint="eastAsia" w:ascii="仿宋_GB2312" w:eastAsia="仿宋_GB2312"/>
          <w:szCs w:val="32"/>
        </w:rPr>
        <w:t>年初预算为51.62万元，支出决算为22.52万元，完成年初预算的44%。决算数与年初预算数存在差异的主要原因是</w:t>
      </w:r>
      <w:r>
        <w:rPr>
          <w:rFonts w:hint="eastAsia" w:ascii="仿宋_GB2312" w:eastAsia="仿宋_GB2312" w:cs="Courier New"/>
          <w:szCs w:val="32"/>
        </w:rPr>
        <w:t>压缩开支。</w:t>
      </w:r>
    </w:p>
    <w:p>
      <w:pPr>
        <w:adjustRightInd w:val="0"/>
        <w:snapToGrid w:val="0"/>
        <w:spacing w:line="360" w:lineRule="auto"/>
        <w:ind w:firstLine="640"/>
        <w:rPr>
          <w:rFonts w:ascii="仿宋_GB2312" w:eastAsia="仿宋_GB2312" w:cs="Courier New"/>
          <w:szCs w:val="32"/>
        </w:rPr>
      </w:pPr>
      <w:r>
        <w:rPr>
          <w:rFonts w:hint="eastAsia" w:ascii="仿宋_GB2312" w:eastAsia="仿宋_GB2312"/>
          <w:b/>
          <w:bCs/>
          <w:szCs w:val="32"/>
        </w:rPr>
        <w:t>5．粮油物资储备支出</w:t>
      </w:r>
      <w:r>
        <w:rPr>
          <w:rFonts w:hint="eastAsia" w:ascii="仿宋_GB2312" w:eastAsia="仿宋_GB2312" w:cs="Courier New"/>
          <w:b/>
          <w:bCs/>
          <w:szCs w:val="32"/>
        </w:rPr>
        <w:t>（类）经济管理事务（款）行政运行（项）。</w:t>
      </w:r>
      <w:r>
        <w:rPr>
          <w:rFonts w:hint="eastAsia" w:ascii="仿宋_GB2312" w:eastAsia="仿宋_GB2312"/>
          <w:szCs w:val="32"/>
        </w:rPr>
        <w:t>年初预算为40万元，支出决算为0万元，完成年初预算的0%。决算数与年初预算数存在差异的主要原因是</w:t>
      </w:r>
      <w:r>
        <w:rPr>
          <w:rFonts w:hint="eastAsia" w:ascii="仿宋_GB2312" w:eastAsia="仿宋_GB2312" w:cs="Courier New"/>
          <w:szCs w:val="32"/>
        </w:rPr>
        <w:t>压缩开支。</w:t>
      </w:r>
    </w:p>
    <w:p>
      <w:pPr>
        <w:pStyle w:val="3"/>
        <w:ind w:firstLine="640"/>
      </w:pPr>
      <w:r>
        <w:rPr>
          <w:rFonts w:hint="eastAsia"/>
        </w:rPr>
        <w:t>六、一般公共预算财政拨款基本支出决算情况说明</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年度一般公共预算财政拨款基本支出</w:t>
      </w:r>
      <w:r>
        <w:rPr>
          <w:rFonts w:ascii="仿宋_GB2312" w:hAnsi="仿宋_GB2312" w:eastAsia="仿宋_GB2312" w:cs="仿宋_GB2312"/>
          <w:szCs w:val="32"/>
        </w:rPr>
        <w:t>943.11</w:t>
      </w:r>
      <w:r>
        <w:rPr>
          <w:rFonts w:hint="eastAsia" w:ascii="仿宋_GB2312" w:hAnsi="仿宋_GB2312" w:eastAsia="仿宋_GB2312" w:cs="仿宋_GB2312"/>
          <w:szCs w:val="32"/>
        </w:rPr>
        <w:t>万元。其中：人员经费</w:t>
      </w:r>
      <w:r>
        <w:rPr>
          <w:rFonts w:ascii="仿宋_GB2312" w:hAnsi="仿宋_GB2312" w:eastAsia="仿宋_GB2312" w:cs="仿宋_GB2312"/>
          <w:szCs w:val="32"/>
        </w:rPr>
        <w:t>801.38</w:t>
      </w:r>
      <w:r>
        <w:rPr>
          <w:rFonts w:hint="eastAsia" w:ascii="仿宋_GB2312" w:hAnsi="仿宋_GB2312" w:eastAsia="仿宋_GB2312" w:cs="仿宋_GB231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hAnsi="仿宋_GB2312" w:eastAsia="仿宋_GB2312" w:cs="仿宋_GB2312"/>
          <w:szCs w:val="32"/>
        </w:rPr>
        <w:t>271.04</w:t>
      </w:r>
      <w:r>
        <w:rPr>
          <w:rFonts w:hint="eastAsia" w:ascii="仿宋_GB2312" w:hAnsi="仿宋_GB2312" w:eastAsia="仿宋_GB2312" w:cs="仿宋_GB231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3"/>
        <w:ind w:firstLine="640"/>
      </w:pPr>
      <w:r>
        <w:rPr>
          <w:rFonts w:hint="eastAsia"/>
        </w:rPr>
        <w:t>七、一般公共预算财政拨款“三公”经费支出决算情况说明</w:t>
      </w:r>
    </w:p>
    <w:p>
      <w:pPr>
        <w:widowControl/>
        <w:ind w:firstLine="643"/>
        <w:outlineLvl w:val="2"/>
        <w:rPr>
          <w:rFonts w:ascii="楷体_GB2312" w:hAnsi="楷体_GB2312" w:eastAsia="楷体_GB2312" w:cs="楷体_GB2312"/>
          <w:b/>
          <w:bCs/>
          <w:szCs w:val="32"/>
        </w:rPr>
      </w:pPr>
      <w:r>
        <w:rPr>
          <w:rFonts w:hint="eastAsia" w:ascii="楷体_GB2312" w:hAnsi="楷体_GB2312" w:eastAsia="楷体_GB2312" w:cs="楷体_GB2312"/>
          <w:b/>
          <w:bCs/>
          <w:szCs w:val="32"/>
        </w:rPr>
        <w:t>（一）“三公”经费财政拨款支出决算总体情况说明。</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年度“三公”经费财政拨款支出预算为</w:t>
      </w:r>
      <w:r>
        <w:rPr>
          <w:rFonts w:ascii="仿宋_GB2312" w:hAnsi="仿宋_GB2312" w:eastAsia="仿宋_GB2312" w:cs="仿宋_GB2312"/>
          <w:szCs w:val="32"/>
        </w:rPr>
        <w:t>8.5</w:t>
      </w:r>
      <w:r>
        <w:rPr>
          <w:rFonts w:hint="eastAsia" w:ascii="仿宋_GB2312" w:hAnsi="仿宋_GB2312" w:eastAsia="仿宋_GB2312" w:cs="仿宋_GB2312"/>
          <w:szCs w:val="32"/>
        </w:rPr>
        <w:t>万元，支出决算为</w:t>
      </w:r>
      <w:r>
        <w:rPr>
          <w:rFonts w:ascii="仿宋_GB2312" w:hAnsi="仿宋_GB2312" w:eastAsia="仿宋_GB2312" w:cs="仿宋_GB2312"/>
          <w:szCs w:val="32"/>
        </w:rPr>
        <w:t>6.16</w:t>
      </w:r>
      <w:r>
        <w:rPr>
          <w:rFonts w:hint="eastAsia" w:ascii="仿宋_GB2312" w:hAnsi="仿宋_GB2312" w:eastAsia="仿宋_GB2312" w:cs="仿宋_GB2312"/>
          <w:szCs w:val="32"/>
        </w:rPr>
        <w:t>万元，完成预算的</w:t>
      </w:r>
      <w:r>
        <w:rPr>
          <w:rFonts w:ascii="仿宋_GB2312" w:hAnsi="仿宋_GB2312" w:eastAsia="仿宋_GB2312" w:cs="仿宋_GB2312"/>
          <w:szCs w:val="32"/>
        </w:rPr>
        <w:t>72</w:t>
      </w:r>
      <w:r>
        <w:rPr>
          <w:rFonts w:hint="eastAsia" w:ascii="仿宋_GB2312" w:hAnsi="仿宋_GB2312" w:eastAsia="仿宋_GB2312" w:cs="仿宋_GB2312"/>
          <w:szCs w:val="32"/>
        </w:rPr>
        <w:t>%。</w:t>
      </w:r>
      <w:r>
        <w:rPr>
          <w:rFonts w:ascii="仿宋_GB2312" w:hAnsi="仿宋_GB2312" w:eastAsia="仿宋_GB2312" w:cs="仿宋_GB2312"/>
          <w:szCs w:val="32"/>
        </w:rPr>
        <w:t>2021</w:t>
      </w:r>
      <w:r>
        <w:rPr>
          <w:rFonts w:hint="eastAsia" w:ascii="仿宋_GB2312" w:hAnsi="仿宋_GB2312" w:eastAsia="仿宋_GB2312" w:cs="仿宋_GB2312"/>
          <w:szCs w:val="32"/>
        </w:rPr>
        <w:t>年度“三公”经费支出决算数与预算数存在差异的主要原因是</w:t>
      </w:r>
      <w:r>
        <w:rPr>
          <w:rFonts w:hint="eastAsia" w:ascii="仿宋_GB2312" w:eastAsia="仿宋_GB2312"/>
          <w:szCs w:val="32"/>
        </w:rPr>
        <w:t>减少公务接待</w:t>
      </w:r>
      <w:r>
        <w:rPr>
          <w:rFonts w:hint="eastAsia" w:ascii="仿宋_GB2312" w:hAnsi="仿宋_GB2312" w:eastAsia="仿宋_GB2312" w:cs="仿宋_GB2312"/>
          <w:szCs w:val="32"/>
        </w:rPr>
        <w:t>。</w:t>
      </w:r>
    </w:p>
    <w:p>
      <w:pPr>
        <w:widowControl/>
        <w:ind w:firstLine="643"/>
        <w:outlineLvl w:val="2"/>
        <w:rPr>
          <w:rFonts w:ascii="楷体_GB2312" w:hAnsi="楷体_GB2312" w:eastAsia="楷体_GB2312" w:cs="楷体_GB2312"/>
          <w:b/>
          <w:bCs/>
          <w:szCs w:val="32"/>
        </w:rPr>
      </w:pPr>
      <w:r>
        <w:rPr>
          <w:rFonts w:hint="eastAsia" w:ascii="楷体_GB2312" w:hAnsi="楷体_GB2312" w:eastAsia="楷体_GB2312" w:cs="楷体_GB2312"/>
          <w:b/>
          <w:bCs/>
          <w:szCs w:val="32"/>
        </w:rPr>
        <w:t>（二）“三公”经费财政拨款支出决算具体情况说明。</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年度“三公”经费财政拨款支出决算中，因公出国（境）费支出决算</w:t>
      </w:r>
      <w:r>
        <w:rPr>
          <w:rFonts w:ascii="仿宋_GB2312" w:hAnsi="仿宋_GB2312" w:eastAsia="仿宋_GB2312" w:cs="仿宋_GB2312"/>
          <w:szCs w:val="32"/>
        </w:rPr>
        <w:t>0</w:t>
      </w:r>
      <w:r>
        <w:rPr>
          <w:rFonts w:hint="eastAsia" w:ascii="仿宋_GB2312" w:hAnsi="仿宋_GB2312" w:eastAsia="仿宋_GB2312" w:cs="仿宋_GB2312"/>
          <w:szCs w:val="32"/>
        </w:rPr>
        <w:t>万元，完成预算的</w:t>
      </w:r>
      <w:r>
        <w:rPr>
          <w:rFonts w:ascii="仿宋_GB2312" w:hAnsi="仿宋_GB2312" w:eastAsia="仿宋_GB2312" w:cs="仿宋_GB2312"/>
          <w:szCs w:val="32"/>
        </w:rPr>
        <w:t>0</w:t>
      </w:r>
      <w:r>
        <w:rPr>
          <w:rFonts w:hint="eastAsia" w:ascii="仿宋_GB2312" w:hAnsi="仿宋_GB2312" w:eastAsia="仿宋_GB2312" w:cs="仿宋_GB2312"/>
          <w:szCs w:val="32"/>
        </w:rPr>
        <w:t>%，占</w:t>
      </w:r>
      <w:r>
        <w:rPr>
          <w:rFonts w:ascii="仿宋_GB2312" w:hAnsi="仿宋_GB2312" w:eastAsia="仿宋_GB2312" w:cs="仿宋_GB2312"/>
          <w:szCs w:val="32"/>
        </w:rPr>
        <w:t>0</w:t>
      </w:r>
      <w:r>
        <w:rPr>
          <w:rFonts w:hint="eastAsia" w:ascii="仿宋_GB2312" w:hAnsi="仿宋_GB2312" w:eastAsia="仿宋_GB2312" w:cs="仿宋_GB2312"/>
          <w:szCs w:val="32"/>
        </w:rPr>
        <w:t>%；公务用车购置及运行费支出决算</w:t>
      </w:r>
      <w:r>
        <w:rPr>
          <w:rFonts w:ascii="仿宋_GB2312" w:hAnsi="仿宋_GB2312" w:eastAsia="仿宋_GB2312" w:cs="仿宋_GB2312"/>
          <w:szCs w:val="32"/>
        </w:rPr>
        <w:t>0</w:t>
      </w:r>
      <w:r>
        <w:rPr>
          <w:rFonts w:hint="eastAsia" w:ascii="仿宋_GB2312" w:hAnsi="仿宋_GB2312" w:eastAsia="仿宋_GB2312" w:cs="仿宋_GB2312"/>
          <w:szCs w:val="32"/>
        </w:rPr>
        <w:t>万元，完成预算的</w:t>
      </w:r>
      <w:r>
        <w:rPr>
          <w:rFonts w:ascii="仿宋_GB2312" w:hAnsi="仿宋_GB2312" w:eastAsia="仿宋_GB2312" w:cs="仿宋_GB2312"/>
          <w:szCs w:val="32"/>
        </w:rPr>
        <w:t>0</w:t>
      </w:r>
      <w:r>
        <w:rPr>
          <w:rFonts w:hint="eastAsia" w:ascii="仿宋_GB2312" w:hAnsi="仿宋_GB2312" w:eastAsia="仿宋_GB2312" w:cs="仿宋_GB2312"/>
          <w:szCs w:val="32"/>
        </w:rPr>
        <w:t>%，占</w:t>
      </w:r>
      <w:r>
        <w:rPr>
          <w:rFonts w:ascii="仿宋_GB2312" w:hAnsi="仿宋_GB2312" w:eastAsia="仿宋_GB2312" w:cs="仿宋_GB2312"/>
          <w:szCs w:val="32"/>
        </w:rPr>
        <w:t>0</w:t>
      </w:r>
      <w:r>
        <w:rPr>
          <w:rFonts w:hint="eastAsia" w:ascii="仿宋_GB2312" w:hAnsi="仿宋_GB2312" w:eastAsia="仿宋_GB2312" w:cs="仿宋_GB2312"/>
          <w:szCs w:val="32"/>
        </w:rPr>
        <w:t>%；公务接待费支出决算</w:t>
      </w:r>
      <w:r>
        <w:rPr>
          <w:rFonts w:ascii="仿宋_GB2312" w:hAnsi="仿宋_GB2312" w:eastAsia="仿宋_GB2312" w:cs="仿宋_GB2312"/>
          <w:szCs w:val="32"/>
        </w:rPr>
        <w:t>5</w:t>
      </w:r>
      <w:r>
        <w:rPr>
          <w:rFonts w:hint="eastAsia" w:ascii="仿宋_GB2312" w:hAnsi="仿宋_GB2312" w:eastAsia="仿宋_GB2312" w:cs="仿宋_GB2312"/>
          <w:szCs w:val="32"/>
        </w:rPr>
        <w:t>万元，完成预算的</w:t>
      </w:r>
      <w:r>
        <w:rPr>
          <w:rFonts w:ascii="仿宋_GB2312" w:hAnsi="仿宋_GB2312" w:eastAsia="仿宋_GB2312" w:cs="仿宋_GB2312"/>
          <w:szCs w:val="32"/>
        </w:rPr>
        <w:t>100</w:t>
      </w:r>
      <w:r>
        <w:rPr>
          <w:rFonts w:hint="eastAsia" w:ascii="仿宋_GB2312" w:hAnsi="仿宋_GB2312" w:eastAsia="仿宋_GB2312" w:cs="仿宋_GB2312"/>
          <w:szCs w:val="32"/>
        </w:rPr>
        <w:t>%，占</w:t>
      </w:r>
      <w:r>
        <w:rPr>
          <w:rFonts w:ascii="仿宋_GB2312" w:hAnsi="仿宋_GB2312" w:eastAsia="仿宋_GB2312" w:cs="仿宋_GB2312"/>
          <w:szCs w:val="32"/>
        </w:rPr>
        <w:t>100</w:t>
      </w:r>
      <w:r>
        <w:rPr>
          <w:rFonts w:hint="eastAsia" w:ascii="仿宋_GB2312" w:hAnsi="仿宋_GB2312" w:eastAsia="仿宋_GB2312" w:cs="仿宋_GB2312"/>
          <w:szCs w:val="32"/>
        </w:rPr>
        <w:t>%。具体情况如下：</w:t>
      </w:r>
    </w:p>
    <w:p>
      <w:pPr>
        <w:widowControl/>
        <w:ind w:firstLine="640"/>
        <w:rPr>
          <w:rFonts w:ascii="仿宋_GB2312" w:hAnsi="仿宋_GB2312" w:eastAsia="仿宋_GB2312" w:cs="仿宋_GB2312"/>
          <w:szCs w:val="32"/>
        </w:rPr>
      </w:pPr>
      <w:r>
        <w:rPr>
          <w:rFonts w:hint="eastAsia" w:ascii="仿宋_GB2312" w:hAnsi="仿宋_GB2312" w:eastAsia="仿宋_GB2312" w:cs="仿宋_GB2312"/>
          <w:b/>
          <w:bCs/>
          <w:szCs w:val="32"/>
        </w:rPr>
        <w:t>1．因公出国（境）费</w:t>
      </w:r>
      <w:r>
        <w:rPr>
          <w:rFonts w:hint="eastAsia" w:ascii="仿宋_GB2312" w:hAnsi="仿宋_GB2312" w:eastAsia="仿宋_GB2312" w:cs="仿宋_GB2312"/>
          <w:szCs w:val="32"/>
        </w:rPr>
        <w:t>年初预算为</w:t>
      </w:r>
      <w:r>
        <w:rPr>
          <w:rFonts w:ascii="仿宋_GB2312" w:hAnsi="仿宋_GB2312" w:eastAsia="仿宋_GB2312" w:cs="仿宋_GB2312"/>
          <w:szCs w:val="32"/>
        </w:rPr>
        <w:t>0</w:t>
      </w:r>
      <w:r>
        <w:rPr>
          <w:rFonts w:hint="eastAsia" w:ascii="仿宋_GB2312" w:hAnsi="仿宋_GB2312" w:eastAsia="仿宋_GB2312" w:cs="仿宋_GB2312"/>
          <w:szCs w:val="32"/>
        </w:rPr>
        <w:t>万元，支出决算为</w:t>
      </w:r>
      <w:r>
        <w:rPr>
          <w:rFonts w:ascii="仿宋_GB2312" w:hAnsi="仿宋_GB2312" w:eastAsia="仿宋_GB2312" w:cs="仿宋_GB2312"/>
          <w:szCs w:val="32"/>
        </w:rPr>
        <w:t>0</w:t>
      </w:r>
      <w:r>
        <w:rPr>
          <w:rFonts w:hint="eastAsia" w:ascii="仿宋_GB2312" w:hAnsi="仿宋_GB2312" w:eastAsia="仿宋_GB2312" w:cs="仿宋_GB2312"/>
          <w:szCs w:val="32"/>
        </w:rPr>
        <w:t>万元，完成年初预算的</w:t>
      </w:r>
      <w:r>
        <w:rPr>
          <w:rFonts w:ascii="仿宋_GB2312" w:hAnsi="仿宋_GB2312" w:eastAsia="仿宋_GB2312" w:cs="仿宋_GB2312"/>
          <w:szCs w:val="32"/>
        </w:rPr>
        <w:t>0</w:t>
      </w:r>
      <w:r>
        <w:rPr>
          <w:rFonts w:hint="eastAsia" w:ascii="仿宋_GB2312" w:hAnsi="仿宋_GB2312" w:eastAsia="仿宋_GB2312" w:cs="仿宋_GB2312"/>
          <w:szCs w:val="32"/>
        </w:rPr>
        <w:t>%。</w:t>
      </w:r>
    </w:p>
    <w:p>
      <w:pPr>
        <w:widowControl/>
        <w:ind w:firstLine="640"/>
        <w:rPr>
          <w:rFonts w:ascii="仿宋_GB2312" w:hAnsi="仿宋_GB2312" w:eastAsia="仿宋_GB2312" w:cs="仿宋_GB2312"/>
          <w:szCs w:val="32"/>
        </w:rPr>
      </w:pPr>
      <w:r>
        <w:rPr>
          <w:rFonts w:hint="eastAsia" w:ascii="仿宋_GB2312" w:hAnsi="仿宋_GB2312" w:eastAsia="仿宋_GB2312" w:cs="仿宋_GB2312"/>
          <w:b/>
          <w:bCs/>
          <w:szCs w:val="32"/>
        </w:rPr>
        <w:t>2．公务用车购置及运行费</w:t>
      </w:r>
      <w:r>
        <w:rPr>
          <w:rFonts w:hint="eastAsia" w:ascii="仿宋_GB2312" w:hAnsi="仿宋_GB2312" w:eastAsia="仿宋_GB2312" w:cs="仿宋_GB2312"/>
          <w:szCs w:val="32"/>
        </w:rPr>
        <w:t>初预算为</w:t>
      </w:r>
      <w:r>
        <w:rPr>
          <w:rFonts w:ascii="仿宋_GB2312" w:hAnsi="仿宋_GB2312" w:eastAsia="仿宋_GB2312" w:cs="仿宋_GB2312"/>
          <w:szCs w:val="32"/>
        </w:rPr>
        <w:t>0</w:t>
      </w:r>
      <w:r>
        <w:rPr>
          <w:rFonts w:hint="eastAsia" w:ascii="仿宋_GB2312" w:hAnsi="仿宋_GB2312" w:eastAsia="仿宋_GB2312" w:cs="仿宋_GB2312"/>
          <w:szCs w:val="32"/>
        </w:rPr>
        <w:t>万元，支出决算为</w:t>
      </w:r>
      <w:r>
        <w:rPr>
          <w:rFonts w:ascii="仿宋_GB2312" w:hAnsi="仿宋_GB2312" w:eastAsia="仿宋_GB2312" w:cs="仿宋_GB2312"/>
          <w:szCs w:val="32"/>
        </w:rPr>
        <w:t>0</w:t>
      </w:r>
      <w:r>
        <w:rPr>
          <w:rFonts w:hint="eastAsia" w:ascii="仿宋_GB2312" w:hAnsi="仿宋_GB2312" w:eastAsia="仿宋_GB2312" w:cs="仿宋_GB2312"/>
          <w:szCs w:val="32"/>
        </w:rPr>
        <w:t>万元，完成年初预算的</w:t>
      </w:r>
      <w:r>
        <w:rPr>
          <w:rFonts w:ascii="仿宋_GB2312" w:hAnsi="仿宋_GB2312" w:eastAsia="仿宋_GB2312" w:cs="仿宋_GB2312"/>
          <w:szCs w:val="32"/>
        </w:rPr>
        <w:t>0</w:t>
      </w:r>
      <w:r>
        <w:rPr>
          <w:rFonts w:hint="eastAsia" w:ascii="仿宋_GB2312" w:hAnsi="仿宋_GB2312" w:eastAsia="仿宋_GB2312" w:cs="仿宋_GB2312"/>
          <w:szCs w:val="32"/>
        </w:rPr>
        <w:t>%。决算数与年初预算数</w:t>
      </w:r>
      <w:r>
        <w:rPr>
          <w:rFonts w:ascii="仿宋_GB2312" w:hAnsi="仿宋_GB2312" w:eastAsia="仿宋_GB2312" w:cs="仿宋_GB2312"/>
          <w:szCs w:val="32"/>
        </w:rPr>
        <w:t>不</w:t>
      </w:r>
      <w:r>
        <w:rPr>
          <w:rFonts w:hint="eastAsia" w:ascii="仿宋_GB2312" w:hAnsi="仿宋_GB2312" w:eastAsia="仿宋_GB2312" w:cs="仿宋_GB2312"/>
          <w:szCs w:val="32"/>
        </w:rPr>
        <w:t>存在差异</w:t>
      </w:r>
    </w:p>
    <w:p>
      <w:pPr>
        <w:widowControl/>
        <w:ind w:firstLine="640"/>
        <w:rPr>
          <w:rFonts w:ascii="仿宋_GB2312" w:hAnsi="仿宋_GB2312" w:eastAsia="仿宋_GB2312" w:cs="仿宋_GB2312"/>
          <w:szCs w:val="32"/>
        </w:rPr>
      </w:pPr>
      <w:r>
        <w:rPr>
          <w:rFonts w:hint="eastAsia" w:ascii="仿宋_GB2312" w:hAnsi="仿宋_GB2312" w:eastAsia="仿宋_GB2312" w:cs="仿宋_GB2312"/>
          <w:b/>
          <w:bCs/>
          <w:szCs w:val="32"/>
        </w:rPr>
        <w:t>公务用车购置支出</w:t>
      </w:r>
      <w:r>
        <w:rPr>
          <w:rFonts w:hint="eastAsia" w:ascii="仿宋_GB2312" w:hAnsi="仿宋_GB2312" w:eastAsia="仿宋_GB2312" w:cs="仿宋_GB2312"/>
          <w:szCs w:val="32"/>
        </w:rPr>
        <w:t>为</w:t>
      </w:r>
      <w:r>
        <w:rPr>
          <w:rFonts w:ascii="仿宋_GB2312" w:hAnsi="仿宋_GB2312" w:eastAsia="仿宋_GB2312" w:cs="仿宋_GB2312"/>
          <w:szCs w:val="32"/>
        </w:rPr>
        <w:t>0</w:t>
      </w:r>
      <w:r>
        <w:rPr>
          <w:rFonts w:hint="eastAsia" w:ascii="仿宋_GB2312" w:hAnsi="仿宋_GB2312" w:eastAsia="仿宋_GB2312" w:cs="仿宋_GB2312"/>
          <w:szCs w:val="32"/>
        </w:rPr>
        <w:t>万元，购置车辆</w:t>
      </w:r>
      <w:r>
        <w:rPr>
          <w:rFonts w:ascii="仿宋_GB2312" w:hAnsi="仿宋_GB2312" w:eastAsia="仿宋_GB2312" w:cs="仿宋_GB2312"/>
          <w:szCs w:val="32"/>
        </w:rPr>
        <w:t>0</w:t>
      </w:r>
      <w:r>
        <w:rPr>
          <w:rFonts w:hint="eastAsia" w:ascii="仿宋_GB2312" w:hAnsi="仿宋_GB2312" w:eastAsia="仿宋_GB2312" w:cs="仿宋_GB2312"/>
          <w:szCs w:val="32"/>
        </w:rPr>
        <w:t>台</w:t>
      </w:r>
    </w:p>
    <w:p>
      <w:pPr>
        <w:widowControl/>
        <w:ind w:firstLine="640"/>
        <w:rPr>
          <w:rFonts w:ascii="仿宋_GB2312" w:hAnsi="仿宋_GB2312" w:eastAsia="仿宋_GB2312" w:cs="仿宋_GB2312"/>
          <w:szCs w:val="32"/>
        </w:rPr>
      </w:pPr>
      <w:r>
        <w:rPr>
          <w:rFonts w:hint="eastAsia" w:ascii="仿宋_GB2312" w:hAnsi="仿宋_GB2312" w:eastAsia="仿宋_GB2312" w:cs="仿宋_GB2312"/>
          <w:b/>
          <w:bCs/>
          <w:szCs w:val="32"/>
        </w:rPr>
        <w:t>公务用车运行支出</w:t>
      </w:r>
      <w:r>
        <w:rPr>
          <w:rFonts w:ascii="仿宋_GB2312" w:hAnsi="仿宋_GB2312" w:eastAsia="仿宋_GB2312" w:cs="仿宋_GB2312"/>
          <w:szCs w:val="32"/>
        </w:rPr>
        <w:t>1.16</w:t>
      </w:r>
      <w:r>
        <w:rPr>
          <w:rFonts w:hint="eastAsia" w:ascii="仿宋_GB2312" w:hAnsi="仿宋_GB2312" w:eastAsia="仿宋_GB2312" w:cs="仿宋_GB2312"/>
          <w:szCs w:val="32"/>
        </w:rPr>
        <w:t>万元。主要用于</w:t>
      </w:r>
      <w:r>
        <w:rPr>
          <w:rFonts w:hint="eastAsia" w:ascii="仿宋_GB2312" w:eastAsia="仿宋_GB2312"/>
          <w:szCs w:val="32"/>
        </w:rPr>
        <w:t>公务车运行</w:t>
      </w:r>
      <w:r>
        <w:rPr>
          <w:rFonts w:hint="eastAsia" w:ascii="仿宋_GB2312" w:hAnsi="仿宋_GB2312" w:eastAsia="仿宋_GB2312" w:cs="仿宋_GB2312"/>
          <w:szCs w:val="32"/>
        </w:rPr>
        <w:t>。</w:t>
      </w:r>
      <w:r>
        <w:rPr>
          <w:rFonts w:ascii="仿宋_GB2312" w:hAnsi="仿宋_GB2312" w:eastAsia="仿宋_GB2312" w:cs="仿宋_GB2312"/>
          <w:szCs w:val="32"/>
        </w:rPr>
        <w:t>2021</w:t>
      </w:r>
      <w:r>
        <w:rPr>
          <w:rFonts w:hint="eastAsia" w:ascii="仿宋_GB2312" w:hAnsi="仿宋_GB2312" w:eastAsia="仿宋_GB2312" w:cs="仿宋_GB2312"/>
          <w:szCs w:val="32"/>
        </w:rPr>
        <w:t>年期末，单位开支财政拨款的公务用车保有量为</w:t>
      </w:r>
      <w:r>
        <w:rPr>
          <w:rFonts w:ascii="仿宋_GB2312" w:hAnsi="仿宋_GB2312" w:eastAsia="仿宋_GB2312" w:cs="仿宋_GB2312"/>
          <w:szCs w:val="32"/>
        </w:rPr>
        <w:t>0</w:t>
      </w:r>
      <w:r>
        <w:rPr>
          <w:rFonts w:hint="eastAsia" w:ascii="仿宋_GB2312" w:hAnsi="仿宋_GB2312" w:eastAsia="仿宋_GB2312" w:cs="仿宋_GB2312"/>
          <w:szCs w:val="32"/>
        </w:rPr>
        <w:t>量。</w:t>
      </w:r>
    </w:p>
    <w:p>
      <w:pPr>
        <w:widowControl/>
        <w:numPr>
          <w:ilvl w:val="0"/>
          <w:numId w:val="3"/>
        </w:numPr>
        <w:spacing w:line="240" w:lineRule="auto"/>
        <w:ind w:firstLine="643" w:firstLineChars="0"/>
        <w:rPr>
          <w:rFonts w:ascii="仿宋_GB2312" w:hAnsi="仿宋_GB2312" w:eastAsia="仿宋_GB2312" w:cs="仿宋_GB2312"/>
          <w:szCs w:val="32"/>
        </w:rPr>
      </w:pPr>
      <w:r>
        <w:rPr>
          <w:rFonts w:hint="eastAsia" w:ascii="仿宋_GB2312" w:hAnsi="仿宋_GB2312" w:eastAsia="仿宋_GB2312" w:cs="仿宋_GB2312"/>
          <w:b/>
          <w:bCs/>
          <w:szCs w:val="32"/>
        </w:rPr>
        <w:t>公务接待费</w:t>
      </w:r>
      <w:r>
        <w:rPr>
          <w:rFonts w:hint="eastAsia" w:ascii="仿宋_GB2312" w:hAnsi="仿宋_GB2312" w:eastAsia="仿宋_GB2312" w:cs="仿宋_GB2312"/>
          <w:szCs w:val="32"/>
        </w:rPr>
        <w:t>初预算为</w:t>
      </w:r>
      <w:r>
        <w:rPr>
          <w:rFonts w:ascii="仿宋_GB2312" w:hAnsi="仿宋_GB2312" w:eastAsia="仿宋_GB2312" w:cs="仿宋_GB2312"/>
          <w:szCs w:val="32"/>
        </w:rPr>
        <w:t>5</w:t>
      </w:r>
      <w:r>
        <w:rPr>
          <w:rFonts w:hint="eastAsia" w:ascii="仿宋_GB2312" w:hAnsi="仿宋_GB2312" w:eastAsia="仿宋_GB2312" w:cs="仿宋_GB2312"/>
          <w:szCs w:val="32"/>
        </w:rPr>
        <w:t>万元，支出决算为</w:t>
      </w:r>
      <w:r>
        <w:rPr>
          <w:rFonts w:ascii="仿宋_GB2312" w:hAnsi="仿宋_GB2312" w:eastAsia="仿宋_GB2312" w:cs="仿宋_GB2312"/>
          <w:szCs w:val="32"/>
        </w:rPr>
        <w:t>5</w:t>
      </w:r>
      <w:r>
        <w:rPr>
          <w:rFonts w:hint="eastAsia" w:ascii="仿宋_GB2312" w:hAnsi="仿宋_GB2312" w:eastAsia="仿宋_GB2312" w:cs="仿宋_GB2312"/>
          <w:szCs w:val="32"/>
        </w:rPr>
        <w:t>万元，完成年初预算的</w:t>
      </w:r>
      <w:r>
        <w:rPr>
          <w:rFonts w:ascii="仿宋_GB2312" w:hAnsi="仿宋_GB2312" w:eastAsia="仿宋_GB2312" w:cs="仿宋_GB2312"/>
          <w:szCs w:val="32"/>
        </w:rPr>
        <w:t>100</w:t>
      </w:r>
      <w:r>
        <w:rPr>
          <w:rFonts w:hint="eastAsia" w:ascii="仿宋_GB2312" w:hAnsi="仿宋_GB2312" w:eastAsia="仿宋_GB2312" w:cs="仿宋_GB2312"/>
          <w:szCs w:val="32"/>
        </w:rPr>
        <w:t>%。</w:t>
      </w:r>
    </w:p>
    <w:p>
      <w:pPr>
        <w:widowControl/>
        <w:numPr>
          <w:ilvl w:val="0"/>
          <w:numId w:val="3"/>
        </w:numPr>
        <w:spacing w:line="240" w:lineRule="auto"/>
        <w:ind w:firstLine="643" w:firstLineChars="0"/>
        <w:rPr>
          <w:rFonts w:ascii="仿宋_GB2312" w:hAnsi="仿宋_GB2312" w:eastAsia="仿宋_GB2312" w:cs="仿宋_GB2312"/>
          <w:szCs w:val="32"/>
        </w:rPr>
      </w:pPr>
      <w:r>
        <w:rPr>
          <w:rFonts w:hint="eastAsia" w:ascii="仿宋_GB2312" w:hAnsi="仿宋_GB2312" w:eastAsia="仿宋_GB2312" w:cs="仿宋_GB2312"/>
          <w:b/>
          <w:bCs/>
          <w:szCs w:val="32"/>
        </w:rPr>
        <w:t>外宾接待支出</w:t>
      </w:r>
      <w:r>
        <w:rPr>
          <w:rFonts w:ascii="仿宋_GB2312" w:hAnsi="仿宋_GB2312" w:eastAsia="仿宋_GB2312" w:cs="仿宋_GB2312"/>
          <w:szCs w:val="32"/>
        </w:rPr>
        <w:t>0</w:t>
      </w:r>
      <w:r>
        <w:rPr>
          <w:rFonts w:hint="eastAsia" w:ascii="仿宋_GB2312" w:hAnsi="仿宋_GB2312" w:eastAsia="仿宋_GB2312" w:cs="仿宋_GB2312"/>
          <w:szCs w:val="32"/>
        </w:rPr>
        <w:t>万元。</w:t>
      </w:r>
    </w:p>
    <w:p>
      <w:pPr>
        <w:widowControl/>
        <w:ind w:firstLine="640"/>
        <w:rPr>
          <w:rFonts w:ascii="仿宋_GB2312" w:hAnsi="仿宋_GB2312" w:eastAsia="仿宋_GB2312" w:cs="仿宋_GB2312"/>
          <w:szCs w:val="32"/>
        </w:rPr>
      </w:pPr>
      <w:r>
        <w:rPr>
          <w:rFonts w:hint="eastAsia" w:ascii="仿宋_GB2312" w:hAnsi="仿宋_GB2312" w:eastAsia="仿宋_GB2312" w:cs="仿宋_GB2312"/>
          <w:b/>
          <w:bCs/>
          <w:szCs w:val="32"/>
        </w:rPr>
        <w:t>其他国内公务接待支出</w:t>
      </w:r>
      <w:r>
        <w:rPr>
          <w:rFonts w:ascii="仿宋_GB2312" w:hAnsi="仿宋_GB2312" w:eastAsia="仿宋_GB2312" w:cs="仿宋_GB2312"/>
          <w:szCs w:val="32"/>
        </w:rPr>
        <w:t>0</w:t>
      </w:r>
      <w:r>
        <w:rPr>
          <w:rFonts w:hint="eastAsia" w:ascii="仿宋_GB2312" w:hAnsi="仿宋_GB2312" w:eastAsia="仿宋_GB2312" w:cs="仿宋_GB2312"/>
          <w:szCs w:val="32"/>
        </w:rPr>
        <w:t>万元。。</w:t>
      </w:r>
      <w:r>
        <w:rPr>
          <w:rFonts w:ascii="仿宋_GB2312" w:hAnsi="仿宋_GB2312" w:eastAsia="仿宋_GB2312" w:cs="仿宋_GB2312"/>
          <w:szCs w:val="32"/>
        </w:rPr>
        <w:t>2021</w:t>
      </w:r>
      <w:r>
        <w:rPr>
          <w:rFonts w:hint="eastAsia" w:ascii="仿宋_GB2312" w:hAnsi="仿宋_GB2312" w:eastAsia="仿宋_GB2312" w:cs="仿宋_GB2312"/>
          <w:szCs w:val="32"/>
        </w:rPr>
        <w:t>年共接待国内来访团组</w:t>
      </w:r>
      <w:r>
        <w:rPr>
          <w:rFonts w:ascii="仿宋_GB2312" w:hAnsi="仿宋_GB2312" w:eastAsia="仿宋_GB2312" w:cs="仿宋_GB2312"/>
          <w:szCs w:val="32"/>
        </w:rPr>
        <w:t>0</w:t>
      </w:r>
      <w:r>
        <w:rPr>
          <w:rFonts w:hint="eastAsia" w:ascii="仿宋_GB2312" w:hAnsi="仿宋_GB2312" w:eastAsia="仿宋_GB2312" w:cs="仿宋_GB2312"/>
          <w:szCs w:val="32"/>
        </w:rPr>
        <w:t>个、来宾</w:t>
      </w:r>
      <w:r>
        <w:rPr>
          <w:rFonts w:ascii="仿宋_GB2312" w:hAnsi="仿宋_GB2312" w:eastAsia="仿宋_GB2312" w:cs="仿宋_GB2312"/>
          <w:szCs w:val="32"/>
        </w:rPr>
        <w:t>0</w:t>
      </w:r>
      <w:r>
        <w:rPr>
          <w:rFonts w:hint="eastAsia" w:ascii="仿宋_GB2312" w:hAnsi="仿宋_GB2312" w:eastAsia="仿宋_GB2312" w:cs="仿宋_GB2312"/>
          <w:szCs w:val="32"/>
        </w:rPr>
        <w:t>人次（不包括陪同人员）。</w:t>
      </w:r>
    </w:p>
    <w:p>
      <w:pPr>
        <w:widowControl/>
        <w:ind w:firstLine="640"/>
        <w:outlineLvl w:val="1"/>
        <w:rPr>
          <w:rFonts w:ascii="黑体" w:hAnsi="黑体" w:eastAsia="黑体" w:cs="黑体"/>
          <w:szCs w:val="32"/>
        </w:rPr>
      </w:pPr>
      <w:r>
        <w:rPr>
          <w:rFonts w:hint="eastAsia" w:ascii="黑体" w:hAnsi="黑体" w:eastAsia="黑体" w:cs="黑体"/>
          <w:szCs w:val="32"/>
        </w:rPr>
        <w:t>八、政府性基金预算财政拨款支出决算情况说明</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年度政府性基金预算财政拨款支出年初预算为</w:t>
      </w:r>
      <w:r>
        <w:rPr>
          <w:rFonts w:ascii="仿宋_GB2312" w:hAnsi="仿宋_GB2312" w:eastAsia="仿宋_GB2312" w:cs="仿宋_GB2312"/>
          <w:szCs w:val="32"/>
        </w:rPr>
        <w:t>0</w:t>
      </w:r>
      <w:r>
        <w:rPr>
          <w:rFonts w:hint="eastAsia" w:ascii="仿宋_GB2312" w:hAnsi="仿宋_GB2312" w:eastAsia="仿宋_GB2312" w:cs="仿宋_GB2312"/>
          <w:szCs w:val="32"/>
        </w:rPr>
        <w:t>万元，支出决算为</w:t>
      </w:r>
      <w:r>
        <w:rPr>
          <w:rFonts w:ascii="仿宋_GB2312" w:hAnsi="仿宋_GB2312" w:eastAsia="仿宋_GB2312" w:cs="仿宋_GB2312"/>
          <w:szCs w:val="32"/>
        </w:rPr>
        <w:t>0</w:t>
      </w:r>
      <w:r>
        <w:rPr>
          <w:rFonts w:hint="eastAsia" w:ascii="仿宋_GB2312" w:hAnsi="仿宋_GB2312" w:eastAsia="仿宋_GB2312" w:cs="仿宋_GB2312"/>
          <w:szCs w:val="32"/>
        </w:rPr>
        <w:t>万元，完成年初预算的</w:t>
      </w:r>
      <w:r>
        <w:rPr>
          <w:rFonts w:ascii="仿宋_GB2312" w:hAnsi="仿宋_GB2312" w:eastAsia="仿宋_GB2312" w:cs="仿宋_GB2312"/>
          <w:szCs w:val="32"/>
        </w:rPr>
        <w:t>0</w:t>
      </w:r>
      <w:r>
        <w:rPr>
          <w:rFonts w:hint="eastAsia" w:ascii="仿宋_GB2312" w:hAnsi="仿宋_GB2312" w:eastAsia="仿宋_GB2312" w:cs="仿宋_GB2312"/>
          <w:szCs w:val="32"/>
        </w:rPr>
        <w:t>%。</w:t>
      </w:r>
    </w:p>
    <w:p>
      <w:pPr>
        <w:widowControl/>
        <w:ind w:firstLine="640"/>
        <w:outlineLvl w:val="1"/>
        <w:rPr>
          <w:rFonts w:ascii="黑体" w:hAnsi="黑体" w:eastAsia="黑体" w:cs="黑体"/>
          <w:szCs w:val="32"/>
        </w:rPr>
      </w:pPr>
      <w:r>
        <w:rPr>
          <w:rFonts w:hint="eastAsia" w:ascii="黑体" w:hAnsi="黑体" w:eastAsia="黑体" w:cs="黑体"/>
          <w:szCs w:val="32"/>
        </w:rPr>
        <w:t>九、机关运行经费支出情况说明</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年度机关运行经费年初预算为</w:t>
      </w:r>
      <w:r>
        <w:rPr>
          <w:rFonts w:ascii="仿宋_GB2312" w:hAnsi="仿宋_GB2312" w:eastAsia="仿宋_GB2312" w:cs="仿宋_GB2312"/>
          <w:szCs w:val="32"/>
        </w:rPr>
        <w:t>71.7</w:t>
      </w:r>
      <w:r>
        <w:rPr>
          <w:rFonts w:hint="eastAsia" w:ascii="仿宋_GB2312" w:hAnsi="仿宋_GB2312" w:eastAsia="仿宋_GB2312" w:cs="仿宋_GB2312"/>
          <w:szCs w:val="32"/>
        </w:rPr>
        <w:t>万元，支出决算为</w:t>
      </w:r>
      <w:r>
        <w:rPr>
          <w:rFonts w:ascii="仿宋_GB2312" w:hAnsi="仿宋_GB2312" w:eastAsia="仿宋_GB2312" w:cs="仿宋_GB2312"/>
          <w:szCs w:val="32"/>
        </w:rPr>
        <w:t>271.04</w:t>
      </w:r>
      <w:r>
        <w:rPr>
          <w:rFonts w:hint="eastAsia" w:ascii="仿宋_GB2312" w:hAnsi="仿宋_GB2312" w:eastAsia="仿宋_GB2312" w:cs="仿宋_GB2312"/>
          <w:szCs w:val="32"/>
        </w:rPr>
        <w:t>万元，完成年初预算的</w:t>
      </w:r>
      <w:r>
        <w:rPr>
          <w:rFonts w:ascii="仿宋_GB2312" w:hAnsi="仿宋_GB2312" w:eastAsia="仿宋_GB2312" w:cs="仿宋_GB2312"/>
          <w:szCs w:val="32"/>
        </w:rPr>
        <w:t>100</w:t>
      </w:r>
      <w:r>
        <w:rPr>
          <w:rFonts w:hint="eastAsia" w:ascii="仿宋_GB2312" w:hAnsi="仿宋_GB2312" w:eastAsia="仿宋_GB2312" w:cs="仿宋_GB2312"/>
          <w:szCs w:val="32"/>
        </w:rPr>
        <w:t>%。决算数与年初预算数存在差异的主要原因是</w:t>
      </w:r>
      <w:r>
        <w:rPr>
          <w:rFonts w:ascii="仿宋_GB2312" w:eastAsia="仿宋_GB2312"/>
          <w:szCs w:val="32"/>
        </w:rPr>
        <w:t>增加了</w:t>
      </w:r>
      <w:r>
        <w:rPr>
          <w:rFonts w:hint="eastAsia" w:ascii="仿宋_GB2312" w:eastAsia="仿宋_GB2312"/>
          <w:szCs w:val="32"/>
        </w:rPr>
        <w:t>公用经费支出</w:t>
      </w:r>
      <w:r>
        <w:rPr>
          <w:rFonts w:hint="eastAsia" w:ascii="仿宋_GB2312" w:hAnsi="仿宋_GB2312" w:eastAsia="仿宋_GB2312" w:cs="仿宋_GB2312"/>
          <w:szCs w:val="32"/>
        </w:rPr>
        <w:t>。</w:t>
      </w:r>
    </w:p>
    <w:p>
      <w:pPr>
        <w:widowControl/>
        <w:ind w:firstLine="640"/>
        <w:outlineLvl w:val="1"/>
        <w:rPr>
          <w:rFonts w:ascii="黑体" w:hAnsi="黑体" w:eastAsia="黑体" w:cs="黑体"/>
          <w:szCs w:val="32"/>
        </w:rPr>
      </w:pPr>
      <w:r>
        <w:rPr>
          <w:rFonts w:hint="eastAsia" w:ascii="黑体" w:hAnsi="黑体" w:eastAsia="黑体" w:cs="黑体"/>
          <w:szCs w:val="32"/>
        </w:rPr>
        <w:t>十、政府采购支出情况说明</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年度政府采购支出总额</w:t>
      </w:r>
      <w:r>
        <w:rPr>
          <w:rFonts w:ascii="仿宋_GB2312" w:hAnsi="仿宋_GB2312" w:eastAsia="仿宋_GB2312" w:cs="仿宋_GB2312"/>
          <w:szCs w:val="32"/>
        </w:rPr>
        <w:t>0</w:t>
      </w:r>
      <w:r>
        <w:rPr>
          <w:rFonts w:hint="eastAsia" w:ascii="仿宋_GB2312" w:hAnsi="仿宋_GB2312" w:eastAsia="仿宋_GB2312" w:cs="仿宋_GB2312"/>
          <w:szCs w:val="32"/>
        </w:rPr>
        <w:t>万元，其中：政府采购货物支出</w:t>
      </w:r>
      <w:r>
        <w:rPr>
          <w:rFonts w:ascii="仿宋_GB2312" w:hAnsi="仿宋_GB2312" w:eastAsia="仿宋_GB2312" w:cs="仿宋_GB2312"/>
          <w:szCs w:val="32"/>
        </w:rPr>
        <w:t>0</w:t>
      </w:r>
      <w:r>
        <w:rPr>
          <w:rFonts w:hint="eastAsia" w:ascii="仿宋_GB2312" w:hAnsi="仿宋_GB2312" w:eastAsia="仿宋_GB2312" w:cs="仿宋_GB2312"/>
          <w:szCs w:val="32"/>
        </w:rPr>
        <w:t>万元、政府采购工程支出</w:t>
      </w:r>
      <w:r>
        <w:rPr>
          <w:rFonts w:ascii="仿宋_GB2312" w:hAnsi="仿宋_GB2312" w:eastAsia="仿宋_GB2312" w:cs="仿宋_GB2312"/>
          <w:szCs w:val="32"/>
        </w:rPr>
        <w:t>0</w:t>
      </w:r>
      <w:r>
        <w:rPr>
          <w:rFonts w:hint="eastAsia" w:ascii="仿宋_GB2312" w:hAnsi="仿宋_GB2312" w:eastAsia="仿宋_GB2312" w:cs="仿宋_GB2312"/>
          <w:szCs w:val="32"/>
        </w:rPr>
        <w:t>万元、政府采购服务支出</w:t>
      </w:r>
      <w:r>
        <w:rPr>
          <w:rFonts w:ascii="仿宋_GB2312" w:hAnsi="仿宋_GB2312" w:eastAsia="仿宋_GB2312" w:cs="仿宋_GB2312"/>
          <w:szCs w:val="32"/>
        </w:rPr>
        <w:t>0</w:t>
      </w:r>
      <w:r>
        <w:rPr>
          <w:rFonts w:hint="eastAsia" w:ascii="仿宋_GB2312" w:hAnsi="仿宋_GB2312" w:eastAsia="仿宋_GB2312" w:cs="仿宋_GB2312"/>
          <w:szCs w:val="32"/>
        </w:rPr>
        <w:t>万元。授予中小企业合同金额</w:t>
      </w:r>
      <w:r>
        <w:rPr>
          <w:rFonts w:ascii="仿宋_GB2312" w:hAnsi="仿宋_GB2312" w:eastAsia="仿宋_GB2312" w:cs="仿宋_GB2312"/>
          <w:szCs w:val="32"/>
        </w:rPr>
        <w:t>0</w:t>
      </w:r>
      <w:r>
        <w:rPr>
          <w:rFonts w:hint="eastAsia" w:ascii="仿宋_GB2312" w:hAnsi="仿宋_GB2312" w:eastAsia="仿宋_GB2312" w:cs="仿宋_GB2312"/>
          <w:szCs w:val="32"/>
        </w:rPr>
        <w:t>万元，占政府采购支出总额的</w:t>
      </w:r>
      <w:r>
        <w:rPr>
          <w:rFonts w:ascii="仿宋_GB2312" w:hAnsi="仿宋_GB2312" w:eastAsia="仿宋_GB2312" w:cs="仿宋_GB2312"/>
          <w:szCs w:val="32"/>
        </w:rPr>
        <w:t>0</w:t>
      </w:r>
      <w:r>
        <w:rPr>
          <w:rFonts w:hint="eastAsia" w:ascii="仿宋_GB2312" w:hAnsi="仿宋_GB2312" w:eastAsia="仿宋_GB2312" w:cs="仿宋_GB2312"/>
          <w:szCs w:val="32"/>
        </w:rPr>
        <w:t>%，其中：授予小微企业合同金额</w:t>
      </w:r>
      <w:r>
        <w:rPr>
          <w:rFonts w:ascii="仿宋_GB2312" w:hAnsi="仿宋_GB2312" w:eastAsia="仿宋_GB2312" w:cs="仿宋_GB2312"/>
          <w:szCs w:val="32"/>
        </w:rPr>
        <w:t>0</w:t>
      </w:r>
      <w:r>
        <w:rPr>
          <w:rFonts w:hint="eastAsia" w:ascii="仿宋_GB2312" w:hAnsi="仿宋_GB2312" w:eastAsia="仿宋_GB2312" w:cs="仿宋_GB2312"/>
          <w:szCs w:val="32"/>
        </w:rPr>
        <w:t>万元，占政府采购支出总额的0%。</w:t>
      </w:r>
    </w:p>
    <w:p>
      <w:pPr>
        <w:widowControl/>
        <w:ind w:firstLine="640"/>
        <w:outlineLvl w:val="1"/>
        <w:rPr>
          <w:rFonts w:ascii="黑体" w:hAnsi="黑体" w:eastAsia="黑体" w:cs="黑体"/>
          <w:szCs w:val="32"/>
        </w:rPr>
      </w:pPr>
      <w:r>
        <w:rPr>
          <w:rFonts w:hint="eastAsia" w:ascii="黑体" w:hAnsi="黑体" w:eastAsia="黑体" w:cs="黑体"/>
          <w:szCs w:val="32"/>
        </w:rPr>
        <w:t>十一、国有资产占用情况说明</w:t>
      </w:r>
    </w:p>
    <w:p>
      <w:pPr>
        <w:widowControl/>
        <w:ind w:firstLine="640"/>
        <w:rPr>
          <w:rFonts w:ascii="仿宋_GB2312" w:hAnsi="仿宋_GB2312" w:eastAsia="仿宋_GB2312" w:cs="仿宋_GB2312"/>
          <w:szCs w:val="32"/>
        </w:rPr>
      </w:pPr>
      <w:r>
        <w:rPr>
          <w:rFonts w:ascii="仿宋_GB2312" w:hAnsi="仿宋_GB2312" w:eastAsia="仿宋_GB2312" w:cs="仿宋_GB2312"/>
          <w:szCs w:val="32"/>
        </w:rPr>
        <w:t>2021</w:t>
      </w:r>
      <w:r>
        <w:rPr>
          <w:rFonts w:hint="eastAsia" w:ascii="仿宋_GB2312" w:hAnsi="仿宋_GB2312" w:eastAsia="仿宋_GB2312" w:cs="仿宋_GB2312"/>
          <w:szCs w:val="32"/>
        </w:rPr>
        <w:t>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ind w:firstLine="640"/>
        <w:outlineLvl w:val="1"/>
        <w:rPr>
          <w:rFonts w:ascii="黑体" w:hAnsi="黑体" w:eastAsia="黑体" w:cs="黑体"/>
          <w:szCs w:val="32"/>
        </w:rPr>
      </w:pPr>
      <w:r>
        <w:rPr>
          <w:rFonts w:hint="eastAsia" w:ascii="黑体" w:hAnsi="黑体" w:eastAsia="黑体" w:cs="黑体"/>
          <w:szCs w:val="32"/>
        </w:rPr>
        <w:t>十二、预算绩效情况说明</w:t>
      </w:r>
    </w:p>
    <w:p>
      <w:pPr>
        <w:widowControl/>
        <w:ind w:firstLine="643"/>
        <w:outlineLvl w:val="2"/>
        <w:rPr>
          <w:rFonts w:ascii="楷体_GB2312" w:hAnsi="楷体_GB2312" w:eastAsia="楷体_GB2312" w:cs="楷体_GB2312"/>
          <w:b/>
          <w:bCs/>
          <w:szCs w:val="32"/>
        </w:rPr>
      </w:pPr>
      <w:r>
        <w:rPr>
          <w:rFonts w:hint="eastAsia" w:ascii="楷体_GB2312" w:hAnsi="楷体_GB2312" w:eastAsia="楷体_GB2312" w:cs="楷体_GB2312"/>
          <w:b/>
          <w:bCs/>
          <w:szCs w:val="32"/>
        </w:rPr>
        <w:t>（一）绩效管理工作开展情况。</w:t>
      </w:r>
    </w:p>
    <w:p>
      <w:pPr>
        <w:kinsoku w:val="0"/>
        <w:overflowPunct w:val="0"/>
        <w:autoSpaceDE w:val="0"/>
        <w:autoSpaceDN w:val="0"/>
        <w:adjustRightInd w:val="0"/>
        <w:snapToGrid w:val="0"/>
        <w:spacing w:line="360" w:lineRule="auto"/>
        <w:ind w:firstLine="640"/>
        <w:rPr>
          <w:rFonts w:ascii="仿宋_GB2312" w:eastAsia="仿宋_GB2312" w:cs="Courier New"/>
          <w:szCs w:val="32"/>
        </w:rPr>
      </w:pPr>
      <w:r>
        <w:rPr>
          <w:rFonts w:hint="eastAsia" w:ascii="仿宋_GB2312" w:eastAsia="仿宋_GB2312" w:cs="Courier New"/>
          <w:szCs w:val="32"/>
        </w:rPr>
        <w:t>信阳市浉河区发改委在2021年度</w:t>
      </w:r>
      <w:r>
        <w:rPr>
          <w:rFonts w:ascii="仿宋_GB2312" w:eastAsia="仿宋_GB2312" w:cs="Courier New"/>
          <w:szCs w:val="32"/>
        </w:rPr>
        <w:t>一般公共预算收入</w:t>
      </w:r>
      <w:r>
        <w:rPr>
          <w:rFonts w:hint="eastAsia" w:ascii="仿宋_GB2312" w:eastAsia="仿宋_GB2312" w:cs="Courier New"/>
          <w:szCs w:val="32"/>
        </w:rPr>
        <w:t>1072.42万元</w:t>
      </w:r>
      <w:r>
        <w:rPr>
          <w:rFonts w:ascii="仿宋_GB2312" w:eastAsia="仿宋_GB2312" w:cs="Courier New"/>
          <w:szCs w:val="32"/>
        </w:rPr>
        <w:t>。完成率100%.</w:t>
      </w:r>
    </w:p>
    <w:p>
      <w:pPr>
        <w:widowControl/>
        <w:ind w:firstLine="643"/>
        <w:outlineLvl w:val="2"/>
        <w:rPr>
          <w:rFonts w:ascii="楷体_GB2312" w:hAnsi="楷体_GB2312" w:eastAsia="楷体_GB2312" w:cs="楷体_GB2312"/>
          <w:b/>
          <w:bCs/>
          <w:szCs w:val="32"/>
        </w:rPr>
      </w:pPr>
      <w:r>
        <w:rPr>
          <w:rFonts w:hint="eastAsia" w:ascii="楷体_GB2312" w:hAnsi="楷体_GB2312" w:eastAsia="楷体_GB2312" w:cs="楷体_GB2312"/>
          <w:b/>
          <w:bCs/>
          <w:szCs w:val="32"/>
        </w:rPr>
        <w:t>（二）项目绩效自评结果。</w:t>
      </w:r>
    </w:p>
    <w:p>
      <w:pPr>
        <w:kinsoku w:val="0"/>
        <w:overflowPunct w:val="0"/>
        <w:autoSpaceDE w:val="0"/>
        <w:autoSpaceDN w:val="0"/>
        <w:adjustRightInd w:val="0"/>
        <w:snapToGrid w:val="0"/>
        <w:spacing w:line="360" w:lineRule="auto"/>
        <w:ind w:firstLine="640"/>
        <w:rPr>
          <w:rFonts w:ascii="仿宋_GB2312" w:eastAsia="仿宋_GB2312" w:cs="Courier New"/>
          <w:szCs w:val="32"/>
        </w:rPr>
      </w:pPr>
      <w:r>
        <w:rPr>
          <w:rFonts w:hint="eastAsia" w:ascii="仿宋_GB2312" w:eastAsia="仿宋_GB2312" w:cs="Courier New"/>
          <w:szCs w:val="32"/>
        </w:rPr>
        <w:t>信阳市浉河区发改委在2021年度部门决算中财务管理制度较为健全，任务质量完成较高，经济社会效益明显，群众满意度较好。</w:t>
      </w:r>
    </w:p>
    <w:p>
      <w:pPr>
        <w:widowControl/>
        <w:ind w:firstLine="643"/>
        <w:outlineLvl w:val="2"/>
        <w:rPr>
          <w:rFonts w:ascii="楷体_GB2312" w:hAnsi="楷体_GB2312" w:eastAsia="楷体_GB2312" w:cs="楷体_GB2312"/>
          <w:b/>
          <w:bCs/>
          <w:szCs w:val="32"/>
        </w:rPr>
      </w:pPr>
      <w:r>
        <w:rPr>
          <w:rFonts w:hint="eastAsia" w:ascii="楷体_GB2312" w:hAnsi="楷体_GB2312" w:eastAsia="楷体_GB2312" w:cs="楷体_GB2312"/>
          <w:b/>
          <w:bCs/>
          <w:szCs w:val="32"/>
        </w:rPr>
        <w:t>（三）重点绩效评价结果。</w:t>
      </w:r>
    </w:p>
    <w:p>
      <w:pPr>
        <w:widowControl/>
        <w:spacing w:line="240" w:lineRule="auto"/>
        <w:ind w:firstLine="640"/>
        <w:jc w:val="left"/>
        <w:rPr>
          <w:rFonts w:ascii="仿宋_GB2312" w:eastAsia="仿宋_GB2312" w:cs="Courier New"/>
          <w:szCs w:val="32"/>
        </w:rPr>
      </w:pPr>
      <w:r>
        <w:rPr>
          <w:rFonts w:hint="eastAsia" w:ascii="仿宋_GB2312" w:eastAsia="仿宋_GB2312" w:cs="Courier New"/>
          <w:szCs w:val="32"/>
        </w:rPr>
        <w:t>信阳市浉河区发改委在2021年度部门决算中财务管理制度较为健全，任务质量完成较高，经济社会效益明显，群众满意度较好。在信阳毛尖诚信体系建设等项目中，投入管理指标、产出指标、效益指标、满意度指标均较高。</w:t>
      </w:r>
    </w:p>
    <w:p>
      <w:pPr>
        <w:widowControl/>
        <w:spacing w:line="600" w:lineRule="atLeas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根据绩效评价相关规定，绩效评价结果实行百分制和四级分类，分别是：90-100分为优、80-89分为良、60-79分为中、0-59分为差。</w:t>
      </w:r>
    </w:p>
    <w:p>
      <w:pPr>
        <w:widowControl/>
        <w:spacing w:line="600" w:lineRule="atLeast"/>
        <w:ind w:firstLine="640"/>
        <w:rPr>
          <w:rFonts w:hint="eastAsia" w:ascii="仿宋_GB2312" w:eastAsia="仿宋_GB2312" w:cs="Courier New"/>
          <w:szCs w:val="32"/>
        </w:rPr>
      </w:pPr>
      <w:r>
        <w:rPr>
          <w:rFonts w:hint="eastAsia" w:ascii="仿宋_GB2312" w:hAnsi="仿宋_GB2312" w:eastAsia="仿宋_GB2312" w:cs="仿宋_GB2312"/>
          <w:szCs w:val="32"/>
        </w:rPr>
        <w:t>我单位通过对本项目调查研究、座谈、查阅相关资料，根据相关政策要求进行打分，最终项目评价得分为</w:t>
      </w:r>
      <w:r>
        <w:rPr>
          <w:rFonts w:ascii="仿宋_GB2312" w:hAnsi="仿宋_GB2312" w:eastAsia="仿宋_GB2312" w:cs="仿宋_GB2312"/>
          <w:szCs w:val="32"/>
        </w:rPr>
        <w:t>100</w:t>
      </w:r>
      <w:r>
        <w:rPr>
          <w:rFonts w:hint="eastAsia" w:ascii="仿宋_GB2312" w:hAnsi="仿宋_GB2312" w:eastAsia="仿宋_GB2312" w:cs="仿宋_GB2312"/>
          <w:szCs w:val="32"/>
        </w:rPr>
        <w:t>分，评价结果为“优”。</w:t>
      </w:r>
    </w:p>
    <w:p>
      <w:pPr>
        <w:widowControl/>
        <w:spacing w:line="240" w:lineRule="auto"/>
        <w:ind w:firstLine="0" w:firstLineChars="0"/>
        <w:jc w:val="left"/>
        <w:rPr>
          <w:rFonts w:ascii="楷体_GB2312" w:hAnsi="楷体_GB2312" w:eastAsia="楷体_GB2312" w:cs="楷体_GB2312"/>
          <w:szCs w:val="32"/>
        </w:rPr>
      </w:pPr>
    </w:p>
    <w:p>
      <w:pPr>
        <w:widowControl/>
        <w:spacing w:line="240" w:lineRule="auto"/>
        <w:ind w:firstLine="0" w:firstLineChars="0"/>
        <w:jc w:val="left"/>
        <w:rPr>
          <w:rFonts w:ascii="楷体_GB2312" w:hAnsi="楷体_GB2312" w:eastAsia="楷体_GB2312" w:cs="楷体_GB2312"/>
          <w:szCs w:val="32"/>
        </w:rPr>
        <w:sectPr>
          <w:pgSz w:w="11906" w:h="16838"/>
          <w:pgMar w:top="1440" w:right="1800" w:bottom="1440" w:left="1800" w:header="720" w:footer="720" w:gutter="0"/>
          <w:pgNumType w:fmt="numberInDash"/>
          <w:cols w:space="720" w:num="1"/>
          <w:docGrid w:type="lines" w:linePitch="312" w:charSpace="0"/>
        </w:sectPr>
      </w:pPr>
    </w:p>
    <w:p>
      <w:pPr>
        <w:widowControl/>
        <w:spacing w:line="240" w:lineRule="auto"/>
        <w:ind w:firstLine="0" w:firstLineChars="0"/>
        <w:jc w:val="left"/>
        <w:rPr>
          <w:rFonts w:ascii="黑体" w:hAnsi="宋体" w:eastAsia="黑体" w:cs="宋体"/>
          <w:kern w:val="0"/>
          <w:sz w:val="28"/>
          <w:szCs w:val="28"/>
        </w:rPr>
      </w:pPr>
    </w:p>
    <w:p>
      <w:pPr>
        <w:spacing w:line="240" w:lineRule="auto"/>
        <w:ind w:firstLine="0" w:firstLineChars="0"/>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spacing w:line="240" w:lineRule="auto"/>
        <w:ind w:firstLine="0" w:firstLineChars="0"/>
        <w:jc w:val="center"/>
        <w:outlineLvl w:val="0"/>
        <w:rPr>
          <w:rFonts w:ascii="黑体" w:hAnsi="黑体" w:eastAsia="黑体" w:cs="黑体"/>
          <w:sz w:val="48"/>
          <w:szCs w:val="48"/>
        </w:rPr>
      </w:pPr>
    </w:p>
    <w:p>
      <w:pPr>
        <w:spacing w:line="240" w:lineRule="auto"/>
        <w:ind w:firstLine="0" w:firstLineChars="0"/>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一、财政拨款收入：单位从同级政府财政部门取得的财政预算资金。</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二、事业收入：事业单位开展专业业务活动及其辅助活动取得的收入。</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三、上级补助收入：事业单位从主管部门和上级单位取得的非财政补助收入。</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四、附属单位上缴收入：事业单位取得附属独立核算单位根据有关规定上缴的收入。</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五、经营收入：事业单位在专业业务活动及其辅助活动之外开展非独立核算经营活动取得的收入。</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六、其他收入：单位取得的除“财政拨款收入”、“事业收入”、“上级补助收入”、“附属单位上缴收入”、“经营收入”以外的各项收入。</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七、使用非财政拨款结余：指事业单位使用以前年度积累的非财政拨款结余弥补当年收支差额的金额。</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八、基本支出：为保障机构正常运转、完成日常工作任务而发生的人员支出和公用支出。</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九、项目支出：基本支出之外为完成特定行政任务和事业发展目标所发生的支出。</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十二、工资福利支出：单位支付给在职职工和编制外长期聘用人员的各类劳动报酬，以及为上述人员缴纳的各项社会保险费等。</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十三、商品和服务支出：单位购买商品和服务的支出。</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十四、对个人和家庭的补助支出：单位用于对个人和家庭的补助支出。</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十五、年末结转：本年度或以前年度预算安排，已执行但尚未完成或因客观条件发生变化无法按原计划实施，需延迟到以后年度按有关规定继续使用的资金。</w:t>
      </w:r>
    </w:p>
    <w:p>
      <w:pPr>
        <w:widowControl/>
        <w:ind w:firstLine="640"/>
        <w:jc w:val="left"/>
        <w:rPr>
          <w:rFonts w:ascii="仿宋_GB2312" w:hAnsi="仿宋_GB2312" w:eastAsia="仿宋_GB2312" w:cs="仿宋_GB2312"/>
          <w:szCs w:val="32"/>
        </w:rPr>
      </w:pPr>
      <w:r>
        <w:rPr>
          <w:rFonts w:hint="eastAsia" w:ascii="仿宋_GB2312" w:hAnsi="仿宋_GB2312" w:eastAsia="仿宋_GB2312" w:cs="仿宋_GB2312"/>
          <w:szCs w:val="32"/>
        </w:rPr>
        <w:t>十六、年末结余：本年度或以前年度预算安排，已执行完毕或因客观条件发生变化无法按原预算安排实施，不需要再使用或无法按原预算安排继续使用的资金。</w:t>
      </w:r>
    </w:p>
    <w:p>
      <w:pPr>
        <w:ind w:firstLine="0" w:firstLineChars="0"/>
      </w:pPr>
    </w:p>
    <w:sectPr>
      <w:footerReference r:id="rId13"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KkUuzQAAAAAwEAAA8AAAAAAAAAAQAgAAAAIgAAAGRycy9k&#10;b3ducmV2LnhtbFBLAQIUABQAAAAIAIdO4kDOsWjgCgIAAAIEAAAOAAAAAAAAAAEAIAAAAB8BAABk&#10;cnMvZTJvRG9jLnhtbFBLBQYAAAAABgAGAFkBAACb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pPr>
                            <w:ind w:firstLine="64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U+a0AAAAAMBAAAPAAAAAAAAAAEAIAAAACIAAABkcnMvZG93&#10;bnJldi54bWxQSwECFAAUAAAACACHTuJAFydTEAgCAAACBAAADgAAAAAAAAABACAAAAAfAQAAZHJz&#10;L2Uyb0RvYy54bWxQSwUGAAAAAAYABgBZAQAAmQUAAAAA&#10;">
              <v:fill on="f" focussize="0,0"/>
              <v:stroke on="f"/>
              <v:imagedata o:title=""/>
              <o:lock v:ext="edit" aspectratio="f"/>
              <v:textbox inset="0mm,0mm,0mm,0mm" style="mso-fit-shape-to-text:t;">
                <w:txbxContent>
                  <w:p>
                    <w:pPr>
                      <w:ind w:firstLine="64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RS7NAAAAADAQAADwAAAAAAAAABACAAAAAiAAAAZHJzL2Rv&#10;d25yZXYueG1sUEsBAhQAFAAAAAgAh07iQLYE26IJAgAAAgQAAA4AAAAAAAAAAQAgAAAAHwEAAGRy&#10;cy9lMm9Eb2MueG1sUEsFBgAAAAAGAAYAWQEAAJo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14350" cy="374650"/>
              <wp:effectExtent l="0" t="0" r="0" b="0"/>
              <wp:wrapNone/>
              <wp:docPr id="1" name="文本框 6"/>
              <wp:cNvGraphicFramePr/>
              <a:graphic xmlns:a="http://schemas.openxmlformats.org/drawingml/2006/main">
                <a:graphicData uri="http://schemas.microsoft.com/office/word/2010/wordprocessingShape">
                  <wps:wsp>
                    <wps:cNvSpPr>
                      <a:spLocks noChangeArrowheads="1"/>
                    </wps:cNvSpPr>
                    <wps:spPr bwMode="auto">
                      <a:xfrm>
                        <a:off x="0" y="0"/>
                        <a:ext cx="514350" cy="374650"/>
                      </a:xfrm>
                      <a:prstGeom prst="rect">
                        <a:avLst/>
                      </a:prstGeom>
                      <a:noFill/>
                      <a:ln>
                        <a:noFill/>
                      </a:ln>
                    </wps:spPr>
                    <wps:txbx>
                      <w:txbxContent>
                        <w:p>
                          <w:pPr>
                            <w:snapToGrid w:val="0"/>
                            <w:ind w:firstLine="420"/>
                            <w:rPr>
                              <w:sz w:val="18"/>
                            </w:rPr>
                          </w:pPr>
                          <w:r>
                            <w:rPr>
                              <w:sz w:val="21"/>
                            </w:rPr>
                            <w:fldChar w:fldCharType="begin"/>
                          </w:r>
                          <w:r>
                            <w:instrText xml:space="preserve"> PAGE  \* MERGEFORMAT </w:instrText>
                          </w:r>
                          <w:r>
                            <w:rPr>
                              <w:sz w:val="21"/>
                            </w:rPr>
                            <w:fldChar w:fldCharType="separate"/>
                          </w:r>
                          <w:r>
                            <w:rPr>
                              <w:sz w:val="18"/>
                            </w:rPr>
                            <w:t>- 11 -</w:t>
                          </w:r>
                          <w:r>
                            <w:rPr>
                              <w:sz w:val="18"/>
                            </w:rPr>
                            <w:fldChar w:fldCharType="end"/>
                          </w:r>
                        </w:p>
                      </w:txbxContent>
                    </wps:txbx>
                    <wps:bodyPr rot="0" vert="horz" wrap="none" lIns="0" tIns="0" rIns="0" bIns="0" anchor="t" anchorCtr="0" upright="1">
                      <a:spAutoFit/>
                    </wps:bodyPr>
                  </wps:wsp>
                </a:graphicData>
              </a:graphic>
            </wp:anchor>
          </w:drawing>
        </mc:Choice>
        <mc:Fallback>
          <w:pict>
            <v:rect id="文本框 6" o:spid="_x0000_s1026" o:spt="1" style="position:absolute;left:0pt;margin-top:0pt;height:29.5pt;width:40.5pt;mso-position-horizontal:center;mso-position-horizontal-relative:margin;mso-wrap-style:none;z-index:251659264;mso-width-relative:page;mso-height-relative:page;" filled="f" stroked="f" coordsize="21600,21600" o:gfxdata="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Tfq20QAAAAMBAAAPAAAAAAAAAAEAIAAAACIAAABkcnMvZG93bnJl&#10;di54bWxQSwECFAAUAAAACACHTuJA+iyf7wQCAAD4AwAADgAAAAAAAAABACAAAAAgAQAAZHJzL2Uy&#10;b0RvYy54bWxQSwUGAAAAAAYABgBZAQAAlgUAAAAA&#10;">
              <v:fill on="f" focussize="0,0"/>
              <v:stroke on="f"/>
              <v:imagedata o:title=""/>
              <o:lock v:ext="edit" aspectratio="f"/>
              <v:textbox inset="0mm,0mm,0mm,0mm" style="mso-fit-shape-to-text:t;">
                <w:txbxContent>
                  <w:p>
                    <w:pPr>
                      <w:snapToGrid w:val="0"/>
                      <w:ind w:firstLine="420"/>
                      <w:rPr>
                        <w:sz w:val="18"/>
                      </w:rPr>
                    </w:pPr>
                    <w:r>
                      <w:rPr>
                        <w:sz w:val="21"/>
                      </w:rPr>
                      <w:fldChar w:fldCharType="begin"/>
                    </w:r>
                    <w:r>
                      <w:instrText xml:space="preserve"> PAGE  \* MERGEFORMAT </w:instrText>
                    </w:r>
                    <w:r>
                      <w:rPr>
                        <w:sz w:val="21"/>
                      </w:rPr>
                      <w:fldChar w:fldCharType="separate"/>
                    </w:r>
                    <w:r>
                      <w:rPr>
                        <w:sz w:val="18"/>
                      </w:rPr>
                      <w:t>- 11 -</w:t>
                    </w:r>
                    <w:r>
                      <w:rPr>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585DF"/>
    <w:multiLevelType w:val="singleLevel"/>
    <w:tmpl w:val="973585DF"/>
    <w:lvl w:ilvl="0" w:tentative="0">
      <w:start w:val="2"/>
      <w:numFmt w:val="chineseCounting"/>
      <w:suff w:val="space"/>
      <w:lvlText w:val="第%1部分"/>
      <w:lvlJc w:val="left"/>
      <w:rPr>
        <w:rFonts w:hint="eastAsia"/>
      </w:rPr>
    </w:lvl>
  </w:abstractNum>
  <w:abstractNum w:abstractNumId="1">
    <w:nsid w:val="1204C12F"/>
    <w:multiLevelType w:val="singleLevel"/>
    <w:tmpl w:val="1204C12F"/>
    <w:lvl w:ilvl="0" w:tentative="0">
      <w:start w:val="3"/>
      <w:numFmt w:val="decimal"/>
      <w:lvlText w:val="%1."/>
      <w:lvlJc w:val="left"/>
      <w:pPr>
        <w:tabs>
          <w:tab w:val="left" w:pos="312"/>
        </w:tabs>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kMTJkZTQxMTA3NzllNzBhOTY1NTIzODJhYzc5ZDUifQ=="/>
  </w:docVars>
  <w:rsids>
    <w:rsidRoot w:val="00C243F9"/>
    <w:rsid w:val="0004009A"/>
    <w:rsid w:val="000549D2"/>
    <w:rsid w:val="00130FC2"/>
    <w:rsid w:val="001860C8"/>
    <w:rsid w:val="00190AB4"/>
    <w:rsid w:val="001C3553"/>
    <w:rsid w:val="001C4BF8"/>
    <w:rsid w:val="001C646A"/>
    <w:rsid w:val="001C70CD"/>
    <w:rsid w:val="001F0546"/>
    <w:rsid w:val="001F4023"/>
    <w:rsid w:val="002243B2"/>
    <w:rsid w:val="00235DE7"/>
    <w:rsid w:val="002566F8"/>
    <w:rsid w:val="00260F8B"/>
    <w:rsid w:val="002917A4"/>
    <w:rsid w:val="00291C91"/>
    <w:rsid w:val="002B282D"/>
    <w:rsid w:val="00313FFC"/>
    <w:rsid w:val="003344DA"/>
    <w:rsid w:val="00362394"/>
    <w:rsid w:val="00382C06"/>
    <w:rsid w:val="0038683D"/>
    <w:rsid w:val="003F47E3"/>
    <w:rsid w:val="0040029D"/>
    <w:rsid w:val="00401057"/>
    <w:rsid w:val="00412733"/>
    <w:rsid w:val="00413117"/>
    <w:rsid w:val="0042413A"/>
    <w:rsid w:val="004246C7"/>
    <w:rsid w:val="00443045"/>
    <w:rsid w:val="00450947"/>
    <w:rsid w:val="0046211C"/>
    <w:rsid w:val="0046289C"/>
    <w:rsid w:val="004640AC"/>
    <w:rsid w:val="00464941"/>
    <w:rsid w:val="00473B52"/>
    <w:rsid w:val="004776FE"/>
    <w:rsid w:val="004E6EF8"/>
    <w:rsid w:val="004F10E5"/>
    <w:rsid w:val="00547C7C"/>
    <w:rsid w:val="00565FE6"/>
    <w:rsid w:val="00576F18"/>
    <w:rsid w:val="005906BC"/>
    <w:rsid w:val="005B0207"/>
    <w:rsid w:val="005B4534"/>
    <w:rsid w:val="005C5A3F"/>
    <w:rsid w:val="005D6D5B"/>
    <w:rsid w:val="005E7350"/>
    <w:rsid w:val="0060209F"/>
    <w:rsid w:val="00635A5A"/>
    <w:rsid w:val="0067089D"/>
    <w:rsid w:val="00673720"/>
    <w:rsid w:val="006762B2"/>
    <w:rsid w:val="006804A1"/>
    <w:rsid w:val="006D41AB"/>
    <w:rsid w:val="006D606F"/>
    <w:rsid w:val="006D6984"/>
    <w:rsid w:val="006D704B"/>
    <w:rsid w:val="006F7532"/>
    <w:rsid w:val="00764B58"/>
    <w:rsid w:val="0078359A"/>
    <w:rsid w:val="007954A4"/>
    <w:rsid w:val="007F691B"/>
    <w:rsid w:val="008004B1"/>
    <w:rsid w:val="00826301"/>
    <w:rsid w:val="00843DC4"/>
    <w:rsid w:val="008508EA"/>
    <w:rsid w:val="008913C7"/>
    <w:rsid w:val="008976E0"/>
    <w:rsid w:val="008B3564"/>
    <w:rsid w:val="008F4E0C"/>
    <w:rsid w:val="00911136"/>
    <w:rsid w:val="00922000"/>
    <w:rsid w:val="00992FA0"/>
    <w:rsid w:val="009B2FFC"/>
    <w:rsid w:val="009B3C92"/>
    <w:rsid w:val="009C04A4"/>
    <w:rsid w:val="009C1AD0"/>
    <w:rsid w:val="009E27F2"/>
    <w:rsid w:val="009E7F74"/>
    <w:rsid w:val="009F2523"/>
    <w:rsid w:val="009F6F5A"/>
    <w:rsid w:val="00A02058"/>
    <w:rsid w:val="00A03C48"/>
    <w:rsid w:val="00A21112"/>
    <w:rsid w:val="00A22FAC"/>
    <w:rsid w:val="00A243A7"/>
    <w:rsid w:val="00A57165"/>
    <w:rsid w:val="00A93518"/>
    <w:rsid w:val="00AD3791"/>
    <w:rsid w:val="00AF4F4C"/>
    <w:rsid w:val="00B04556"/>
    <w:rsid w:val="00B04D07"/>
    <w:rsid w:val="00B32B6C"/>
    <w:rsid w:val="00B532E4"/>
    <w:rsid w:val="00B766C4"/>
    <w:rsid w:val="00B918EC"/>
    <w:rsid w:val="00BB1130"/>
    <w:rsid w:val="00BC1895"/>
    <w:rsid w:val="00BC2C55"/>
    <w:rsid w:val="00C219D7"/>
    <w:rsid w:val="00C243F9"/>
    <w:rsid w:val="00C377B3"/>
    <w:rsid w:val="00C4281F"/>
    <w:rsid w:val="00C45383"/>
    <w:rsid w:val="00C66622"/>
    <w:rsid w:val="00C81045"/>
    <w:rsid w:val="00CA05C8"/>
    <w:rsid w:val="00CB4372"/>
    <w:rsid w:val="00CE0D3E"/>
    <w:rsid w:val="00D11FDC"/>
    <w:rsid w:val="00D332CD"/>
    <w:rsid w:val="00D346AB"/>
    <w:rsid w:val="00D368B7"/>
    <w:rsid w:val="00D46BEA"/>
    <w:rsid w:val="00D47FD0"/>
    <w:rsid w:val="00D76326"/>
    <w:rsid w:val="00DD12FA"/>
    <w:rsid w:val="00DD213A"/>
    <w:rsid w:val="00DD2D8C"/>
    <w:rsid w:val="00DD7920"/>
    <w:rsid w:val="00DF53BD"/>
    <w:rsid w:val="00E06171"/>
    <w:rsid w:val="00E27560"/>
    <w:rsid w:val="00E51D9C"/>
    <w:rsid w:val="00E71BAB"/>
    <w:rsid w:val="00E71C38"/>
    <w:rsid w:val="00E94941"/>
    <w:rsid w:val="00EA65DB"/>
    <w:rsid w:val="00ED4015"/>
    <w:rsid w:val="00EF7B5A"/>
    <w:rsid w:val="00F17549"/>
    <w:rsid w:val="00F359E8"/>
    <w:rsid w:val="00F43A5C"/>
    <w:rsid w:val="00F47408"/>
    <w:rsid w:val="00F51CBD"/>
    <w:rsid w:val="00F5761D"/>
    <w:rsid w:val="00F73921"/>
    <w:rsid w:val="00FA54D9"/>
    <w:rsid w:val="00FD26C1"/>
    <w:rsid w:val="00FE6ADC"/>
    <w:rsid w:val="00FF2F60"/>
    <w:rsid w:val="00FF6ADB"/>
    <w:rsid w:val="03045209"/>
    <w:rsid w:val="031C3F2E"/>
    <w:rsid w:val="05D57BA4"/>
    <w:rsid w:val="0ADF7275"/>
    <w:rsid w:val="121C60CC"/>
    <w:rsid w:val="131B6383"/>
    <w:rsid w:val="21B8300E"/>
    <w:rsid w:val="26DC09C0"/>
    <w:rsid w:val="27BB34B5"/>
    <w:rsid w:val="2CF7047A"/>
    <w:rsid w:val="2D6A1F89"/>
    <w:rsid w:val="33C06DA7"/>
    <w:rsid w:val="35F965A0"/>
    <w:rsid w:val="3790120C"/>
    <w:rsid w:val="393A7B31"/>
    <w:rsid w:val="472356EA"/>
    <w:rsid w:val="4A1337CB"/>
    <w:rsid w:val="4B610334"/>
    <w:rsid w:val="4B6C3867"/>
    <w:rsid w:val="55CC3EF3"/>
    <w:rsid w:val="56A17F1A"/>
    <w:rsid w:val="57496DE2"/>
    <w:rsid w:val="58E531CE"/>
    <w:rsid w:val="590552E6"/>
    <w:rsid w:val="5A166145"/>
    <w:rsid w:val="5AF947C9"/>
    <w:rsid w:val="5C0D3BC9"/>
    <w:rsid w:val="5CF77996"/>
    <w:rsid w:val="6E7974E2"/>
    <w:rsid w:val="78681835"/>
    <w:rsid w:val="7F7342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8"/>
    <w:qFormat/>
    <w:locked/>
    <w:uiPriority w:val="9"/>
    <w:pPr>
      <w:keepNext/>
      <w:keepLines/>
      <w:spacing w:before="340" w:after="330" w:line="578" w:lineRule="atLeast"/>
      <w:ind w:firstLine="0" w:firstLineChars="0"/>
      <w:jc w:val="center"/>
      <w:outlineLvl w:val="0"/>
    </w:pPr>
    <w:rPr>
      <w:rFonts w:eastAsia="黑体"/>
      <w:b/>
      <w:bCs/>
      <w:kern w:val="44"/>
      <w:sz w:val="48"/>
      <w:szCs w:val="44"/>
    </w:rPr>
  </w:style>
  <w:style w:type="paragraph" w:styleId="3">
    <w:name w:val="heading 2"/>
    <w:basedOn w:val="1"/>
    <w:next w:val="1"/>
    <w:link w:val="19"/>
    <w:unhideWhenUsed/>
    <w:qFormat/>
    <w:locked/>
    <w:uiPriority w:val="9"/>
    <w:pPr>
      <w:keepNext/>
      <w:keepLines/>
      <w:spacing w:before="260" w:after="260" w:line="416" w:lineRule="atLeast"/>
      <w:jc w:val="left"/>
      <w:outlineLvl w:val="1"/>
    </w:pPr>
    <w:rPr>
      <w:rFonts w:ascii="Cambria" w:hAnsi="Cambria" w:eastAsia="黑体"/>
      <w:bCs/>
      <w:szCs w:val="32"/>
    </w:rPr>
  </w:style>
  <w:style w:type="paragraph" w:styleId="4">
    <w:name w:val="heading 3"/>
    <w:basedOn w:val="1"/>
    <w:next w:val="1"/>
    <w:link w:val="20"/>
    <w:unhideWhenUsed/>
    <w:qFormat/>
    <w:locked/>
    <w:uiPriority w:val="9"/>
    <w:pPr>
      <w:keepNext/>
      <w:keepLines/>
      <w:spacing w:before="260" w:after="260" w:line="416" w:lineRule="atLeast"/>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1"/>
    <w:qFormat/>
    <w:uiPriority w:val="99"/>
    <w:pPr>
      <w:ind w:firstLine="640"/>
    </w:p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缩进 字符"/>
    <w:link w:val="5"/>
    <w:qFormat/>
    <w:locked/>
    <w:uiPriority w:val="99"/>
    <w:rPr>
      <w:rFonts w:ascii="Calibri" w:hAnsi="Calibri" w:cs="Times New Roman"/>
      <w:sz w:val="24"/>
      <w:szCs w:val="24"/>
    </w:rPr>
  </w:style>
  <w:style w:type="character" w:customStyle="1" w:styleId="12">
    <w:name w:val="页脚 字符"/>
    <w:link w:val="6"/>
    <w:qFormat/>
    <w:locked/>
    <w:uiPriority w:val="0"/>
    <w:rPr>
      <w:rFonts w:ascii="Calibri" w:hAnsi="Calibri" w:cs="Times New Roman"/>
      <w:sz w:val="18"/>
      <w:szCs w:val="18"/>
    </w:rPr>
  </w:style>
  <w:style w:type="character" w:customStyle="1" w:styleId="13">
    <w:name w:val="页眉 字符"/>
    <w:link w:val="7"/>
    <w:qFormat/>
    <w:locked/>
    <w:uiPriority w:val="0"/>
    <w:rPr>
      <w:rFonts w:ascii="Calibri" w:hAnsi="Calibri" w:cs="Times New Roman"/>
      <w:sz w:val="18"/>
      <w:szCs w:val="18"/>
    </w:rPr>
  </w:style>
  <w:style w:type="paragraph" w:customStyle="1" w:styleId="14">
    <w:name w:val="List Paragraph1"/>
    <w:basedOn w:val="1"/>
    <w:qFormat/>
    <w:uiPriority w:val="99"/>
    <w:pPr>
      <w:ind w:firstLine="420"/>
    </w:pPr>
  </w:style>
  <w:style w:type="character" w:customStyle="1" w:styleId="15">
    <w:name w:val="font31"/>
    <w:qFormat/>
    <w:uiPriority w:val="0"/>
    <w:rPr>
      <w:rFonts w:ascii="Arial" w:hAnsi="Arial" w:cs="Arial"/>
      <w:color w:val="000000"/>
      <w:sz w:val="16"/>
      <w:szCs w:val="16"/>
      <w:u w:val="none"/>
    </w:rPr>
  </w:style>
  <w:style w:type="character" w:customStyle="1" w:styleId="16">
    <w:name w:val="font01"/>
    <w:qFormat/>
    <w:uiPriority w:val="0"/>
    <w:rPr>
      <w:rFonts w:ascii="Arial" w:hAnsi="Arial" w:cs="Arial"/>
      <w:color w:val="000000"/>
      <w:sz w:val="16"/>
      <w:szCs w:val="16"/>
      <w:u w:val="none"/>
    </w:rPr>
  </w:style>
  <w:style w:type="character" w:customStyle="1" w:styleId="17">
    <w:name w:val="font41"/>
    <w:qFormat/>
    <w:uiPriority w:val="99"/>
    <w:rPr>
      <w:rFonts w:ascii="宋体" w:hAnsi="宋体" w:eastAsia="宋体" w:cs="宋体"/>
      <w:color w:val="000000"/>
      <w:sz w:val="16"/>
      <w:szCs w:val="16"/>
      <w:u w:val="none"/>
    </w:rPr>
  </w:style>
  <w:style w:type="character" w:customStyle="1" w:styleId="18">
    <w:name w:val="标题 1 字符"/>
    <w:link w:val="2"/>
    <w:qFormat/>
    <w:uiPriority w:val="9"/>
    <w:rPr>
      <w:rFonts w:ascii="Times New Roman" w:hAnsi="Times New Roman" w:eastAsia="黑体" w:cs="Times New Roman"/>
      <w:b/>
      <w:bCs/>
      <w:kern w:val="44"/>
      <w:sz w:val="48"/>
      <w:szCs w:val="44"/>
    </w:rPr>
  </w:style>
  <w:style w:type="character" w:customStyle="1" w:styleId="19">
    <w:name w:val="标题 2 字符"/>
    <w:link w:val="3"/>
    <w:qFormat/>
    <w:uiPriority w:val="9"/>
    <w:rPr>
      <w:rFonts w:ascii="Cambria" w:hAnsi="Cambria" w:eastAsia="黑体" w:cs="Times New Roman"/>
      <w:bCs/>
      <w:kern w:val="2"/>
      <w:sz w:val="32"/>
      <w:szCs w:val="32"/>
    </w:rPr>
  </w:style>
  <w:style w:type="character" w:customStyle="1" w:styleId="20">
    <w:name w:val="标题 3 字符"/>
    <w:link w:val="4"/>
    <w:qFormat/>
    <w:uiPriority w:val="9"/>
    <w:rPr>
      <w:rFonts w:ascii="Times New Roman" w:hAnsi="Times New Roman" w:eastAsia="仿宋" w:cs="Times New Roman"/>
      <w:b/>
      <w:bCs/>
      <w:kern w:val="2"/>
      <w:sz w:val="32"/>
      <w:szCs w:val="32"/>
    </w:rPr>
  </w:style>
  <w:style w:type="character" w:customStyle="1" w:styleId="21">
    <w:name w:val="Subtle Reference"/>
    <w:qFormat/>
    <w:uiPriority w:val="31"/>
    <w:rPr>
      <w:smallCaps/>
      <w:color w:val="5A5A5A"/>
    </w:rPr>
  </w:style>
  <w:style w:type="character" w:customStyle="1" w:styleId="22">
    <w:name w:val="font51"/>
    <w:uiPriority w:val="0"/>
    <w:rPr>
      <w:rFonts w:ascii="微软雅黑" w:hAnsi="微软雅黑" w:eastAsia="微软雅黑" w:cs="微软雅黑"/>
      <w:color w:val="000000"/>
      <w:sz w:val="44"/>
      <w:szCs w:val="44"/>
      <w:u w:val="none"/>
    </w:rPr>
  </w:style>
  <w:style w:type="paragraph" w:customStyle="1" w:styleId="23">
    <w:name w:val="表格字体"/>
    <w:basedOn w:val="1"/>
    <w:qFormat/>
    <w:uiPriority w:val="0"/>
    <w:pPr>
      <w:spacing w:line="427" w:lineRule="auto"/>
      <w:ind w:firstLine="0" w:firstLineChars="0"/>
      <w:jc w:val="center"/>
    </w:pPr>
    <w:rPr>
      <w:rFonts w:ascii="宋体" w:hAnsi="宋体" w:eastAsia="宋体" w:cs="宋体"/>
      <w:sz w:val="21"/>
      <w:szCs w:val="30"/>
      <w:lang w:val="zh-TW" w:eastAsia="zh-TW" w:bidi="zh-TW"/>
    </w:rPr>
  </w:style>
  <w:style w:type="paragraph" w:customStyle="1" w:styleId="24">
    <w:name w:val="Table Paragraph"/>
    <w:basedOn w:val="1"/>
    <w:qFormat/>
    <w:uiPriority w:val="1"/>
    <w:pPr>
      <w:spacing w:line="240" w:lineRule="auto"/>
      <w:ind w:firstLine="0" w:firstLineChars="0"/>
    </w:pPr>
    <w:rPr>
      <w:rFonts w:ascii="宋体" w:hAnsi="宋体" w:eastAsia="宋体" w:cs="宋体"/>
      <w:sz w:val="21"/>
    </w:rPr>
  </w:style>
  <w:style w:type="paragraph" w:styleId="2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D67C8-AC8D-4EC4-B614-17FD3A1B1B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730</Words>
  <Characters>4167</Characters>
  <Lines>34</Lines>
  <Paragraphs>9</Paragraphs>
  <TotalTime>43</TotalTime>
  <ScaleCrop>false</ScaleCrop>
  <LinksUpToDate>false</LinksUpToDate>
  <CharactersWithSpaces>4888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2023-03-30T13:25:00Z</dcterms:created>
  <dc:creator>wsj</dc:creator>
  <cp:lastModifiedBy>01</cp:lastModifiedBy>
  <cp:lastPrinted>2017-07-25T02:47:00Z</cp:lastPrinted>
  <dcterms:modified xsi:type="dcterms:W3CDTF">2023-03-31T06:35:43Z</dcterms:modified>
  <dc:title>浉河区发改委</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09F5D47957124DF58D9D85E6D9D2BBE4</vt:lpwstr>
  </property>
</Properties>
</file>