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潢川县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2021年</w:t>
      </w:r>
      <w:r>
        <w:rPr>
          <w:rFonts w:hint="eastAsia" w:ascii="宋体" w:hAnsi="宋体" w:eastAsia="宋体"/>
          <w:b/>
          <w:sz w:val="44"/>
          <w:szCs w:val="44"/>
        </w:rPr>
        <w:t>转移支付执行情况说明</w:t>
      </w: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潢川县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转移性收入372767万元，其中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：返还性收入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8611万元，</w:t>
      </w:r>
      <w:r>
        <w:rPr>
          <w:rFonts w:hint="eastAsia" w:ascii="仿宋_GB2312" w:hAnsi="宋体" w:eastAsia="仿宋_GB2312"/>
          <w:sz w:val="32"/>
          <w:szCs w:val="32"/>
        </w:rPr>
        <w:t>一般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/>
          <w:sz w:val="32"/>
          <w:szCs w:val="32"/>
        </w:rPr>
        <w:t>转移性收收入342193万元，专项转移支付收入21963万元。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我县总财力为557096万元（一般公共预算收入87708万元，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372767</w:t>
      </w:r>
      <w:r>
        <w:rPr>
          <w:rFonts w:hint="eastAsia" w:ascii="仿宋_GB2312" w:hAnsi="宋体" w:eastAsia="仿宋_GB2312"/>
          <w:sz w:val="32"/>
          <w:szCs w:val="32"/>
        </w:rPr>
        <w:t>万元，上年结余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589</w:t>
      </w:r>
      <w:r>
        <w:rPr>
          <w:rFonts w:hint="eastAsia" w:ascii="仿宋_GB2312" w:hAnsi="宋体" w:eastAsia="仿宋_GB2312"/>
          <w:sz w:val="32"/>
          <w:szCs w:val="32"/>
        </w:rPr>
        <w:t>万元，从政府基金调入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68924</w:t>
      </w:r>
      <w:r>
        <w:rPr>
          <w:rFonts w:hint="eastAsia" w:ascii="仿宋_GB2312" w:hAnsi="宋体" w:eastAsia="仿宋_GB2312"/>
          <w:sz w:val="32"/>
          <w:szCs w:val="32"/>
        </w:rPr>
        <w:t>万元，其他资金调入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1108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宋体" w:eastAsia="仿宋_GB2312"/>
          <w:sz w:val="32"/>
          <w:szCs w:val="32"/>
        </w:rPr>
        <w:t>债务转贷入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24500</w:t>
      </w:r>
      <w:r>
        <w:rPr>
          <w:rFonts w:hint="eastAsia" w:ascii="仿宋_GB2312" w:hAnsi="宋体" w:eastAsia="仿宋_GB2312"/>
          <w:sz w:val="32"/>
          <w:szCs w:val="32"/>
        </w:rPr>
        <w:t>万元，调入预算稳定调节基金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宋体" w:eastAsia="仿宋_GB2312"/>
          <w:sz w:val="32"/>
          <w:szCs w:val="32"/>
        </w:rPr>
        <w:t>万元）；总支出为557,096万元（一般公共预算支出445,284万元，上解支出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19057</w:t>
      </w:r>
      <w:r>
        <w:rPr>
          <w:rFonts w:hint="eastAsia" w:ascii="仿宋_GB2312" w:hAnsi="宋体" w:eastAsia="仿宋_GB2312"/>
          <w:sz w:val="32"/>
          <w:szCs w:val="32"/>
        </w:rPr>
        <w:t>万元，债务还本支出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9966</w:t>
      </w:r>
      <w:r>
        <w:rPr>
          <w:rFonts w:hint="eastAsia" w:ascii="仿宋_GB2312" w:hAnsi="宋体" w:eastAsia="仿宋_GB2312"/>
          <w:sz w:val="32"/>
          <w:szCs w:val="32"/>
        </w:rPr>
        <w:t>万元，补充预算稳定调节基金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1608</w:t>
      </w:r>
      <w:r>
        <w:rPr>
          <w:rFonts w:hint="eastAsia" w:ascii="仿宋_GB2312" w:hAnsi="宋体" w:eastAsia="仿宋_GB2312"/>
          <w:sz w:val="32"/>
          <w:szCs w:val="32"/>
        </w:rPr>
        <w:t>万元，年终结余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81169</w:t>
      </w:r>
      <w:r>
        <w:rPr>
          <w:rFonts w:hint="eastAsia" w:ascii="仿宋_GB2312" w:hAnsi="宋体" w:eastAsia="仿宋_GB2312"/>
          <w:sz w:val="32"/>
          <w:szCs w:val="32"/>
        </w:rPr>
        <w:t>万元）。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按照《国务院关于进一步深化预算管理制度改革的意见》(国发〔2021〕5号)“市县级财政国库集中支付结余不再按权责发生制列支”的规定，支出由权责发生制改为收付实现制。</w:t>
      </w:r>
      <w:bookmarkStart w:id="0" w:name="_GoBack"/>
      <w:bookmarkEnd w:id="0"/>
    </w:p>
    <w:p>
      <w:pPr>
        <w:spacing w:line="220" w:lineRule="atLeast"/>
        <w:ind w:right="720" w:firstLine="640" w:firstLineChars="200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ind w:firstLine="4800" w:firstLineChars="1500"/>
        <w:jc w:val="both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276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14265"/>
    <w:rsid w:val="00023AC8"/>
    <w:rsid w:val="000B3B1B"/>
    <w:rsid w:val="00130F77"/>
    <w:rsid w:val="00175DEF"/>
    <w:rsid w:val="001B3BEA"/>
    <w:rsid w:val="001C46C4"/>
    <w:rsid w:val="001F618A"/>
    <w:rsid w:val="002266EF"/>
    <w:rsid w:val="002B67D2"/>
    <w:rsid w:val="002D66DB"/>
    <w:rsid w:val="00323B43"/>
    <w:rsid w:val="003353C8"/>
    <w:rsid w:val="003D37D8"/>
    <w:rsid w:val="00426133"/>
    <w:rsid w:val="004358AB"/>
    <w:rsid w:val="00442F2D"/>
    <w:rsid w:val="00482EA1"/>
    <w:rsid w:val="004C433B"/>
    <w:rsid w:val="005958E2"/>
    <w:rsid w:val="005F6630"/>
    <w:rsid w:val="00642650"/>
    <w:rsid w:val="00686249"/>
    <w:rsid w:val="00723F7D"/>
    <w:rsid w:val="00772AB8"/>
    <w:rsid w:val="0077768F"/>
    <w:rsid w:val="007D0D4B"/>
    <w:rsid w:val="00805802"/>
    <w:rsid w:val="008402C3"/>
    <w:rsid w:val="00842740"/>
    <w:rsid w:val="008B7726"/>
    <w:rsid w:val="009841E4"/>
    <w:rsid w:val="009878D5"/>
    <w:rsid w:val="009B6319"/>
    <w:rsid w:val="00A043DB"/>
    <w:rsid w:val="00A25B92"/>
    <w:rsid w:val="00AB7D08"/>
    <w:rsid w:val="00C25A71"/>
    <w:rsid w:val="00C27FA5"/>
    <w:rsid w:val="00CA42AA"/>
    <w:rsid w:val="00CE4137"/>
    <w:rsid w:val="00CF4543"/>
    <w:rsid w:val="00D31D50"/>
    <w:rsid w:val="00D4363C"/>
    <w:rsid w:val="00DA2596"/>
    <w:rsid w:val="00E7750B"/>
    <w:rsid w:val="00E848B9"/>
    <w:rsid w:val="00EF59F0"/>
    <w:rsid w:val="00F34439"/>
    <w:rsid w:val="00F7369F"/>
    <w:rsid w:val="00FF4C16"/>
    <w:rsid w:val="02CC63E4"/>
    <w:rsid w:val="03ED3F64"/>
    <w:rsid w:val="0478190B"/>
    <w:rsid w:val="060D02CF"/>
    <w:rsid w:val="098B0654"/>
    <w:rsid w:val="0A4E73DA"/>
    <w:rsid w:val="0DA44D5F"/>
    <w:rsid w:val="27641F56"/>
    <w:rsid w:val="2B7B40B1"/>
    <w:rsid w:val="2EC72528"/>
    <w:rsid w:val="318F389B"/>
    <w:rsid w:val="41EE4F0B"/>
    <w:rsid w:val="42A95947"/>
    <w:rsid w:val="43414ABE"/>
    <w:rsid w:val="51513E14"/>
    <w:rsid w:val="54067AFE"/>
    <w:rsid w:val="54C30EBC"/>
    <w:rsid w:val="56204138"/>
    <w:rsid w:val="5F1A6ABC"/>
    <w:rsid w:val="608B12C5"/>
    <w:rsid w:val="642108EC"/>
    <w:rsid w:val="68A43756"/>
    <w:rsid w:val="6E4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Char 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298</Characters>
  <Lines>2</Lines>
  <Paragraphs>1</Paragraphs>
  <TotalTime>0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WPS_1591191903</cp:lastModifiedBy>
  <dcterms:modified xsi:type="dcterms:W3CDTF">2023-04-17T03:03:13Z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4870E2CA0B094508B30706EAD1BB63A2_12</vt:lpwstr>
  </property>
</Properties>
</file>