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shd w:val="clear" w:color="auto" w:fill="FFFFFF"/>
        </w:rPr>
      </w:pPr>
      <w:r>
        <w:rPr>
          <w:rFonts w:hint="eastAsia" w:ascii="黑体" w:hAnsi="黑体" w:eastAsia="黑体" w:cs="黑体"/>
          <w:b w:val="0"/>
          <w:bCs w:val="0"/>
          <w:sz w:val="44"/>
          <w:szCs w:val="44"/>
          <w:shd w:val="clear" w:color="auto" w:fill="FFFFFF"/>
          <w:lang w:val="en-US" w:eastAsia="zh-CN"/>
        </w:rPr>
        <w:t>浉河区</w:t>
      </w:r>
      <w:r>
        <w:rPr>
          <w:rFonts w:hint="eastAsia" w:ascii="黑体" w:hAnsi="黑体" w:eastAsia="黑体" w:cs="黑体"/>
          <w:b w:val="0"/>
          <w:bCs w:val="0"/>
          <w:spacing w:val="-20"/>
          <w:sz w:val="44"/>
          <w:szCs w:val="44"/>
          <w:shd w:val="clear" w:color="auto" w:fill="FFFFFF"/>
        </w:rPr>
        <w:t>人力资源和社会保障</w:t>
      </w:r>
      <w:r>
        <w:rPr>
          <w:rFonts w:hint="eastAsia" w:ascii="黑体" w:hAnsi="黑体" w:eastAsia="黑体" w:cs="黑体"/>
          <w:b w:val="0"/>
          <w:bCs w:val="0"/>
          <w:spacing w:val="-20"/>
          <w:sz w:val="44"/>
          <w:szCs w:val="44"/>
          <w:shd w:val="clear" w:color="auto" w:fill="FFFFFF"/>
          <w:lang w:val="en-US" w:eastAsia="zh-CN"/>
        </w:rPr>
        <w:t>局</w:t>
      </w:r>
      <w:r>
        <w:rPr>
          <w:rFonts w:hint="eastAsia" w:ascii="黑体" w:hAnsi="黑体" w:eastAsia="黑体" w:cs="黑体"/>
          <w:b w:val="0"/>
          <w:bCs w:val="0"/>
          <w:spacing w:val="-20"/>
          <w:sz w:val="44"/>
          <w:szCs w:val="44"/>
          <w:shd w:val="clear" w:color="auto" w:fill="FFFFFF"/>
        </w:rPr>
        <w:t>行政执法权责清单</w:t>
      </w:r>
    </w:p>
    <w:tbl>
      <w:tblPr>
        <w:tblStyle w:val="4"/>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90"/>
        <w:gridCol w:w="5499"/>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618" w:type="dxa"/>
            <w:vAlign w:val="center"/>
          </w:tcPr>
          <w:p>
            <w:pPr>
              <w:spacing w:line="260" w:lineRule="exact"/>
              <w:jc w:val="center"/>
              <w:rPr>
                <w:rFonts w:ascii="黑体" w:hAnsi="黑体" w:eastAsia="黑体"/>
                <w:szCs w:val="21"/>
                <w:shd w:val="clear" w:color="auto" w:fill="FFFFFF"/>
              </w:rPr>
            </w:pPr>
            <w:r>
              <w:rPr>
                <w:rFonts w:ascii="黑体" w:hAnsi="黑体" w:eastAsia="黑体"/>
                <w:szCs w:val="21"/>
                <w:shd w:val="clear" w:color="auto" w:fill="FFFFFF"/>
              </w:rPr>
              <w:t>序号</w:t>
            </w:r>
          </w:p>
        </w:tc>
        <w:tc>
          <w:tcPr>
            <w:tcW w:w="1190" w:type="dxa"/>
            <w:vAlign w:val="center"/>
          </w:tcPr>
          <w:p>
            <w:pPr>
              <w:spacing w:line="260" w:lineRule="exact"/>
              <w:jc w:val="center"/>
              <w:rPr>
                <w:rFonts w:hint="eastAsia" w:ascii="黑体" w:hAnsi="黑体" w:eastAsia="黑体"/>
                <w:szCs w:val="21"/>
                <w:shd w:val="clear" w:color="auto" w:fill="FFFFFF"/>
              </w:rPr>
            </w:pPr>
            <w:r>
              <w:rPr>
                <w:rFonts w:ascii="黑体" w:hAnsi="黑体" w:eastAsia="黑体"/>
                <w:szCs w:val="21"/>
                <w:shd w:val="clear" w:color="auto" w:fill="FFFFFF"/>
              </w:rPr>
              <w:t>项目</w:t>
            </w:r>
          </w:p>
          <w:p>
            <w:pPr>
              <w:spacing w:line="260" w:lineRule="exact"/>
              <w:jc w:val="center"/>
              <w:rPr>
                <w:rFonts w:ascii="黑体" w:hAnsi="黑体" w:eastAsia="黑体"/>
                <w:szCs w:val="21"/>
                <w:shd w:val="clear" w:color="auto" w:fill="FFFFFF"/>
              </w:rPr>
            </w:pPr>
            <w:r>
              <w:rPr>
                <w:rFonts w:ascii="黑体" w:hAnsi="黑体" w:eastAsia="黑体"/>
                <w:szCs w:val="21"/>
                <w:shd w:val="clear" w:color="auto" w:fill="FFFFFF"/>
              </w:rPr>
              <w:t>名称</w:t>
            </w:r>
          </w:p>
        </w:tc>
        <w:tc>
          <w:tcPr>
            <w:tcW w:w="5499" w:type="dxa"/>
            <w:vAlign w:val="center"/>
          </w:tcPr>
          <w:p>
            <w:pPr>
              <w:spacing w:line="260" w:lineRule="exact"/>
              <w:jc w:val="center"/>
              <w:rPr>
                <w:rFonts w:ascii="黑体" w:hAnsi="黑体" w:eastAsia="黑体"/>
                <w:szCs w:val="21"/>
                <w:shd w:val="clear" w:color="auto" w:fill="FFFFFF"/>
              </w:rPr>
            </w:pPr>
            <w:r>
              <w:rPr>
                <w:rFonts w:ascii="黑体" w:hAnsi="黑体" w:eastAsia="黑体"/>
                <w:szCs w:val="21"/>
                <w:shd w:val="clear" w:color="auto" w:fill="FFFFFF"/>
              </w:rPr>
              <w:t>设定依据</w:t>
            </w:r>
          </w:p>
        </w:tc>
        <w:tc>
          <w:tcPr>
            <w:tcW w:w="837" w:type="dxa"/>
            <w:vAlign w:val="center"/>
          </w:tcPr>
          <w:p>
            <w:pPr>
              <w:spacing w:line="260" w:lineRule="exact"/>
              <w:jc w:val="center"/>
              <w:rPr>
                <w:rFonts w:ascii="黑体" w:hAnsi="黑体" w:eastAsia="黑体"/>
                <w:szCs w:val="21"/>
                <w:shd w:val="clear" w:color="auto" w:fill="FFFFFF"/>
              </w:rPr>
            </w:pPr>
            <w:r>
              <w:rPr>
                <w:rFonts w:ascii="黑体" w:hAnsi="黑体" w:eastAsia="黑体"/>
                <w:szCs w:val="21"/>
                <w:shd w:val="clear" w:color="auto" w:fill="FFFFFF"/>
              </w:rPr>
              <w:t>职权类别</w:t>
            </w:r>
          </w:p>
        </w:tc>
        <w:tc>
          <w:tcPr>
            <w:tcW w:w="837" w:type="dxa"/>
            <w:vAlign w:val="center"/>
          </w:tcPr>
          <w:p>
            <w:pPr>
              <w:spacing w:line="260" w:lineRule="exact"/>
              <w:jc w:val="center"/>
              <w:rPr>
                <w:rFonts w:ascii="黑体" w:hAnsi="黑体" w:eastAsia="黑体"/>
                <w:szCs w:val="21"/>
                <w:shd w:val="clear" w:color="auto" w:fill="FFFFFF"/>
              </w:rPr>
            </w:pPr>
            <w:r>
              <w:rPr>
                <w:rFonts w:ascii="黑体" w:hAnsi="黑体" w:eastAsia="黑体"/>
                <w:szCs w:val="21"/>
                <w:shd w:val="clear" w:color="auto" w:fill="FFFFFF"/>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618" w:type="dxa"/>
            <w:vAlign w:val="center"/>
          </w:tcPr>
          <w:p>
            <w:pPr>
              <w:spacing w:line="260" w:lineRule="exact"/>
              <w:jc w:val="center"/>
              <w:rPr>
                <w:rFonts w:hint="eastAsia" w:ascii="Times New Roman" w:hAnsi="Times New Roman" w:eastAsia="仿宋_GB2312"/>
                <w:szCs w:val="21"/>
                <w:shd w:val="clear" w:color="auto" w:fill="FFFFFF"/>
                <w:lang w:eastAsia="zh-CN"/>
              </w:rPr>
            </w:pPr>
            <w:r>
              <w:rPr>
                <w:rFonts w:hint="eastAsia" w:ascii="Times New Roman" w:hAnsi="Times New Roman" w:eastAsia="仿宋_GB2312"/>
                <w:szCs w:val="21"/>
                <w:shd w:val="clear" w:color="auto" w:fill="FFFFFF"/>
                <w:lang w:val="en-US" w:eastAsia="zh-CN"/>
              </w:rPr>
              <w:t>1</w:t>
            </w:r>
          </w:p>
        </w:tc>
        <w:tc>
          <w:tcPr>
            <w:tcW w:w="1190"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人力资源服务许可</w:t>
            </w:r>
          </w:p>
        </w:tc>
        <w:tc>
          <w:tcPr>
            <w:tcW w:w="5499" w:type="dxa"/>
            <w:vAlign w:val="center"/>
          </w:tcPr>
          <w:p>
            <w:pPr>
              <w:spacing w:line="260" w:lineRule="exact"/>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br w:type="textWrapping"/>
            </w:r>
            <w:r>
              <w:rPr>
                <w:rFonts w:ascii="Times New Roman" w:hAnsi="Times New Roman" w:eastAsia="仿宋_GB2312"/>
                <w:szCs w:val="21"/>
                <w:shd w:val="clear" w:color="auto" w:fill="FFFFFF"/>
              </w:rPr>
              <w:t xml:space="preserve">    《中华人民共和国就业促进法》第四十条：……设立职业中介机构应当在工商行政管理部门办理登记后，向劳动行政部门申请行政许可。未经依法许可和登记的机构，不得从事职业中介活动。</w:t>
            </w:r>
            <w:r>
              <w:rPr>
                <w:rFonts w:ascii="Times New Roman" w:hAnsi="Times New Roman" w:eastAsia="仿宋_GB2312"/>
                <w:szCs w:val="21"/>
                <w:shd w:val="clear" w:color="auto" w:fill="FFFFFF"/>
              </w:rPr>
              <w:br w:type="textWrapping"/>
            </w:r>
            <w:r>
              <w:rPr>
                <w:rFonts w:ascii="Times New Roman" w:hAnsi="Times New Roman" w:eastAsia="仿宋_GB2312"/>
                <w:szCs w:val="21"/>
                <w:shd w:val="clear" w:color="auto" w:fill="FFFFFF"/>
              </w:rPr>
              <w:t xml:space="preserve">    《人力资源市场暂行条例》（中华人民共和国国务院令第700号）第十八条：经营性人力资源服务机构从事职业中介活动的，应当依法向人力资源社会保障行政部门申请行政许可，取得人力资源服务许可证……。</w:t>
            </w:r>
          </w:p>
        </w:tc>
        <w:tc>
          <w:tcPr>
            <w:tcW w:w="837"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行政许可</w:t>
            </w:r>
          </w:p>
        </w:tc>
        <w:tc>
          <w:tcPr>
            <w:tcW w:w="837" w:type="dxa"/>
            <w:vAlign w:val="center"/>
          </w:tcPr>
          <w:p>
            <w:pPr>
              <w:spacing w:line="260" w:lineRule="exact"/>
              <w:jc w:val="center"/>
              <w:rPr>
                <w:rFonts w:hint="default" w:ascii="Times New Roman" w:hAnsi="Times New Roman" w:eastAsia="仿宋_GB2312"/>
                <w:szCs w:val="21"/>
                <w:shd w:val="clear" w:color="auto" w:fill="FFFFFF"/>
                <w:lang w:val="en-US" w:eastAsia="zh-CN"/>
              </w:rPr>
            </w:pPr>
            <w:r>
              <w:rPr>
                <w:rFonts w:hint="eastAsia" w:ascii="Times New Roman" w:hAnsi="Times New Roman" w:eastAsia="仿宋_GB2312"/>
                <w:szCs w:val="21"/>
                <w:shd w:val="clear" w:color="auto" w:fill="FFFFFF"/>
                <w:lang w:val="en-US" w:eastAsia="zh-CN"/>
              </w:rPr>
              <w:t>就业促进股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18" w:type="dxa"/>
            <w:vAlign w:val="center"/>
          </w:tcPr>
          <w:p>
            <w:pPr>
              <w:spacing w:line="260" w:lineRule="exact"/>
              <w:jc w:val="center"/>
              <w:rPr>
                <w:rFonts w:hint="eastAsia" w:ascii="Times New Roman" w:hAnsi="Times New Roman" w:eastAsia="仿宋_GB2312"/>
                <w:szCs w:val="21"/>
                <w:shd w:val="clear" w:color="auto" w:fill="FFFFFF"/>
                <w:lang w:eastAsia="zh-CN"/>
              </w:rPr>
            </w:pPr>
            <w:r>
              <w:rPr>
                <w:rFonts w:hint="eastAsia" w:ascii="Times New Roman" w:hAnsi="Times New Roman" w:eastAsia="仿宋_GB2312"/>
                <w:szCs w:val="21"/>
                <w:shd w:val="clear" w:color="auto" w:fill="FFFFFF"/>
                <w:lang w:val="en-US" w:eastAsia="zh-CN"/>
              </w:rPr>
              <w:t>2</w:t>
            </w:r>
          </w:p>
        </w:tc>
        <w:tc>
          <w:tcPr>
            <w:tcW w:w="1190"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设立技工学校审批</w:t>
            </w:r>
          </w:p>
        </w:tc>
        <w:tc>
          <w:tcPr>
            <w:tcW w:w="5499" w:type="dxa"/>
            <w:vAlign w:val="center"/>
          </w:tcPr>
          <w:p>
            <w:pPr>
              <w:spacing w:line="260" w:lineRule="exact"/>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《国务院对确需保留的行政审批项目设定行政许可的决定》(国务院令第412号)第八十七项：“项目名称：设立技工学校审批。实施机关：劳动保障部、省级人民政府劳动保障行政主管部门。”</w:t>
            </w:r>
          </w:p>
        </w:tc>
        <w:tc>
          <w:tcPr>
            <w:tcW w:w="837"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行政许可</w:t>
            </w:r>
          </w:p>
        </w:tc>
        <w:tc>
          <w:tcPr>
            <w:tcW w:w="837" w:type="dxa"/>
            <w:vAlign w:val="center"/>
          </w:tcPr>
          <w:p>
            <w:pPr>
              <w:spacing w:line="260" w:lineRule="exact"/>
              <w:jc w:val="center"/>
              <w:rPr>
                <w:rFonts w:hint="default" w:ascii="Times New Roman" w:hAnsi="Times New Roman" w:eastAsia="仿宋_GB2312"/>
                <w:szCs w:val="21"/>
                <w:shd w:val="clear" w:color="auto" w:fill="FFFFFF"/>
                <w:lang w:val="en-US" w:eastAsia="zh-CN"/>
              </w:rPr>
            </w:pPr>
            <w:r>
              <w:rPr>
                <w:rFonts w:hint="eastAsia" w:ascii="Times New Roman" w:hAnsi="Times New Roman" w:eastAsia="仿宋_GB2312"/>
                <w:szCs w:val="21"/>
                <w:shd w:val="clear" w:color="auto" w:fill="FFFFFF"/>
                <w:lang w:val="en-US" w:eastAsia="zh-CN"/>
              </w:rPr>
              <w:t>就业促进股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618" w:type="dxa"/>
            <w:vAlign w:val="center"/>
          </w:tcPr>
          <w:p>
            <w:pPr>
              <w:spacing w:line="260" w:lineRule="exact"/>
              <w:jc w:val="center"/>
              <w:rPr>
                <w:rFonts w:hint="eastAsia" w:ascii="Times New Roman" w:hAnsi="Times New Roman" w:eastAsia="仿宋_GB2312"/>
                <w:szCs w:val="21"/>
                <w:shd w:val="clear" w:color="auto" w:fill="FFFFFF"/>
                <w:lang w:eastAsia="zh-CN"/>
              </w:rPr>
            </w:pPr>
            <w:r>
              <w:rPr>
                <w:rFonts w:hint="eastAsia" w:ascii="Times New Roman" w:hAnsi="Times New Roman" w:eastAsia="仿宋_GB2312"/>
                <w:szCs w:val="21"/>
                <w:shd w:val="clear" w:color="auto" w:fill="FFFFFF"/>
                <w:lang w:val="en-US" w:eastAsia="zh-CN"/>
              </w:rPr>
              <w:t>3</w:t>
            </w:r>
          </w:p>
        </w:tc>
        <w:tc>
          <w:tcPr>
            <w:tcW w:w="1190"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民办职业培训学校设立审批</w:t>
            </w:r>
          </w:p>
        </w:tc>
        <w:tc>
          <w:tcPr>
            <w:tcW w:w="5499" w:type="dxa"/>
            <w:vAlign w:val="center"/>
          </w:tcPr>
          <w:p>
            <w:pPr>
              <w:spacing w:line="260" w:lineRule="exact"/>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中华人民共和国民办教育促进法》第八条：“县级以上地方各级人民政府教育行政部门主管本行政区域内的民办教育工作。县级以上地方各级人民政府劳动和社会保障行政部门及其他有关部门在各自的职责范围内，分别负责有关的民办教育工作。”第十一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第十六条：“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tc>
        <w:tc>
          <w:tcPr>
            <w:tcW w:w="837"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行政许可</w:t>
            </w:r>
          </w:p>
        </w:tc>
        <w:tc>
          <w:tcPr>
            <w:tcW w:w="837" w:type="dxa"/>
            <w:vAlign w:val="center"/>
          </w:tcPr>
          <w:p>
            <w:pPr>
              <w:spacing w:line="260" w:lineRule="exact"/>
              <w:jc w:val="center"/>
              <w:rPr>
                <w:rFonts w:hint="default" w:ascii="Times New Roman" w:hAnsi="Times New Roman" w:eastAsia="仿宋_GB2312"/>
                <w:szCs w:val="21"/>
                <w:shd w:val="clear" w:color="auto" w:fill="FFFFFF"/>
                <w:lang w:val="en-US" w:eastAsia="zh-CN"/>
              </w:rPr>
            </w:pPr>
            <w:r>
              <w:rPr>
                <w:rFonts w:hint="eastAsia" w:ascii="Times New Roman" w:hAnsi="Times New Roman" w:eastAsia="仿宋_GB2312"/>
                <w:szCs w:val="21"/>
                <w:shd w:val="clear" w:color="auto" w:fill="FFFFFF"/>
                <w:lang w:val="en-US" w:eastAsia="zh-CN"/>
              </w:rPr>
              <w:t>就业促进股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618" w:type="dxa"/>
            <w:vAlign w:val="center"/>
          </w:tcPr>
          <w:p>
            <w:pPr>
              <w:spacing w:line="260" w:lineRule="exact"/>
              <w:jc w:val="center"/>
              <w:rPr>
                <w:rFonts w:hint="eastAsia" w:ascii="Times New Roman" w:hAnsi="Times New Roman" w:eastAsia="仿宋_GB2312"/>
                <w:szCs w:val="21"/>
                <w:shd w:val="clear" w:color="auto" w:fill="FFFFFF"/>
                <w:lang w:eastAsia="zh-CN"/>
              </w:rPr>
            </w:pPr>
            <w:r>
              <w:rPr>
                <w:rFonts w:hint="eastAsia" w:ascii="Times New Roman" w:hAnsi="Times New Roman" w:eastAsia="仿宋_GB2312"/>
                <w:szCs w:val="21"/>
                <w:shd w:val="clear" w:color="auto" w:fill="FFFFFF"/>
                <w:lang w:val="en-US" w:eastAsia="zh-CN"/>
              </w:rPr>
              <w:t>4</w:t>
            </w:r>
          </w:p>
        </w:tc>
        <w:tc>
          <w:tcPr>
            <w:tcW w:w="1190"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企业实行不定时工作制和综合计算工时工作制审批</w:t>
            </w:r>
          </w:p>
        </w:tc>
        <w:tc>
          <w:tcPr>
            <w:tcW w:w="5499" w:type="dxa"/>
            <w:vAlign w:val="center"/>
          </w:tcPr>
          <w:p>
            <w:pPr>
              <w:spacing w:line="260" w:lineRule="exact"/>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中华人民共和国劳动法》第三十六条：“国家实行劳动者每日工作时间不超过八小时、平均每周工作时间不超过四十四小时的工时制度。”第三十八条：“用人单位应当保证劳动者每周至少休息一日。”第三十九条：“企业因生产特点不能实行本法第三十六条、第三十八条规定的，经劳动行政部门批准，可以实行其他工作和休息办法。”</w:t>
            </w:r>
          </w:p>
        </w:tc>
        <w:tc>
          <w:tcPr>
            <w:tcW w:w="837"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行政许可</w:t>
            </w:r>
          </w:p>
        </w:tc>
        <w:tc>
          <w:tcPr>
            <w:tcW w:w="837" w:type="dxa"/>
            <w:vAlign w:val="center"/>
          </w:tcPr>
          <w:p>
            <w:pPr>
              <w:spacing w:line="260" w:lineRule="exact"/>
              <w:jc w:val="center"/>
              <w:rPr>
                <w:rFonts w:hint="eastAsia" w:ascii="Times New Roman" w:hAnsi="Times New Roman" w:eastAsia="仿宋_GB2312"/>
                <w:szCs w:val="21"/>
                <w:shd w:val="clear" w:color="auto" w:fill="FFFFFF"/>
                <w:lang w:eastAsia="zh-CN"/>
              </w:rPr>
            </w:pPr>
            <w:r>
              <w:rPr>
                <w:rFonts w:ascii="Times New Roman" w:hAnsi="Times New Roman" w:eastAsia="仿宋_GB2312"/>
                <w:szCs w:val="21"/>
                <w:shd w:val="clear" w:color="auto" w:fill="FFFFFF"/>
              </w:rPr>
              <w:t>劳动关系</w:t>
            </w:r>
            <w:r>
              <w:rPr>
                <w:rFonts w:hint="eastAsia" w:ascii="Times New Roman" w:hAnsi="Times New Roman" w:eastAsia="仿宋_GB2312"/>
                <w:szCs w:val="21"/>
                <w:shd w:val="clear" w:color="auto" w:fill="FFFFFF"/>
                <w:lang w:val="en-US"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18" w:type="dxa"/>
            <w:vAlign w:val="center"/>
          </w:tcPr>
          <w:p>
            <w:pPr>
              <w:spacing w:line="260" w:lineRule="exact"/>
              <w:jc w:val="center"/>
              <w:rPr>
                <w:rFonts w:hint="eastAsia" w:ascii="Times New Roman" w:hAnsi="Times New Roman" w:eastAsia="仿宋_GB2312"/>
                <w:szCs w:val="21"/>
                <w:shd w:val="clear" w:color="auto" w:fill="FFFFFF"/>
                <w:lang w:eastAsia="zh-CN"/>
              </w:rPr>
            </w:pPr>
            <w:r>
              <w:rPr>
                <w:rFonts w:hint="eastAsia" w:ascii="Times New Roman" w:hAnsi="Times New Roman" w:eastAsia="仿宋_GB2312"/>
                <w:szCs w:val="21"/>
                <w:shd w:val="clear" w:color="auto" w:fill="FFFFFF"/>
                <w:lang w:val="en-US" w:eastAsia="zh-CN"/>
              </w:rPr>
              <w:t>5</w:t>
            </w:r>
          </w:p>
        </w:tc>
        <w:tc>
          <w:tcPr>
            <w:tcW w:w="1190"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劳动保障违法行为处罚</w:t>
            </w:r>
          </w:p>
        </w:tc>
        <w:tc>
          <w:tcPr>
            <w:tcW w:w="5499" w:type="dxa"/>
            <w:vAlign w:val="center"/>
          </w:tcPr>
          <w:p>
            <w:pPr>
              <w:spacing w:line="260" w:lineRule="exact"/>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劳动保障监察条例》（国务院令第423号）第十八条：“劳动保障行政部门对违反劳动保障法律、法规或者规章的行为，根据调查、检查的结果，作出以下处理：（一）对依法应当受到行政处罚的，依法作出行政处罚决定；（二）对应当改正未改正的，依法责令改正或者作出相应的行政处理决定；（三）对情节轻微且已改正的，撤销立案。”</w:t>
            </w:r>
          </w:p>
        </w:tc>
        <w:tc>
          <w:tcPr>
            <w:tcW w:w="837"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行政处罚</w:t>
            </w:r>
          </w:p>
        </w:tc>
        <w:tc>
          <w:tcPr>
            <w:tcW w:w="837" w:type="dxa"/>
            <w:vAlign w:val="center"/>
          </w:tcPr>
          <w:p>
            <w:pPr>
              <w:spacing w:line="260" w:lineRule="exact"/>
              <w:jc w:val="center"/>
              <w:rPr>
                <w:rFonts w:hint="eastAsia" w:ascii="Times New Roman" w:hAnsi="Times New Roman" w:eastAsia="仿宋_GB2312"/>
                <w:szCs w:val="21"/>
                <w:shd w:val="clear" w:color="auto" w:fill="FFFFFF"/>
                <w:lang w:eastAsia="zh-CN"/>
              </w:rPr>
            </w:pPr>
            <w:r>
              <w:rPr>
                <w:rFonts w:ascii="Times New Roman" w:hAnsi="Times New Roman" w:eastAsia="仿宋_GB2312"/>
                <w:szCs w:val="21"/>
                <w:shd w:val="clear" w:color="auto" w:fill="FFFFFF"/>
              </w:rPr>
              <w:t>劳动保障监察</w:t>
            </w:r>
            <w:r>
              <w:rPr>
                <w:rFonts w:hint="eastAsia" w:ascii="Times New Roman" w:hAnsi="Times New Roman" w:eastAsia="仿宋_GB2312"/>
                <w:szCs w:val="21"/>
                <w:shd w:val="clear" w:color="auto" w:fill="FFFFFF"/>
                <w:lang w:val="en-US"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18" w:type="dxa"/>
            <w:vAlign w:val="center"/>
          </w:tcPr>
          <w:p>
            <w:pPr>
              <w:spacing w:line="260" w:lineRule="exact"/>
              <w:jc w:val="center"/>
              <w:rPr>
                <w:rFonts w:hint="eastAsia" w:ascii="Times New Roman" w:hAnsi="Times New Roman" w:eastAsia="仿宋_GB2312"/>
                <w:szCs w:val="21"/>
                <w:shd w:val="clear" w:color="auto" w:fill="FFFFFF"/>
                <w:lang w:eastAsia="zh-CN"/>
              </w:rPr>
            </w:pPr>
            <w:r>
              <w:rPr>
                <w:rFonts w:hint="eastAsia" w:ascii="Times New Roman" w:hAnsi="Times New Roman" w:eastAsia="仿宋_GB2312"/>
                <w:szCs w:val="21"/>
                <w:shd w:val="clear" w:color="auto" w:fill="FFFFFF"/>
                <w:lang w:val="en-US" w:eastAsia="zh-CN"/>
              </w:rPr>
              <w:t>6</w:t>
            </w:r>
          </w:p>
        </w:tc>
        <w:tc>
          <w:tcPr>
            <w:tcW w:w="1190"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对用人单位和个人遵守劳动用工和社会保险法律、法规情况的监督检查</w:t>
            </w:r>
          </w:p>
        </w:tc>
        <w:tc>
          <w:tcPr>
            <w:tcW w:w="5499" w:type="dxa"/>
            <w:vAlign w:val="center"/>
          </w:tcPr>
          <w:p>
            <w:pPr>
              <w:spacing w:line="260" w:lineRule="exact"/>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中华人民共和国社会保险法》第七十七条：“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837"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行政检查</w:t>
            </w:r>
          </w:p>
        </w:tc>
        <w:tc>
          <w:tcPr>
            <w:tcW w:w="837" w:type="dxa"/>
            <w:vAlign w:val="center"/>
          </w:tcPr>
          <w:p>
            <w:pPr>
              <w:spacing w:line="260" w:lineRule="exact"/>
              <w:jc w:val="center"/>
              <w:rPr>
                <w:rFonts w:hint="eastAsia" w:ascii="Times New Roman" w:hAnsi="Times New Roman" w:eastAsia="仿宋_GB2312"/>
                <w:szCs w:val="21"/>
                <w:shd w:val="clear" w:color="auto" w:fill="FFFFFF"/>
                <w:lang w:eastAsia="zh-CN"/>
              </w:rPr>
            </w:pPr>
            <w:r>
              <w:rPr>
                <w:rFonts w:ascii="Times New Roman" w:hAnsi="Times New Roman" w:eastAsia="仿宋_GB2312"/>
                <w:szCs w:val="21"/>
                <w:shd w:val="clear" w:color="auto" w:fill="FFFFFF"/>
              </w:rPr>
              <w:t>劳动保障监察</w:t>
            </w:r>
            <w:r>
              <w:rPr>
                <w:rFonts w:hint="eastAsia" w:ascii="Times New Roman" w:hAnsi="Times New Roman" w:eastAsia="仿宋_GB2312"/>
                <w:szCs w:val="21"/>
                <w:shd w:val="clear" w:color="auto" w:fill="FFFFFF"/>
                <w:lang w:val="en-US"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18" w:type="dxa"/>
            <w:vAlign w:val="center"/>
          </w:tcPr>
          <w:p>
            <w:pPr>
              <w:spacing w:line="260" w:lineRule="exact"/>
              <w:jc w:val="center"/>
              <w:rPr>
                <w:rFonts w:hint="eastAsia" w:ascii="Times New Roman" w:hAnsi="Times New Roman" w:eastAsia="仿宋_GB2312"/>
                <w:szCs w:val="21"/>
                <w:shd w:val="clear" w:color="auto" w:fill="FFFFFF"/>
                <w:lang w:eastAsia="zh-CN"/>
              </w:rPr>
            </w:pPr>
            <w:r>
              <w:rPr>
                <w:rFonts w:hint="eastAsia" w:ascii="Times New Roman" w:hAnsi="Times New Roman" w:eastAsia="仿宋_GB2312"/>
                <w:szCs w:val="21"/>
                <w:shd w:val="clear" w:color="auto" w:fill="FFFFFF"/>
                <w:lang w:val="en-US" w:eastAsia="zh-CN"/>
              </w:rPr>
              <w:t>7</w:t>
            </w:r>
          </w:p>
        </w:tc>
        <w:tc>
          <w:tcPr>
            <w:tcW w:w="1190"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工伤保险医疗转诊机构、康复机构和辅助器具配置机构确定</w:t>
            </w:r>
          </w:p>
        </w:tc>
        <w:tc>
          <w:tcPr>
            <w:tcW w:w="5499" w:type="dxa"/>
            <w:vAlign w:val="center"/>
          </w:tcPr>
          <w:p>
            <w:pPr>
              <w:spacing w:line="260" w:lineRule="exact"/>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河南省工伤保险条例》（2007年省人大常委会公告第71号）第三十七条第一款：“省劳动保障行政部门会同有关部门根据本省行政区域内工伤事故和职业病救治特点，制定工伤保险医疗服务管理办法，统筹规划和选择工伤保险医疗转诊机构、康复机构和辅助器具配置机构；统筹地区劳动保障行政部门根据工伤保险工作需要，在本统筹区域内选择工伤保险医疗机构。”</w:t>
            </w:r>
          </w:p>
        </w:tc>
        <w:tc>
          <w:tcPr>
            <w:tcW w:w="837" w:type="dxa"/>
            <w:vAlign w:val="center"/>
          </w:tcPr>
          <w:p>
            <w:pPr>
              <w:spacing w:line="26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行政确认</w:t>
            </w:r>
          </w:p>
        </w:tc>
        <w:tc>
          <w:tcPr>
            <w:tcW w:w="837" w:type="dxa"/>
            <w:vAlign w:val="center"/>
          </w:tcPr>
          <w:p>
            <w:pPr>
              <w:spacing w:line="260" w:lineRule="exact"/>
              <w:jc w:val="center"/>
              <w:rPr>
                <w:rFonts w:hint="eastAsia" w:ascii="Times New Roman" w:hAnsi="Times New Roman" w:eastAsia="仿宋_GB2312"/>
                <w:szCs w:val="21"/>
                <w:shd w:val="clear" w:color="auto" w:fill="FFFFFF"/>
                <w:lang w:eastAsia="zh-CN"/>
              </w:rPr>
            </w:pPr>
            <w:r>
              <w:rPr>
                <w:rFonts w:ascii="Times New Roman" w:hAnsi="Times New Roman" w:eastAsia="仿宋_GB2312"/>
                <w:szCs w:val="21"/>
                <w:shd w:val="clear" w:color="auto" w:fill="FFFFFF"/>
              </w:rPr>
              <w:t>工伤保险</w:t>
            </w:r>
            <w:r>
              <w:rPr>
                <w:rFonts w:hint="eastAsia" w:ascii="Times New Roman" w:hAnsi="Times New Roman" w:eastAsia="仿宋_GB2312"/>
                <w:szCs w:val="21"/>
                <w:shd w:val="clear" w:color="auto" w:fill="FFFFFF"/>
                <w:lang w:val="en-US" w:eastAsia="zh-CN"/>
              </w:rPr>
              <w:t>股</w:t>
            </w:r>
          </w:p>
        </w:tc>
      </w:tr>
    </w:tbl>
    <w:p>
      <w:pPr>
        <w:rPr>
          <w:rFonts w:ascii="仿宋" w:hAnsi="仿宋" w:eastAsia="仿宋" w:cs="仿宋"/>
          <w:sz w:val="32"/>
          <w:szCs w:val="32"/>
          <w:shd w:val="clear" w:color="auto" w:fill="FFFFFF"/>
        </w:rPr>
        <w:sectPr>
          <w:footerReference r:id="rId3" w:type="default"/>
          <w:pgSz w:w="11906" w:h="16838"/>
          <w:pgMar w:top="1440" w:right="1800" w:bottom="1440" w:left="1800" w:header="851" w:footer="992" w:gutter="0"/>
          <w:cols w:space="720" w:num="1"/>
          <w:docGrid w:type="lines" w:linePitch="312" w:charSpace="0"/>
        </w:sectPr>
      </w:pPr>
      <w:bookmarkStart w:id="0" w:name="_GoBack"/>
      <w:bookmarkEnd w:id="0"/>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3</w:t>
    </w:r>
    <w:r>
      <w:rPr>
        <w:lang w:val="zh-CN" w:eastAsia="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135C0"/>
    <w:rsid w:val="00244F47"/>
    <w:rsid w:val="00323B43"/>
    <w:rsid w:val="003D37D8"/>
    <w:rsid w:val="00426133"/>
    <w:rsid w:val="004358AB"/>
    <w:rsid w:val="008B7726"/>
    <w:rsid w:val="00956066"/>
    <w:rsid w:val="00A2025E"/>
    <w:rsid w:val="00D31D50"/>
    <w:rsid w:val="1A976CE2"/>
    <w:rsid w:val="3513077B"/>
    <w:rsid w:val="465848ED"/>
    <w:rsid w:val="4E71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286</Words>
  <Characters>1636</Characters>
  <Lines>13</Lines>
  <Paragraphs>3</Paragraphs>
  <TotalTime>3</TotalTime>
  <ScaleCrop>false</ScaleCrop>
  <LinksUpToDate>false</LinksUpToDate>
  <CharactersWithSpaces>1919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ZBKJ</dc:creator>
  <cp:lastModifiedBy>Administrator</cp:lastModifiedBy>
  <dcterms:modified xsi:type="dcterms:W3CDTF">2023-05-05T02:06:30Z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