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color w:val="000000"/>
          <w:sz w:val="28"/>
          <w:szCs w:val="28"/>
        </w:rPr>
      </w:pPr>
    </w:p>
    <w:p>
      <w:pPr>
        <w:jc w:val="center"/>
        <w:rPr>
          <w:rFonts w:hint="eastAsia" w:ascii="黑体" w:hAnsi="黑体" w:eastAsia="黑体" w:cs="黑体"/>
          <w:sz w:val="52"/>
          <w:szCs w:val="52"/>
          <w:lang w:eastAsia="zh-CN"/>
        </w:rPr>
      </w:pPr>
    </w:p>
    <w:p>
      <w:pPr>
        <w:jc w:val="center"/>
        <w:rPr>
          <w:rFonts w:hint="eastAsia" w:ascii="黑体" w:hAnsi="黑体" w:eastAsia="黑体" w:cs="黑体"/>
          <w:sz w:val="52"/>
          <w:szCs w:val="52"/>
          <w:lang w:eastAsia="zh-CN"/>
        </w:rPr>
      </w:pPr>
    </w:p>
    <w:p>
      <w:pPr>
        <w:jc w:val="center"/>
        <w:rPr>
          <w:rFonts w:hint="eastAsia" w:ascii="黑体" w:hAnsi="黑体" w:eastAsia="黑体" w:cs="黑体"/>
          <w:sz w:val="52"/>
          <w:szCs w:val="52"/>
          <w:lang w:eastAsia="zh-CN"/>
        </w:rPr>
      </w:pPr>
    </w:p>
    <w:p>
      <w:pPr>
        <w:jc w:val="center"/>
        <w:rPr>
          <w:rFonts w:hint="eastAsia" w:ascii="黑体" w:hAnsi="黑体" w:eastAsia="黑体" w:cs="黑体"/>
          <w:sz w:val="52"/>
          <w:szCs w:val="52"/>
        </w:rPr>
      </w:pPr>
      <w:r>
        <w:rPr>
          <w:rFonts w:hint="eastAsia" w:ascii="黑体" w:hAnsi="黑体" w:eastAsia="黑体" w:cs="黑体"/>
          <w:sz w:val="52"/>
          <w:szCs w:val="52"/>
        </w:rPr>
        <w:t>202</w:t>
      </w:r>
      <w:r>
        <w:rPr>
          <w:rFonts w:hint="eastAsia" w:ascii="黑体" w:hAnsi="黑体" w:eastAsia="黑体" w:cs="黑体"/>
          <w:sz w:val="52"/>
          <w:szCs w:val="52"/>
          <w:lang w:val="en-US" w:eastAsia="zh-CN"/>
        </w:rPr>
        <w:t>1</w:t>
      </w:r>
      <w:r>
        <w:rPr>
          <w:rFonts w:hint="eastAsia" w:ascii="黑体" w:hAnsi="黑体" w:eastAsia="黑体" w:cs="黑体"/>
          <w:sz w:val="52"/>
          <w:szCs w:val="52"/>
        </w:rPr>
        <w:t>年度</w:t>
      </w:r>
      <w:r>
        <w:rPr>
          <w:rFonts w:hint="eastAsia" w:ascii="黑体" w:hAnsi="黑体" w:eastAsia="黑体" w:cs="黑体"/>
          <w:sz w:val="52"/>
          <w:szCs w:val="52"/>
          <w:lang w:eastAsia="zh-CN"/>
        </w:rPr>
        <w:t>信访</w:t>
      </w:r>
      <w:r>
        <w:rPr>
          <w:rFonts w:hint="eastAsia" w:ascii="黑体" w:hAnsi="黑体" w:eastAsia="黑体" w:cs="黑体"/>
          <w:sz w:val="52"/>
          <w:szCs w:val="52"/>
        </w:rPr>
        <w:t>局部门决算公开</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6"/>
          <w:szCs w:val="36"/>
        </w:rPr>
      </w:pPr>
    </w:p>
    <w:p>
      <w:pPr>
        <w:jc w:val="center"/>
        <w:rPr>
          <w:rFonts w:hint="eastAsia" w:ascii="黑体" w:hAnsi="黑体" w:eastAsia="黑体" w:cs="黑体"/>
          <w:sz w:val="36"/>
          <w:szCs w:val="36"/>
        </w:rPr>
      </w:pPr>
    </w:p>
    <w:p>
      <w:pPr>
        <w:jc w:val="center"/>
        <w:rPr>
          <w:rFonts w:hint="eastAsia" w:ascii="黑体" w:hAnsi="黑体" w:eastAsia="黑体" w:cs="黑体"/>
          <w:sz w:val="36"/>
          <w:szCs w:val="36"/>
        </w:rPr>
      </w:pPr>
    </w:p>
    <w:p>
      <w:pPr>
        <w:jc w:val="center"/>
        <w:rPr>
          <w:rFonts w:hint="eastAsia" w:ascii="黑体" w:hAnsi="黑体" w:eastAsia="黑体" w:cs="黑体"/>
          <w:sz w:val="36"/>
          <w:szCs w:val="36"/>
        </w:rPr>
      </w:pPr>
    </w:p>
    <w:p>
      <w:pPr>
        <w:jc w:val="center"/>
        <w:rPr>
          <w:rFonts w:hint="eastAsia" w:ascii="黑体" w:hAnsi="黑体" w:eastAsia="黑体" w:cs="黑体"/>
          <w:sz w:val="36"/>
          <w:szCs w:val="36"/>
        </w:rPr>
      </w:pPr>
    </w:p>
    <w:p>
      <w:pPr>
        <w:jc w:val="center"/>
        <w:rPr>
          <w:rFonts w:hint="eastAsia" w:ascii="黑体" w:hAnsi="黑体" w:eastAsia="黑体" w:cs="黑体"/>
          <w:sz w:val="36"/>
          <w:szCs w:val="36"/>
        </w:rPr>
      </w:pPr>
    </w:p>
    <w:p>
      <w:pPr>
        <w:jc w:val="center"/>
        <w:rPr>
          <w:rFonts w:hint="eastAsia" w:ascii="黑体" w:hAnsi="黑体" w:eastAsia="黑体" w:cs="黑体"/>
          <w:sz w:val="36"/>
          <w:szCs w:val="36"/>
        </w:rPr>
      </w:pPr>
    </w:p>
    <w:p>
      <w:pPr>
        <w:jc w:val="center"/>
        <w:rPr>
          <w:rFonts w:hint="eastAsia" w:ascii="黑体" w:hAnsi="黑体" w:eastAsia="黑体" w:cs="黑体"/>
          <w:sz w:val="36"/>
          <w:szCs w:val="36"/>
        </w:rPr>
      </w:pPr>
    </w:p>
    <w:p>
      <w:pPr>
        <w:jc w:val="center"/>
        <w:rPr>
          <w:rFonts w:hint="eastAsia" w:ascii="黑体" w:hAnsi="黑体" w:eastAsia="黑体" w:cs="黑体"/>
          <w:sz w:val="36"/>
          <w:szCs w:val="36"/>
        </w:rPr>
      </w:pPr>
    </w:p>
    <w:p>
      <w:pPr>
        <w:jc w:val="center"/>
        <w:rPr>
          <w:rFonts w:hint="default" w:ascii="黑体" w:hAnsi="黑体" w:eastAsia="黑体" w:cs="黑体"/>
          <w:sz w:val="36"/>
          <w:szCs w:val="36"/>
          <w:lang w:val="en-US" w:eastAsia="zh-CN"/>
        </w:rPr>
      </w:pPr>
      <w:r>
        <w:rPr>
          <w:rFonts w:hint="eastAsia" w:ascii="黑体" w:hAnsi="黑体" w:eastAsia="黑体" w:cs="黑体"/>
          <w:sz w:val="36"/>
          <w:szCs w:val="36"/>
          <w:lang w:eastAsia="zh-CN"/>
        </w:rPr>
        <w:t>二</w:t>
      </w:r>
      <w:r>
        <w:rPr>
          <w:rFonts w:hint="eastAsia" w:ascii="黑体" w:hAnsi="黑体" w:eastAsia="黑体" w:cs="黑体"/>
          <w:sz w:val="36"/>
          <w:szCs w:val="36"/>
          <w:lang w:val="en-US" w:eastAsia="zh-CN"/>
        </w:rPr>
        <w:t>0二二年十月</w:t>
      </w:r>
    </w:p>
    <w:p>
      <w:pPr>
        <w:ind w:firstLine="3240" w:firstLineChars="900"/>
        <w:jc w:val="both"/>
        <w:rPr>
          <w:rFonts w:hint="eastAsia" w:ascii="黑体" w:hAnsi="黑体" w:eastAsia="黑体" w:cs="黑体"/>
          <w:sz w:val="36"/>
          <w:szCs w:val="36"/>
        </w:rPr>
      </w:pPr>
    </w:p>
    <w:p>
      <w:pPr>
        <w:ind w:firstLine="3240" w:firstLineChars="900"/>
        <w:jc w:val="both"/>
        <w:rPr>
          <w:rFonts w:hint="eastAsia" w:ascii="黑体" w:hAnsi="黑体" w:eastAsia="黑体" w:cs="黑体"/>
          <w:sz w:val="36"/>
          <w:szCs w:val="36"/>
        </w:rPr>
      </w:pPr>
    </w:p>
    <w:p>
      <w:pPr>
        <w:ind w:firstLine="3240" w:firstLineChars="900"/>
        <w:jc w:val="both"/>
        <w:rPr>
          <w:rFonts w:ascii="黑体" w:hAnsi="黑体" w:eastAsia="黑体" w:cs="黑体"/>
          <w:sz w:val="36"/>
          <w:szCs w:val="36"/>
        </w:rPr>
      </w:pPr>
      <w:r>
        <w:rPr>
          <w:rFonts w:hint="eastAsia" w:ascii="黑体" w:hAnsi="黑体" w:eastAsia="黑体" w:cs="黑体"/>
          <w:sz w:val="36"/>
          <w:szCs w:val="36"/>
        </w:rPr>
        <w:t>目　　录</w:t>
      </w:r>
    </w:p>
    <w:p>
      <w:pPr>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信访局</w:t>
      </w:r>
      <w:r>
        <w:rPr>
          <w:rFonts w:hint="eastAsia" w:ascii="黑体" w:hAnsi="黑体" w:eastAsia="黑体" w:cs="黑体"/>
          <w:sz w:val="32"/>
          <w:szCs w:val="32"/>
        </w:rPr>
        <w:t>概况</w:t>
      </w:r>
    </w:p>
    <w:p>
      <w:pPr>
        <w:widowControl w:val="0"/>
        <w:numPr>
          <w:ilvl w:val="0"/>
          <w:numId w:val="1"/>
        </w:numPr>
        <w:ind w:firstLine="640" w:firstLineChars="200"/>
        <w:rPr>
          <w:sz w:val="32"/>
          <w:szCs w:val="32"/>
        </w:rPr>
      </w:pPr>
      <w:r>
        <w:rPr>
          <w:rFonts w:hint="eastAsia"/>
          <w:sz w:val="32"/>
          <w:szCs w:val="32"/>
        </w:rPr>
        <w:t>部门职责</w:t>
      </w:r>
    </w:p>
    <w:p>
      <w:pPr>
        <w:widowControl w:val="0"/>
        <w:numPr>
          <w:ilvl w:val="0"/>
          <w:numId w:val="1"/>
        </w:numPr>
        <w:ind w:firstLine="640" w:firstLineChars="200"/>
        <w:rPr>
          <w:sz w:val="32"/>
          <w:szCs w:val="32"/>
        </w:rPr>
      </w:pPr>
      <w:r>
        <w:rPr>
          <w:rFonts w:hint="eastAsia"/>
          <w:sz w:val="32"/>
          <w:szCs w:val="32"/>
        </w:rPr>
        <w:t>机构设置</w:t>
      </w:r>
    </w:p>
    <w:p>
      <w:pPr>
        <w:rPr>
          <w:rFonts w:hint="eastAsia" w:ascii="黑体" w:hAnsi="黑体" w:eastAsia="黑体" w:cs="黑体"/>
          <w:sz w:val="32"/>
          <w:szCs w:val="32"/>
        </w:rPr>
      </w:pPr>
      <w:r>
        <w:rPr>
          <w:rFonts w:hint="eastAsia" w:ascii="黑体" w:hAnsi="黑体" w:eastAsia="黑体" w:cs="黑体"/>
          <w:sz w:val="32"/>
          <w:szCs w:val="32"/>
        </w:rPr>
        <w:t>第二部分　　2</w:t>
      </w:r>
      <w:r>
        <w:rPr>
          <w:rFonts w:hint="eastAsia" w:ascii="黑体" w:hAnsi="黑体" w:eastAsia="黑体" w:cs="黑体"/>
          <w:sz w:val="32"/>
          <w:szCs w:val="32"/>
          <w:lang w:val="en-US" w:eastAsia="zh-CN"/>
        </w:rPr>
        <w:t>021</w:t>
      </w:r>
      <w:r>
        <w:rPr>
          <w:rFonts w:hint="eastAsia" w:ascii="黑体" w:hAnsi="黑体" w:eastAsia="黑体" w:cs="黑体"/>
          <w:sz w:val="32"/>
          <w:szCs w:val="32"/>
        </w:rPr>
        <w:t>年度部门决算情况说明</w:t>
      </w:r>
    </w:p>
    <w:p>
      <w:pPr>
        <w:ind w:firstLine="640" w:firstLineChars="200"/>
        <w:rPr>
          <w:rFonts w:hint="eastAsia"/>
          <w:sz w:val="32"/>
          <w:szCs w:val="32"/>
        </w:rPr>
      </w:pPr>
      <w:r>
        <w:rPr>
          <w:rFonts w:hint="eastAsia"/>
          <w:sz w:val="32"/>
          <w:szCs w:val="32"/>
        </w:rPr>
        <w:t>一、收入支出决算总体情况说明</w:t>
      </w:r>
    </w:p>
    <w:p>
      <w:pPr>
        <w:ind w:firstLine="640" w:firstLineChars="200"/>
        <w:rPr>
          <w:rFonts w:hint="eastAsia"/>
          <w:sz w:val="32"/>
          <w:szCs w:val="32"/>
        </w:rPr>
      </w:pPr>
      <w:r>
        <w:rPr>
          <w:rFonts w:hint="eastAsia"/>
          <w:sz w:val="32"/>
          <w:szCs w:val="32"/>
        </w:rPr>
        <w:t>二、收入决算情况说明</w:t>
      </w:r>
    </w:p>
    <w:p>
      <w:pPr>
        <w:ind w:firstLine="640" w:firstLineChars="200"/>
        <w:rPr>
          <w:rFonts w:hint="eastAsia"/>
          <w:sz w:val="32"/>
          <w:szCs w:val="32"/>
        </w:rPr>
      </w:pPr>
      <w:r>
        <w:rPr>
          <w:rFonts w:hint="eastAsia"/>
          <w:sz w:val="32"/>
          <w:szCs w:val="32"/>
        </w:rPr>
        <w:t>三、支出决算情况说明</w:t>
      </w:r>
    </w:p>
    <w:p>
      <w:pPr>
        <w:ind w:firstLine="640" w:firstLineChars="200"/>
        <w:rPr>
          <w:rFonts w:hint="eastAsia"/>
          <w:sz w:val="32"/>
          <w:szCs w:val="32"/>
        </w:rPr>
      </w:pPr>
      <w:r>
        <w:rPr>
          <w:rFonts w:hint="eastAsia"/>
          <w:sz w:val="32"/>
          <w:szCs w:val="32"/>
        </w:rPr>
        <w:t>四、财政拨款收入支出决算总体情况说明</w:t>
      </w:r>
    </w:p>
    <w:p>
      <w:pPr>
        <w:ind w:firstLine="640" w:firstLineChars="200"/>
        <w:rPr>
          <w:rFonts w:hint="eastAsia"/>
          <w:sz w:val="32"/>
          <w:szCs w:val="32"/>
        </w:rPr>
      </w:pPr>
      <w:r>
        <w:rPr>
          <w:rFonts w:hint="eastAsia"/>
          <w:sz w:val="32"/>
          <w:szCs w:val="32"/>
        </w:rPr>
        <w:t>五、一般公共预算财政拨款支出决算情况说明</w:t>
      </w:r>
    </w:p>
    <w:p>
      <w:pPr>
        <w:ind w:firstLine="640" w:firstLineChars="200"/>
        <w:rPr>
          <w:rFonts w:hint="eastAsia"/>
          <w:sz w:val="32"/>
          <w:szCs w:val="32"/>
        </w:rPr>
      </w:pPr>
      <w:r>
        <w:rPr>
          <w:rFonts w:hint="eastAsia"/>
          <w:sz w:val="32"/>
          <w:szCs w:val="32"/>
        </w:rPr>
        <w:t>六、一般公共预算财政拨款基本支出决算情况说明</w:t>
      </w:r>
    </w:p>
    <w:p>
      <w:pPr>
        <w:ind w:firstLine="640" w:firstLineChars="200"/>
        <w:rPr>
          <w:rFonts w:hint="eastAsia"/>
          <w:sz w:val="32"/>
          <w:szCs w:val="32"/>
        </w:rPr>
      </w:pPr>
      <w:r>
        <w:rPr>
          <w:rFonts w:hint="eastAsia"/>
          <w:sz w:val="32"/>
          <w:szCs w:val="32"/>
        </w:rPr>
        <w:t>七、一般公共预算财政拨款“三公”经费支出决算情况说明</w:t>
      </w:r>
    </w:p>
    <w:p>
      <w:pPr>
        <w:ind w:firstLine="640" w:firstLineChars="200"/>
        <w:rPr>
          <w:rFonts w:hint="eastAsia"/>
          <w:sz w:val="32"/>
          <w:szCs w:val="32"/>
        </w:rPr>
      </w:pPr>
      <w:r>
        <w:rPr>
          <w:rFonts w:hint="eastAsia"/>
          <w:sz w:val="32"/>
          <w:szCs w:val="32"/>
        </w:rPr>
        <w:t>八、预算绩效情况说明</w:t>
      </w:r>
    </w:p>
    <w:p>
      <w:pPr>
        <w:ind w:firstLine="640" w:firstLineChars="200"/>
        <w:rPr>
          <w:rFonts w:hint="eastAsia"/>
          <w:sz w:val="32"/>
          <w:szCs w:val="32"/>
        </w:rPr>
      </w:pPr>
      <w:r>
        <w:rPr>
          <w:rFonts w:hint="eastAsia"/>
          <w:sz w:val="32"/>
          <w:szCs w:val="32"/>
        </w:rPr>
        <w:t>九、政府性基金预算财政拨款支出决算情况说明</w:t>
      </w:r>
    </w:p>
    <w:p>
      <w:pPr>
        <w:ind w:firstLine="640" w:firstLineChars="200"/>
        <w:rPr>
          <w:rFonts w:hint="eastAsia"/>
          <w:sz w:val="32"/>
          <w:szCs w:val="32"/>
        </w:rPr>
      </w:pPr>
      <w:r>
        <w:rPr>
          <w:rFonts w:hint="eastAsia"/>
          <w:sz w:val="32"/>
          <w:szCs w:val="32"/>
        </w:rPr>
        <w:t>十、机关运行经费支出情况说明</w:t>
      </w:r>
    </w:p>
    <w:p>
      <w:pPr>
        <w:ind w:firstLine="640" w:firstLineChars="200"/>
        <w:rPr>
          <w:rFonts w:hint="eastAsia"/>
          <w:sz w:val="32"/>
          <w:szCs w:val="32"/>
        </w:rPr>
      </w:pPr>
      <w:r>
        <w:rPr>
          <w:rFonts w:hint="eastAsia"/>
          <w:sz w:val="32"/>
          <w:szCs w:val="32"/>
        </w:rPr>
        <w:t>十一、政府采购支出情况说明</w:t>
      </w:r>
    </w:p>
    <w:p>
      <w:pPr>
        <w:ind w:firstLine="640" w:firstLineChars="200"/>
        <w:rPr>
          <w:rFonts w:hint="eastAsia"/>
          <w:sz w:val="32"/>
          <w:szCs w:val="32"/>
        </w:rPr>
      </w:pPr>
      <w:r>
        <w:rPr>
          <w:rFonts w:hint="eastAsia"/>
          <w:sz w:val="32"/>
          <w:szCs w:val="32"/>
        </w:rPr>
        <w:t>十二、国有资产占用情况说明</w:t>
      </w:r>
    </w:p>
    <w:p>
      <w:pPr>
        <w:rPr>
          <w:rFonts w:hint="eastAsia" w:ascii="黑体" w:hAnsi="黑体" w:eastAsia="黑体" w:cs="黑体"/>
          <w:sz w:val="32"/>
          <w:szCs w:val="32"/>
        </w:rPr>
      </w:pPr>
      <w:r>
        <w:rPr>
          <w:rFonts w:hint="eastAsia" w:ascii="黑体" w:hAnsi="黑体" w:eastAsia="黑体" w:cs="黑体"/>
          <w:sz w:val="32"/>
          <w:szCs w:val="32"/>
        </w:rPr>
        <w:t>第三部分　　名词解释</w:t>
      </w:r>
    </w:p>
    <w:p>
      <w:pPr>
        <w:rPr>
          <w:rFonts w:ascii="黑体" w:hAnsi="黑体" w:eastAsia="黑体" w:cs="黑体"/>
          <w:sz w:val="32"/>
          <w:szCs w:val="32"/>
        </w:rPr>
      </w:pPr>
      <w:r>
        <w:rPr>
          <w:rFonts w:hint="eastAsia" w:ascii="黑体" w:hAnsi="黑体" w:eastAsia="黑体" w:cs="黑体"/>
          <w:sz w:val="32"/>
          <w:szCs w:val="32"/>
        </w:rPr>
        <w:t>第四部分　　202</w:t>
      </w:r>
      <w:r>
        <w:rPr>
          <w:rFonts w:hint="eastAsia" w:ascii="黑体" w:hAnsi="黑体" w:eastAsia="黑体" w:cs="黑体"/>
          <w:sz w:val="32"/>
          <w:szCs w:val="32"/>
          <w:lang w:val="en-US" w:eastAsia="zh-CN"/>
        </w:rPr>
        <w:t>1</w:t>
      </w:r>
      <w:r>
        <w:rPr>
          <w:rFonts w:hint="eastAsia" w:ascii="黑体" w:hAnsi="黑体" w:eastAsia="黑体" w:cs="黑体"/>
          <w:sz w:val="32"/>
          <w:szCs w:val="32"/>
        </w:rPr>
        <w:t>年度部门决算表（Excel表格形式）</w:t>
      </w:r>
    </w:p>
    <w:p>
      <w:pPr>
        <w:ind w:firstLine="640" w:firstLineChars="200"/>
        <w:rPr>
          <w:sz w:val="32"/>
          <w:szCs w:val="32"/>
        </w:rPr>
      </w:pPr>
      <w:r>
        <w:rPr>
          <w:rFonts w:hint="eastAsia"/>
          <w:sz w:val="32"/>
          <w:szCs w:val="32"/>
        </w:rPr>
        <w:t>一、收入支出决算总表</w:t>
      </w:r>
    </w:p>
    <w:p>
      <w:pPr>
        <w:ind w:firstLine="640" w:firstLineChars="200"/>
        <w:rPr>
          <w:sz w:val="32"/>
          <w:szCs w:val="32"/>
        </w:rPr>
      </w:pPr>
      <w:r>
        <w:rPr>
          <w:rFonts w:hint="eastAsia"/>
          <w:sz w:val="32"/>
          <w:szCs w:val="32"/>
        </w:rPr>
        <w:t>二、收入决算表</w:t>
      </w:r>
    </w:p>
    <w:p>
      <w:pPr>
        <w:ind w:firstLine="640" w:firstLineChars="200"/>
        <w:rPr>
          <w:rFonts w:hint="eastAsia"/>
          <w:sz w:val="32"/>
          <w:szCs w:val="32"/>
        </w:rPr>
      </w:pPr>
      <w:r>
        <w:rPr>
          <w:rFonts w:hint="eastAsia"/>
          <w:sz w:val="32"/>
          <w:szCs w:val="32"/>
        </w:rPr>
        <w:t>三、支出决算表</w:t>
      </w:r>
    </w:p>
    <w:p>
      <w:pPr>
        <w:ind w:firstLine="640" w:firstLineChars="200"/>
        <w:rPr>
          <w:rFonts w:hint="eastAsia"/>
          <w:sz w:val="32"/>
          <w:szCs w:val="32"/>
        </w:rPr>
      </w:pPr>
      <w:r>
        <w:rPr>
          <w:rFonts w:hint="eastAsia"/>
          <w:sz w:val="32"/>
          <w:szCs w:val="32"/>
        </w:rPr>
        <w:t>四、财政拨款收入支出决算总表</w:t>
      </w:r>
    </w:p>
    <w:p>
      <w:pPr>
        <w:ind w:firstLine="640" w:firstLineChars="200"/>
        <w:rPr>
          <w:rFonts w:hint="eastAsia"/>
          <w:sz w:val="32"/>
          <w:szCs w:val="32"/>
        </w:rPr>
      </w:pPr>
      <w:r>
        <w:rPr>
          <w:rFonts w:hint="eastAsia"/>
          <w:sz w:val="32"/>
          <w:szCs w:val="32"/>
        </w:rPr>
        <w:t>五、一般公共预算财政拨款支出决算表</w:t>
      </w:r>
    </w:p>
    <w:p>
      <w:pPr>
        <w:ind w:firstLine="640" w:firstLineChars="200"/>
        <w:rPr>
          <w:rFonts w:hint="eastAsia"/>
          <w:sz w:val="32"/>
          <w:szCs w:val="32"/>
        </w:rPr>
      </w:pPr>
      <w:r>
        <w:rPr>
          <w:rFonts w:hint="eastAsia"/>
          <w:sz w:val="32"/>
          <w:szCs w:val="32"/>
        </w:rPr>
        <w:t>六、一般公共预算财政拨款基本支出决算表</w:t>
      </w:r>
    </w:p>
    <w:p>
      <w:pPr>
        <w:ind w:firstLine="640" w:firstLineChars="200"/>
        <w:rPr>
          <w:rFonts w:hint="eastAsia"/>
          <w:sz w:val="32"/>
          <w:szCs w:val="32"/>
        </w:rPr>
      </w:pPr>
      <w:r>
        <w:rPr>
          <w:rFonts w:hint="eastAsia"/>
          <w:sz w:val="32"/>
          <w:szCs w:val="32"/>
        </w:rPr>
        <w:t>七、一般公共预算财政拨款“三公”经费支出决算表</w:t>
      </w:r>
    </w:p>
    <w:p>
      <w:pPr>
        <w:ind w:firstLine="640" w:firstLineChars="200"/>
        <w:rPr>
          <w:rFonts w:ascii="黑体" w:hAnsi="黑体" w:eastAsia="黑体" w:cs="黑体"/>
          <w:sz w:val="44"/>
          <w:szCs w:val="44"/>
        </w:rPr>
      </w:pPr>
      <w:r>
        <w:rPr>
          <w:rFonts w:hint="eastAsia"/>
          <w:sz w:val="32"/>
          <w:szCs w:val="32"/>
        </w:rPr>
        <w:t>八、政府性基金预算财政拨款收入支出决算表</w:t>
      </w:r>
    </w:p>
    <w:p>
      <w:pPr>
        <w:jc w:val="center"/>
        <w:rPr>
          <w:rFonts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ascii="黑体" w:eastAsia="黑体"/>
          <w:color w:val="000000"/>
          <w:sz w:val="44"/>
          <w:szCs w:val="44"/>
        </w:rPr>
      </w:pPr>
      <w:r>
        <w:rPr>
          <w:rFonts w:hint="eastAsia" w:ascii="黑体" w:hAnsi="黑体" w:eastAsia="黑体" w:cs="黑体"/>
          <w:sz w:val="44"/>
          <w:szCs w:val="44"/>
        </w:rPr>
        <w:t>第一部分　</w:t>
      </w:r>
      <w:r>
        <w:rPr>
          <w:rFonts w:hint="eastAsia" w:ascii="黑体" w:hAnsi="黑体" w:eastAsia="黑体" w:cs="黑体"/>
          <w:sz w:val="44"/>
          <w:szCs w:val="44"/>
          <w:lang w:eastAsia="zh-CN"/>
        </w:rPr>
        <w:t>息县信访</w:t>
      </w:r>
      <w:r>
        <w:rPr>
          <w:rFonts w:hint="eastAsia" w:ascii="黑体" w:hAnsi="黑体" w:eastAsia="黑体" w:cs="黑体"/>
          <w:sz w:val="44"/>
          <w:szCs w:val="44"/>
        </w:rPr>
        <w:t>局概况</w:t>
      </w:r>
    </w:p>
    <w:p>
      <w:pPr>
        <w:ind w:firstLine="640" w:firstLineChars="200"/>
        <w:outlineLvl w:val="1"/>
        <w:rPr>
          <w:rFonts w:ascii="黑体" w:hAnsi="黑体" w:eastAsia="黑体" w:cs="黑体"/>
          <w:sz w:val="32"/>
          <w:szCs w:val="32"/>
        </w:rPr>
      </w:pPr>
    </w:p>
    <w:p>
      <w:pPr>
        <w:ind w:firstLine="640" w:firstLineChars="200"/>
        <w:outlineLvl w:val="1"/>
        <w:rPr>
          <w:rFonts w:ascii="黑体" w:hAnsi="黑体" w:eastAsia="黑体" w:cs="黑体"/>
          <w:sz w:val="32"/>
          <w:szCs w:val="32"/>
        </w:rPr>
      </w:pPr>
      <w:r>
        <w:rPr>
          <w:rFonts w:hint="eastAsia" w:ascii="黑体" w:hAnsi="黑体" w:eastAsia="黑体" w:cs="黑体"/>
          <w:sz w:val="32"/>
          <w:szCs w:val="32"/>
        </w:rPr>
        <w:t>一、部门</w:t>
      </w:r>
      <w:r>
        <w:rPr>
          <w:rFonts w:hint="eastAsia" w:ascii="黑体" w:hAnsi="黑体" w:eastAsia="黑体" w:cs="黑体"/>
          <w:bCs/>
          <w:sz w:val="32"/>
          <w:szCs w:val="32"/>
        </w:rPr>
        <w:t>职责</w:t>
      </w:r>
    </w:p>
    <w:p>
      <w:pPr>
        <w:spacing w:line="58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（1）贯彻党的群众路线，集中反映社情民意，维护群众合法权益，化解人民内部矛盾，综合指导全县群众工作、信访工作。</w:t>
      </w:r>
    </w:p>
    <w:p>
      <w:pPr>
        <w:spacing w:line="58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（2）负责制定全县群众信访工作的有关政策、规定，并组织实施；负责《信访条例》等法规的组织实施；负责信访事项的复查复核工作。</w:t>
      </w:r>
    </w:p>
    <w:p>
      <w:pPr>
        <w:spacing w:line="58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（3）负责信访信息化建设工作；负责信访舆情监控和舆论引导工作。</w:t>
      </w:r>
    </w:p>
    <w:p>
      <w:pPr>
        <w:spacing w:line="58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（4）协调政府有关部门对涉及群众利益的政策调整、重大项目建设进行社会稳定风险和信访评估；组织开展矛盾纠纷排查化解工作。</w:t>
      </w:r>
    </w:p>
    <w:p>
      <w:pPr>
        <w:spacing w:line="58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代表县委、县政府受理人民群众来信来访和“网上信访”，为来信来访群众提供有关法律、法规和政策咨询服务；协调县级领导干部接待群众来访，组织县直机关干部下访督查信访工作；负责中央、省、市、县党代会，人代会和政协会等重要时期的信访稳定工作；负责组织协调驻京、驻省信访劝返工作。</w:t>
      </w:r>
    </w:p>
    <w:p>
      <w:pPr>
        <w:pStyle w:val="9"/>
        <w:spacing w:line="580" w:lineRule="atLeas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承办上级领导机关和县委、县政府领导交办的信访事项，督促检查领导同志批示件的落实情况；协调处理跨乡镇、跨部门的信访事项及群众赴京到省到市来县上访和突发信访事件；向有关单位交办信访事项，督促检查重要信访事项的处理和落实；负责办理信访案件，审结要结果案件；负责组织开展重点疑难信访案件的调查和处理。</w:t>
      </w:r>
    </w:p>
    <w:p>
      <w:pPr>
        <w:pStyle w:val="9"/>
        <w:spacing w:line="580" w:lineRule="atLeas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代表县委、县政府监督、检查有关群众利益政策的贯彻落实，纠正损害群众利益的行为；对重要信访案件实施个案监督，对违反群众工作纪律、处理群众信访问题不力的责任单位和责任人提出责任追究建议。</w:t>
      </w:r>
    </w:p>
    <w:p>
      <w:pPr>
        <w:pStyle w:val="9"/>
        <w:spacing w:line="580" w:lineRule="atLeas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（8）分析研究信访工作形式，组织开展群众工作的调查研究，征集群众建议，及时向县委、县政府提供参考和决策信息，并对重要问题提出意见和建议。</w:t>
      </w:r>
    </w:p>
    <w:p>
      <w:pPr>
        <w:pStyle w:val="9"/>
        <w:spacing w:line="580" w:lineRule="atLeas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（9）负责群众信访工作执行情况的考核、通报，向县委、县政府提出奖惩建议；负责对县委拟提拔任用干部有关信访稳定工作履行职责情况提出审查意见。</w:t>
      </w:r>
    </w:p>
    <w:p>
      <w:pPr>
        <w:pStyle w:val="9"/>
        <w:spacing w:line="580" w:lineRule="atLeas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（10）及时总结推广先进工作经验；指导群众工作基层基础建设；指导信访工作信息化和干部队伍建设。</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（11）承办县委、县政府交办的其他事项。</w:t>
      </w:r>
    </w:p>
    <w:p>
      <w:pPr>
        <w:ind w:firstLine="640" w:firstLineChars="200"/>
        <w:outlineLvl w:val="1"/>
        <w:rPr>
          <w:rFonts w:ascii="黑体" w:hAnsi="黑体" w:eastAsia="黑体" w:cs="黑体"/>
          <w:sz w:val="32"/>
          <w:szCs w:val="32"/>
        </w:rPr>
      </w:pPr>
      <w:r>
        <w:rPr>
          <w:rFonts w:hint="eastAsia" w:ascii="黑体" w:hAnsi="黑体" w:eastAsia="黑体" w:cs="黑体"/>
          <w:sz w:val="32"/>
          <w:szCs w:val="32"/>
        </w:rPr>
        <w:t>二、机构设置</w:t>
      </w:r>
    </w:p>
    <w:p>
      <w:pPr>
        <w:spacing w:line="580" w:lineRule="atLeas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信访局局机关</w:t>
      </w:r>
      <w:r>
        <w:rPr>
          <w:rFonts w:hint="eastAsia" w:ascii="仿宋_GB2312" w:hAnsi="仿宋_GB2312" w:eastAsia="仿宋_GB2312" w:cs="仿宋_GB2312"/>
          <w:sz w:val="32"/>
          <w:szCs w:val="32"/>
          <w:lang w:eastAsia="zh-CN"/>
        </w:rPr>
        <w:t>内设机构</w:t>
      </w:r>
      <w:r>
        <w:rPr>
          <w:rFonts w:hint="eastAsia" w:ascii="仿宋_GB2312" w:hAnsi="仿宋_GB2312" w:eastAsia="仿宋_GB2312" w:cs="仿宋_GB2312"/>
          <w:sz w:val="32"/>
          <w:szCs w:val="32"/>
          <w:lang w:val="en-US" w:eastAsia="zh-CN"/>
        </w:rPr>
        <w:t>7个，其中包括</w:t>
      </w:r>
      <w:r>
        <w:rPr>
          <w:rFonts w:hint="eastAsia" w:ascii="仿宋_GB2312" w:hAnsi="仿宋_GB2312" w:eastAsia="仿宋_GB2312" w:cs="仿宋_GB2312"/>
          <w:sz w:val="32"/>
          <w:szCs w:val="32"/>
        </w:rPr>
        <w:t>：办公室、办信与人民建议征集室、接访与法律咨询服务室、督办查办室、复查复核室、案件办理室、网上投诉受理办公室</w:t>
      </w:r>
      <w:r>
        <w:rPr>
          <w:rFonts w:hint="eastAsia" w:ascii="仿宋_GB2312" w:hAnsi="仿宋_GB2312" w:eastAsia="仿宋_GB2312" w:cs="仿宋_GB2312"/>
          <w:sz w:val="32"/>
          <w:szCs w:val="32"/>
          <w:lang w:eastAsia="zh-CN"/>
        </w:rPr>
        <w:t>。</w:t>
      </w:r>
    </w:p>
    <w:p>
      <w:pPr>
        <w:spacing w:line="58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从决算单位构成看，</w:t>
      </w:r>
      <w:r>
        <w:rPr>
          <w:rFonts w:hint="eastAsia" w:ascii="仿宋_GB2312" w:hAnsi="仿宋_GB2312" w:eastAsia="仿宋_GB2312" w:cs="仿宋_GB2312"/>
          <w:sz w:val="32"/>
          <w:szCs w:val="32"/>
          <w:lang w:eastAsia="zh-CN"/>
        </w:rPr>
        <w:t>信访</w:t>
      </w:r>
      <w:r>
        <w:rPr>
          <w:rFonts w:hint="eastAsia" w:ascii="仿宋_GB2312" w:hAnsi="仿宋_GB2312" w:eastAsia="仿宋_GB2312" w:cs="仿宋_GB2312"/>
          <w:sz w:val="32"/>
          <w:szCs w:val="32"/>
        </w:rPr>
        <w:t>部门决算包括：信访局局机关</w:t>
      </w:r>
      <w:r>
        <w:rPr>
          <w:rFonts w:hint="eastAsia" w:ascii="仿宋_GB2312" w:hAnsi="仿宋_GB2312" w:eastAsia="仿宋_GB2312" w:cs="仿宋_GB2312"/>
          <w:sz w:val="32"/>
          <w:szCs w:val="32"/>
          <w:lang w:eastAsia="zh-CN"/>
        </w:rPr>
        <w:t>本级。</w:t>
      </w:r>
    </w:p>
    <w:p>
      <w:pPr>
        <w:spacing w:line="580" w:lineRule="atLeas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我单位无二级预算单位</w:t>
      </w:r>
    </w:p>
    <w:p>
      <w:pPr>
        <w:spacing w:line="580" w:lineRule="atLeast"/>
        <w:ind w:firstLine="640" w:firstLineChars="200"/>
        <w:jc w:val="left"/>
        <w:rPr>
          <w:rFonts w:hint="eastAsia" w:ascii="仿宋_GB2312" w:hAnsi="仿宋_GB2312" w:eastAsia="仿宋_GB2312" w:cs="仿宋_GB2312"/>
          <w:sz w:val="32"/>
          <w:szCs w:val="32"/>
          <w:lang w:val="en-US" w:eastAsia="zh-CN"/>
        </w:rPr>
      </w:pPr>
    </w:p>
    <w:p>
      <w:pPr>
        <w:jc w:val="both"/>
        <w:rPr>
          <w:rFonts w:hint="eastAsia" w:ascii="仿宋" w:hAnsi="仿宋" w:eastAsia="仿宋" w:cs="黑体"/>
          <w:sz w:val="32"/>
          <w:szCs w:val="32"/>
          <w:lang w:val="en-US" w:eastAsia="zh-CN"/>
        </w:rPr>
      </w:pPr>
    </w:p>
    <w:p>
      <w:pPr>
        <w:jc w:val="both"/>
        <w:rPr>
          <w:rFonts w:hint="eastAsia" w:ascii="仿宋" w:hAnsi="仿宋" w:eastAsia="仿宋" w:cs="黑体"/>
          <w:sz w:val="32"/>
          <w:szCs w:val="32"/>
          <w:lang w:val="en-US" w:eastAsia="zh-CN"/>
        </w:rPr>
      </w:pPr>
    </w:p>
    <w:p>
      <w:pPr>
        <w:jc w:val="both"/>
        <w:rPr>
          <w:rFonts w:hint="eastAsia" w:ascii="仿宋" w:hAnsi="仿宋" w:eastAsia="仿宋" w:cs="黑体"/>
          <w:sz w:val="32"/>
          <w:szCs w:val="32"/>
          <w:lang w:val="en-US" w:eastAsia="zh-CN"/>
        </w:rPr>
      </w:pPr>
    </w:p>
    <w:p>
      <w:pPr>
        <w:jc w:val="both"/>
        <w:rPr>
          <w:rFonts w:hint="eastAsia" w:ascii="仿宋" w:hAnsi="仿宋" w:eastAsia="仿宋" w:cs="黑体"/>
          <w:sz w:val="32"/>
          <w:szCs w:val="32"/>
          <w:lang w:val="en-US" w:eastAsia="zh-CN"/>
        </w:rPr>
      </w:pPr>
    </w:p>
    <w:p>
      <w:pPr>
        <w:jc w:val="both"/>
        <w:rPr>
          <w:rFonts w:hint="eastAsia" w:ascii="仿宋" w:hAnsi="仿宋" w:eastAsia="仿宋" w:cs="黑体"/>
          <w:sz w:val="32"/>
          <w:szCs w:val="32"/>
          <w:lang w:val="en-US" w:eastAsia="zh-CN"/>
        </w:rPr>
      </w:pPr>
    </w:p>
    <w:p>
      <w:pPr>
        <w:jc w:val="both"/>
        <w:rPr>
          <w:rFonts w:hint="eastAsia" w:ascii="仿宋" w:hAnsi="仿宋" w:eastAsia="仿宋" w:cs="黑体"/>
          <w:sz w:val="32"/>
          <w:szCs w:val="32"/>
          <w:lang w:val="en-US" w:eastAsia="zh-CN"/>
        </w:rPr>
      </w:pPr>
    </w:p>
    <w:p>
      <w:pPr>
        <w:jc w:val="both"/>
        <w:rPr>
          <w:rFonts w:hint="eastAsia" w:ascii="仿宋" w:hAnsi="仿宋" w:eastAsia="仿宋" w:cs="黑体"/>
          <w:sz w:val="32"/>
          <w:szCs w:val="32"/>
          <w:lang w:val="en-US" w:eastAsia="zh-CN"/>
        </w:rPr>
      </w:pPr>
    </w:p>
    <w:p>
      <w:pPr>
        <w:jc w:val="both"/>
        <w:rPr>
          <w:rFonts w:hint="eastAsia" w:ascii="仿宋" w:hAnsi="仿宋" w:eastAsia="仿宋" w:cs="黑体"/>
          <w:sz w:val="32"/>
          <w:szCs w:val="32"/>
          <w:lang w:val="en-US" w:eastAsia="zh-CN"/>
        </w:rPr>
      </w:pPr>
    </w:p>
    <w:p>
      <w:pPr>
        <w:jc w:val="both"/>
        <w:rPr>
          <w:rFonts w:hint="eastAsia" w:ascii="仿宋" w:hAnsi="仿宋" w:eastAsia="仿宋" w:cs="黑体"/>
          <w:sz w:val="32"/>
          <w:szCs w:val="32"/>
          <w:lang w:val="en-US" w:eastAsia="zh-CN"/>
        </w:rPr>
      </w:pPr>
    </w:p>
    <w:p>
      <w:pPr>
        <w:jc w:val="both"/>
        <w:rPr>
          <w:rFonts w:hint="eastAsia" w:ascii="仿宋" w:hAnsi="仿宋" w:eastAsia="仿宋" w:cs="黑体"/>
          <w:sz w:val="32"/>
          <w:szCs w:val="32"/>
          <w:lang w:val="en-US" w:eastAsia="zh-CN"/>
        </w:rPr>
      </w:pPr>
    </w:p>
    <w:p>
      <w:pPr>
        <w:jc w:val="both"/>
        <w:rPr>
          <w:rFonts w:hint="eastAsia" w:ascii="仿宋" w:hAnsi="仿宋" w:eastAsia="仿宋" w:cs="黑体"/>
          <w:sz w:val="32"/>
          <w:szCs w:val="32"/>
          <w:lang w:val="en-US" w:eastAsia="zh-CN"/>
        </w:rPr>
      </w:pPr>
    </w:p>
    <w:p>
      <w:pPr>
        <w:jc w:val="both"/>
        <w:rPr>
          <w:rFonts w:hint="eastAsia" w:ascii="仿宋" w:hAnsi="仿宋" w:eastAsia="仿宋" w:cs="黑体"/>
          <w:sz w:val="32"/>
          <w:szCs w:val="32"/>
          <w:lang w:val="en-US" w:eastAsia="zh-CN"/>
        </w:rPr>
      </w:pPr>
    </w:p>
    <w:p>
      <w:pPr>
        <w:jc w:val="both"/>
        <w:rPr>
          <w:rFonts w:hint="eastAsia" w:ascii="仿宋" w:hAnsi="仿宋" w:eastAsia="仿宋" w:cs="黑体"/>
          <w:sz w:val="32"/>
          <w:szCs w:val="32"/>
          <w:lang w:val="en-US" w:eastAsia="zh-CN"/>
        </w:rPr>
      </w:pPr>
    </w:p>
    <w:p>
      <w:pPr>
        <w:jc w:val="both"/>
        <w:rPr>
          <w:rFonts w:hint="eastAsia" w:ascii="仿宋" w:hAnsi="仿宋" w:eastAsia="仿宋" w:cs="黑体"/>
          <w:sz w:val="32"/>
          <w:szCs w:val="32"/>
          <w:lang w:val="en-US" w:eastAsia="zh-CN"/>
        </w:rPr>
      </w:pPr>
    </w:p>
    <w:p>
      <w:pPr>
        <w:jc w:val="both"/>
        <w:rPr>
          <w:rFonts w:hint="eastAsia" w:ascii="仿宋" w:hAnsi="仿宋" w:eastAsia="仿宋" w:cs="黑体"/>
          <w:sz w:val="32"/>
          <w:szCs w:val="32"/>
          <w:lang w:val="en-US" w:eastAsia="zh-CN"/>
        </w:rPr>
      </w:pPr>
    </w:p>
    <w:p>
      <w:pPr>
        <w:jc w:val="both"/>
        <w:rPr>
          <w:rFonts w:hint="eastAsia" w:ascii="仿宋" w:hAnsi="仿宋" w:eastAsia="仿宋" w:cs="黑体"/>
          <w:sz w:val="32"/>
          <w:szCs w:val="32"/>
          <w:lang w:val="en-US" w:eastAsia="zh-CN"/>
        </w:rPr>
      </w:pPr>
    </w:p>
    <w:p>
      <w:pPr>
        <w:jc w:val="both"/>
        <w:rPr>
          <w:rFonts w:hint="eastAsia" w:ascii="仿宋" w:hAnsi="仿宋" w:eastAsia="仿宋" w:cs="黑体"/>
          <w:sz w:val="32"/>
          <w:szCs w:val="32"/>
          <w:lang w:val="en-US" w:eastAsia="zh-CN"/>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rPr>
        <w:t>第二部分</w:t>
      </w:r>
    </w:p>
    <w:p>
      <w:pPr>
        <w:jc w:val="center"/>
        <w:rPr>
          <w:rFonts w:hint="eastAsia" w:ascii="黑体" w:hAnsi="黑体" w:eastAsia="黑体" w:cs="黑体"/>
          <w:sz w:val="44"/>
          <w:szCs w:val="44"/>
        </w:rPr>
      </w:pPr>
      <w:r>
        <w:rPr>
          <w:rFonts w:hint="eastAsia" w:ascii="黑体" w:hAnsi="黑体" w:eastAsia="黑体" w:cs="黑体"/>
          <w:sz w:val="44"/>
          <w:szCs w:val="44"/>
          <w:lang w:eastAsia="zh-CN"/>
        </w:rPr>
        <w:t>信访</w:t>
      </w:r>
      <w:r>
        <w:rPr>
          <w:rFonts w:hint="eastAsia" w:ascii="黑体" w:hAnsi="黑体" w:eastAsia="黑体" w:cs="黑体"/>
          <w:sz w:val="44"/>
          <w:szCs w:val="44"/>
        </w:rPr>
        <w:t>局202</w:t>
      </w:r>
      <w:r>
        <w:rPr>
          <w:rFonts w:hint="eastAsia" w:ascii="黑体" w:hAnsi="黑体" w:eastAsia="黑体" w:cs="黑体"/>
          <w:sz w:val="44"/>
          <w:szCs w:val="44"/>
          <w:lang w:val="en-US" w:eastAsia="zh-CN"/>
        </w:rPr>
        <w:t>1</w:t>
      </w:r>
      <w:r>
        <w:rPr>
          <w:rFonts w:hint="eastAsia" w:ascii="黑体" w:hAnsi="黑体" w:eastAsia="黑体" w:cs="黑体"/>
          <w:sz w:val="44"/>
          <w:szCs w:val="44"/>
        </w:rPr>
        <w:t>年度部门决算情况说明</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161" w:leftChars="67" w:firstLine="480" w:firstLineChars="150"/>
        <w:textAlignment w:val="auto"/>
        <w:rPr>
          <w:rFonts w:hint="eastAsia" w:ascii="黑体" w:hAnsi="黑体" w:eastAsia="黑体" w:cs="黑体"/>
          <w:sz w:val="32"/>
          <w:szCs w:val="32"/>
        </w:rPr>
      </w:pP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161" w:leftChars="67" w:firstLine="480" w:firstLineChars="150"/>
        <w:textAlignment w:val="auto"/>
        <w:rPr>
          <w:rFonts w:hint="eastAsia" w:ascii="黑体" w:hAnsi="黑体" w:eastAsia="黑体" w:cs="黑体"/>
          <w:sz w:val="32"/>
          <w:szCs w:val="32"/>
        </w:rPr>
      </w:pPr>
      <w:r>
        <w:rPr>
          <w:rFonts w:hint="eastAsia" w:ascii="黑体" w:hAnsi="黑体" w:eastAsia="黑体" w:cs="黑体"/>
          <w:sz w:val="32"/>
          <w:szCs w:val="32"/>
        </w:rPr>
        <w:t>一、收入支出决算总体情况说明</w:t>
      </w:r>
    </w:p>
    <w:p>
      <w:pPr>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年度收、支总计均为</w:t>
      </w:r>
      <w:r>
        <w:rPr>
          <w:rFonts w:hint="eastAsia" w:ascii="仿宋_GB2312" w:eastAsia="仿宋_GB2312"/>
          <w:sz w:val="32"/>
          <w:szCs w:val="32"/>
          <w:lang w:val="en-US" w:eastAsia="zh-CN"/>
        </w:rPr>
        <w:t>881.51</w:t>
      </w:r>
      <w:r>
        <w:rPr>
          <w:rFonts w:hint="eastAsia" w:ascii="仿宋_GB2312" w:eastAsia="仿宋_GB2312"/>
          <w:sz w:val="32"/>
          <w:szCs w:val="32"/>
        </w:rPr>
        <w:t>万元。与上年度相比，收、支总计各增加</w:t>
      </w:r>
      <w:r>
        <w:rPr>
          <w:rFonts w:hint="eastAsia" w:ascii="仿宋_GB2312" w:eastAsia="仿宋_GB2312"/>
          <w:sz w:val="32"/>
          <w:szCs w:val="32"/>
          <w:lang w:val="en-US" w:eastAsia="zh-CN"/>
        </w:rPr>
        <w:t>34.18</w:t>
      </w:r>
      <w:r>
        <w:rPr>
          <w:rFonts w:hint="eastAsia" w:ascii="仿宋_GB2312" w:eastAsia="仿宋_GB2312"/>
          <w:sz w:val="32"/>
          <w:szCs w:val="32"/>
        </w:rPr>
        <w:t>万元，增长</w:t>
      </w:r>
      <w:r>
        <w:rPr>
          <w:rFonts w:hint="eastAsia" w:ascii="仿宋_GB2312" w:eastAsia="仿宋_GB2312"/>
          <w:sz w:val="32"/>
          <w:szCs w:val="32"/>
          <w:lang w:val="en-US" w:eastAsia="zh-CN"/>
        </w:rPr>
        <w:t>3.73</w:t>
      </w:r>
      <w:r>
        <w:rPr>
          <w:rFonts w:hint="eastAsia" w:ascii="仿宋_GB2312" w:eastAsia="仿宋_GB2312"/>
          <w:sz w:val="32"/>
          <w:szCs w:val="32"/>
        </w:rPr>
        <w:t>%。主要原因是</w:t>
      </w:r>
      <w:r>
        <w:rPr>
          <w:rFonts w:hint="eastAsia" w:ascii="仿宋_GB2312" w:hAnsi="仿宋_GB2312" w:eastAsia="仿宋_GB2312" w:cs="仿宋_GB2312"/>
          <w:sz w:val="32"/>
          <w:szCs w:val="32"/>
          <w:lang w:eastAsia="zh-CN"/>
        </w:rPr>
        <w:t>增加了对驻京驻省驻市值班接访经费</w:t>
      </w:r>
      <w:r>
        <w:rPr>
          <w:rFonts w:hint="eastAsia" w:ascii="仿宋_GB2312" w:hAnsi="仿宋_GB2312" w:eastAsia="仿宋_GB2312" w:cs="仿宋_GB2312"/>
          <w:sz w:val="32"/>
          <w:szCs w:val="32"/>
        </w:rPr>
        <w:t>。</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161" w:leftChars="67" w:firstLine="480" w:firstLineChars="150"/>
        <w:textAlignment w:val="auto"/>
        <w:rPr>
          <w:rFonts w:hint="eastAsia" w:ascii="黑体" w:hAnsi="黑体" w:eastAsia="黑体" w:cs="黑体"/>
          <w:sz w:val="32"/>
          <w:szCs w:val="32"/>
        </w:rPr>
      </w:pPr>
      <w:r>
        <w:rPr>
          <w:rFonts w:hint="eastAsia" w:ascii="黑体" w:hAnsi="黑体" w:eastAsia="黑体" w:cs="黑体"/>
          <w:sz w:val="32"/>
          <w:szCs w:val="32"/>
        </w:rPr>
        <w:t>二、收入决算情况说明</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161" w:leftChars="67" w:firstLine="480" w:firstLineChars="150"/>
        <w:textAlignment w:val="auto"/>
        <w:rPr>
          <w:rFonts w:hint="default" w:ascii="仿宋_GB2312" w:eastAsia="仿宋_GB2312"/>
          <w:sz w:val="32"/>
          <w:szCs w:val="32"/>
          <w:lang w:val="en-US" w:eastAsia="zh-CN"/>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 xml:space="preserve"> 年度收入合计</w:t>
      </w:r>
      <w:r>
        <w:rPr>
          <w:rFonts w:hint="eastAsia" w:ascii="仿宋_GB2312" w:eastAsia="仿宋_GB2312"/>
          <w:sz w:val="32"/>
          <w:szCs w:val="32"/>
          <w:lang w:val="en-US" w:eastAsia="zh-CN"/>
        </w:rPr>
        <w:t>852.55</w:t>
      </w:r>
      <w:r>
        <w:rPr>
          <w:rFonts w:hint="eastAsia" w:ascii="仿宋_GB2312" w:eastAsia="仿宋_GB2312"/>
          <w:sz w:val="32"/>
          <w:szCs w:val="32"/>
        </w:rPr>
        <w:t>万元，其中：财政拨款收入</w:t>
      </w:r>
      <w:r>
        <w:rPr>
          <w:rFonts w:hint="eastAsia" w:ascii="仿宋_GB2312" w:eastAsia="仿宋_GB2312"/>
          <w:sz w:val="32"/>
          <w:szCs w:val="32"/>
          <w:lang w:val="en-US" w:eastAsia="zh-CN"/>
        </w:rPr>
        <w:t>852.55</w:t>
      </w:r>
      <w:r>
        <w:rPr>
          <w:rFonts w:hint="eastAsia" w:ascii="仿宋_GB2312" w:eastAsia="仿宋_GB2312"/>
          <w:sz w:val="32"/>
          <w:szCs w:val="32"/>
        </w:rPr>
        <w:t>万元，占</w:t>
      </w:r>
      <w:r>
        <w:rPr>
          <w:rFonts w:hint="eastAsia" w:ascii="仿宋_GB2312" w:eastAsia="仿宋_GB2312"/>
          <w:sz w:val="32"/>
          <w:szCs w:val="32"/>
          <w:lang w:val="en-US" w:eastAsia="zh-CN"/>
        </w:rPr>
        <w:t>100.00</w:t>
      </w:r>
      <w:r>
        <w:rPr>
          <w:rFonts w:hint="eastAsia" w:ascii="仿宋_GB2312" w:eastAsia="仿宋_GB2312"/>
          <w:sz w:val="32"/>
          <w:szCs w:val="32"/>
        </w:rPr>
        <w:t>%；上级补助收入 0.00万元，占0.00%；事业收入</w:t>
      </w:r>
      <w:r>
        <w:rPr>
          <w:rFonts w:hint="eastAsia" w:ascii="仿宋_GB2312" w:eastAsia="仿宋_GB2312"/>
          <w:sz w:val="32"/>
          <w:szCs w:val="32"/>
          <w:lang w:val="en-US" w:eastAsia="zh-CN"/>
        </w:rPr>
        <w:t>0</w:t>
      </w:r>
      <w:r>
        <w:rPr>
          <w:rFonts w:hint="eastAsia" w:ascii="仿宋_GB2312" w:eastAsia="仿宋_GB2312"/>
          <w:sz w:val="32"/>
          <w:szCs w:val="32"/>
        </w:rPr>
        <w:t xml:space="preserve">.00万元，占 </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val="en-US" w:eastAsia="zh-CN"/>
        </w:rPr>
        <w:t>00</w:t>
      </w:r>
      <w:r>
        <w:rPr>
          <w:rFonts w:hint="eastAsia" w:ascii="仿宋_GB2312" w:eastAsia="仿宋_GB2312"/>
          <w:sz w:val="32"/>
          <w:szCs w:val="32"/>
        </w:rPr>
        <w:t>%；经营收入0.00万元，占0.00%；附属单位上缴收入 0.00万元，占0.00%；其他收入</w:t>
      </w:r>
      <w:r>
        <w:rPr>
          <w:rFonts w:hint="eastAsia" w:ascii="仿宋_GB2312" w:eastAsia="仿宋_GB2312"/>
          <w:sz w:val="32"/>
          <w:szCs w:val="32"/>
          <w:lang w:val="en-US" w:eastAsia="zh-CN"/>
        </w:rPr>
        <w:t>0</w:t>
      </w:r>
      <w:r>
        <w:rPr>
          <w:rFonts w:hint="eastAsia" w:ascii="仿宋_GB2312" w:eastAsia="仿宋_GB2312"/>
          <w:sz w:val="32"/>
          <w:szCs w:val="32"/>
        </w:rPr>
        <w:t>.0</w:t>
      </w:r>
      <w:r>
        <w:rPr>
          <w:rFonts w:hint="eastAsia" w:ascii="仿宋_GB2312" w:eastAsia="仿宋_GB2312"/>
          <w:sz w:val="32"/>
          <w:szCs w:val="32"/>
          <w:lang w:val="en-US" w:eastAsia="zh-CN"/>
        </w:rPr>
        <w:t>0</w:t>
      </w:r>
      <w:r>
        <w:rPr>
          <w:rFonts w:hint="eastAsia" w:ascii="仿宋_GB2312" w:eastAsia="仿宋_GB2312"/>
          <w:sz w:val="32"/>
          <w:szCs w:val="32"/>
        </w:rPr>
        <w:t>万元，占 0.00%。</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161" w:leftChars="67" w:firstLine="480" w:firstLineChars="150"/>
        <w:textAlignment w:val="auto"/>
        <w:rPr>
          <w:rFonts w:hint="eastAsia" w:ascii="黑体" w:hAnsi="黑体" w:eastAsia="黑体" w:cs="黑体"/>
          <w:sz w:val="32"/>
          <w:szCs w:val="32"/>
        </w:rPr>
      </w:pPr>
      <w:r>
        <w:rPr>
          <w:rFonts w:hint="eastAsia" w:ascii="黑体" w:hAnsi="黑体" w:eastAsia="黑体" w:cs="黑体"/>
          <w:sz w:val="32"/>
          <w:szCs w:val="32"/>
        </w:rPr>
        <w:t>三、支出决算情况说明</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161" w:leftChars="67" w:firstLine="480" w:firstLineChars="150"/>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年度支出合计</w:t>
      </w:r>
      <w:r>
        <w:rPr>
          <w:rFonts w:hint="eastAsia" w:ascii="仿宋_GB2312" w:eastAsia="仿宋_GB2312"/>
          <w:sz w:val="32"/>
          <w:szCs w:val="32"/>
          <w:lang w:val="en-US" w:eastAsia="zh-CN"/>
        </w:rPr>
        <w:t>881.51</w:t>
      </w:r>
      <w:r>
        <w:rPr>
          <w:rFonts w:hint="eastAsia" w:ascii="仿宋_GB2312" w:eastAsia="仿宋_GB2312"/>
          <w:sz w:val="32"/>
          <w:szCs w:val="32"/>
        </w:rPr>
        <w:t>万元，其中：基本支出</w:t>
      </w:r>
      <w:r>
        <w:rPr>
          <w:rFonts w:hint="eastAsia" w:ascii="仿宋_GB2312" w:eastAsia="仿宋_GB2312"/>
          <w:sz w:val="32"/>
          <w:szCs w:val="32"/>
          <w:lang w:val="en-US" w:eastAsia="zh-CN"/>
        </w:rPr>
        <w:t>881.51</w:t>
      </w:r>
      <w:r>
        <w:rPr>
          <w:rFonts w:hint="eastAsia" w:ascii="仿宋_GB2312" w:eastAsia="仿宋_GB2312"/>
          <w:sz w:val="32"/>
          <w:szCs w:val="32"/>
        </w:rPr>
        <w:t xml:space="preserve"> 万元，占100.00%；项目支出 0.00万元，占0.00%；上缴上级支出0.00万元，占 0.00%；经营支出0.00万元，占0.00%；对附属单位补助支出 0.00万元，占0.00%。</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161" w:leftChars="67" w:firstLine="480" w:firstLineChars="150"/>
        <w:textAlignment w:val="auto"/>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161" w:leftChars="67" w:firstLine="480" w:firstLineChars="150"/>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 xml:space="preserve">年度财政拨款收、支总计均为 </w:t>
      </w:r>
      <w:r>
        <w:rPr>
          <w:rFonts w:hint="eastAsia" w:ascii="仿宋_GB2312" w:eastAsia="仿宋_GB2312"/>
          <w:sz w:val="32"/>
          <w:szCs w:val="32"/>
          <w:lang w:val="en-US" w:eastAsia="zh-CN"/>
        </w:rPr>
        <w:t>881.51</w:t>
      </w:r>
      <w:r>
        <w:rPr>
          <w:rFonts w:hint="eastAsia" w:ascii="仿宋_GB2312" w:eastAsia="仿宋_GB2312"/>
          <w:sz w:val="32"/>
          <w:szCs w:val="32"/>
        </w:rPr>
        <w:t>万元。与上年度相比，财政拨款收、支总计各</w:t>
      </w:r>
      <w:r>
        <w:rPr>
          <w:rFonts w:hint="eastAsia" w:ascii="仿宋_GB2312" w:eastAsia="仿宋_GB2312"/>
          <w:sz w:val="32"/>
          <w:szCs w:val="32"/>
          <w:lang w:eastAsia="zh-CN"/>
        </w:rPr>
        <w:t>减少</w:t>
      </w:r>
      <w:r>
        <w:rPr>
          <w:rFonts w:hint="eastAsia" w:ascii="仿宋_GB2312" w:eastAsia="仿宋_GB2312"/>
          <w:sz w:val="32"/>
          <w:szCs w:val="32"/>
          <w:lang w:val="en-US" w:eastAsia="zh-CN"/>
        </w:rPr>
        <w:t>34.18</w:t>
      </w:r>
      <w:r>
        <w:rPr>
          <w:rFonts w:hint="eastAsia" w:ascii="仿宋_GB2312" w:eastAsia="仿宋_GB2312"/>
          <w:sz w:val="32"/>
          <w:szCs w:val="32"/>
        </w:rPr>
        <w:t>万元，</w:t>
      </w:r>
      <w:r>
        <w:rPr>
          <w:rFonts w:hint="eastAsia" w:ascii="仿宋_GB2312" w:eastAsia="仿宋_GB2312"/>
          <w:sz w:val="32"/>
          <w:szCs w:val="32"/>
          <w:lang w:eastAsia="zh-CN"/>
        </w:rPr>
        <w:t>下降</w:t>
      </w:r>
      <w:r>
        <w:rPr>
          <w:rFonts w:hint="eastAsia" w:ascii="仿宋_GB2312" w:eastAsia="仿宋_GB2312"/>
          <w:sz w:val="32"/>
          <w:szCs w:val="32"/>
        </w:rPr>
        <w:t xml:space="preserve"> </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val="en-US" w:eastAsia="zh-CN"/>
        </w:rPr>
        <w:t>37</w:t>
      </w:r>
      <w:r>
        <w:rPr>
          <w:rFonts w:hint="eastAsia" w:ascii="仿宋_GB2312" w:eastAsia="仿宋_GB2312"/>
          <w:sz w:val="32"/>
          <w:szCs w:val="32"/>
        </w:rPr>
        <w:t>%。主要原因 是</w:t>
      </w:r>
      <w:r>
        <w:rPr>
          <w:rFonts w:hint="eastAsia" w:ascii="仿宋_GB2312" w:eastAsia="仿宋_GB2312"/>
          <w:sz w:val="32"/>
          <w:szCs w:val="32"/>
          <w:lang w:eastAsia="zh-CN"/>
        </w:rPr>
        <w:t>减少</w:t>
      </w:r>
      <w:r>
        <w:rPr>
          <w:rFonts w:hint="eastAsia" w:ascii="仿宋_GB2312" w:hAnsi="仿宋_GB2312" w:eastAsia="仿宋_GB2312" w:cs="仿宋_GB2312"/>
          <w:sz w:val="32"/>
          <w:szCs w:val="32"/>
          <w:lang w:eastAsia="zh-CN"/>
        </w:rPr>
        <w:t>了对驻京驻省驻市值班接访经费</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161" w:leftChars="67" w:firstLine="480" w:firstLineChars="150"/>
        <w:textAlignment w:val="auto"/>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jc w:val="both"/>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（一）总体情况。</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161" w:leftChars="67" w:firstLine="480" w:firstLineChars="150"/>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 xml:space="preserve">年度一般公共预算财政拨款支出 </w:t>
      </w:r>
      <w:r>
        <w:rPr>
          <w:rFonts w:hint="eastAsia" w:ascii="仿宋_GB2312" w:eastAsia="仿宋_GB2312"/>
          <w:sz w:val="32"/>
          <w:szCs w:val="32"/>
          <w:lang w:val="en-US" w:eastAsia="zh-CN"/>
        </w:rPr>
        <w:t>881.51</w:t>
      </w:r>
      <w:r>
        <w:rPr>
          <w:rFonts w:hint="eastAsia" w:ascii="仿宋_GB2312" w:eastAsia="仿宋_GB2312"/>
          <w:sz w:val="32"/>
          <w:szCs w:val="32"/>
        </w:rPr>
        <w:t>万元，占支出合计的</w:t>
      </w:r>
      <w:r>
        <w:rPr>
          <w:rFonts w:hint="eastAsia" w:ascii="仿宋_GB2312" w:eastAsia="仿宋_GB2312"/>
          <w:sz w:val="32"/>
          <w:szCs w:val="32"/>
          <w:lang w:val="en-US" w:eastAsia="zh-CN"/>
        </w:rPr>
        <w:t>100</w:t>
      </w:r>
      <w:r>
        <w:rPr>
          <w:rFonts w:hint="eastAsia" w:ascii="仿宋_GB2312" w:eastAsia="仿宋_GB2312"/>
          <w:sz w:val="32"/>
          <w:szCs w:val="32"/>
        </w:rPr>
        <w:t>%。与上年度相比，一般公共预算财政拨款支出</w:t>
      </w:r>
      <w:r>
        <w:rPr>
          <w:rFonts w:hint="eastAsia" w:ascii="仿宋_GB2312" w:eastAsia="仿宋_GB2312"/>
          <w:sz w:val="32"/>
          <w:szCs w:val="32"/>
          <w:lang w:eastAsia="zh-CN"/>
        </w:rPr>
        <w:t>减少</w:t>
      </w:r>
      <w:r>
        <w:rPr>
          <w:rFonts w:hint="eastAsia" w:ascii="仿宋_GB2312" w:eastAsia="仿宋_GB2312"/>
          <w:sz w:val="32"/>
          <w:szCs w:val="32"/>
          <w:lang w:val="en-US" w:eastAsia="zh-CN"/>
        </w:rPr>
        <w:t>5.22</w:t>
      </w:r>
      <w:r>
        <w:rPr>
          <w:rFonts w:hint="eastAsia" w:ascii="仿宋_GB2312" w:eastAsia="仿宋_GB2312"/>
          <w:sz w:val="32"/>
          <w:szCs w:val="32"/>
        </w:rPr>
        <w:t>万元，</w:t>
      </w:r>
      <w:r>
        <w:rPr>
          <w:rFonts w:hint="eastAsia" w:ascii="仿宋_GB2312" w:eastAsia="仿宋_GB2312"/>
          <w:sz w:val="32"/>
          <w:szCs w:val="32"/>
          <w:lang w:eastAsia="zh-CN"/>
        </w:rPr>
        <w:t>下降</w:t>
      </w:r>
      <w:r>
        <w:rPr>
          <w:rFonts w:hint="eastAsia" w:ascii="仿宋_GB2312" w:eastAsia="仿宋_GB2312"/>
          <w:sz w:val="32"/>
          <w:szCs w:val="32"/>
          <w:lang w:val="en-US" w:eastAsia="zh-CN"/>
        </w:rPr>
        <w:t>0.59</w:t>
      </w:r>
      <w:r>
        <w:rPr>
          <w:rFonts w:hint="eastAsia" w:ascii="仿宋_GB2312" w:eastAsia="仿宋_GB2312"/>
          <w:sz w:val="32"/>
          <w:szCs w:val="32"/>
        </w:rPr>
        <w:t>%。主要原因是</w:t>
      </w:r>
      <w:r>
        <w:rPr>
          <w:rFonts w:hint="eastAsia" w:ascii="仿宋_GB2312" w:eastAsia="仿宋_GB2312"/>
          <w:sz w:val="32"/>
          <w:szCs w:val="32"/>
          <w:lang w:eastAsia="zh-CN"/>
        </w:rPr>
        <w:t>为了缩短开支节流。</w:t>
      </w:r>
    </w:p>
    <w:p>
      <w:pPr>
        <w:widowControl/>
        <w:spacing w:line="590" w:lineRule="exact"/>
        <w:ind w:firstLine="643" w:firstLineChars="200"/>
        <w:jc w:val="both"/>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（二）结构情况。</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161" w:leftChars="67" w:firstLine="480" w:firstLineChars="150"/>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b w:val="0"/>
          <w:bCs w:val="0"/>
          <w:sz w:val="32"/>
          <w:szCs w:val="32"/>
        </w:rPr>
        <w:t>度一般公共</w:t>
      </w:r>
      <w:r>
        <w:rPr>
          <w:rFonts w:hint="eastAsia" w:ascii="仿宋_GB2312" w:eastAsia="仿宋_GB2312"/>
          <w:b w:val="0"/>
          <w:bCs w:val="0"/>
          <w:sz w:val="32"/>
          <w:szCs w:val="32"/>
          <w:lang w:eastAsia="zh-CN"/>
        </w:rPr>
        <w:t>服务支出</w:t>
      </w:r>
      <w:r>
        <w:rPr>
          <w:rFonts w:hint="eastAsia" w:ascii="仿宋_GB2312" w:eastAsia="仿宋_GB2312"/>
          <w:b w:val="0"/>
          <w:bCs w:val="0"/>
          <w:sz w:val="32"/>
          <w:szCs w:val="32"/>
          <w:lang w:val="en-US" w:eastAsia="zh-CN"/>
        </w:rPr>
        <w:t>881.</w:t>
      </w:r>
      <w:r>
        <w:rPr>
          <w:rFonts w:hint="eastAsia" w:ascii="仿宋_GB2312" w:eastAsia="仿宋_GB2312"/>
          <w:sz w:val="32"/>
          <w:szCs w:val="32"/>
          <w:lang w:val="en-US" w:eastAsia="zh-CN"/>
        </w:rPr>
        <w:t>51</w:t>
      </w:r>
      <w:r>
        <w:rPr>
          <w:rFonts w:hint="eastAsia" w:ascii="仿宋_GB2312" w:eastAsia="仿宋_GB2312"/>
          <w:sz w:val="32"/>
          <w:szCs w:val="32"/>
        </w:rPr>
        <w:t>万元，主要用于以下方面：一般公共服务（类）支出</w:t>
      </w:r>
      <w:r>
        <w:rPr>
          <w:rFonts w:hint="eastAsia" w:ascii="仿宋_GB2312" w:eastAsia="仿宋_GB2312"/>
          <w:sz w:val="32"/>
          <w:szCs w:val="32"/>
          <w:lang w:val="en-US" w:eastAsia="zh-CN"/>
        </w:rPr>
        <w:t>804.15</w:t>
      </w:r>
      <w:r>
        <w:rPr>
          <w:rFonts w:hint="eastAsia" w:ascii="仿宋_GB2312" w:eastAsia="仿宋_GB2312"/>
          <w:sz w:val="32"/>
          <w:szCs w:val="32"/>
        </w:rPr>
        <w:t>万元，占</w:t>
      </w:r>
      <w:r>
        <w:rPr>
          <w:rFonts w:hint="eastAsia" w:ascii="仿宋_GB2312" w:eastAsia="仿宋_GB2312"/>
          <w:sz w:val="32"/>
          <w:szCs w:val="32"/>
          <w:lang w:val="en-US" w:eastAsia="zh-CN"/>
        </w:rPr>
        <w:t>77%</w:t>
      </w:r>
      <w:r>
        <w:rPr>
          <w:rFonts w:hint="eastAsia" w:ascii="仿宋_GB2312" w:eastAsia="仿宋_GB2312"/>
          <w:sz w:val="32"/>
          <w:szCs w:val="32"/>
        </w:rPr>
        <w:t>；外交（类）支出</w:t>
      </w:r>
      <w:r>
        <w:rPr>
          <w:rFonts w:hint="eastAsia" w:ascii="仿宋_GB2312" w:eastAsia="仿宋_GB2312"/>
          <w:sz w:val="32"/>
          <w:szCs w:val="32"/>
          <w:lang w:val="en-US" w:eastAsia="zh-CN"/>
        </w:rPr>
        <w:t>0.00</w:t>
      </w:r>
      <w:r>
        <w:rPr>
          <w:rFonts w:hint="eastAsia" w:ascii="仿宋_GB2312" w:eastAsia="仿宋_GB2312"/>
          <w:sz w:val="32"/>
          <w:szCs w:val="32"/>
        </w:rPr>
        <w:t>万元，占</w:t>
      </w:r>
      <w:r>
        <w:rPr>
          <w:rFonts w:hint="eastAsia" w:ascii="仿宋_GB2312" w:eastAsia="仿宋_GB2312"/>
          <w:sz w:val="32"/>
          <w:szCs w:val="32"/>
          <w:lang w:val="en-US" w:eastAsia="zh-CN"/>
        </w:rPr>
        <w:t>0.00</w:t>
      </w:r>
      <w:r>
        <w:rPr>
          <w:rFonts w:hint="eastAsia" w:ascii="仿宋_GB2312" w:eastAsia="仿宋_GB2312"/>
          <w:sz w:val="32"/>
          <w:szCs w:val="32"/>
        </w:rPr>
        <w:t>%；</w:t>
      </w:r>
    </w:p>
    <w:p>
      <w:pPr>
        <w:widowControl/>
        <w:spacing w:line="590" w:lineRule="exact"/>
        <w:ind w:firstLine="643" w:firstLineChars="200"/>
        <w:jc w:val="both"/>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（三）具体情况。</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161" w:leftChars="67" w:firstLine="480" w:firstLineChars="150"/>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年度一般公共预算财政拨款支出年初预算为</w:t>
      </w:r>
      <w:r>
        <w:rPr>
          <w:rFonts w:hint="eastAsia" w:ascii="仿宋_GB2312" w:eastAsia="仿宋_GB2312"/>
          <w:sz w:val="32"/>
          <w:szCs w:val="32"/>
          <w:lang w:val="en-US" w:eastAsia="zh-CN"/>
        </w:rPr>
        <w:t>1650.88</w:t>
      </w:r>
      <w:r>
        <w:rPr>
          <w:rFonts w:hint="eastAsia" w:ascii="仿宋_GB2312" w:eastAsia="仿宋_GB2312"/>
          <w:sz w:val="32"/>
          <w:szCs w:val="32"/>
        </w:rPr>
        <w:t xml:space="preserve">万元，支出决算为 </w:t>
      </w:r>
      <w:r>
        <w:rPr>
          <w:rFonts w:hint="eastAsia" w:ascii="仿宋_GB2312" w:eastAsia="仿宋_GB2312"/>
          <w:sz w:val="32"/>
          <w:szCs w:val="32"/>
          <w:lang w:val="en-US" w:eastAsia="zh-CN"/>
        </w:rPr>
        <w:t>881.51</w:t>
      </w:r>
      <w:r>
        <w:rPr>
          <w:rFonts w:hint="eastAsia" w:ascii="仿宋_GB2312" w:eastAsia="仿宋_GB2312"/>
          <w:sz w:val="32"/>
          <w:szCs w:val="32"/>
        </w:rPr>
        <w:t>万元，完成年初预算的</w:t>
      </w:r>
      <w:r>
        <w:rPr>
          <w:rFonts w:hint="eastAsia" w:ascii="仿宋_GB2312" w:eastAsia="仿宋_GB2312"/>
          <w:sz w:val="32"/>
          <w:szCs w:val="32"/>
          <w:lang w:val="en-US" w:eastAsia="zh-CN"/>
        </w:rPr>
        <w:t>53.4</w:t>
      </w:r>
      <w:r>
        <w:rPr>
          <w:rFonts w:hint="eastAsia" w:ascii="仿宋_GB2312" w:eastAsia="仿宋_GB2312"/>
          <w:sz w:val="32"/>
          <w:szCs w:val="32"/>
        </w:rPr>
        <w:t>%。其中：</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161" w:leftChars="67" w:firstLine="480" w:firstLineChars="150"/>
        <w:textAlignment w:val="auto"/>
        <w:rPr>
          <w:rFonts w:hint="eastAsia" w:ascii="仿宋_GB2312" w:eastAsia="仿宋_GB2312"/>
          <w:sz w:val="32"/>
          <w:szCs w:val="32"/>
          <w:lang w:eastAsia="zh-CN"/>
        </w:rPr>
      </w:pPr>
      <w:r>
        <w:rPr>
          <w:rFonts w:hint="eastAsia" w:ascii="仿宋_GB2312" w:eastAsia="仿宋_GB2312"/>
          <w:sz w:val="32"/>
          <w:szCs w:val="32"/>
        </w:rPr>
        <w:t>1．</w:t>
      </w:r>
      <w:r>
        <w:rPr>
          <w:rFonts w:hint="eastAsia" w:ascii="仿宋_GB2312" w:eastAsia="仿宋_GB2312"/>
          <w:b/>
          <w:bCs/>
          <w:sz w:val="32"/>
          <w:szCs w:val="32"/>
        </w:rPr>
        <w:t>一般公共服务支出（类）政府办公厅（室）及相关机构事务（款）信访事务（项）</w:t>
      </w:r>
      <w:r>
        <w:rPr>
          <w:rFonts w:hint="eastAsia" w:ascii="仿宋_GB2312" w:eastAsia="仿宋_GB2312"/>
          <w:sz w:val="32"/>
          <w:szCs w:val="32"/>
        </w:rPr>
        <w:t>。年初预算为</w:t>
      </w:r>
      <w:r>
        <w:rPr>
          <w:rFonts w:hint="eastAsia" w:ascii="仿宋_GB2312" w:eastAsia="仿宋_GB2312"/>
          <w:sz w:val="32"/>
          <w:szCs w:val="32"/>
          <w:lang w:val="en-US" w:eastAsia="zh-CN"/>
        </w:rPr>
        <w:t>804.15</w:t>
      </w:r>
      <w:r>
        <w:rPr>
          <w:rFonts w:hint="eastAsia" w:ascii="仿宋_GB2312" w:eastAsia="仿宋_GB2312"/>
          <w:sz w:val="32"/>
          <w:szCs w:val="32"/>
        </w:rPr>
        <w:t>万元，支出决算为</w:t>
      </w:r>
      <w:r>
        <w:rPr>
          <w:rFonts w:hint="eastAsia" w:ascii="仿宋_GB2312" w:eastAsia="仿宋_GB2312"/>
          <w:sz w:val="32"/>
          <w:szCs w:val="32"/>
          <w:lang w:val="en-US" w:eastAsia="zh-CN"/>
        </w:rPr>
        <w:t>804.15</w:t>
      </w:r>
      <w:r>
        <w:rPr>
          <w:rFonts w:hint="eastAsia" w:ascii="仿宋_GB2312" w:eastAsia="仿宋_GB2312"/>
          <w:sz w:val="32"/>
          <w:szCs w:val="32"/>
        </w:rPr>
        <w:t>万元，完成年初预算的</w:t>
      </w:r>
      <w:r>
        <w:rPr>
          <w:rFonts w:hint="eastAsia" w:ascii="仿宋_GB2312" w:eastAsia="仿宋_GB2312"/>
          <w:sz w:val="32"/>
          <w:szCs w:val="32"/>
          <w:lang w:val="en-US" w:eastAsia="zh-CN"/>
        </w:rPr>
        <w:t>100</w:t>
      </w:r>
      <w:r>
        <w:rPr>
          <w:rFonts w:hint="eastAsia" w:ascii="仿宋_GB2312" w:eastAsia="仿宋_GB2312"/>
          <w:sz w:val="32"/>
          <w:szCs w:val="32"/>
        </w:rPr>
        <w:t>%。决算数与年初预算数</w:t>
      </w:r>
      <w:r>
        <w:rPr>
          <w:rFonts w:hint="eastAsia" w:ascii="仿宋_GB2312" w:eastAsia="仿宋_GB2312"/>
          <w:sz w:val="32"/>
          <w:szCs w:val="32"/>
          <w:lang w:eastAsia="zh-CN"/>
        </w:rPr>
        <w:t>无</w:t>
      </w:r>
      <w:r>
        <w:rPr>
          <w:rFonts w:hint="eastAsia" w:ascii="仿宋_GB2312" w:eastAsia="仿宋_GB2312"/>
          <w:sz w:val="32"/>
          <w:szCs w:val="32"/>
        </w:rPr>
        <w:t>差异</w:t>
      </w:r>
      <w:r>
        <w:rPr>
          <w:rFonts w:hint="eastAsia" w:ascii="仿宋_GB2312" w:eastAsia="仿宋_GB2312"/>
          <w:sz w:val="32"/>
          <w:szCs w:val="32"/>
          <w:lang w:eastAsia="zh-CN"/>
        </w:rPr>
        <w:t>。</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161" w:leftChars="67" w:firstLine="482" w:firstLineChars="150"/>
        <w:textAlignment w:val="auto"/>
        <w:rPr>
          <w:rFonts w:ascii="仿宋_GB2312" w:eastAsia="仿宋_GB2312"/>
          <w:sz w:val="32"/>
          <w:szCs w:val="32"/>
        </w:rPr>
      </w:pPr>
      <w:r>
        <w:rPr>
          <w:rFonts w:hint="eastAsia" w:ascii="仿宋_GB2312" w:eastAsia="仿宋_GB2312"/>
          <w:b/>
          <w:bCs/>
          <w:sz w:val="32"/>
          <w:szCs w:val="32"/>
        </w:rPr>
        <w:t>2．社会保障和就业支出（类）行政事业单位养老支出（款）机关事业单位基本养老保险缴费支出（项）</w:t>
      </w:r>
      <w:r>
        <w:rPr>
          <w:rFonts w:hint="eastAsia" w:ascii="仿宋_GB2312" w:eastAsia="仿宋_GB2312"/>
          <w:sz w:val="32"/>
          <w:szCs w:val="32"/>
        </w:rPr>
        <w:t>。年初预算为</w:t>
      </w:r>
      <w:r>
        <w:rPr>
          <w:rFonts w:hint="eastAsia" w:ascii="仿宋_GB2312" w:eastAsia="仿宋_GB2312"/>
          <w:sz w:val="32"/>
          <w:szCs w:val="32"/>
          <w:lang w:val="en-US" w:eastAsia="zh-CN"/>
        </w:rPr>
        <w:t>23.69</w:t>
      </w:r>
      <w:r>
        <w:rPr>
          <w:rFonts w:hint="eastAsia" w:ascii="仿宋_GB2312" w:eastAsia="仿宋_GB2312"/>
          <w:sz w:val="32"/>
          <w:szCs w:val="32"/>
        </w:rPr>
        <w:t>万元，支出决算为</w:t>
      </w:r>
      <w:r>
        <w:rPr>
          <w:rFonts w:hint="eastAsia" w:ascii="仿宋_GB2312" w:eastAsia="仿宋_GB2312"/>
          <w:sz w:val="32"/>
          <w:szCs w:val="32"/>
          <w:lang w:val="en-US" w:eastAsia="zh-CN"/>
        </w:rPr>
        <w:t>47.26</w:t>
      </w:r>
      <w:r>
        <w:rPr>
          <w:rFonts w:hint="eastAsia" w:ascii="仿宋_GB2312" w:eastAsia="仿宋_GB2312"/>
          <w:sz w:val="32"/>
          <w:szCs w:val="32"/>
        </w:rPr>
        <w:t>万元，完成年初预算的</w:t>
      </w:r>
      <w:r>
        <w:rPr>
          <w:rFonts w:hint="eastAsia" w:ascii="仿宋_GB2312" w:eastAsia="仿宋_GB2312"/>
          <w:sz w:val="32"/>
          <w:szCs w:val="32"/>
          <w:lang w:val="en-US" w:eastAsia="zh-CN"/>
        </w:rPr>
        <w:t>50</w:t>
      </w:r>
      <w:r>
        <w:rPr>
          <w:rFonts w:hint="eastAsia" w:ascii="仿宋_GB2312" w:eastAsia="仿宋_GB2312"/>
          <w:sz w:val="32"/>
          <w:szCs w:val="32"/>
        </w:rPr>
        <w:t>%。决算数与年初预算数存在差异的主要原因</w:t>
      </w:r>
      <w:r>
        <w:rPr>
          <w:rFonts w:hint="eastAsia" w:ascii="仿宋_GB2312" w:eastAsia="仿宋_GB2312"/>
          <w:sz w:val="32"/>
          <w:szCs w:val="32"/>
          <w:lang w:val="en-US" w:eastAsia="zh-CN"/>
        </w:rPr>
        <w:t>是人员调整及工资调整</w:t>
      </w:r>
      <w:r>
        <w:rPr>
          <w:rFonts w:hint="eastAsia" w:ascii="仿宋_GB2312" w:eastAsia="仿宋_GB2312"/>
          <w:sz w:val="32"/>
          <w:szCs w:val="32"/>
        </w:rPr>
        <w:t>。</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161" w:leftChars="67" w:firstLine="482" w:firstLineChars="150"/>
        <w:textAlignment w:val="auto"/>
        <w:rPr>
          <w:rFonts w:ascii="仿宋_GB2312" w:eastAsia="仿宋_GB2312"/>
          <w:sz w:val="32"/>
          <w:szCs w:val="32"/>
        </w:rPr>
      </w:pPr>
      <w:r>
        <w:rPr>
          <w:rFonts w:hint="eastAsia" w:ascii="仿宋_GB2312" w:eastAsia="仿宋_GB2312"/>
          <w:b/>
          <w:bCs/>
          <w:sz w:val="32"/>
          <w:szCs w:val="32"/>
          <w:lang w:val="en-US" w:eastAsia="zh-CN"/>
        </w:rPr>
        <w:t>3.卫生健康支出（类）行政事业单位医疗（款）行政单位医疗（项）</w:t>
      </w:r>
      <w:r>
        <w:rPr>
          <w:rFonts w:hint="eastAsia" w:ascii="仿宋_GB2312" w:eastAsia="仿宋_GB2312"/>
          <w:sz w:val="32"/>
          <w:szCs w:val="32"/>
          <w:lang w:val="en-US" w:eastAsia="zh-CN"/>
        </w:rPr>
        <w:t>。年初预算为5.67万元，支出决算为8.56完成年初预算67%。</w:t>
      </w:r>
      <w:r>
        <w:rPr>
          <w:rFonts w:hint="eastAsia" w:ascii="仿宋_GB2312" w:eastAsia="仿宋_GB2312"/>
          <w:sz w:val="32"/>
          <w:szCs w:val="32"/>
        </w:rPr>
        <w:t>决算数与年初预算数存在差异的主要原因</w:t>
      </w:r>
      <w:r>
        <w:rPr>
          <w:rFonts w:hint="eastAsia" w:ascii="仿宋_GB2312" w:eastAsia="仿宋_GB2312"/>
          <w:sz w:val="32"/>
          <w:szCs w:val="32"/>
          <w:lang w:eastAsia="zh-CN"/>
        </w:rPr>
        <w:t>是人员</w:t>
      </w:r>
      <w:r>
        <w:rPr>
          <w:rFonts w:hint="eastAsia" w:ascii="仿宋_GB2312" w:eastAsia="仿宋_GB2312"/>
          <w:sz w:val="32"/>
          <w:szCs w:val="32"/>
          <w:lang w:val="en-US" w:eastAsia="zh-CN"/>
        </w:rPr>
        <w:t>工资调整</w:t>
      </w:r>
      <w:r>
        <w:rPr>
          <w:rFonts w:hint="eastAsia" w:ascii="仿宋_GB2312" w:eastAsia="仿宋_GB2312"/>
          <w:sz w:val="32"/>
          <w:szCs w:val="32"/>
        </w:rPr>
        <w:t>。</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161" w:leftChars="67" w:firstLine="482" w:firstLineChars="150"/>
        <w:textAlignment w:val="auto"/>
        <w:rPr>
          <w:rFonts w:ascii="仿宋_GB2312" w:eastAsia="仿宋_GB2312"/>
          <w:sz w:val="32"/>
          <w:szCs w:val="32"/>
        </w:rPr>
      </w:pPr>
      <w:r>
        <w:rPr>
          <w:rFonts w:hint="eastAsia" w:ascii="仿宋_GB2312" w:eastAsia="仿宋_GB2312"/>
          <w:b/>
          <w:bCs/>
          <w:sz w:val="32"/>
          <w:szCs w:val="32"/>
          <w:lang w:val="en-US" w:eastAsia="zh-CN"/>
        </w:rPr>
        <w:t>4.住房保障支出（类）住房改革支出（款）住房公积金（项）</w:t>
      </w:r>
      <w:r>
        <w:rPr>
          <w:rFonts w:hint="eastAsia" w:ascii="仿宋_GB2312" w:eastAsia="仿宋_GB2312"/>
          <w:sz w:val="32"/>
          <w:szCs w:val="32"/>
          <w:lang w:val="en-US" w:eastAsia="zh-CN"/>
        </w:rPr>
        <w:t>年初预算为17.77元，支出决算为21.58万元，完成年初决算的82%。</w:t>
      </w:r>
      <w:r>
        <w:rPr>
          <w:rFonts w:hint="eastAsia" w:ascii="仿宋_GB2312" w:eastAsia="仿宋_GB2312"/>
          <w:sz w:val="32"/>
          <w:szCs w:val="32"/>
        </w:rPr>
        <w:t>决算数与年初预算数存在差异的主要原因</w:t>
      </w:r>
      <w:r>
        <w:rPr>
          <w:rFonts w:hint="eastAsia" w:ascii="仿宋_GB2312" w:eastAsia="仿宋_GB2312"/>
          <w:sz w:val="32"/>
          <w:szCs w:val="32"/>
          <w:lang w:val="en-US" w:eastAsia="zh-CN"/>
        </w:rPr>
        <w:t>是人员调整及工资调整</w:t>
      </w:r>
      <w:r>
        <w:rPr>
          <w:rFonts w:hint="eastAsia" w:ascii="仿宋_GB2312" w:eastAsia="仿宋_GB2312"/>
          <w:sz w:val="32"/>
          <w:szCs w:val="32"/>
        </w:rPr>
        <w:t>。</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161" w:leftChars="67" w:firstLine="480" w:firstLineChars="150"/>
        <w:textAlignment w:val="auto"/>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161" w:leftChars="67" w:firstLine="480" w:firstLineChars="150"/>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 xml:space="preserve"> 年度一般公共预算财政拨款基本支出</w:t>
      </w:r>
      <w:r>
        <w:rPr>
          <w:rFonts w:hint="eastAsia" w:ascii="仿宋_GB2312" w:eastAsia="仿宋_GB2312"/>
          <w:sz w:val="32"/>
          <w:szCs w:val="32"/>
          <w:lang w:val="en-US" w:eastAsia="zh-CN"/>
        </w:rPr>
        <w:t>881.51</w:t>
      </w:r>
      <w:r>
        <w:rPr>
          <w:rFonts w:hint="eastAsia" w:ascii="仿宋_GB2312" w:eastAsia="仿宋_GB2312"/>
          <w:sz w:val="32"/>
          <w:szCs w:val="32"/>
        </w:rPr>
        <w:t xml:space="preserve">万元。其中：人员经费 </w:t>
      </w:r>
      <w:r>
        <w:rPr>
          <w:rFonts w:hint="eastAsia" w:ascii="仿宋_GB2312" w:eastAsia="仿宋_GB2312"/>
          <w:sz w:val="32"/>
          <w:szCs w:val="32"/>
          <w:lang w:val="en-US" w:eastAsia="zh-CN"/>
        </w:rPr>
        <w:t>376.76</w:t>
      </w:r>
      <w:r>
        <w:rPr>
          <w:rFonts w:hint="eastAsia" w:ascii="仿宋_GB2312" w:eastAsia="仿宋_GB2312"/>
          <w:sz w:val="32"/>
          <w:szCs w:val="32"/>
        </w:rPr>
        <w:t>万元，主要包括：基本工资、津贴补贴、伙食补助费、绩效工资、机关事业单位基本养老保险 缴费、职业年金缴费、其他社会保障缴费、其他工资福利支出、离休费、退休费、抚恤金、生活补助、医疗费、奖励金、住房公积金、采暖补贴、物业服务补贴、其 他对个人和家庭的补助支出；公用经费</w:t>
      </w:r>
      <w:r>
        <w:rPr>
          <w:rFonts w:hint="eastAsia" w:ascii="仿宋_GB2312" w:eastAsia="仿宋_GB2312"/>
          <w:sz w:val="32"/>
          <w:szCs w:val="32"/>
          <w:lang w:val="en-US" w:eastAsia="zh-CN"/>
        </w:rPr>
        <w:t>504.75</w:t>
      </w:r>
      <w:r>
        <w:rPr>
          <w:rFonts w:hint="eastAsia" w:ascii="仿宋_GB2312" w:eastAsia="仿宋_GB2312"/>
          <w:sz w:val="32"/>
          <w:szCs w:val="32"/>
        </w:rPr>
        <w:t>万元，主要包括：办公费、印刷费、咨询费、手续 费、水费、电费、邮电费、取暖费、物业管理费、差旅费、因公出国（境）费用、维修（护）费、租赁费、会议费、培训费、公务接待费、专用材料费、劳务费、委 托业务费、工会经费、福利费、公务用车运行维护费、其他交通费用、税金及附加费用、其他商品和服务支出、办公设备购置、专用设备购置、信息网络及软件购置 更新、其他资本性支出。</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161" w:leftChars="67" w:firstLine="480" w:firstLineChars="150"/>
        <w:textAlignment w:val="auto"/>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161" w:leftChars="67" w:firstLine="482" w:firstLineChars="150"/>
        <w:textAlignment w:val="auto"/>
        <w:rPr>
          <w:rFonts w:ascii="仿宋_GB2312" w:eastAsia="仿宋_GB2312"/>
          <w:b/>
          <w:bCs/>
          <w:sz w:val="32"/>
          <w:szCs w:val="32"/>
        </w:rPr>
      </w:pPr>
      <w:r>
        <w:rPr>
          <w:rFonts w:hint="eastAsia" w:ascii="仿宋_GB2312" w:eastAsia="仿宋_GB2312"/>
          <w:b/>
          <w:bCs/>
          <w:sz w:val="32"/>
          <w:szCs w:val="32"/>
        </w:rPr>
        <w:t>（一）“三公”经费财政拨款支出决算总体情况说明。</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161" w:leftChars="67" w:firstLine="480" w:firstLineChars="150"/>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 xml:space="preserve"> 年度“三公”经费财政拨款支出预算为</w:t>
      </w:r>
      <w:r>
        <w:rPr>
          <w:rFonts w:hint="eastAsia" w:ascii="仿宋_GB2312" w:eastAsia="仿宋_GB2312"/>
          <w:sz w:val="32"/>
          <w:szCs w:val="32"/>
          <w:lang w:val="en-US" w:eastAsia="zh-CN"/>
        </w:rPr>
        <w:t>5.12</w:t>
      </w:r>
      <w:r>
        <w:rPr>
          <w:rFonts w:hint="eastAsia" w:ascii="仿宋_GB2312" w:eastAsia="仿宋_GB2312"/>
          <w:sz w:val="32"/>
          <w:szCs w:val="32"/>
        </w:rPr>
        <w:t xml:space="preserve">万元，支出决算为 </w:t>
      </w:r>
      <w:r>
        <w:rPr>
          <w:rFonts w:hint="eastAsia" w:ascii="仿宋_GB2312" w:eastAsia="仿宋_GB2312"/>
          <w:sz w:val="32"/>
          <w:szCs w:val="32"/>
          <w:lang w:val="en-US" w:eastAsia="zh-CN"/>
        </w:rPr>
        <w:t>1.26</w:t>
      </w:r>
      <w:r>
        <w:rPr>
          <w:rFonts w:hint="eastAsia" w:ascii="仿宋_GB2312" w:eastAsia="仿宋_GB2312"/>
          <w:sz w:val="32"/>
          <w:szCs w:val="32"/>
        </w:rPr>
        <w:t>万元，完成预算的</w:t>
      </w:r>
      <w:r>
        <w:rPr>
          <w:rFonts w:hint="eastAsia" w:ascii="仿宋_GB2312" w:eastAsia="仿宋_GB2312"/>
          <w:sz w:val="32"/>
          <w:szCs w:val="32"/>
          <w:lang w:val="en-US" w:eastAsia="zh-CN"/>
        </w:rPr>
        <w:t>24.59</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年度“三公”经费支出决算数与预算数存在差异的主要原因是主要原因是</w:t>
      </w:r>
      <w:r>
        <w:rPr>
          <w:rFonts w:hint="eastAsia" w:ascii="仿宋_GB2312" w:eastAsia="仿宋_GB2312"/>
          <w:sz w:val="32"/>
          <w:szCs w:val="32"/>
          <w:lang w:eastAsia="zh-CN"/>
        </w:rPr>
        <w:t>厉行节约，压减三公经费开支</w:t>
      </w:r>
      <w:r>
        <w:rPr>
          <w:rFonts w:hint="eastAsia" w:ascii="仿宋_GB2312" w:hAnsi="仿宋_GB2312" w:eastAsia="仿宋_GB2312" w:cs="仿宋_GB2312"/>
          <w:sz w:val="32"/>
          <w:szCs w:val="32"/>
          <w:lang w:eastAsia="zh-CN"/>
        </w:rPr>
        <w:t>。</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161" w:leftChars="67" w:firstLine="482" w:firstLineChars="150"/>
        <w:textAlignment w:val="auto"/>
        <w:rPr>
          <w:rFonts w:hint="eastAsia" w:ascii="仿宋_GB2312" w:eastAsia="仿宋_GB2312"/>
          <w:b/>
          <w:bCs/>
          <w:sz w:val="32"/>
          <w:szCs w:val="32"/>
        </w:rPr>
      </w:pPr>
      <w:r>
        <w:rPr>
          <w:rFonts w:hint="eastAsia" w:ascii="仿宋_GB2312" w:eastAsia="仿宋_GB2312"/>
          <w:b/>
          <w:bCs/>
          <w:sz w:val="32"/>
          <w:szCs w:val="32"/>
        </w:rPr>
        <w:t>（二）“三公”经费财政拨款支出决算具体情况说明。</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161" w:leftChars="67" w:firstLine="480" w:firstLineChars="150"/>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年度“三公”经费财政拨款支出决算中，因公出国（境）费支出决算0.00万元，完成预算的 0.00%，占0.00%；公务用车购置及运行费支出决算</w:t>
      </w:r>
      <w:r>
        <w:rPr>
          <w:rFonts w:hint="eastAsia" w:ascii="仿宋_GB2312" w:eastAsia="仿宋_GB2312"/>
          <w:sz w:val="32"/>
          <w:szCs w:val="32"/>
          <w:lang w:val="en-US" w:eastAsia="zh-CN"/>
        </w:rPr>
        <w:t>4.79</w:t>
      </w:r>
      <w:r>
        <w:rPr>
          <w:rFonts w:hint="eastAsia" w:ascii="仿宋_GB2312" w:eastAsia="仿宋_GB2312"/>
          <w:sz w:val="32"/>
          <w:szCs w:val="32"/>
        </w:rPr>
        <w:t>万元，完成预算的</w:t>
      </w:r>
      <w:r>
        <w:rPr>
          <w:rFonts w:hint="eastAsia" w:ascii="仿宋_GB2312" w:eastAsia="仿宋_GB2312"/>
          <w:sz w:val="32"/>
          <w:szCs w:val="32"/>
          <w:lang w:val="en-US" w:eastAsia="zh-CN"/>
        </w:rPr>
        <w:t>75.97</w:t>
      </w:r>
      <w:r>
        <w:rPr>
          <w:rFonts w:hint="eastAsia" w:ascii="仿宋_GB2312" w:eastAsia="仿宋_GB2312"/>
          <w:sz w:val="32"/>
          <w:szCs w:val="32"/>
        </w:rPr>
        <w:t>%，占</w:t>
      </w:r>
      <w:r>
        <w:rPr>
          <w:rFonts w:hint="eastAsia" w:ascii="仿宋_GB2312" w:eastAsia="仿宋_GB2312"/>
          <w:sz w:val="32"/>
          <w:szCs w:val="32"/>
          <w:lang w:val="en-US" w:eastAsia="zh-CN"/>
        </w:rPr>
        <w:t>40.52</w:t>
      </w:r>
      <w:r>
        <w:rPr>
          <w:rFonts w:hint="eastAsia" w:ascii="仿宋_GB2312" w:eastAsia="仿宋_GB2312"/>
          <w:sz w:val="32"/>
          <w:szCs w:val="32"/>
        </w:rPr>
        <w:t>%；公务接待费支出决算7.</w:t>
      </w:r>
      <w:r>
        <w:rPr>
          <w:rFonts w:hint="eastAsia" w:ascii="仿宋_GB2312" w:eastAsia="仿宋_GB2312"/>
          <w:sz w:val="32"/>
          <w:szCs w:val="32"/>
          <w:lang w:val="en-US" w:eastAsia="zh-CN"/>
        </w:rPr>
        <w:t>03</w:t>
      </w:r>
      <w:r>
        <w:rPr>
          <w:rFonts w:hint="eastAsia" w:ascii="仿宋_GB2312" w:eastAsia="仿宋_GB2312"/>
          <w:sz w:val="32"/>
          <w:szCs w:val="32"/>
        </w:rPr>
        <w:t xml:space="preserve">万元，完成预算的 </w:t>
      </w:r>
      <w:r>
        <w:rPr>
          <w:rFonts w:hint="eastAsia" w:ascii="仿宋_GB2312" w:eastAsia="仿宋_GB2312"/>
          <w:sz w:val="32"/>
          <w:szCs w:val="32"/>
          <w:lang w:val="en-US" w:eastAsia="zh-CN"/>
        </w:rPr>
        <w:t>68.67</w:t>
      </w:r>
      <w:r>
        <w:rPr>
          <w:rFonts w:hint="eastAsia" w:ascii="仿宋_GB2312" w:eastAsia="仿宋_GB2312"/>
          <w:sz w:val="32"/>
          <w:szCs w:val="32"/>
        </w:rPr>
        <w:t>%，占</w:t>
      </w:r>
      <w:r>
        <w:rPr>
          <w:rFonts w:hint="eastAsia" w:ascii="仿宋_GB2312" w:eastAsia="仿宋_GB2312"/>
          <w:sz w:val="32"/>
          <w:szCs w:val="32"/>
          <w:lang w:val="en-US" w:eastAsia="zh-CN"/>
        </w:rPr>
        <w:t>59.48</w:t>
      </w:r>
      <w:r>
        <w:rPr>
          <w:rFonts w:hint="eastAsia" w:ascii="仿宋_GB2312" w:eastAsia="仿宋_GB2312"/>
          <w:sz w:val="32"/>
          <w:szCs w:val="32"/>
        </w:rPr>
        <w:t>%；具体情况如下：</w:t>
      </w:r>
    </w:p>
    <w:p>
      <w:pPr>
        <w:pStyle w:val="4"/>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before="0" w:beforeAutospacing="0" w:after="0" w:afterAutospacing="0" w:line="600" w:lineRule="exact"/>
        <w:ind w:left="161" w:leftChars="67" w:firstLine="482" w:firstLineChars="150"/>
        <w:textAlignment w:val="auto"/>
        <w:rPr>
          <w:rFonts w:hint="eastAsia" w:ascii="仿宋_GB2312" w:eastAsia="仿宋_GB2312"/>
          <w:sz w:val="32"/>
          <w:szCs w:val="32"/>
        </w:rPr>
      </w:pPr>
      <w:r>
        <w:rPr>
          <w:rFonts w:hint="eastAsia" w:ascii="仿宋_GB2312" w:eastAsia="仿宋_GB2312"/>
          <w:b/>
          <w:bCs/>
          <w:sz w:val="32"/>
          <w:szCs w:val="32"/>
        </w:rPr>
        <w:t>因公出国（境）费</w:t>
      </w:r>
      <w:r>
        <w:rPr>
          <w:rFonts w:hint="eastAsia" w:ascii="仿宋_GB2312" w:eastAsia="仿宋_GB2312"/>
          <w:sz w:val="32"/>
          <w:szCs w:val="32"/>
        </w:rPr>
        <w:t>年初预算为 0.00万元，支出决算为0.00 万元，完成年初预算的0.00%，决算数与年初预算数</w:t>
      </w:r>
      <w:r>
        <w:rPr>
          <w:rFonts w:hint="eastAsia" w:ascii="仿宋_GB2312" w:eastAsia="仿宋_GB2312"/>
          <w:sz w:val="32"/>
          <w:szCs w:val="32"/>
          <w:lang w:eastAsia="zh-CN"/>
        </w:rPr>
        <w:t>不存在差异；</w:t>
      </w:r>
      <w:r>
        <w:rPr>
          <w:rFonts w:hint="eastAsia" w:ascii="仿宋_GB2312" w:eastAsia="仿宋_GB2312"/>
          <w:sz w:val="32"/>
          <w:szCs w:val="32"/>
        </w:rPr>
        <w:t>因公出国（境）团组数0个，因公出国（境）人次数0人。</w:t>
      </w:r>
    </w:p>
    <w:p>
      <w:pPr>
        <w:pStyle w:val="4"/>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before="0" w:beforeAutospacing="0" w:after="0" w:afterAutospacing="0" w:line="600" w:lineRule="exact"/>
        <w:ind w:left="161" w:leftChars="67" w:firstLine="482" w:firstLineChars="150"/>
        <w:textAlignment w:val="auto"/>
        <w:rPr>
          <w:rFonts w:ascii="仿宋_GB2312" w:eastAsia="仿宋_GB2312"/>
          <w:sz w:val="32"/>
          <w:szCs w:val="32"/>
        </w:rPr>
      </w:pPr>
      <w:r>
        <w:rPr>
          <w:rFonts w:hint="eastAsia" w:ascii="仿宋_GB2312" w:eastAsia="仿宋_GB2312"/>
          <w:b/>
          <w:bCs/>
          <w:sz w:val="32"/>
          <w:szCs w:val="32"/>
        </w:rPr>
        <w:t>公务用车购置及运行费</w:t>
      </w:r>
      <w:r>
        <w:rPr>
          <w:rFonts w:hint="eastAsia" w:ascii="仿宋_GB2312" w:eastAsia="仿宋_GB2312"/>
          <w:sz w:val="32"/>
          <w:szCs w:val="32"/>
        </w:rPr>
        <w:t>年初预算为</w:t>
      </w:r>
      <w:r>
        <w:rPr>
          <w:rFonts w:hint="eastAsia" w:ascii="仿宋_GB2312" w:eastAsia="仿宋_GB2312"/>
          <w:sz w:val="32"/>
          <w:szCs w:val="32"/>
          <w:lang w:val="en-US" w:eastAsia="zh-CN"/>
        </w:rPr>
        <w:t>0</w:t>
      </w:r>
      <w:r>
        <w:rPr>
          <w:rFonts w:hint="eastAsia" w:ascii="仿宋_GB2312" w:eastAsia="仿宋_GB2312"/>
          <w:sz w:val="32"/>
          <w:szCs w:val="32"/>
        </w:rPr>
        <w:t>万元，支出决算为</w:t>
      </w:r>
      <w:r>
        <w:rPr>
          <w:rFonts w:hint="eastAsia" w:ascii="仿宋_GB2312" w:eastAsia="仿宋_GB2312"/>
          <w:sz w:val="32"/>
          <w:szCs w:val="32"/>
          <w:lang w:val="en-US" w:eastAsia="zh-CN"/>
        </w:rPr>
        <w:t>0</w:t>
      </w:r>
      <w:r>
        <w:rPr>
          <w:rFonts w:hint="eastAsia" w:ascii="仿宋_GB2312" w:eastAsia="仿宋_GB2312"/>
          <w:sz w:val="32"/>
          <w:szCs w:val="32"/>
        </w:rPr>
        <w:t>万元，完成年初预算的</w:t>
      </w:r>
      <w:r>
        <w:rPr>
          <w:rFonts w:hint="eastAsia" w:ascii="仿宋_GB2312" w:eastAsia="仿宋_GB2312"/>
          <w:sz w:val="32"/>
          <w:szCs w:val="32"/>
          <w:lang w:val="en-US" w:eastAsia="zh-CN"/>
        </w:rPr>
        <w:t>0</w:t>
      </w:r>
      <w:r>
        <w:rPr>
          <w:rFonts w:hint="eastAsia" w:ascii="仿宋_GB2312" w:eastAsia="仿宋_GB2312"/>
          <w:sz w:val="32"/>
          <w:szCs w:val="32"/>
        </w:rPr>
        <w:t>%决算数与年初预算数存在差异的主要原因是</w:t>
      </w:r>
      <w:r>
        <w:rPr>
          <w:rFonts w:hint="eastAsia" w:ascii="仿宋_GB2312" w:eastAsia="仿宋_GB2312"/>
          <w:sz w:val="32"/>
          <w:szCs w:val="32"/>
          <w:lang w:eastAsia="zh-CN"/>
        </w:rPr>
        <w:t>厉行节约，压缩公务用车开支</w:t>
      </w:r>
      <w:r>
        <w:rPr>
          <w:rFonts w:hint="eastAsia" w:ascii="仿宋_GB2312" w:eastAsia="仿宋_GB2312"/>
          <w:sz w:val="32"/>
          <w:szCs w:val="32"/>
        </w:rPr>
        <w:t>。其中：</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公务用车购置支出</w:t>
      </w:r>
      <w:r>
        <w:rPr>
          <w:rFonts w:hint="eastAsia" w:ascii="仿宋_GB2312" w:eastAsia="仿宋_GB2312"/>
          <w:sz w:val="32"/>
          <w:szCs w:val="32"/>
          <w:lang w:val="en-US" w:eastAsia="zh-CN"/>
        </w:rPr>
        <w:t>0万元</w:t>
      </w:r>
      <w:r>
        <w:rPr>
          <w:rFonts w:hint="eastAsia" w:ascii="仿宋_GB2312" w:eastAsia="仿宋_GB2312"/>
          <w:sz w:val="32"/>
          <w:szCs w:val="32"/>
        </w:rPr>
        <w:t>，其中</w:t>
      </w:r>
      <w:r>
        <w:rPr>
          <w:rFonts w:hint="eastAsia" w:ascii="仿宋_GB2312" w:eastAsia="仿宋_GB2312"/>
          <w:sz w:val="32"/>
          <w:szCs w:val="32"/>
          <w:lang w:val="en-US" w:eastAsia="zh-CN"/>
        </w:rPr>
        <w:t>0</w:t>
      </w:r>
      <w:r>
        <w:rPr>
          <w:rFonts w:hint="eastAsia" w:ascii="仿宋_GB2312" w:eastAsia="仿宋_GB2312"/>
          <w:sz w:val="32"/>
          <w:szCs w:val="32"/>
        </w:rPr>
        <w:t>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val="en-US" w:eastAsia="zh-CN"/>
        </w:rPr>
        <w:t>0</w:t>
      </w:r>
      <w:r>
        <w:rPr>
          <w:rFonts w:hint="eastAsia" w:ascii="仿宋_GB2312" w:eastAsia="仿宋_GB2312"/>
          <w:sz w:val="32"/>
          <w:szCs w:val="32"/>
        </w:rPr>
        <w:t>车</w:t>
      </w:r>
      <w:r>
        <w:rPr>
          <w:rFonts w:hint="eastAsia" w:ascii="仿宋_GB2312" w:eastAsia="仿宋_GB2312"/>
          <w:sz w:val="32"/>
          <w:szCs w:val="32"/>
          <w:lang w:val="en-US" w:eastAsia="zh-CN"/>
        </w:rPr>
        <w:t>0</w:t>
      </w:r>
      <w:r>
        <w:rPr>
          <w:rFonts w:hint="eastAsia" w:ascii="仿宋_GB2312" w:eastAsia="仿宋_GB2312"/>
          <w:sz w:val="32"/>
          <w:szCs w:val="32"/>
        </w:rPr>
        <w:t>辆。</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161" w:leftChars="67" w:firstLine="480" w:firstLineChars="150"/>
        <w:textAlignment w:val="auto"/>
        <w:rPr>
          <w:rFonts w:ascii="仿宋_GB2312" w:eastAsia="仿宋_GB2312"/>
          <w:sz w:val="32"/>
          <w:szCs w:val="32"/>
        </w:rPr>
      </w:pPr>
      <w:r>
        <w:rPr>
          <w:rFonts w:hint="eastAsia" w:ascii="仿宋_GB2312" w:eastAsia="仿宋_GB2312"/>
          <w:sz w:val="32"/>
          <w:szCs w:val="32"/>
        </w:rPr>
        <w:t>公务用车运行支出</w:t>
      </w:r>
      <w:r>
        <w:rPr>
          <w:rFonts w:hint="eastAsia" w:ascii="仿宋_GB2312" w:eastAsia="仿宋_GB2312"/>
          <w:sz w:val="32"/>
          <w:szCs w:val="32"/>
          <w:lang w:val="en-US" w:eastAsia="zh-CN"/>
        </w:rPr>
        <w:t>0</w:t>
      </w:r>
      <w:r>
        <w:rPr>
          <w:rFonts w:hint="eastAsia" w:ascii="仿宋_GB2312" w:eastAsia="仿宋_GB2312"/>
          <w:sz w:val="32"/>
          <w:szCs w:val="32"/>
        </w:rPr>
        <w:t>万元。主要用于</w:t>
      </w:r>
      <w:r>
        <w:rPr>
          <w:rFonts w:hint="eastAsia" w:ascii="仿宋_GB2312" w:eastAsia="仿宋_GB2312"/>
          <w:sz w:val="32"/>
          <w:szCs w:val="32"/>
          <w:lang w:eastAsia="zh-CN"/>
        </w:rPr>
        <w:t>公务车辆运行维护费</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年期末，单位开支财政拨款的公务用车保有量为</w:t>
      </w:r>
      <w:r>
        <w:rPr>
          <w:rFonts w:hint="eastAsia" w:ascii="仿宋_GB2312" w:eastAsia="仿宋_GB2312"/>
          <w:sz w:val="32"/>
          <w:szCs w:val="32"/>
          <w:lang w:val="en-US" w:eastAsia="zh-CN"/>
        </w:rPr>
        <w:t>1辆</w:t>
      </w:r>
      <w:r>
        <w:rPr>
          <w:rFonts w:hint="eastAsia" w:ascii="仿宋_GB2312" w:eastAsia="仿宋_GB2312"/>
          <w:sz w:val="32"/>
          <w:szCs w:val="32"/>
        </w:rPr>
        <w:t>。</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161" w:leftChars="67" w:firstLine="482" w:firstLineChars="150"/>
        <w:textAlignment w:val="auto"/>
        <w:rPr>
          <w:rFonts w:ascii="仿宋_GB2312" w:eastAsia="仿宋_GB2312"/>
          <w:sz w:val="32"/>
          <w:szCs w:val="32"/>
        </w:rPr>
      </w:pPr>
      <w:r>
        <w:rPr>
          <w:rFonts w:hint="eastAsia" w:ascii="仿宋_GB2312" w:eastAsia="仿宋_GB2312"/>
          <w:b/>
          <w:bCs/>
          <w:sz w:val="32"/>
          <w:szCs w:val="32"/>
        </w:rPr>
        <w:t>3. 公务接待费</w:t>
      </w:r>
      <w:r>
        <w:rPr>
          <w:rFonts w:hint="eastAsia" w:ascii="仿宋_GB2312" w:eastAsia="仿宋_GB2312"/>
          <w:sz w:val="32"/>
          <w:szCs w:val="32"/>
        </w:rPr>
        <w:t>年初预算为</w:t>
      </w:r>
      <w:r>
        <w:rPr>
          <w:rFonts w:hint="eastAsia" w:ascii="仿宋_GB2312" w:eastAsia="仿宋_GB2312"/>
          <w:sz w:val="32"/>
          <w:szCs w:val="32"/>
          <w:lang w:val="en-US" w:eastAsia="zh-CN"/>
        </w:rPr>
        <w:t>5.12</w:t>
      </w:r>
      <w:r>
        <w:rPr>
          <w:rFonts w:hint="eastAsia" w:ascii="仿宋_GB2312" w:eastAsia="仿宋_GB2312"/>
          <w:sz w:val="32"/>
          <w:szCs w:val="32"/>
        </w:rPr>
        <w:t>万元，支出决算为</w:t>
      </w:r>
      <w:r>
        <w:rPr>
          <w:rFonts w:hint="eastAsia" w:ascii="仿宋_GB2312" w:eastAsia="仿宋_GB2312"/>
          <w:sz w:val="32"/>
          <w:szCs w:val="32"/>
          <w:lang w:val="en-US" w:eastAsia="zh-CN"/>
        </w:rPr>
        <w:t>1.26</w:t>
      </w:r>
      <w:r>
        <w:rPr>
          <w:rFonts w:hint="eastAsia" w:ascii="仿宋_GB2312" w:eastAsia="仿宋_GB2312"/>
          <w:sz w:val="32"/>
          <w:szCs w:val="32"/>
        </w:rPr>
        <w:t>万元，完成年初预算的</w:t>
      </w:r>
      <w:r>
        <w:rPr>
          <w:rFonts w:hint="eastAsia" w:ascii="仿宋_GB2312" w:eastAsia="仿宋_GB2312"/>
          <w:sz w:val="32"/>
          <w:szCs w:val="32"/>
          <w:lang w:val="en-US" w:eastAsia="zh-CN"/>
        </w:rPr>
        <w:t>24.59</w:t>
      </w:r>
      <w:r>
        <w:rPr>
          <w:rFonts w:hint="eastAsia" w:ascii="仿宋_GB2312" w:eastAsia="仿宋_GB2312"/>
          <w:sz w:val="32"/>
          <w:szCs w:val="32"/>
        </w:rPr>
        <w:t>%。决算数与年初预算数存在差异的主要 原因是</w:t>
      </w:r>
      <w:r>
        <w:rPr>
          <w:rFonts w:hint="eastAsia" w:ascii="仿宋_GB2312" w:eastAsia="仿宋_GB2312"/>
          <w:sz w:val="32"/>
          <w:szCs w:val="32"/>
          <w:lang w:eastAsia="zh-CN"/>
        </w:rPr>
        <w:t>减少公务接待次数与标准</w:t>
      </w:r>
      <w:r>
        <w:rPr>
          <w:rFonts w:hint="eastAsia" w:ascii="仿宋_GB2312" w:eastAsia="仿宋_GB2312"/>
          <w:sz w:val="32"/>
          <w:szCs w:val="32"/>
        </w:rPr>
        <w:t>。其中：外宾接待支出</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val="en-US" w:eastAsia="zh-CN"/>
        </w:rPr>
        <w:t>00</w:t>
      </w:r>
      <w:r>
        <w:rPr>
          <w:rFonts w:hint="eastAsia" w:ascii="仿宋_GB2312" w:eastAsia="仿宋_GB2312"/>
          <w:sz w:val="32"/>
          <w:szCs w:val="32"/>
        </w:rPr>
        <w:t>万元。202</w:t>
      </w:r>
      <w:r>
        <w:rPr>
          <w:rFonts w:hint="eastAsia" w:ascii="仿宋_GB2312" w:eastAsia="仿宋_GB2312"/>
          <w:sz w:val="32"/>
          <w:szCs w:val="32"/>
          <w:lang w:val="en-US" w:eastAsia="zh-CN"/>
        </w:rPr>
        <w:t>1</w:t>
      </w:r>
      <w:r>
        <w:rPr>
          <w:rFonts w:hint="eastAsia" w:ascii="仿宋_GB2312" w:eastAsia="仿宋_GB2312"/>
          <w:sz w:val="32"/>
          <w:szCs w:val="32"/>
        </w:rPr>
        <w:t>年共接待国（境）外来访团组</w:t>
      </w:r>
      <w:r>
        <w:rPr>
          <w:rFonts w:hint="eastAsia" w:ascii="仿宋_GB2312" w:eastAsia="仿宋_GB2312"/>
          <w:sz w:val="32"/>
          <w:szCs w:val="32"/>
          <w:lang w:val="en-US" w:eastAsia="zh-CN"/>
        </w:rPr>
        <w:t>0</w:t>
      </w:r>
      <w:r>
        <w:rPr>
          <w:rFonts w:hint="eastAsia" w:ascii="仿宋_GB2312" w:eastAsia="仿宋_GB2312"/>
          <w:sz w:val="32"/>
          <w:szCs w:val="32"/>
        </w:rPr>
        <w:t>个、来访外宾</w:t>
      </w:r>
      <w:r>
        <w:rPr>
          <w:rFonts w:hint="eastAsia" w:ascii="仿宋_GB2312" w:eastAsia="仿宋_GB2312"/>
          <w:sz w:val="32"/>
          <w:szCs w:val="32"/>
          <w:lang w:val="en-US" w:eastAsia="zh-CN"/>
        </w:rPr>
        <w:t>0</w:t>
      </w:r>
      <w:r>
        <w:rPr>
          <w:rFonts w:hint="eastAsia" w:ascii="仿宋_GB2312" w:eastAsia="仿宋_GB2312"/>
          <w:sz w:val="32"/>
          <w:szCs w:val="32"/>
        </w:rPr>
        <w:t>人次（不包括陪同人员）。其他国内公务接待支出</w:t>
      </w:r>
      <w:r>
        <w:rPr>
          <w:rFonts w:hint="eastAsia" w:ascii="仿宋_GB2312" w:eastAsia="仿宋_GB2312"/>
          <w:sz w:val="32"/>
          <w:szCs w:val="32"/>
          <w:lang w:val="en-US" w:eastAsia="zh-CN"/>
        </w:rPr>
        <w:t>0</w:t>
      </w:r>
      <w:r>
        <w:rPr>
          <w:rFonts w:hint="eastAsia" w:ascii="仿宋_GB2312" w:eastAsia="仿宋_GB2312"/>
          <w:sz w:val="32"/>
          <w:szCs w:val="32"/>
        </w:rPr>
        <w:t>万元。主要用于</w:t>
      </w:r>
      <w:r>
        <w:rPr>
          <w:rFonts w:hint="eastAsia" w:ascii="仿宋_GB2312" w:eastAsia="仿宋_GB2312"/>
          <w:sz w:val="32"/>
          <w:szCs w:val="32"/>
          <w:lang w:eastAsia="zh-CN"/>
        </w:rPr>
        <w:t>国家省市信访局信访案件督查</w:t>
      </w:r>
      <w:r>
        <w:rPr>
          <w:rFonts w:hint="eastAsia" w:ascii="仿宋_GB2312" w:eastAsia="仿宋_GB2312"/>
          <w:sz w:val="32"/>
          <w:szCs w:val="32"/>
        </w:rPr>
        <w:t>。</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161" w:leftChars="67" w:firstLine="480" w:firstLineChars="150"/>
        <w:textAlignment w:val="auto"/>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、政府性基金预算财政拨款支出决算情况说明</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161" w:leftChars="67" w:firstLine="480" w:firstLineChars="150"/>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 xml:space="preserve"> 年度政府性基金预算财政拨款支出年初预算为0.00万元，支出决算为 0</w:t>
      </w:r>
      <w:r>
        <w:rPr>
          <w:rFonts w:hint="eastAsia" w:ascii="仿宋_GB2312" w:eastAsia="仿宋_GB2312"/>
          <w:sz w:val="32"/>
          <w:szCs w:val="32"/>
          <w:lang w:val="en-US" w:eastAsia="zh-CN"/>
        </w:rPr>
        <w:t>.00</w:t>
      </w:r>
      <w:r>
        <w:rPr>
          <w:rFonts w:hint="eastAsia" w:ascii="仿宋_GB2312" w:eastAsia="仿宋_GB2312"/>
          <w:sz w:val="32"/>
          <w:szCs w:val="32"/>
        </w:rPr>
        <w:t>万元，完成年初预算的 0.00%。其中</w:t>
      </w:r>
      <w:r>
        <w:rPr>
          <w:rFonts w:hint="eastAsia" w:ascii="仿宋_GB2312" w:eastAsia="仿宋_GB2312"/>
          <w:sz w:val="32"/>
          <w:szCs w:val="32"/>
          <w:lang w:eastAsia="zh-CN"/>
        </w:rPr>
        <w:t>无</w:t>
      </w:r>
      <w:r>
        <w:rPr>
          <w:rFonts w:hint="eastAsia" w:ascii="仿宋_GB2312" w:eastAsia="仿宋_GB2312"/>
          <w:sz w:val="32"/>
          <w:szCs w:val="32"/>
        </w:rPr>
        <w:t>项目年末结转和结余资金数额较大，</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161" w:leftChars="67" w:firstLine="480" w:firstLineChars="150"/>
        <w:textAlignment w:val="auto"/>
        <w:rPr>
          <w:rFonts w:hint="eastAsia" w:ascii="黑体" w:hAnsi="黑体" w:eastAsia="黑体" w:cs="黑体"/>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、机关运行经费支出情况说明</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161" w:leftChars="67" w:firstLine="480" w:firstLineChars="150"/>
        <w:textAlignment w:val="auto"/>
        <w:rPr>
          <w:rFonts w:hint="eastAsia" w:ascii="仿宋_GB2312" w:eastAsia="仿宋_GB2312"/>
          <w:sz w:val="32"/>
          <w:szCs w:val="32"/>
          <w:lang w:eastAsia="zh-CN"/>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年度机关运行经费初预算为</w:t>
      </w:r>
      <w:r>
        <w:rPr>
          <w:rFonts w:hint="eastAsia" w:ascii="仿宋_GB2312" w:eastAsia="仿宋_GB2312"/>
          <w:sz w:val="32"/>
          <w:szCs w:val="32"/>
          <w:lang w:val="en-US" w:eastAsia="zh-CN"/>
        </w:rPr>
        <w:t>5.12</w:t>
      </w:r>
      <w:r>
        <w:rPr>
          <w:rFonts w:hint="eastAsia" w:ascii="仿宋_GB2312" w:eastAsia="仿宋_GB2312"/>
          <w:sz w:val="32"/>
          <w:szCs w:val="32"/>
        </w:rPr>
        <w:t>万元，支出决算为</w:t>
      </w:r>
      <w:r>
        <w:rPr>
          <w:rFonts w:hint="eastAsia" w:ascii="仿宋_GB2312" w:eastAsia="仿宋_GB2312"/>
          <w:sz w:val="32"/>
          <w:szCs w:val="32"/>
          <w:lang w:val="en-US" w:eastAsia="zh-CN"/>
        </w:rPr>
        <w:t>5.12</w:t>
      </w:r>
      <w:r>
        <w:rPr>
          <w:rFonts w:hint="eastAsia" w:ascii="仿宋_GB2312" w:eastAsia="仿宋_GB2312"/>
          <w:sz w:val="32"/>
          <w:szCs w:val="32"/>
        </w:rPr>
        <w:t>万元，完成年初预算的</w:t>
      </w:r>
      <w:r>
        <w:rPr>
          <w:rFonts w:hint="eastAsia" w:ascii="仿宋_GB2312" w:eastAsia="仿宋_GB2312"/>
          <w:sz w:val="32"/>
          <w:szCs w:val="32"/>
          <w:lang w:val="en-US" w:eastAsia="zh-CN"/>
        </w:rPr>
        <w:t>100</w:t>
      </w:r>
      <w:r>
        <w:rPr>
          <w:rFonts w:hint="eastAsia" w:ascii="仿宋_GB2312" w:eastAsia="仿宋_GB2312"/>
          <w:sz w:val="32"/>
          <w:szCs w:val="32"/>
        </w:rPr>
        <w:t>%。决算数与年初预算数</w:t>
      </w:r>
      <w:r>
        <w:rPr>
          <w:rFonts w:hint="eastAsia" w:ascii="仿宋_GB2312" w:eastAsia="仿宋_GB2312"/>
          <w:sz w:val="32"/>
          <w:szCs w:val="32"/>
          <w:lang w:eastAsia="zh-CN"/>
        </w:rPr>
        <w:t>不</w:t>
      </w:r>
      <w:r>
        <w:rPr>
          <w:rFonts w:hint="eastAsia" w:ascii="仿宋_GB2312" w:eastAsia="仿宋_GB2312"/>
          <w:sz w:val="32"/>
          <w:szCs w:val="32"/>
        </w:rPr>
        <w:t>存在差异</w:t>
      </w:r>
      <w:r>
        <w:rPr>
          <w:rFonts w:hint="eastAsia" w:ascii="仿宋_GB2312" w:eastAsia="仿宋_GB2312"/>
          <w:sz w:val="32"/>
          <w:szCs w:val="32"/>
          <w:lang w:eastAsia="zh-CN"/>
        </w:rPr>
        <w:t>。</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161" w:leftChars="67" w:firstLine="480" w:firstLineChars="150"/>
        <w:textAlignment w:val="auto"/>
        <w:rPr>
          <w:rFonts w:hint="eastAsia" w:ascii="黑体" w:hAnsi="黑体" w:eastAsia="黑体" w:cs="黑体"/>
          <w:sz w:val="32"/>
          <w:szCs w:val="32"/>
        </w:rPr>
      </w:pPr>
      <w:r>
        <w:rPr>
          <w:rFonts w:hint="eastAsia" w:ascii="黑体" w:hAnsi="黑体" w:eastAsia="黑体" w:cs="黑体"/>
          <w:sz w:val="32"/>
          <w:szCs w:val="32"/>
        </w:rPr>
        <w:t>十、政府采购支出情况说明</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161" w:leftChars="67" w:firstLine="480" w:firstLineChars="150"/>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 xml:space="preserve"> 年度政府采购支出总额</w:t>
      </w:r>
      <w:r>
        <w:rPr>
          <w:rFonts w:hint="eastAsia" w:ascii="仿宋_GB2312" w:eastAsia="仿宋_GB2312"/>
          <w:sz w:val="32"/>
          <w:szCs w:val="32"/>
          <w:lang w:val="en-US" w:eastAsia="zh-CN"/>
        </w:rPr>
        <w:t>0.00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0.00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0.00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0.00</w:t>
      </w:r>
      <w:r>
        <w:rPr>
          <w:rFonts w:hint="eastAsia" w:ascii="仿宋_GB2312" w:eastAsia="仿宋_GB2312"/>
          <w:sz w:val="32"/>
          <w:szCs w:val="32"/>
        </w:rPr>
        <w:t>万元。授予中 小企业合同金额</w:t>
      </w:r>
      <w:r>
        <w:rPr>
          <w:rFonts w:hint="eastAsia" w:ascii="仿宋_GB2312" w:eastAsia="仿宋_GB2312"/>
          <w:sz w:val="32"/>
          <w:szCs w:val="32"/>
          <w:lang w:val="en-US" w:eastAsia="zh-CN"/>
        </w:rPr>
        <w:t>0.00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0.00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0.00</w:t>
      </w:r>
      <w:r>
        <w:rPr>
          <w:rFonts w:hint="eastAsia" w:ascii="仿宋_GB2312" w:eastAsia="仿宋_GB2312"/>
          <w:sz w:val="32"/>
          <w:szCs w:val="32"/>
        </w:rPr>
        <w:t>，占政府采购支出总额的</w:t>
      </w:r>
      <w:r>
        <w:rPr>
          <w:rFonts w:hint="eastAsia" w:ascii="仿宋_GB2312" w:eastAsia="仿宋_GB2312"/>
          <w:sz w:val="32"/>
          <w:szCs w:val="32"/>
          <w:lang w:val="en-US" w:eastAsia="zh-CN"/>
        </w:rPr>
        <w:t>0.00</w:t>
      </w:r>
      <w:r>
        <w:rPr>
          <w:rFonts w:hint="eastAsia" w:ascii="仿宋_GB2312" w:eastAsia="仿宋_GB2312"/>
          <w:sz w:val="32"/>
          <w:szCs w:val="32"/>
        </w:rPr>
        <w:t>%。</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161" w:leftChars="67" w:firstLine="480" w:firstLineChars="150"/>
        <w:textAlignment w:val="auto"/>
        <w:rPr>
          <w:rFonts w:hint="eastAsia" w:ascii="黑体" w:hAnsi="黑体" w:eastAsia="黑体" w:cs="黑体"/>
          <w:sz w:val="32"/>
          <w:szCs w:val="32"/>
        </w:rPr>
      </w:pPr>
      <w:r>
        <w:rPr>
          <w:rFonts w:hint="eastAsia" w:ascii="黑体" w:hAnsi="黑体" w:eastAsia="黑体" w:cs="黑体"/>
          <w:sz w:val="32"/>
          <w:szCs w:val="32"/>
          <w:lang w:eastAsia="zh-CN"/>
        </w:rPr>
        <w:t>十一</w:t>
      </w:r>
      <w:r>
        <w:rPr>
          <w:rFonts w:hint="eastAsia" w:ascii="黑体" w:hAnsi="黑体" w:eastAsia="黑体" w:cs="黑体"/>
          <w:sz w:val="32"/>
          <w:szCs w:val="32"/>
        </w:rPr>
        <w:t>、国有资产占用情况说明</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161" w:leftChars="67" w:firstLine="480" w:firstLineChars="150"/>
        <w:textAlignment w:val="auto"/>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 xml:space="preserve"> 年期末，我单位共有车辆</w:t>
      </w:r>
      <w:r>
        <w:rPr>
          <w:rFonts w:hint="eastAsia" w:ascii="仿宋_GB2312" w:eastAsia="仿宋_GB2312"/>
          <w:sz w:val="32"/>
          <w:szCs w:val="32"/>
          <w:lang w:val="en-US" w:eastAsia="zh-CN"/>
        </w:rPr>
        <w:t>1</w:t>
      </w:r>
      <w:r>
        <w:rPr>
          <w:rFonts w:hint="eastAsia" w:ascii="仿宋_GB2312" w:eastAsia="仿宋_GB2312"/>
          <w:sz w:val="32"/>
          <w:szCs w:val="32"/>
        </w:rPr>
        <w:t>辆，其中：省级领导干部用车0辆、主要领导干部用车 0辆、机要通信用车0辆、应急保障车0辆、执法执勤用车 0辆、特种专业技术用车0辆、离退休干部用车0辆、其他用 车1辆；单位价值50万元以上通用设备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台（套），单位价值100万元以上专用设备 0台（套）。</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161" w:leftChars="67" w:firstLine="480" w:firstLineChars="150"/>
        <w:textAlignment w:val="auto"/>
        <w:rPr>
          <w:rFonts w:hint="eastAsia" w:ascii="黑体" w:hAnsi="黑体" w:eastAsia="黑体" w:cs="黑体"/>
          <w:sz w:val="32"/>
          <w:szCs w:val="32"/>
        </w:rPr>
      </w:pPr>
      <w:r>
        <w:rPr>
          <w:rFonts w:hint="eastAsia" w:ascii="黑体" w:hAnsi="黑体" w:eastAsia="黑体" w:cs="黑体"/>
          <w:sz w:val="32"/>
          <w:szCs w:val="32"/>
          <w:lang w:eastAsia="zh-CN"/>
        </w:rPr>
        <w:t>十二、</w:t>
      </w:r>
      <w:r>
        <w:rPr>
          <w:rFonts w:hint="eastAsia" w:ascii="黑体" w:hAnsi="黑体" w:eastAsia="黑体" w:cs="黑体"/>
          <w:sz w:val="32"/>
          <w:szCs w:val="32"/>
        </w:rPr>
        <w:t>预算绩效情况说明</w:t>
      </w:r>
    </w:p>
    <w:p>
      <w:pPr>
        <w:widowControl/>
        <w:spacing w:line="590" w:lineRule="exact"/>
        <w:ind w:firstLine="643" w:firstLineChars="200"/>
        <w:jc w:val="both"/>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（一）绩效管理工作开展情况。</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161" w:leftChars="67" w:firstLine="480" w:firstLineChars="150"/>
        <w:textAlignment w:val="auto"/>
        <w:rPr>
          <w:rFonts w:hint="eastAsia" w:ascii="仿宋_GB2312" w:eastAsia="仿宋_GB2312"/>
          <w:sz w:val="32"/>
          <w:szCs w:val="32"/>
          <w:lang w:eastAsia="zh-CN"/>
        </w:rPr>
      </w:pPr>
      <w:r>
        <w:rPr>
          <w:rFonts w:hint="eastAsia" w:ascii="仿宋_GB2312" w:hAnsi="宋体" w:eastAsia="仿宋_GB2312" w:cs="Courier New"/>
          <w:sz w:val="32"/>
          <w:szCs w:val="32"/>
        </w:rPr>
        <w:t>根据财政预算管理要求，</w:t>
      </w:r>
      <w:r>
        <w:rPr>
          <w:rFonts w:hint="eastAsia" w:ascii="仿宋_GB2312" w:hAnsi="宋体" w:eastAsia="仿宋_GB2312" w:cs="Courier New"/>
          <w:sz w:val="32"/>
          <w:szCs w:val="32"/>
          <w:lang w:eastAsia="zh-CN"/>
        </w:rPr>
        <w:t>息县信访</w:t>
      </w:r>
      <w:r>
        <w:rPr>
          <w:rFonts w:hint="eastAsia" w:ascii="仿宋_GB2312" w:hAnsi="宋体" w:eastAsia="仿宋_GB2312" w:cs="Courier New"/>
          <w:sz w:val="32"/>
          <w:szCs w:val="32"/>
        </w:rPr>
        <w:t>局对20</w:t>
      </w:r>
      <w:r>
        <w:rPr>
          <w:rFonts w:hint="eastAsia" w:ascii="仿宋_GB2312" w:eastAsia="仿宋_GB2312" w:cs="Courier New"/>
          <w:sz w:val="32"/>
          <w:szCs w:val="32"/>
          <w:lang w:val="en-US" w:eastAsia="zh-CN"/>
        </w:rPr>
        <w:t>21</w:t>
      </w:r>
      <w:r>
        <w:rPr>
          <w:rFonts w:hint="eastAsia" w:ascii="仿宋_GB2312" w:hAnsi="宋体" w:eastAsia="仿宋_GB2312" w:cs="Courier New"/>
          <w:sz w:val="32"/>
          <w:szCs w:val="32"/>
        </w:rPr>
        <w:t>年度一般公共预算项目支出全面开展绩效自评</w:t>
      </w:r>
      <w:r>
        <w:rPr>
          <w:rFonts w:hint="eastAsia" w:ascii="仿宋_GB2312" w:eastAsia="仿宋_GB2312" w:cs="Courier New"/>
          <w:sz w:val="32"/>
          <w:szCs w:val="32"/>
          <w:lang w:eastAsia="zh-CN"/>
        </w:rPr>
        <w:t>。</w:t>
      </w:r>
    </w:p>
    <w:p>
      <w:pPr>
        <w:widowControl/>
        <w:spacing w:line="590" w:lineRule="exact"/>
        <w:ind w:firstLine="643" w:firstLineChars="200"/>
        <w:jc w:val="both"/>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（二）项目绩效自评结果。</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161" w:leftChars="67" w:firstLine="480" w:firstLineChars="1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我单位对2</w:t>
      </w:r>
      <w:r>
        <w:rPr>
          <w:rFonts w:hint="eastAsia" w:ascii="仿宋_GB2312" w:hAnsi="仿宋_GB2312" w:eastAsia="仿宋_GB2312" w:cs="仿宋_GB2312"/>
          <w:i w:val="0"/>
          <w:iCs w:val="0"/>
          <w:caps w:val="0"/>
          <w:color w:val="auto"/>
          <w:spacing w:val="0"/>
          <w:sz w:val="32"/>
          <w:szCs w:val="32"/>
          <w:lang w:val="en-US" w:eastAsia="zh-CN"/>
        </w:rPr>
        <w:t>021</w:t>
      </w:r>
      <w:r>
        <w:rPr>
          <w:rFonts w:hint="eastAsia" w:ascii="仿宋_GB2312" w:hAnsi="仿宋_GB2312" w:eastAsia="仿宋_GB2312" w:cs="仿宋_GB2312"/>
          <w:i w:val="0"/>
          <w:iCs w:val="0"/>
          <w:caps w:val="0"/>
          <w:color w:val="auto"/>
          <w:spacing w:val="0"/>
          <w:sz w:val="32"/>
          <w:szCs w:val="32"/>
        </w:rPr>
        <w:t>年各项目支出均进行绩效自评，项目按要求编制了绩效目标，综合反映项目预期完成的数量、质量、时效、</w:t>
      </w:r>
      <w:r>
        <w:rPr>
          <w:rFonts w:hint="eastAsia" w:ascii="仿宋_GB2312" w:hAnsi="仿宋_GB2312" w:eastAsia="仿宋_GB2312" w:cs="仿宋_GB2312"/>
          <w:i w:val="0"/>
          <w:iCs w:val="0"/>
          <w:caps w:val="0"/>
          <w:color w:val="auto"/>
          <w:spacing w:val="0"/>
          <w:sz w:val="32"/>
          <w:szCs w:val="32"/>
          <w:shd w:val="clear" w:fill="FFFFFF"/>
        </w:rPr>
        <w:t>成本、预期达到的经济效益、社会效益、生态效益、可持续发展影响及服务对象满意度等情况。自评结果均为良好。</w:t>
      </w:r>
    </w:p>
    <w:p>
      <w:pPr>
        <w:widowControl/>
        <w:spacing w:line="590" w:lineRule="exact"/>
        <w:ind w:firstLine="643" w:firstLineChars="200"/>
        <w:jc w:val="both"/>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（三）重点绩效评价结果。</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161" w:leftChars="67" w:firstLine="480" w:firstLineChars="150"/>
        <w:textAlignment w:val="auto"/>
        <w:rPr>
          <w:rFonts w:hint="eastAsia" w:ascii="仿宋_GB2312" w:eastAsia="仿宋_GB2312"/>
          <w:sz w:val="32"/>
          <w:szCs w:val="32"/>
          <w:lang w:eastAsia="zh-CN"/>
        </w:rPr>
      </w:pPr>
      <w:r>
        <w:rPr>
          <w:rFonts w:hint="eastAsia" w:ascii="仿宋_GB2312" w:eastAsia="仿宋_GB2312"/>
          <w:sz w:val="32"/>
          <w:szCs w:val="32"/>
          <w:lang w:eastAsia="zh-CN"/>
        </w:rPr>
        <w:t>我单位严格按照年初预算安排，严格遵守资金管理制度，强化监督，专款专用，确保各项资金及时到位。</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161" w:leftChars="67" w:firstLine="480" w:firstLineChars="150"/>
        <w:textAlignment w:val="auto"/>
        <w:rPr>
          <w:rFonts w:ascii="仿宋_GB2312" w:eastAsia="仿宋_GB2312"/>
          <w:sz w:val="32"/>
          <w:szCs w:val="32"/>
        </w:rPr>
      </w:pP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p>
    <w:p>
      <w:pPr>
        <w:jc w:val="both"/>
        <w:outlineLvl w:val="0"/>
        <w:rPr>
          <w:rFonts w:hint="eastAsia" w:ascii="黑体" w:hAnsi="黑体" w:eastAsia="黑体" w:cs="黑体"/>
          <w:sz w:val="48"/>
          <w:szCs w:val="48"/>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名词解释</w:t>
      </w: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jc w:val="center"/>
        <w:outlineLvl w:val="0"/>
        <w:rPr>
          <w:rFonts w:ascii="黑体" w:hAnsi="黑体" w:eastAsia="黑体" w:cs="黑体"/>
          <w:sz w:val="44"/>
          <w:szCs w:val="44"/>
        </w:rPr>
      </w:pPr>
      <w:r>
        <w:rPr>
          <w:rFonts w:hint="eastAsia" w:ascii="黑体" w:hAnsi="黑体" w:eastAsia="黑体" w:cs="黑体"/>
          <w:sz w:val="44"/>
          <w:szCs w:val="44"/>
        </w:rPr>
        <w:t>第四部分</w:t>
      </w:r>
    </w:p>
    <w:p>
      <w:pPr>
        <w:jc w:val="center"/>
        <w:rPr>
          <w:rFonts w:ascii="黑体" w:hAnsi="黑体" w:eastAsia="黑体" w:cs="黑体"/>
          <w:sz w:val="48"/>
          <w:szCs w:val="48"/>
        </w:rPr>
      </w:pPr>
      <w:r>
        <w:rPr>
          <w:rFonts w:hint="eastAsia" w:ascii="黑体" w:hAnsi="黑体" w:eastAsia="黑体" w:cs="黑体"/>
          <w:sz w:val="44"/>
          <w:szCs w:val="44"/>
          <w:lang w:eastAsia="zh-CN"/>
        </w:rPr>
        <w:t>信访</w:t>
      </w:r>
      <w:r>
        <w:rPr>
          <w:rFonts w:hint="eastAsia" w:ascii="黑体" w:hAnsi="黑体" w:eastAsia="黑体" w:cs="黑体"/>
          <w:sz w:val="44"/>
          <w:szCs w:val="44"/>
        </w:rPr>
        <w:t>局202</w:t>
      </w:r>
      <w:r>
        <w:rPr>
          <w:rFonts w:hint="eastAsia" w:ascii="黑体" w:hAnsi="黑体" w:eastAsia="黑体" w:cs="黑体"/>
          <w:sz w:val="44"/>
          <w:szCs w:val="44"/>
          <w:lang w:val="en-US" w:eastAsia="zh-CN"/>
        </w:rPr>
        <w:t>1</w:t>
      </w:r>
      <w:r>
        <w:rPr>
          <w:rFonts w:hint="eastAsia" w:ascii="黑体" w:hAnsi="黑体" w:eastAsia="黑体" w:cs="黑体"/>
          <w:sz w:val="44"/>
          <w:szCs w:val="44"/>
        </w:rPr>
        <w:t>年度部门决算公开表</w:t>
      </w:r>
    </w:p>
    <w:p>
      <w:pPr>
        <w:rPr>
          <w:rFonts w:ascii="黑体" w:eastAsia="黑体"/>
          <w:color w:val="000000"/>
          <w:sz w:val="28"/>
          <w:szCs w:val="28"/>
        </w:rPr>
      </w:pPr>
    </w:p>
    <w:p>
      <w:pPr>
        <w:rPr>
          <w:rFonts w:hint="eastAsia" w:ascii="仿宋_GB2312" w:eastAsia="仿宋_GB2312"/>
          <w:color w:val="000000"/>
          <w:sz w:val="32"/>
          <w:szCs w:val="32"/>
        </w:rPr>
      </w:pPr>
      <w:r>
        <w:rPr>
          <w:rFonts w:hint="eastAsia" w:ascii="仿宋_GB2312" w:eastAsia="仿宋_GB2312"/>
          <w:color w:val="000000"/>
          <w:sz w:val="32"/>
          <w:szCs w:val="32"/>
        </w:rPr>
        <w:t>说明：表中单元格数据为空时，表示该单元格数据为零；整张表数据为空时，表示部门该表中所有数据均为零，当年无表中相关收支。</w:t>
      </w:r>
    </w:p>
    <w:p>
      <w:pPr>
        <w:rPr>
          <w:rFonts w:hint="eastAsia" w:ascii="仿宋_GB2312" w:eastAsia="仿宋_GB2312"/>
          <w:color w:val="000000"/>
          <w:sz w:val="32"/>
          <w:szCs w:val="32"/>
        </w:rPr>
      </w:pPr>
    </w:p>
    <w:p>
      <w:pPr>
        <w:rPr>
          <w:rFonts w:hint="eastAsia" w:ascii="仿宋_GB2312" w:eastAsia="仿宋_GB2312"/>
          <w:color w:val="000000"/>
          <w:sz w:val="32"/>
          <w:szCs w:val="32"/>
        </w:rPr>
      </w:pPr>
    </w:p>
    <w:p>
      <w:pPr>
        <w:rPr>
          <w:rFonts w:hint="eastAsia" w:ascii="仿宋_GB2312" w:eastAsia="仿宋_GB2312"/>
          <w:color w:val="000000"/>
          <w:sz w:val="32"/>
          <w:szCs w:val="32"/>
        </w:rPr>
      </w:pPr>
    </w:p>
    <w:p>
      <w:pPr>
        <w:rPr>
          <w:rFonts w:hint="eastAsia" w:ascii="仿宋_GB2312" w:eastAsia="仿宋_GB2312"/>
          <w:color w:val="000000"/>
          <w:sz w:val="32"/>
          <w:szCs w:val="32"/>
        </w:rPr>
        <w:sectPr>
          <w:pgSz w:w="11907" w:h="16840"/>
          <w:pgMar w:top="1440" w:right="1800" w:bottom="1440" w:left="1800" w:header="851" w:footer="992" w:gutter="0"/>
          <w:cols w:space="425" w:num="1"/>
          <w:docGrid w:type="lines" w:linePitch="312" w:charSpace="0"/>
        </w:sectPr>
      </w:pPr>
    </w:p>
    <w:p>
      <w:pPr>
        <w:rPr>
          <w:rFonts w:hint="eastAsia" w:ascii="仿宋_GB2312" w:eastAsia="仿宋_GB2312"/>
          <w:color w:val="000000"/>
          <w:sz w:val="18"/>
          <w:szCs w:val="18"/>
        </w:rPr>
      </w:pPr>
      <w:r>
        <w:drawing>
          <wp:inline distT="0" distB="0" distL="114300" distR="114300">
            <wp:extent cx="8855075" cy="5214620"/>
            <wp:effectExtent l="0" t="0" r="3175" b="508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4"/>
                    <a:stretch>
                      <a:fillRect/>
                    </a:stretch>
                  </pic:blipFill>
                  <pic:spPr>
                    <a:xfrm>
                      <a:off x="0" y="0"/>
                      <a:ext cx="8855075" cy="5214620"/>
                    </a:xfrm>
                    <a:prstGeom prst="rect">
                      <a:avLst/>
                    </a:prstGeom>
                    <a:noFill/>
                    <a:ln>
                      <a:noFill/>
                    </a:ln>
                  </pic:spPr>
                </pic:pic>
              </a:graphicData>
            </a:graphic>
          </wp:inline>
        </w:drawing>
      </w:r>
    </w:p>
    <w:p>
      <w:pPr>
        <w:rPr>
          <w:rFonts w:hint="eastAsia" w:ascii="仿宋_GB2312" w:eastAsia="仿宋_GB2312"/>
          <w:color w:val="000000"/>
          <w:sz w:val="32"/>
          <w:szCs w:val="32"/>
        </w:rPr>
        <w:sectPr>
          <w:pgSz w:w="16840" w:h="11907" w:orient="landscape"/>
          <w:pgMar w:top="1800" w:right="1440" w:bottom="1800" w:left="1440" w:header="851" w:footer="992" w:gutter="0"/>
          <w:cols w:space="425" w:num="1"/>
          <w:docGrid w:type="lines" w:linePitch="312" w:charSpace="0"/>
        </w:sectPr>
      </w:pPr>
    </w:p>
    <w:p>
      <w:pPr>
        <w:rPr>
          <w:rFonts w:hint="eastAsia" w:ascii="仿宋_GB2312" w:eastAsia="仿宋_GB2312"/>
          <w:color w:val="000000"/>
          <w:sz w:val="32"/>
          <w:szCs w:val="32"/>
        </w:rPr>
      </w:pPr>
    </w:p>
    <w:p>
      <w:pPr>
        <w:bidi w:val="0"/>
        <w:rPr>
          <w:rFonts w:hint="eastAsia" w:ascii="宋体" w:hAnsi="宋体" w:eastAsia="宋体" w:cs="宋体"/>
          <w:kern w:val="0"/>
          <w:sz w:val="24"/>
          <w:szCs w:val="24"/>
          <w:lang w:val="en-US" w:eastAsia="zh-CN" w:bidi="ar-SA"/>
        </w:rPr>
      </w:pPr>
      <w:r>
        <w:drawing>
          <wp:inline distT="0" distB="0" distL="114300" distR="114300">
            <wp:extent cx="8855710" cy="3882390"/>
            <wp:effectExtent l="0" t="0" r="2540" b="381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5"/>
                    <a:stretch>
                      <a:fillRect/>
                    </a:stretch>
                  </pic:blipFill>
                  <pic:spPr>
                    <a:xfrm>
                      <a:off x="0" y="0"/>
                      <a:ext cx="8855710" cy="3882390"/>
                    </a:xfrm>
                    <a:prstGeom prst="rect">
                      <a:avLst/>
                    </a:prstGeom>
                    <a:noFill/>
                    <a:ln>
                      <a:noFill/>
                    </a:ln>
                  </pic:spPr>
                </pic:pic>
              </a:graphicData>
            </a:graphic>
          </wp:inline>
        </w:drawing>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drawing>
          <wp:inline distT="0" distB="0" distL="114300" distR="114300">
            <wp:extent cx="8853805" cy="3688080"/>
            <wp:effectExtent l="0" t="0" r="4445" b="762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6"/>
                    <a:stretch>
                      <a:fillRect/>
                    </a:stretch>
                  </pic:blipFill>
                  <pic:spPr>
                    <a:xfrm>
                      <a:off x="0" y="0"/>
                      <a:ext cx="8853805" cy="3688080"/>
                    </a:xfrm>
                    <a:prstGeom prst="rect">
                      <a:avLst/>
                    </a:prstGeom>
                    <a:noFill/>
                    <a:ln>
                      <a:noFill/>
                    </a:ln>
                  </pic:spPr>
                </pic:pic>
              </a:graphicData>
            </a:graphic>
          </wp:inline>
        </w:drawing>
      </w:r>
    </w:p>
    <w:p>
      <w:pPr>
        <w:bidi w:val="0"/>
      </w:pPr>
    </w:p>
    <w:p>
      <w:pPr>
        <w:bidi w:val="0"/>
      </w:pPr>
    </w:p>
    <w:p>
      <w:pPr>
        <w:bidi w:val="0"/>
      </w:pPr>
    </w:p>
    <w:p>
      <w:pPr>
        <w:bidi w:val="0"/>
      </w:pPr>
    </w:p>
    <w:p>
      <w:pPr>
        <w:bidi w:val="0"/>
      </w:pPr>
    </w:p>
    <w:p>
      <w:pPr>
        <w:bidi w:val="0"/>
      </w:pPr>
      <w:r>
        <w:drawing>
          <wp:inline distT="0" distB="0" distL="114300" distR="114300">
            <wp:extent cx="8155305" cy="5265420"/>
            <wp:effectExtent l="0" t="0" r="17145" b="11430"/>
            <wp:docPr id="1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pic:cNvPicPr>
                      <a:picLocks noChangeAspect="1"/>
                    </pic:cNvPicPr>
                  </pic:nvPicPr>
                  <pic:blipFill>
                    <a:blip r:embed="rId7"/>
                    <a:stretch>
                      <a:fillRect/>
                    </a:stretch>
                  </pic:blipFill>
                  <pic:spPr>
                    <a:xfrm>
                      <a:off x="0" y="0"/>
                      <a:ext cx="8155305" cy="5265420"/>
                    </a:xfrm>
                    <a:prstGeom prst="rect">
                      <a:avLst/>
                    </a:prstGeom>
                    <a:noFill/>
                    <a:ln>
                      <a:noFill/>
                    </a:ln>
                  </pic:spPr>
                </pic:pic>
              </a:graphicData>
            </a:graphic>
          </wp:inline>
        </w:drawing>
      </w:r>
    </w:p>
    <w:p>
      <w:pPr>
        <w:bidi w:val="0"/>
      </w:pPr>
      <w:r>
        <w:drawing>
          <wp:inline distT="0" distB="0" distL="114300" distR="114300">
            <wp:extent cx="7496175" cy="4371975"/>
            <wp:effectExtent l="0" t="0" r="9525" b="9525"/>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8"/>
                    <a:stretch>
                      <a:fillRect/>
                    </a:stretch>
                  </pic:blipFill>
                  <pic:spPr>
                    <a:xfrm>
                      <a:off x="0" y="0"/>
                      <a:ext cx="7496175" cy="4371975"/>
                    </a:xfrm>
                    <a:prstGeom prst="rect">
                      <a:avLst/>
                    </a:prstGeom>
                    <a:noFill/>
                    <a:ln>
                      <a:noFill/>
                    </a:ln>
                  </pic:spPr>
                </pic:pic>
              </a:graphicData>
            </a:graphic>
          </wp:inline>
        </w:drawing>
      </w:r>
      <w:r>
        <w:drawing>
          <wp:inline distT="0" distB="0" distL="114300" distR="114300">
            <wp:extent cx="8856345" cy="4624705"/>
            <wp:effectExtent l="0" t="0" r="1905" b="4445"/>
            <wp:docPr id="2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2"/>
                    <pic:cNvPicPr>
                      <a:picLocks noChangeAspect="1"/>
                    </pic:cNvPicPr>
                  </pic:nvPicPr>
                  <pic:blipFill>
                    <a:blip r:embed="rId9"/>
                    <a:stretch>
                      <a:fillRect/>
                    </a:stretch>
                  </pic:blipFill>
                  <pic:spPr>
                    <a:xfrm>
                      <a:off x="0" y="0"/>
                      <a:ext cx="8856345" cy="4624705"/>
                    </a:xfrm>
                    <a:prstGeom prst="rect">
                      <a:avLst/>
                    </a:prstGeom>
                    <a:noFill/>
                    <a:ln>
                      <a:noFill/>
                    </a:ln>
                  </pic:spPr>
                </pic:pic>
              </a:graphicData>
            </a:graphic>
          </wp:inline>
        </w:drawing>
      </w:r>
    </w:p>
    <w:p>
      <w:pPr>
        <w:bidi w:val="0"/>
        <w:rPr>
          <w:rFonts w:hint="eastAsia"/>
          <w:lang w:val="en-US" w:eastAsia="zh-CN"/>
        </w:rPr>
      </w:pPr>
    </w:p>
    <w:p>
      <w:pPr>
        <w:tabs>
          <w:tab w:val="left" w:pos="4063"/>
        </w:tabs>
        <w:bidi w:val="0"/>
        <w:jc w:val="left"/>
      </w:pPr>
    </w:p>
    <w:p>
      <w:pPr>
        <w:tabs>
          <w:tab w:val="left" w:pos="4063"/>
        </w:tabs>
        <w:bidi w:val="0"/>
        <w:jc w:val="left"/>
      </w:pPr>
    </w:p>
    <w:p>
      <w:pPr>
        <w:tabs>
          <w:tab w:val="left" w:pos="4063"/>
        </w:tabs>
        <w:bidi w:val="0"/>
        <w:jc w:val="left"/>
      </w:pPr>
    </w:p>
    <w:p>
      <w:pPr>
        <w:tabs>
          <w:tab w:val="left" w:pos="4063"/>
        </w:tabs>
        <w:bidi w:val="0"/>
        <w:jc w:val="left"/>
      </w:pPr>
      <w:r>
        <w:drawing>
          <wp:inline distT="0" distB="0" distL="114300" distR="114300">
            <wp:extent cx="8859520" cy="2205990"/>
            <wp:effectExtent l="0" t="0" r="17780" b="3810"/>
            <wp:docPr id="2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6"/>
                    <pic:cNvPicPr>
                      <a:picLocks noChangeAspect="1"/>
                    </pic:cNvPicPr>
                  </pic:nvPicPr>
                  <pic:blipFill>
                    <a:blip r:embed="rId10"/>
                    <a:stretch>
                      <a:fillRect/>
                    </a:stretch>
                  </pic:blipFill>
                  <pic:spPr>
                    <a:xfrm>
                      <a:off x="0" y="0"/>
                      <a:ext cx="8859520" cy="2205990"/>
                    </a:xfrm>
                    <a:prstGeom prst="rect">
                      <a:avLst/>
                    </a:prstGeom>
                    <a:noFill/>
                    <a:ln>
                      <a:noFill/>
                    </a:ln>
                  </pic:spPr>
                </pic:pic>
              </a:graphicData>
            </a:graphic>
          </wp:inline>
        </w:drawing>
      </w:r>
    </w:p>
    <w:p>
      <w:pPr>
        <w:tabs>
          <w:tab w:val="left" w:pos="4063"/>
        </w:tabs>
        <w:bidi w:val="0"/>
        <w:jc w:val="left"/>
        <w:rPr>
          <w:rFonts w:hint="eastAsia"/>
          <w:lang w:val="en-US" w:eastAsia="zh-CN"/>
        </w:rPr>
      </w:pPr>
      <w:bookmarkStart w:id="0" w:name="_GoBack"/>
      <w:r>
        <w:drawing>
          <wp:inline distT="0" distB="0" distL="114300" distR="114300">
            <wp:extent cx="8858885" cy="5095240"/>
            <wp:effectExtent l="0" t="0" r="18415" b="10160"/>
            <wp:docPr id="2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
                    <pic:cNvPicPr>
                      <a:picLocks noChangeAspect="1"/>
                    </pic:cNvPicPr>
                  </pic:nvPicPr>
                  <pic:blipFill>
                    <a:blip r:embed="rId11"/>
                    <a:stretch>
                      <a:fillRect/>
                    </a:stretch>
                  </pic:blipFill>
                  <pic:spPr>
                    <a:xfrm>
                      <a:off x="0" y="0"/>
                      <a:ext cx="8858885" cy="5095240"/>
                    </a:xfrm>
                    <a:prstGeom prst="rect">
                      <a:avLst/>
                    </a:prstGeom>
                    <a:noFill/>
                    <a:ln>
                      <a:noFill/>
                    </a:ln>
                  </pic:spPr>
                </pic:pic>
              </a:graphicData>
            </a:graphic>
          </wp:inline>
        </w:drawing>
      </w:r>
      <w:bookmarkEnd w:id="0"/>
    </w:p>
    <w:sectPr>
      <w:pgSz w:w="16838" w:h="11906" w:orient="landscape"/>
      <w:pgMar w:top="1803" w:right="1440" w:bottom="180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5CFEF9"/>
    <w:multiLevelType w:val="singleLevel"/>
    <w:tmpl w:val="455CFEF9"/>
    <w:lvl w:ilvl="0" w:tentative="0">
      <w:start w:val="1"/>
      <w:numFmt w:val="decimal"/>
      <w:suff w:val="nothing"/>
      <w:lvlText w:val="%1．"/>
      <w:lvlJc w:val="left"/>
    </w:lvl>
  </w:abstractNum>
  <w:abstractNum w:abstractNumId="1">
    <w:nsid w:val="5971BE17"/>
    <w:multiLevelType w:val="singleLevel"/>
    <w:tmpl w:val="5971BE1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3NGZmYzNiZWU5NDA4MzY3MDAwZWZhYTYxMmM1M2UifQ=="/>
  </w:docVars>
  <w:rsids>
    <w:rsidRoot w:val="00380C49"/>
    <w:rsid w:val="0005518E"/>
    <w:rsid w:val="000D3621"/>
    <w:rsid w:val="001C7E92"/>
    <w:rsid w:val="00380C49"/>
    <w:rsid w:val="00463B25"/>
    <w:rsid w:val="004C77BC"/>
    <w:rsid w:val="00582974"/>
    <w:rsid w:val="006C602E"/>
    <w:rsid w:val="007169BE"/>
    <w:rsid w:val="008F0429"/>
    <w:rsid w:val="009008AB"/>
    <w:rsid w:val="00B07176"/>
    <w:rsid w:val="00B30B3E"/>
    <w:rsid w:val="00C53051"/>
    <w:rsid w:val="00C73F3D"/>
    <w:rsid w:val="00CA1E5C"/>
    <w:rsid w:val="00CB1114"/>
    <w:rsid w:val="00CE118F"/>
    <w:rsid w:val="00D45C75"/>
    <w:rsid w:val="00D60397"/>
    <w:rsid w:val="00E91CCC"/>
    <w:rsid w:val="00FD03C9"/>
    <w:rsid w:val="01197CB0"/>
    <w:rsid w:val="01FE5971"/>
    <w:rsid w:val="03E70527"/>
    <w:rsid w:val="04CB3884"/>
    <w:rsid w:val="05FB28F4"/>
    <w:rsid w:val="08B41E8A"/>
    <w:rsid w:val="08DD4532"/>
    <w:rsid w:val="093E6BA4"/>
    <w:rsid w:val="097D352E"/>
    <w:rsid w:val="097E3A81"/>
    <w:rsid w:val="0A894A79"/>
    <w:rsid w:val="0CEB1B1B"/>
    <w:rsid w:val="0D525984"/>
    <w:rsid w:val="0EA83095"/>
    <w:rsid w:val="0F607C6B"/>
    <w:rsid w:val="105604C9"/>
    <w:rsid w:val="136917E4"/>
    <w:rsid w:val="16300397"/>
    <w:rsid w:val="17BE7659"/>
    <w:rsid w:val="19F567B6"/>
    <w:rsid w:val="1AB519BF"/>
    <w:rsid w:val="1ADD3B0B"/>
    <w:rsid w:val="1B3A75C2"/>
    <w:rsid w:val="1D2222C7"/>
    <w:rsid w:val="1E0F1ABC"/>
    <w:rsid w:val="1F550066"/>
    <w:rsid w:val="22CC58EC"/>
    <w:rsid w:val="23F703C7"/>
    <w:rsid w:val="24352A3E"/>
    <w:rsid w:val="25270BB7"/>
    <w:rsid w:val="259C4183"/>
    <w:rsid w:val="26C314C9"/>
    <w:rsid w:val="26EB43DF"/>
    <w:rsid w:val="2A7B2660"/>
    <w:rsid w:val="2D1005DB"/>
    <w:rsid w:val="2E532A1D"/>
    <w:rsid w:val="2E694025"/>
    <w:rsid w:val="2EE44A7B"/>
    <w:rsid w:val="30115222"/>
    <w:rsid w:val="3045682E"/>
    <w:rsid w:val="3065400C"/>
    <w:rsid w:val="33CC2553"/>
    <w:rsid w:val="342D5ABF"/>
    <w:rsid w:val="358636D8"/>
    <w:rsid w:val="35AA7C3A"/>
    <w:rsid w:val="368E2F97"/>
    <w:rsid w:val="369A175F"/>
    <w:rsid w:val="387813C4"/>
    <w:rsid w:val="398F1927"/>
    <w:rsid w:val="3A910408"/>
    <w:rsid w:val="3B5D241E"/>
    <w:rsid w:val="3BA94B75"/>
    <w:rsid w:val="3C7970BD"/>
    <w:rsid w:val="3DE23DBE"/>
    <w:rsid w:val="3E292202"/>
    <w:rsid w:val="3E4B54BF"/>
    <w:rsid w:val="3F2562D7"/>
    <w:rsid w:val="43064A97"/>
    <w:rsid w:val="444E3BC3"/>
    <w:rsid w:val="454C2634"/>
    <w:rsid w:val="4603636C"/>
    <w:rsid w:val="46A75104"/>
    <w:rsid w:val="47890880"/>
    <w:rsid w:val="48C27293"/>
    <w:rsid w:val="48FB7793"/>
    <w:rsid w:val="49150BC2"/>
    <w:rsid w:val="4A5D6CA6"/>
    <w:rsid w:val="4A864F6A"/>
    <w:rsid w:val="4BE564A2"/>
    <w:rsid w:val="4CBD5281"/>
    <w:rsid w:val="4D0F53FB"/>
    <w:rsid w:val="4E791101"/>
    <w:rsid w:val="504F35E9"/>
    <w:rsid w:val="515C1BCD"/>
    <w:rsid w:val="521A6E68"/>
    <w:rsid w:val="52E11B4E"/>
    <w:rsid w:val="53311E94"/>
    <w:rsid w:val="5337189B"/>
    <w:rsid w:val="546D5015"/>
    <w:rsid w:val="54D512F5"/>
    <w:rsid w:val="58451012"/>
    <w:rsid w:val="5AF951F9"/>
    <w:rsid w:val="5C5A2FF7"/>
    <w:rsid w:val="5E8A5738"/>
    <w:rsid w:val="60B20002"/>
    <w:rsid w:val="62EA3BC4"/>
    <w:rsid w:val="641D25A7"/>
    <w:rsid w:val="64E75692"/>
    <w:rsid w:val="65206DF6"/>
    <w:rsid w:val="67FD49E8"/>
    <w:rsid w:val="690641FE"/>
    <w:rsid w:val="6990607B"/>
    <w:rsid w:val="6A932A28"/>
    <w:rsid w:val="6BD811D6"/>
    <w:rsid w:val="6CED3A62"/>
    <w:rsid w:val="7129619F"/>
    <w:rsid w:val="71CA565A"/>
    <w:rsid w:val="73425ADD"/>
    <w:rsid w:val="74083589"/>
    <w:rsid w:val="749D5582"/>
    <w:rsid w:val="74AD3D1F"/>
    <w:rsid w:val="756740C0"/>
    <w:rsid w:val="758D5DE2"/>
    <w:rsid w:val="76045E33"/>
    <w:rsid w:val="768634E2"/>
    <w:rsid w:val="76BF25B4"/>
    <w:rsid w:val="7A5F5873"/>
    <w:rsid w:val="7B117BB1"/>
    <w:rsid w:val="7B76350C"/>
    <w:rsid w:val="7F1E7FBA"/>
    <w:rsid w:val="7FE00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100" w:beforeAutospacing="1" w:after="100" w:afterAutospacing="1"/>
    </w:pPr>
  </w:style>
  <w:style w:type="character" w:customStyle="1" w:styleId="7">
    <w:name w:val="页眉 Char"/>
    <w:basedOn w:val="6"/>
    <w:link w:val="3"/>
    <w:semiHidden/>
    <w:qFormat/>
    <w:uiPriority w:val="99"/>
    <w:rPr>
      <w:rFonts w:ascii="宋体" w:hAnsi="宋体" w:eastAsia="宋体" w:cs="宋体"/>
      <w:kern w:val="0"/>
      <w:sz w:val="18"/>
      <w:szCs w:val="18"/>
    </w:rPr>
  </w:style>
  <w:style w:type="character" w:customStyle="1" w:styleId="8">
    <w:name w:val="页脚 Char"/>
    <w:basedOn w:val="6"/>
    <w:link w:val="2"/>
    <w:semiHidden/>
    <w:qFormat/>
    <w:uiPriority w:val="99"/>
    <w:rPr>
      <w:rFonts w:ascii="宋体" w:hAnsi="宋体" w:eastAsia="宋体" w:cs="宋体"/>
      <w:kern w:val="0"/>
      <w:sz w:val="18"/>
      <w:szCs w:val="18"/>
    </w:rPr>
  </w:style>
  <w:style w:type="paragraph" w:customStyle="1" w:styleId="9">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4961</Words>
  <Characters>5389</Characters>
  <Lines>31</Lines>
  <Paragraphs>8</Paragraphs>
  <TotalTime>1</TotalTime>
  <ScaleCrop>false</ScaleCrop>
  <LinksUpToDate>false</LinksUpToDate>
  <CharactersWithSpaces>5441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2021-08-31T09:19:00Z</dcterms:created>
  <dc:creator>Administrator</dc:creator>
  <cp:lastModifiedBy>doge  wanna 1.8</cp:lastModifiedBy>
  <dcterms:modified xsi:type="dcterms:W3CDTF">2023-04-24T09:20:39Z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A95016765EA048DAB906BE58BBEA0D4D_13</vt:lpwstr>
  </property>
</Properties>
</file>