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沁阳市</w:t>
      </w:r>
      <w:r>
        <w:rPr>
          <w:rFonts w:hint="eastAsia" w:ascii="方正小标宋简体" w:hAnsi="方正小标宋简体" w:eastAsia="方正小标宋简体" w:cs="方正小标宋简体"/>
          <w:sz w:val="44"/>
          <w:szCs w:val="44"/>
        </w:rPr>
        <w:t>基本公共文化服务实施</w:t>
      </w:r>
      <w:r>
        <w:rPr>
          <w:rFonts w:hint="eastAsia" w:ascii="方正小标宋简体" w:hAnsi="方正小标宋简体" w:eastAsia="方正小标宋简体" w:cs="方正小标宋简体"/>
          <w:sz w:val="44"/>
          <w:szCs w:val="44"/>
          <w:lang w:eastAsia="zh-CN"/>
        </w:rPr>
        <w:t>目录</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w:t>
      </w:r>
      <w:bookmarkStart w:id="0" w:name="_GoBack"/>
      <w:bookmarkEnd w:id="0"/>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51"/>
        <w:gridCol w:w="1064"/>
        <w:gridCol w:w="67"/>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282" w:type="dxa"/>
            <w:gridSpan w:val="3"/>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6819"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top"/>
          </w:tcPr>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公共文化设施及标准</w:t>
            </w:r>
          </w:p>
        </w:tc>
        <w:tc>
          <w:tcPr>
            <w:tcW w:w="1282" w:type="dxa"/>
            <w:gridSpan w:val="3"/>
            <w:vAlign w:val="top"/>
          </w:tcPr>
          <w:p>
            <w:pPr>
              <w:widowControl w:val="0"/>
              <w:wordWrap/>
              <w:adjustRightInd/>
              <w:snapToGrid/>
              <w:spacing w:line="680" w:lineRule="exact"/>
              <w:jc w:val="both"/>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both"/>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both"/>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both"/>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both"/>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both"/>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设施</w:t>
            </w: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z w:val="32"/>
                <w:szCs w:val="32"/>
                <w:lang w:val="en-US" w:eastAsia="zh-CN"/>
              </w:rPr>
              <w:t>建设</w:t>
            </w:r>
          </w:p>
        </w:tc>
        <w:tc>
          <w:tcPr>
            <w:tcW w:w="6819" w:type="dxa"/>
            <w:vAlign w:val="top"/>
          </w:tcPr>
          <w:p>
            <w:pPr>
              <w:widowControl w:val="0"/>
              <w:numPr>
                <w:ilvl w:val="0"/>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设立公共图书馆、文化馆、博物馆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设立广播电视台、融媒体中心、发射台等广电设施，设立体育场、室外体育活动广场、体育馆、全民健身综合馆等体育设施。乡镇（街道）设立综合文化站，村（社区）设立综合性文化服务中心。</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2.有条件的</w:t>
            </w:r>
            <w:r>
              <w:rPr>
                <w:rFonts w:hint="eastAsia" w:ascii="仿宋_GB2312" w:hAnsi="仿宋_GB2312" w:eastAsia="仿宋_GB2312" w:cs="仿宋_GB2312"/>
                <w:sz w:val="32"/>
                <w:szCs w:val="32"/>
                <w:lang w:val="en-US" w:eastAsia="zh-CN"/>
              </w:rPr>
              <w:t>话可</w:t>
            </w:r>
            <w:r>
              <w:rPr>
                <w:rFonts w:hint="eastAsia" w:ascii="仿宋_GB2312" w:hAnsi="仿宋_GB2312" w:eastAsia="仿宋_GB2312" w:cs="仿宋_GB2312"/>
                <w:sz w:val="32"/>
                <w:szCs w:val="32"/>
              </w:rPr>
              <w:t>设立美术馆、公共科技馆、纪念馆、工人文化宫、少儿图书馆、青少年宫、妇女儿童活动中心、老年人活动中心（老年大学）、智慧化健身设施、非遗传承展示馆等场馆设施；各乡镇（街道）、行政村（社区）建立三级应急广播平台，实现与市、省、国家应急广播平台衔接。</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拓展城乡公共文化空间。城区打造一批融合图书阅读、艺术展览、文化沙龙、轻食餐饮等服务的“城市书房”“文化驿站”等新型文化业态，乡村因地制宜建设文化礼堂、村史馆、民俗馆等主题功能空间。</w:t>
            </w:r>
          </w:p>
          <w:p>
            <w:pPr>
              <w:widowControl w:val="0"/>
              <w:wordWrap/>
              <w:adjustRightInd/>
              <w:snapToGrid/>
              <w:spacing w:line="680" w:lineRule="exact"/>
              <w:jc w:val="both"/>
              <w:textAlignment w:val="auto"/>
              <w:rPr>
                <w:rFonts w:hint="eastAsia" w:ascii="方正小标宋简体" w:hAnsi="方正小标宋简体" w:eastAsia="方正小标宋简体" w:cs="方正小标宋简体"/>
                <w:sz w:val="44"/>
                <w:szCs w:val="4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gridSpan w:val="2"/>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064"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6886" w:type="dxa"/>
            <w:gridSpan w:val="2"/>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gridSpan w:val="2"/>
            <w:vAlign w:val="top"/>
          </w:tcPr>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公共文化设施及标准</w:t>
            </w:r>
          </w:p>
        </w:tc>
        <w:tc>
          <w:tcPr>
            <w:tcW w:w="1064" w:type="dxa"/>
            <w:vAlign w:val="top"/>
          </w:tcPr>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建设</w:t>
            </w: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z w:val="32"/>
                <w:szCs w:val="32"/>
                <w:lang w:val="en-US" w:eastAsia="zh-CN"/>
              </w:rPr>
              <w:t>标准</w:t>
            </w:r>
          </w:p>
        </w:tc>
        <w:tc>
          <w:tcPr>
            <w:tcW w:w="6886" w:type="dxa"/>
            <w:gridSpan w:val="2"/>
            <w:vAlign w:val="top"/>
          </w:tcPr>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共图书馆、文化馆、博物馆达到部颁三级以上标准，乡镇综合文化站达到省定评估定级标准，村（社区）综合性文化服务中心达到《河南省村（社区）综合性文化服务中心建设和服务标准》。按照《河南省县级文化馆图书馆总分馆制建设基本标准》建设图书馆分馆、文化馆分馆和基层服务点。</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广播电视播出传输机构和广播电视发射台站建设，达到对应级别的广播电视工程建设标准；广播电视节目制作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传播体系建设，达到对应级别的部颁标准。</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体育设施依据《公共体育场馆建设标准》进行建设和提供服务。体育场馆和区域内的公共体育场地、设施用于提供体育及相关服务的面积比例不低于60%</w:t>
            </w:r>
            <w:r>
              <w:rPr>
                <w:rFonts w:hint="eastAsia" w:ascii="仿宋_GB2312" w:hAnsi="仿宋_GB2312" w:eastAsia="仿宋_GB2312" w:cs="仿宋_GB2312"/>
                <w:sz w:val="32"/>
                <w:szCs w:val="32"/>
                <w:lang w:eastAsia="zh-CN"/>
              </w:rPr>
              <w:t>。</w:t>
            </w:r>
          </w:p>
          <w:p>
            <w:pPr>
              <w:widowControl w:val="0"/>
              <w:wordWrap/>
              <w:adjustRightInd/>
              <w:snapToGrid/>
              <w:spacing w:line="6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各级公共文化设施应当建立健全安全管理制度，配备必要的安全检查设备和人员，保障公共文化设施和公众活动安全。</w:t>
            </w:r>
          </w:p>
        </w:tc>
      </w:tr>
    </w:tbl>
    <w:p>
      <w:pPr>
        <w:widowControl w:val="0"/>
        <w:wordWrap/>
        <w:adjustRightInd/>
        <w:snapToGrid/>
        <w:spacing w:line="680" w:lineRule="exact"/>
        <w:jc w:val="both"/>
        <w:textAlignment w:val="auto"/>
        <w:rPr>
          <w:rFonts w:hint="eastAsia" w:ascii="方正小标宋简体" w:hAnsi="方正小标宋简体" w:eastAsia="方正小标宋简体" w:cs="方正小标宋简体"/>
          <w:sz w:val="44"/>
          <w:szCs w:val="44"/>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3"/>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083"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7367"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vMerge w:val="restart"/>
            <w:vAlign w:val="top"/>
          </w:tcPr>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公共文化服务供给</w:t>
            </w:r>
          </w:p>
        </w:tc>
        <w:tc>
          <w:tcPr>
            <w:tcW w:w="1083" w:type="dxa"/>
            <w:vAlign w:val="top"/>
          </w:tcPr>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z w:val="32"/>
                <w:szCs w:val="32"/>
                <w:lang w:val="en-US" w:eastAsia="zh-CN"/>
              </w:rPr>
              <w:t>场馆服务</w:t>
            </w:r>
          </w:p>
        </w:tc>
        <w:tc>
          <w:tcPr>
            <w:tcW w:w="7367" w:type="dxa"/>
            <w:vAlign w:val="top"/>
          </w:tcPr>
          <w:p>
            <w:pPr>
              <w:widowControl w:val="0"/>
              <w:wordWrap/>
              <w:adjustRightInd/>
              <w:snapToGrid/>
              <w:spacing w:before="0" w:after="0" w:line="180" w:lineRule="atLeas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lang w:val="en-US" w:eastAsia="zh-CN"/>
              </w:rPr>
              <w:t>乡镇（街道）</w:t>
            </w:r>
            <w:r>
              <w:rPr>
                <w:rFonts w:hint="eastAsia" w:ascii="仿宋_GB2312" w:hAnsi="仿宋_GB2312" w:eastAsia="仿宋_GB2312" w:cs="仿宋_GB2312"/>
                <w:sz w:val="32"/>
                <w:szCs w:val="32"/>
              </w:rPr>
              <w:t>两级</w:t>
            </w:r>
            <w:r>
              <w:rPr>
                <w:rFonts w:hint="eastAsia" w:ascii="仿宋_GB2312" w:hAnsi="仿宋_GB2312" w:eastAsia="仿宋_GB2312" w:cs="仿宋_GB2312"/>
                <w:sz w:val="32"/>
                <w:szCs w:val="32"/>
                <w:lang w:val="en-US" w:eastAsia="zh-CN"/>
              </w:rPr>
              <w:t>公共场馆</w:t>
            </w:r>
            <w:r>
              <w:rPr>
                <w:rFonts w:hint="eastAsia" w:ascii="仿宋_GB2312" w:hAnsi="仿宋_GB2312" w:eastAsia="仿宋_GB2312" w:cs="仿宋_GB2312"/>
                <w:sz w:val="32"/>
                <w:szCs w:val="32"/>
              </w:rPr>
              <w:t>应制定公布、及时更新公共文化服务目录并组织实施。</w:t>
            </w:r>
          </w:p>
          <w:p>
            <w:pPr>
              <w:widowControl w:val="0"/>
              <w:wordWrap/>
              <w:adjustRightInd/>
              <w:snapToGrid/>
              <w:spacing w:before="0" w:after="0" w:line="180" w:lineRule="atLeast"/>
              <w:ind w:left="0" w:leftChars="0" w:right="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公共图书馆、文化馆（站）、博物馆（非文物建筑及遗址类）、体育馆、基层综合性文化服务中心等各类公共文化场所设施实行免费开放，基本服务项目健全，并在醒目位置有服务公示。公共图书馆每周免费开放不少于60小时，</w:t>
            </w:r>
            <w:r>
              <w:rPr>
                <w:rFonts w:hint="eastAsia" w:ascii="仿宋_GB2312" w:hAnsi="仿宋_GB2312" w:eastAsia="仿宋_GB2312" w:cs="仿宋_GB2312"/>
                <w:sz w:val="32"/>
                <w:szCs w:val="32"/>
                <w:lang w:val="en-US" w:eastAsia="zh-CN"/>
              </w:rPr>
              <w:t>文</w:t>
            </w:r>
            <w:r>
              <w:rPr>
                <w:rFonts w:hint="eastAsia" w:ascii="仿宋_GB2312" w:hAnsi="仿宋_GB2312" w:eastAsia="仿宋_GB2312" w:cs="仿宋_GB2312"/>
                <w:sz w:val="32"/>
                <w:szCs w:val="32"/>
              </w:rPr>
              <w:t>化馆、博物馆、综合文化站每周免费开放不少于42小时，村（社区）综合性文化服务中心每周免费开放不少于36小时；大型公共体育场馆和区域内公共体育场地，每周免费或低收费开放时间一般不少于35小时。国家法定节假日和学校寒暑假期间，应当适当延长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top"/>
          </w:tcPr>
          <w:p>
            <w:pPr>
              <w:widowControl w:val="0"/>
              <w:wordWrap/>
              <w:adjustRightInd/>
              <w:snapToGrid/>
              <w:spacing w:line="680" w:lineRule="exact"/>
              <w:jc w:val="center"/>
              <w:textAlignment w:val="auto"/>
              <w:rPr>
                <w:rFonts w:hint="eastAsia" w:ascii="黑体" w:hAnsi="黑体" w:eastAsia="黑体" w:cs="黑体"/>
                <w:spacing w:val="-20"/>
                <w:sz w:val="32"/>
                <w:szCs w:val="32"/>
                <w:lang w:val="en-US" w:eastAsia="zh-CN"/>
              </w:rPr>
            </w:pPr>
          </w:p>
        </w:tc>
        <w:tc>
          <w:tcPr>
            <w:tcW w:w="1083" w:type="dxa"/>
            <w:vAlign w:val="top"/>
          </w:tcPr>
          <w:p>
            <w:pPr>
              <w:widowControl w:val="0"/>
              <w:wordWrap/>
              <w:adjustRightInd/>
              <w:snapToGrid/>
              <w:spacing w:line="600" w:lineRule="exact"/>
              <w:jc w:val="center"/>
              <w:textAlignment w:val="auto"/>
              <w:rPr>
                <w:rFonts w:hint="eastAsia" w:ascii="仿宋_GB2312" w:hAnsi="仿宋_GB2312" w:eastAsia="仿宋_GB2312" w:cs="仿宋_GB2312"/>
                <w:b/>
                <w:bCs/>
                <w:spacing w:val="-20"/>
                <w:sz w:val="32"/>
                <w:szCs w:val="32"/>
                <w:lang w:val="en-US" w:eastAsia="zh-CN"/>
              </w:rPr>
            </w:pPr>
          </w:p>
          <w:p>
            <w:pPr>
              <w:widowControl w:val="0"/>
              <w:wordWrap/>
              <w:adjustRightInd/>
              <w:snapToGrid/>
              <w:spacing w:line="600" w:lineRule="exact"/>
              <w:jc w:val="center"/>
              <w:textAlignment w:val="auto"/>
              <w:rPr>
                <w:rFonts w:hint="eastAsia" w:ascii="仿宋_GB2312" w:hAnsi="仿宋_GB2312" w:eastAsia="仿宋_GB2312" w:cs="仿宋_GB2312"/>
                <w:b/>
                <w:bCs/>
                <w:spacing w:val="-20"/>
                <w:sz w:val="32"/>
                <w:szCs w:val="32"/>
                <w:lang w:val="en-US" w:eastAsia="zh-CN"/>
              </w:rPr>
            </w:pPr>
          </w:p>
          <w:p>
            <w:pPr>
              <w:widowControl w:val="0"/>
              <w:wordWrap/>
              <w:adjustRightInd/>
              <w:snapToGrid/>
              <w:spacing w:line="600" w:lineRule="exact"/>
              <w:jc w:val="center"/>
              <w:textAlignment w:val="auto"/>
              <w:rPr>
                <w:rFonts w:hint="eastAsia" w:ascii="仿宋_GB2312" w:hAnsi="仿宋_GB2312" w:eastAsia="仿宋_GB2312" w:cs="仿宋_GB2312"/>
                <w:b/>
                <w:bCs/>
                <w:spacing w:val="-20"/>
                <w:sz w:val="32"/>
                <w:szCs w:val="32"/>
                <w:lang w:val="en-US" w:eastAsia="zh-CN"/>
              </w:rPr>
            </w:pPr>
          </w:p>
          <w:p>
            <w:pPr>
              <w:widowControl w:val="0"/>
              <w:wordWrap/>
              <w:adjustRightInd/>
              <w:snapToGrid/>
              <w:spacing w:line="600" w:lineRule="exact"/>
              <w:jc w:val="center"/>
              <w:textAlignment w:val="auto"/>
              <w:rPr>
                <w:rFonts w:hint="eastAsia" w:ascii="仿宋_GB2312" w:hAnsi="仿宋_GB2312" w:eastAsia="仿宋_GB2312" w:cs="仿宋_GB2312"/>
                <w:b/>
                <w:bCs/>
                <w:spacing w:val="-20"/>
                <w:sz w:val="32"/>
                <w:szCs w:val="32"/>
                <w:lang w:val="en-US" w:eastAsia="zh-CN"/>
              </w:rPr>
            </w:pPr>
            <w:r>
              <w:rPr>
                <w:rFonts w:hint="eastAsia" w:ascii="仿宋_GB2312" w:hAnsi="仿宋_GB2312" w:eastAsia="仿宋_GB2312" w:cs="仿宋_GB2312"/>
                <w:b/>
                <w:bCs/>
                <w:spacing w:val="-20"/>
                <w:sz w:val="32"/>
                <w:szCs w:val="32"/>
                <w:lang w:val="en-US" w:eastAsia="zh-CN"/>
              </w:rPr>
              <w:t>全民</w:t>
            </w:r>
          </w:p>
          <w:p>
            <w:pPr>
              <w:widowControl w:val="0"/>
              <w:wordWrap/>
              <w:adjustRightInd/>
              <w:snapToGrid/>
              <w:spacing w:line="600" w:lineRule="exact"/>
              <w:jc w:val="center"/>
              <w:textAlignment w:val="auto"/>
              <w:rPr>
                <w:spacing w:val="-20"/>
              </w:rPr>
            </w:pPr>
            <w:r>
              <w:rPr>
                <w:rFonts w:hint="eastAsia" w:ascii="仿宋_GB2312" w:hAnsi="仿宋_GB2312" w:eastAsia="仿宋_GB2312" w:cs="仿宋_GB2312"/>
                <w:b/>
                <w:bCs/>
                <w:spacing w:val="-20"/>
                <w:sz w:val="32"/>
                <w:szCs w:val="32"/>
                <w:lang w:val="en-US" w:eastAsia="zh-CN"/>
              </w:rPr>
              <w:t>阅读</w:t>
            </w:r>
          </w:p>
          <w:p>
            <w:pPr>
              <w:widowControl w:val="0"/>
              <w:wordWrap/>
              <w:adjustRightInd/>
              <w:snapToGrid/>
              <w:spacing w:line="680" w:lineRule="exact"/>
              <w:jc w:val="center"/>
              <w:textAlignment w:val="auto"/>
              <w:rPr>
                <w:rFonts w:hint="eastAsia" w:ascii="仿宋_GB2312" w:hAnsi="仿宋_GB2312" w:eastAsia="仿宋_GB2312" w:cs="仿宋_GB2312"/>
                <w:b/>
                <w:bCs/>
                <w:spacing w:val="-20"/>
                <w:sz w:val="32"/>
                <w:szCs w:val="32"/>
                <w:lang w:val="en-US" w:eastAsia="zh-CN"/>
              </w:rPr>
            </w:pPr>
          </w:p>
        </w:tc>
        <w:tc>
          <w:tcPr>
            <w:tcW w:w="7367" w:type="dxa"/>
            <w:vAlign w:val="top"/>
          </w:tcPr>
          <w:p>
            <w:pPr>
              <w:widowControl w:val="0"/>
              <w:wordWrap/>
              <w:adjustRightInd/>
              <w:snapToGrid/>
              <w:spacing w:before="0" w:after="0" w:line="200" w:lineRule="atLeast"/>
              <w:ind w:left="0" w:leftChars="0" w:right="0" w:firstLine="560" w:firstLineChars="20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7.公共图书馆、文化馆（站）、行政村（社区）综合文化服务中心、农家书屋等配备图书、报刊和电子书刊，并免费提供借阅服务；在城镇主要街道、公共场所、居民小区等人流密集地点设置公共阅报栏（屏），提供时政、“三农”、科普、文化、生活等方面的信息服务。</w:t>
            </w:r>
          </w:p>
          <w:p>
            <w:pPr>
              <w:widowControl w:val="0"/>
              <w:wordWrap/>
              <w:adjustRightInd/>
              <w:snapToGrid/>
              <w:spacing w:before="0" w:after="0" w:line="200" w:lineRule="atLeast"/>
              <w:ind w:left="0" w:leftChars="0" w:right="0"/>
              <w:jc w:val="both"/>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8.公共图书馆每年举办总分馆体系的全民阅读活动不少于6次。各级公共图书馆年流通人次和各类阅读推广参加人次年增速不低于5%</w:t>
            </w:r>
            <w:r>
              <w:rPr>
                <w:rFonts w:hint="eastAsia" w:ascii="仿宋_GB2312" w:hAnsi="仿宋_GB2312" w:eastAsia="仿宋_GB2312" w:cs="仿宋_GB2312"/>
                <w:spacing w:val="-20"/>
                <w:sz w:val="32"/>
                <w:szCs w:val="32"/>
                <w:lang w:eastAsia="zh-CN"/>
              </w:rPr>
              <w:t>。</w:t>
            </w:r>
          </w:p>
        </w:tc>
      </w:tr>
    </w:tbl>
    <w:p>
      <w:pPr>
        <w:rPr>
          <w:rFonts w:hint="eastAsia"/>
          <w:spacing w:val="-20"/>
          <w:lang w:val="en-US" w:eastAsia="zh-CN"/>
        </w:rPr>
      </w:pP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17"/>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117"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7029"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vAlign w:val="top"/>
          </w:tcPr>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公共文化服务供给</w:t>
            </w:r>
          </w:p>
        </w:tc>
        <w:tc>
          <w:tcPr>
            <w:tcW w:w="1117" w:type="dxa"/>
            <w:vAlign w:val="top"/>
          </w:tcPr>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z w:val="32"/>
                <w:szCs w:val="32"/>
                <w:lang w:val="en-US" w:eastAsia="zh-CN"/>
              </w:rPr>
              <w:t>群众文体活动</w:t>
            </w:r>
          </w:p>
        </w:tc>
        <w:tc>
          <w:tcPr>
            <w:tcW w:w="7029" w:type="dxa"/>
            <w:vAlign w:val="top"/>
          </w:tcPr>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文化馆要</w:t>
            </w:r>
            <w:r>
              <w:rPr>
                <w:rFonts w:hint="eastAsia" w:ascii="仿宋_GB2312" w:hAnsi="仿宋_GB2312" w:eastAsia="仿宋_GB2312" w:cs="仿宋_GB2312"/>
                <w:sz w:val="32"/>
                <w:szCs w:val="32"/>
              </w:rPr>
              <w:t>培育2个以上具有地方特色的公共文化服务品牌，乡镇（街道）要有1个特色活动或公共文化服务品牌。加强文艺创作，</w:t>
            </w:r>
            <w:r>
              <w:rPr>
                <w:rFonts w:hint="eastAsia" w:ascii="仿宋_GB2312" w:hAnsi="仿宋_GB2312" w:eastAsia="仿宋_GB2312" w:cs="仿宋_GB2312"/>
                <w:sz w:val="32"/>
                <w:szCs w:val="32"/>
                <w:lang w:val="en-US" w:eastAsia="zh-CN"/>
              </w:rPr>
              <w:t>文化馆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乡镇（街道）综合文化站</w:t>
            </w:r>
            <w:r>
              <w:rPr>
                <w:rFonts w:hint="eastAsia" w:ascii="仿宋_GB2312" w:hAnsi="仿宋_GB2312" w:eastAsia="仿宋_GB2312" w:cs="仿宋_GB2312"/>
                <w:sz w:val="32"/>
                <w:szCs w:val="32"/>
              </w:rPr>
              <w:t>每年组织1次包含2-4个艺术门类的原创群众文艺作品评选。</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10.文化馆应提供音乐、舞蹈、戏剧（曲艺）、美术（书法、摄影）、文学5类服务并配备专业人员。文化馆组织文艺活动不低于10场次，服务人次年增速不低于5%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博物馆定期举办临时或专题展览、省内巡展和引进展览。博物馆举办展览</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rPr>
              <w:t>不少于2次。</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11.每年在体育场馆开展的公益性体育培训不少于1000人次，举办的公益性群众体育赛事活动不少于4次。每四年举办一届综合性体育运动会，定期举办本行政区域的群众体育比赛活动。</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12.乡镇（街道）每年自组织专题文体活动不少于5次，村（社区）自组织专题文体活动不少于5次。</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rPr>
            </w:pPr>
          </w:p>
          <w:p>
            <w:pPr>
              <w:widowControl w:val="0"/>
              <w:wordWrap/>
              <w:adjustRightInd/>
              <w:snapToGrid/>
              <w:spacing w:line="680" w:lineRule="exact"/>
              <w:jc w:val="both"/>
              <w:textAlignment w:val="auto"/>
              <w:rPr>
                <w:rFonts w:hint="eastAsia" w:ascii="方正小标宋简体" w:hAnsi="方正小标宋简体" w:eastAsia="方正小标宋简体" w:cs="方正小标宋简体"/>
                <w:sz w:val="44"/>
                <w:szCs w:val="44"/>
                <w:lang w:eastAsia="zh-CN"/>
              </w:rPr>
            </w:pPr>
          </w:p>
        </w:tc>
      </w:tr>
    </w:tbl>
    <w:p>
      <w:pPr>
        <w:rPr>
          <w:rFonts w:hint="eastAsia"/>
          <w:spacing w:val="-20"/>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4"/>
        <w:tblpPr w:leftFromText="180" w:rightFromText="180" w:vertAnchor="text" w:horzAnchor="page" w:tblpX="1254" w:tblpY="123"/>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3"/>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083"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7367"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vMerge w:val="restart"/>
            <w:vAlign w:val="top"/>
          </w:tcPr>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公共文化服务供给</w:t>
            </w:r>
          </w:p>
        </w:tc>
        <w:tc>
          <w:tcPr>
            <w:tcW w:w="1083" w:type="dxa"/>
            <w:vAlign w:val="top"/>
          </w:tcPr>
          <w:p>
            <w:pPr>
              <w:numPr>
                <w:ilvl w:val="0"/>
                <w:numId w:val="0"/>
              </w:numPr>
              <w:jc w:val="center"/>
              <w:rPr>
                <w:rFonts w:hint="eastAsia" w:ascii="仿宋_GB2312" w:hAnsi="仿宋_GB2312" w:eastAsia="仿宋_GB2312" w:cs="仿宋_GB2312"/>
                <w:b/>
                <w:bCs/>
                <w:sz w:val="32"/>
                <w:szCs w:val="32"/>
                <w:lang w:val="en-US" w:eastAsia="zh-CN"/>
              </w:rPr>
            </w:pPr>
          </w:p>
          <w:p>
            <w:pPr>
              <w:widowControl w:val="0"/>
              <w:wordWrap/>
              <w:adjustRightInd/>
              <w:snapToGrid/>
              <w:spacing w:line="540" w:lineRule="exact"/>
              <w:jc w:val="center"/>
              <w:textAlignment w:val="auto"/>
              <w:rPr>
                <w:rFonts w:hint="eastAsia" w:ascii="仿宋_GB2312" w:hAnsi="仿宋_GB2312" w:eastAsia="仿宋_GB2312" w:cs="仿宋_GB2312"/>
                <w:b/>
                <w:bCs/>
                <w:sz w:val="32"/>
                <w:szCs w:val="32"/>
              </w:rPr>
            </w:pPr>
          </w:p>
          <w:p>
            <w:pPr>
              <w:widowControl w:val="0"/>
              <w:wordWrap/>
              <w:adjustRightInd/>
              <w:snapToGrid/>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电视广播</w:t>
            </w: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tc>
        <w:tc>
          <w:tcPr>
            <w:tcW w:w="7367" w:type="dxa"/>
            <w:vAlign w:val="top"/>
          </w:tcPr>
          <w:p>
            <w:pPr>
              <w:widowControl w:val="0"/>
              <w:wordWrap/>
              <w:adjustRightInd/>
              <w:snapToGrid/>
              <w:spacing w:before="0" w:after="0" w:line="180" w:lineRule="atLeas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after="0" w:line="180" w:lineRule="atLeast"/>
              <w:ind w:left="0" w:leftChars="0" w:right="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 xml:space="preserve">    13.</w:t>
            </w:r>
            <w:r>
              <w:rPr>
                <w:rFonts w:hint="eastAsia" w:ascii="仿宋_GB2312" w:hAnsi="仿宋_GB2312" w:eastAsia="仿宋_GB2312" w:cs="仿宋_GB2312"/>
                <w:sz w:val="32"/>
                <w:szCs w:val="32"/>
              </w:rPr>
              <w:t>提供广播节目、突发事件应急广播和电视服务。通过地面无线方式提供不少于15套广播节目、15套电视节目；在直播卫星公共服务覆盖地区，通过直播卫星提供不少于17套广播节目、25套电视节目。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top"/>
          </w:tcPr>
          <w:p>
            <w:pPr>
              <w:widowControl w:val="0"/>
              <w:wordWrap/>
              <w:adjustRightInd/>
              <w:snapToGrid/>
              <w:spacing w:line="680" w:lineRule="exact"/>
              <w:jc w:val="center"/>
              <w:textAlignment w:val="auto"/>
              <w:rPr>
                <w:rFonts w:hint="eastAsia" w:ascii="黑体" w:hAnsi="黑体" w:eastAsia="黑体" w:cs="黑体"/>
                <w:spacing w:val="-20"/>
                <w:sz w:val="32"/>
                <w:szCs w:val="32"/>
                <w:lang w:val="en-US" w:eastAsia="zh-CN"/>
              </w:rPr>
            </w:pPr>
          </w:p>
        </w:tc>
        <w:tc>
          <w:tcPr>
            <w:tcW w:w="1083" w:type="dxa"/>
            <w:vAlign w:val="top"/>
          </w:tcPr>
          <w:p>
            <w:pPr>
              <w:widowControl w:val="0"/>
              <w:wordWrap/>
              <w:adjustRightInd/>
              <w:snapToGrid/>
              <w:spacing w:line="600" w:lineRule="exact"/>
              <w:jc w:val="both"/>
              <w:textAlignment w:val="auto"/>
              <w:rPr>
                <w:rFonts w:hint="eastAsia" w:ascii="仿宋_GB2312" w:hAnsi="仿宋_GB2312" w:eastAsia="仿宋_GB2312" w:cs="仿宋_GB2312"/>
                <w:b/>
                <w:bCs/>
                <w:spacing w:val="-20"/>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pacing w:val="-20"/>
                <w:sz w:val="32"/>
                <w:szCs w:val="32"/>
                <w:lang w:val="en-US" w:eastAsia="zh-CN"/>
              </w:rPr>
            </w:pPr>
            <w:r>
              <w:rPr>
                <w:rFonts w:hint="eastAsia" w:ascii="仿宋_GB2312" w:hAnsi="仿宋_GB2312" w:eastAsia="仿宋_GB2312" w:cs="仿宋_GB2312"/>
                <w:b/>
                <w:bCs/>
                <w:sz w:val="32"/>
                <w:szCs w:val="32"/>
              </w:rPr>
              <w:t>特殊群体服务</w:t>
            </w:r>
          </w:p>
        </w:tc>
        <w:tc>
          <w:tcPr>
            <w:tcW w:w="7367" w:type="dxa"/>
            <w:vAlign w:val="top"/>
          </w:tcPr>
          <w:p>
            <w:pPr>
              <w:widowControl w:val="0"/>
              <w:wordWrap/>
              <w:adjustRightInd/>
              <w:snapToGrid/>
              <w:spacing w:before="0" w:after="0" w:line="200" w:lineRule="atLeast"/>
              <w:ind w:left="0" w:leftChars="0" w:right="0"/>
              <w:jc w:val="both"/>
              <w:textAlignment w:val="auto"/>
              <w:outlineLvl w:val="9"/>
              <w:rPr>
                <w:rFonts w:hint="eastAsia" w:ascii="方正小标宋简体" w:hAnsi="方正小标宋简体" w:eastAsia="方正小标宋简体" w:cs="方正小标宋简体"/>
                <w:spacing w:val="-20"/>
                <w:sz w:val="44"/>
                <w:szCs w:val="44"/>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14.各类公共文化设施应按照《无障碍设计规范》，设置方便残疾人、老年人、少年儿童活动区域和服务项目，配置辅助设施设备；应有针对务工人员、农村留守老人妇女儿童、生活困难群众的特殊群体服务；应采取有效措施解决老年人运用智能技术的困难</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top"/>
          </w:tcPr>
          <w:p>
            <w:pPr>
              <w:widowControl w:val="0"/>
              <w:wordWrap/>
              <w:adjustRightInd/>
              <w:snapToGrid/>
              <w:spacing w:line="680" w:lineRule="exact"/>
              <w:jc w:val="center"/>
              <w:textAlignment w:val="auto"/>
              <w:rPr>
                <w:rFonts w:hint="eastAsia" w:ascii="黑体" w:hAnsi="黑体" w:eastAsia="黑体" w:cs="黑体"/>
                <w:spacing w:val="-20"/>
                <w:sz w:val="32"/>
                <w:szCs w:val="32"/>
                <w:lang w:val="en-US" w:eastAsia="zh-CN"/>
              </w:rPr>
            </w:pPr>
          </w:p>
        </w:tc>
        <w:tc>
          <w:tcPr>
            <w:tcW w:w="1083" w:type="dxa"/>
            <w:vAlign w:val="top"/>
          </w:tcPr>
          <w:p>
            <w:pPr>
              <w:widowControl w:val="0"/>
              <w:wordWrap/>
              <w:adjustRightInd/>
              <w:snapToGrid/>
              <w:spacing w:line="540" w:lineRule="exact"/>
              <w:jc w:val="center"/>
              <w:textAlignment w:val="auto"/>
              <w:rPr>
                <w:rFonts w:hint="eastAsia" w:ascii="仿宋_GB2312" w:hAnsi="仿宋_GB2312" w:eastAsia="仿宋_GB2312" w:cs="仿宋_GB2312"/>
                <w:b/>
                <w:bCs/>
                <w:sz w:val="32"/>
                <w:szCs w:val="32"/>
              </w:rPr>
            </w:pPr>
          </w:p>
          <w:p>
            <w:pPr>
              <w:widowControl w:val="0"/>
              <w:wordWrap/>
              <w:adjustRightInd/>
              <w:snapToGrid/>
              <w:spacing w:line="540" w:lineRule="exact"/>
              <w:jc w:val="both"/>
              <w:textAlignment w:val="auto"/>
              <w:rPr>
                <w:rFonts w:hint="eastAsia" w:ascii="仿宋_GB2312" w:hAnsi="仿宋_GB2312" w:eastAsia="仿宋_GB2312" w:cs="仿宋_GB2312"/>
                <w:b/>
                <w:bCs/>
                <w:sz w:val="32"/>
                <w:szCs w:val="32"/>
              </w:rPr>
            </w:pPr>
          </w:p>
          <w:p>
            <w:pPr>
              <w:widowControl w:val="0"/>
              <w:wordWrap/>
              <w:adjustRightInd/>
              <w:snapToGrid/>
              <w:spacing w:line="540" w:lineRule="exact"/>
              <w:jc w:val="center"/>
              <w:textAlignment w:val="auto"/>
              <w:rPr>
                <w:rFonts w:hint="eastAsia" w:ascii="仿宋_GB2312" w:hAnsi="仿宋_GB2312" w:eastAsia="仿宋_GB2312" w:cs="仿宋_GB2312"/>
                <w:b/>
                <w:bCs/>
                <w:sz w:val="32"/>
                <w:szCs w:val="32"/>
              </w:rPr>
            </w:pPr>
          </w:p>
          <w:p>
            <w:pPr>
              <w:widowControl w:val="0"/>
              <w:wordWrap/>
              <w:adjustRightInd/>
              <w:snapToGrid/>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流动服务</w:t>
            </w:r>
          </w:p>
          <w:p>
            <w:pPr>
              <w:widowControl w:val="0"/>
              <w:numPr>
                <w:ilvl w:val="0"/>
                <w:numId w:val="0"/>
              </w:numPr>
              <w:wordWrap/>
              <w:adjustRightInd/>
              <w:snapToGrid/>
              <w:spacing w:line="540" w:lineRule="exact"/>
              <w:ind w:left="0" w:leftChars="0" w:firstLine="0" w:firstLineChars="0"/>
              <w:jc w:val="center"/>
              <w:textAlignment w:val="auto"/>
              <w:rPr>
                <w:rFonts w:hint="eastAsia" w:ascii="仿宋_GB2312" w:hAnsi="仿宋_GB2312" w:eastAsia="仿宋_GB2312" w:cs="仿宋_GB2312"/>
                <w:b/>
                <w:bCs/>
                <w:sz w:val="32"/>
                <w:szCs w:val="32"/>
              </w:rPr>
            </w:pPr>
          </w:p>
        </w:tc>
        <w:tc>
          <w:tcPr>
            <w:tcW w:w="7367" w:type="dxa"/>
            <w:vAlign w:val="top"/>
          </w:tcPr>
          <w:p>
            <w:pPr>
              <w:widowControl w:val="0"/>
              <w:numPr>
                <w:ilvl w:val="0"/>
                <w:numId w:val="0"/>
              </w:numPr>
              <w:wordWrap/>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每年开展“戏曲进乡村”场次不低于本辖区内乡镇数，每年开展戏曲培训不少于4期。文化馆每年流动服务不少于</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场次，博物馆举办公益性公共教育下基层活动每年不少于2次。</w:t>
            </w:r>
          </w:p>
          <w:p>
            <w:pPr>
              <w:widowControl w:val="0"/>
              <w:wordWrap/>
              <w:adjustRightInd/>
              <w:snapToGrid/>
              <w:spacing w:before="0" w:after="0" w:line="200" w:lineRule="atLeas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保障每名中小学生每学期至少观看2次优秀影片，每个行政村每个月放映1场公益电影。每年国产新片（院线上映不超过2年）比例不少于1/3</w:t>
            </w:r>
            <w:r>
              <w:rPr>
                <w:rFonts w:hint="eastAsia" w:ascii="仿宋_GB2312" w:hAnsi="仿宋_GB2312" w:eastAsia="仿宋_GB2312" w:cs="仿宋_GB2312"/>
                <w:sz w:val="32"/>
                <w:szCs w:val="32"/>
                <w:lang w:eastAsia="zh-CN"/>
              </w:rPr>
              <w:t>。</w:t>
            </w:r>
          </w:p>
          <w:p>
            <w:pPr>
              <w:widowControl w:val="0"/>
              <w:wordWrap/>
              <w:adjustRightInd/>
              <w:snapToGrid/>
              <w:spacing w:before="0" w:after="0" w:line="200" w:lineRule="atLeas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tc>
      </w:tr>
    </w:tbl>
    <w:p>
      <w:pPr>
        <w:rPr>
          <w:rFonts w:hint="eastAsia"/>
          <w:lang w:val="en-US" w:eastAsia="zh-CN"/>
        </w:rPr>
      </w:pPr>
    </w:p>
    <w:p>
      <w:pPr>
        <w:rPr>
          <w:rFonts w:hint="eastAsia"/>
          <w:lang w:val="en-US" w:eastAsia="zh-CN"/>
        </w:rPr>
      </w:pPr>
    </w:p>
    <w:p>
      <w:pPr>
        <w:rPr>
          <w:rFonts w:hint="eastAsia"/>
          <w:lang w:val="en-US" w:eastAsia="zh-CN"/>
        </w:rPr>
      </w:pPr>
    </w:p>
    <w:tbl>
      <w:tblPr>
        <w:tblStyle w:val="4"/>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3"/>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083"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7367"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vAlign w:val="top"/>
          </w:tcPr>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公共文化服务供给</w:t>
            </w:r>
          </w:p>
        </w:tc>
        <w:tc>
          <w:tcPr>
            <w:tcW w:w="1083" w:type="dxa"/>
            <w:vAlign w:val="top"/>
          </w:tcPr>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数字化服务</w:t>
            </w:r>
          </w:p>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p>
        </w:tc>
        <w:tc>
          <w:tcPr>
            <w:tcW w:w="7367" w:type="dxa"/>
            <w:vAlign w:val="top"/>
          </w:tcPr>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17.以省级“文化豫约”、市级“焦作百姓文化超市”平台为依托，建成互联互通的一站式数字文化服务平台，形成省、市、县、乡、村互联互通的数字文化服务网络体系，完善区域公共文化产品配送目录。每年围绕全民艺术普及相关主题活动，开展公共文化活动不少于50场。公共图书馆、文化馆、博物馆（纪念馆）建有网站或数字服务平台，每月更新不得少于10次。各级公共文化场馆设置免费无线网络，并在醒目位置公示。县级以上建立完善以信息咨询服务为主要内容的全民健身信息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65" w:type="dxa"/>
            <w:vMerge w:val="restart"/>
            <w:vAlign w:val="top"/>
          </w:tcPr>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公共文化制度</w:t>
            </w:r>
          </w:p>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保障</w:t>
            </w:r>
          </w:p>
        </w:tc>
        <w:tc>
          <w:tcPr>
            <w:tcW w:w="1083" w:type="dxa"/>
            <w:vAlign w:val="top"/>
          </w:tcPr>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组织保障</w:t>
            </w:r>
          </w:p>
        </w:tc>
        <w:tc>
          <w:tcPr>
            <w:tcW w:w="7367" w:type="dxa"/>
            <w:vAlign w:val="top"/>
          </w:tcPr>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18.建立公共文化服务体系建设协调机制。每年召开协调单位联席会议不少于2次。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vAlign w:val="top"/>
          </w:tcPr>
          <w:p>
            <w:pPr>
              <w:widowControl w:val="0"/>
              <w:numPr>
                <w:ilvl w:val="0"/>
                <w:numId w:val="0"/>
              </w:numPr>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p>
        </w:tc>
        <w:tc>
          <w:tcPr>
            <w:tcW w:w="1083" w:type="dxa"/>
            <w:vAlign w:val="top"/>
          </w:tcPr>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both"/>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财政保障</w:t>
            </w:r>
          </w:p>
          <w:p>
            <w:pPr>
              <w:jc w:val="center"/>
              <w:rPr>
                <w:rFonts w:hint="eastAsia" w:ascii="仿宋_GB2312" w:hAnsi="仿宋_GB2312" w:eastAsia="仿宋_GB2312" w:cs="仿宋_GB2312"/>
                <w:sz w:val="32"/>
                <w:szCs w:val="32"/>
                <w:lang w:val="en-US" w:eastAsia="zh-CN"/>
              </w:rPr>
            </w:pPr>
          </w:p>
        </w:tc>
        <w:tc>
          <w:tcPr>
            <w:tcW w:w="7367" w:type="dxa"/>
            <w:vAlign w:val="top"/>
          </w:tcPr>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落实基本公共文化服务项目所必需的免费开放经费、基层业务经费、图书购置经费、全民健身活动经费等资金，保障公共文化服务体系建设和运行。乡镇业务运行经费不少于2万／年，村级业务运行经费不少于3000元／年。根据当地实际，对行政村（社区）文化协管员发放专项补贴。</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政府向社会力量购买公共文化服务所需资金列入财政预算，从部门预算经费或经批准的专项资金等既有预算中统筹安排。采取政府采购、项目补贴、定向资助、贷款贴息等政策措施，支持各类社会力量参与提供公共文化服务和产品。</w:t>
            </w:r>
          </w:p>
        </w:tc>
      </w:tr>
    </w:tbl>
    <w:p>
      <w:pPr>
        <w:rPr>
          <w:rFonts w:hint="eastAsia"/>
          <w:lang w:val="en-US" w:eastAsia="zh-CN"/>
        </w:rPr>
      </w:pPr>
    </w:p>
    <w:tbl>
      <w:tblPr>
        <w:tblStyle w:val="4"/>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3"/>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项目</w:t>
            </w:r>
          </w:p>
        </w:tc>
        <w:tc>
          <w:tcPr>
            <w:tcW w:w="1083"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内容</w:t>
            </w:r>
          </w:p>
        </w:tc>
        <w:tc>
          <w:tcPr>
            <w:tcW w:w="7367" w:type="dxa"/>
            <w:vAlign w:val="top"/>
          </w:tcPr>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5" w:type="dxa"/>
            <w:vAlign w:val="top"/>
          </w:tcPr>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both"/>
              <w:textAlignment w:val="auto"/>
              <w:rPr>
                <w:rFonts w:hint="eastAsia" w:ascii="黑体" w:hAnsi="黑体" w:eastAsia="黑体" w:cs="黑体"/>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公共文化制度保障</w:t>
            </w:r>
          </w:p>
        </w:tc>
        <w:tc>
          <w:tcPr>
            <w:tcW w:w="1083" w:type="dxa"/>
            <w:vAlign w:val="top"/>
          </w:tcPr>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仿宋_GB2312" w:hAnsi="仿宋_GB2312" w:eastAsia="仿宋_GB2312" w:cs="仿宋_GB2312"/>
                <w:b/>
                <w:bCs/>
                <w:sz w:val="32"/>
                <w:szCs w:val="32"/>
                <w:lang w:val="en-US" w:eastAsia="zh-CN"/>
              </w:rPr>
            </w:pPr>
          </w:p>
          <w:p>
            <w:pPr>
              <w:widowControl w:val="0"/>
              <w:wordWrap/>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z w:val="32"/>
                <w:szCs w:val="32"/>
              </w:rPr>
              <w:t>队伍建设</w:t>
            </w:r>
          </w:p>
        </w:tc>
        <w:tc>
          <w:tcPr>
            <w:tcW w:w="7367" w:type="dxa"/>
            <w:vAlign w:val="top"/>
          </w:tcPr>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21.县级公共文化机构按照核定的编制配备工作人员，其中业务人员占职工总数不低于80%。乡镇（街道）文化站至少有1-2名专职工作人员，规模较大的可适当增加1至2名人员；村（社区）至少有1名专职工作人员负责文化宣传工作。每个行政村（社区）业余文艺团队不少于1支，体育健身站点不少于1个，社会体育指导员不少于2人。</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22.县级公共文化机构从业人员每年参加业务培训时间不少于90个小时，乡镇（街道）、行政村（社区）文化专兼职人员参加集中培训时间每年不少于30个小时。</w:t>
            </w:r>
          </w:p>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23.建立健全公共文化志愿服务机制。加强项目管理和制度建设。公共图书馆、文化馆、博物馆、纪念馆等公共文化场馆有志愿者制度、志愿者服务队伍。每年开展文化志愿者业务培训，每年不少于3次。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idowControl w:val="0"/>
              <w:wordWrap/>
              <w:adjustRightInd/>
              <w:snapToGrid/>
              <w:spacing w:line="680" w:lineRule="exact"/>
              <w:jc w:val="center"/>
              <w:textAlignment w:val="auto"/>
              <w:rPr>
                <w:rFonts w:hint="eastAsia" w:ascii="黑体" w:hAnsi="黑体" w:eastAsia="黑体" w:cs="黑体"/>
                <w:sz w:val="32"/>
                <w:szCs w:val="32"/>
              </w:rPr>
            </w:pPr>
          </w:p>
          <w:p>
            <w:pPr>
              <w:widowControl w:val="0"/>
              <w:wordWrap/>
              <w:adjustRightInd/>
              <w:snapToGrid/>
              <w:spacing w:line="680" w:lineRule="exact"/>
              <w:jc w:val="center"/>
              <w:textAlignment w:val="auto"/>
              <w:rPr>
                <w:rFonts w:hint="eastAsia" w:ascii="黑体" w:hAnsi="黑体" w:eastAsia="黑体" w:cs="黑体"/>
                <w:spacing w:val="-20"/>
                <w:sz w:val="32"/>
                <w:szCs w:val="32"/>
                <w:lang w:val="en-US" w:eastAsia="zh-CN"/>
              </w:rPr>
            </w:pPr>
            <w:r>
              <w:rPr>
                <w:rFonts w:hint="eastAsia" w:ascii="黑体" w:hAnsi="黑体" w:eastAsia="黑体" w:cs="黑体"/>
                <w:sz w:val="32"/>
                <w:szCs w:val="32"/>
              </w:rPr>
              <w:t>公共文化评估反馈</w:t>
            </w:r>
          </w:p>
        </w:tc>
        <w:tc>
          <w:tcPr>
            <w:tcW w:w="1083" w:type="dxa"/>
            <w:vAlign w:val="top"/>
          </w:tcPr>
          <w:p>
            <w:pPr>
              <w:widowControl w:val="0"/>
              <w:wordWrap/>
              <w:adjustRightInd/>
              <w:snapToGrid/>
              <w:spacing w:line="600" w:lineRule="exact"/>
              <w:jc w:val="center"/>
              <w:textAlignment w:val="auto"/>
              <w:rPr>
                <w:rFonts w:hint="eastAsia" w:ascii="仿宋_GB2312" w:hAnsi="仿宋_GB2312" w:eastAsia="仿宋_GB2312" w:cs="仿宋_GB2312"/>
                <w:b/>
                <w:bCs/>
                <w:spacing w:val="-20"/>
                <w:sz w:val="32"/>
                <w:szCs w:val="32"/>
                <w:lang w:val="en-US" w:eastAsia="zh-CN"/>
              </w:rPr>
            </w:pPr>
          </w:p>
          <w:p>
            <w:pPr>
              <w:widowControl w:val="0"/>
              <w:wordWrap/>
              <w:adjustRightInd/>
              <w:snapToGrid/>
              <w:spacing w:line="600" w:lineRule="exact"/>
              <w:jc w:val="both"/>
              <w:textAlignment w:val="auto"/>
              <w:rPr>
                <w:rFonts w:hint="eastAsia" w:ascii="仿宋_GB2312" w:hAnsi="仿宋_GB2312" w:eastAsia="仿宋_GB2312" w:cs="仿宋_GB2312"/>
                <w:b/>
                <w:bCs/>
                <w:spacing w:val="-20"/>
                <w:sz w:val="32"/>
                <w:szCs w:val="32"/>
                <w:lang w:val="en-US" w:eastAsia="zh-CN"/>
              </w:rPr>
            </w:pPr>
          </w:p>
          <w:p>
            <w:pPr>
              <w:widowControl w:val="0"/>
              <w:wordWrap/>
              <w:adjustRightInd/>
              <w:snapToGrid/>
              <w:spacing w:line="600" w:lineRule="exact"/>
              <w:jc w:val="center"/>
              <w:textAlignment w:val="auto"/>
              <w:rPr>
                <w:spacing w:val="-20"/>
              </w:rPr>
            </w:pPr>
            <w:r>
              <w:rPr>
                <w:rFonts w:hint="eastAsia" w:ascii="仿宋_GB2312" w:hAnsi="仿宋_GB2312" w:eastAsia="仿宋_GB2312" w:cs="仿宋_GB2312"/>
                <w:b/>
                <w:bCs/>
                <w:sz w:val="32"/>
                <w:szCs w:val="32"/>
              </w:rPr>
              <w:t>评价评估</w:t>
            </w:r>
          </w:p>
          <w:p>
            <w:pPr>
              <w:widowControl w:val="0"/>
              <w:wordWrap/>
              <w:adjustRightInd/>
              <w:snapToGrid/>
              <w:spacing w:line="680" w:lineRule="exact"/>
              <w:jc w:val="center"/>
              <w:textAlignment w:val="auto"/>
              <w:rPr>
                <w:rFonts w:hint="eastAsia" w:ascii="仿宋_GB2312" w:hAnsi="仿宋_GB2312" w:eastAsia="仿宋_GB2312" w:cs="仿宋_GB2312"/>
                <w:b/>
                <w:bCs/>
                <w:spacing w:val="-20"/>
                <w:sz w:val="32"/>
                <w:szCs w:val="32"/>
                <w:lang w:val="en-US" w:eastAsia="zh-CN"/>
              </w:rPr>
            </w:pPr>
          </w:p>
        </w:tc>
        <w:tc>
          <w:tcPr>
            <w:tcW w:w="7367" w:type="dxa"/>
            <w:vAlign w:val="top"/>
          </w:tcPr>
          <w:p>
            <w:pPr>
              <w:widowControl w:val="0"/>
              <w:wordWrap/>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24.要建立和完善常态化的公共文化考核机制，考核包括群众满意度测评和第三方测评，强化考核结果运用。县（市、区）级要制定基层综合性文化服务中心建设工作考核实施方案。</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25.各级公共文化机构和场馆应建立意见箱、网页、公众号、视频号、电话等多种群众文化需求反馈渠道，回应周期原则上不超过7个工作日。</w:t>
            </w:r>
          </w:p>
          <w:p>
            <w:pPr>
              <w:widowControl w:val="0"/>
              <w:wordWrap/>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tc>
      </w:tr>
    </w:tbl>
    <w:p>
      <w:pPr>
        <w:rPr>
          <w:rFonts w:hint="eastAsia"/>
          <w:lang w:val="en-US" w:eastAsia="zh-CN"/>
        </w:rPr>
      </w:pPr>
    </w:p>
    <w:p>
      <w:pPr>
        <w:rPr>
          <w:rFonts w:hint="eastAsia"/>
          <w:lang w:val="en-US" w:eastAsia="zh-CN"/>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仿宋_GB2312" w:eastAsia="仿宋_GB2312"/>
          <w:b/>
          <w:strike/>
          <w:sz w:val="32"/>
          <w:szCs w:val="32"/>
        </w:rPr>
      </w:pPr>
    </w:p>
    <w:p>
      <w:pPr>
        <w:widowControl w:val="0"/>
        <w:numPr>
          <w:ilvl w:val="0"/>
          <w:numId w:val="0"/>
        </w:numPr>
        <w:wordWrap/>
        <w:adjustRightInd/>
        <w:snapToGrid/>
        <w:spacing w:before="0" w:after="0" w:line="560" w:lineRule="exact"/>
        <w:ind w:right="0"/>
        <w:jc w:val="both"/>
        <w:textAlignment w:val="auto"/>
        <w:outlineLvl w:val="9"/>
        <w:rPr>
          <w:rFonts w:hint="eastAsia" w:ascii="黑体" w:hAnsi="宋体" w:eastAsia="黑体"/>
          <w:b/>
          <w:sz w:val="32"/>
          <w:szCs w:val="32"/>
        </w:rPr>
      </w:pPr>
      <w:r>
        <w:rPr>
          <w:rFonts w:hint="eastAsia" w:ascii="仿宋_GB2312" w:eastAsia="仿宋_GB2312"/>
          <w:b/>
          <w:strike/>
          <w:sz w:val="32"/>
          <w:szCs w:val="32"/>
        </w:rPr>
        <w:t xml:space="preserve">                                                   </w:t>
      </w:r>
      <w:r>
        <w:rPr>
          <w:rFonts w:hint="eastAsia" w:ascii="仿宋_GB2312" w:eastAsia="仿宋_GB2312"/>
          <w:b/>
          <w:strike/>
          <w:sz w:val="32"/>
          <w:szCs w:val="32"/>
          <w:lang w:val="en-US" w:eastAsia="zh-CN"/>
        </w:rPr>
        <w:t xml:space="preserve">  </w:t>
      </w:r>
      <w:r>
        <w:rPr>
          <w:rFonts w:hint="eastAsia" w:ascii="黑体" w:hAnsi="宋体" w:eastAsia="黑体"/>
          <w:b/>
          <w:sz w:val="32"/>
          <w:szCs w:val="32"/>
        </w:rPr>
        <w:t xml:space="preserve">                                 </w:t>
      </w:r>
    </w:p>
    <w:p>
      <w:pPr>
        <w:widowControl w:val="0"/>
        <w:wordWrap/>
        <w:adjustRightInd/>
        <w:snapToGrid/>
        <w:spacing w:before="0" w:after="0" w:line="300" w:lineRule="exact"/>
        <w:ind w:right="0" w:firstLine="298" w:firstLineChars="100"/>
        <w:jc w:val="both"/>
        <w:textAlignment w:val="auto"/>
        <w:outlineLvl w:val="9"/>
        <w:rPr>
          <w:rFonts w:hint="default" w:ascii="仿宋_GB2312" w:eastAsia="仿宋_GB2312"/>
          <w:spacing w:val="-11"/>
          <w:sz w:val="32"/>
          <w:szCs w:val="32"/>
          <w:lang w:val="en-US"/>
        </w:rPr>
      </w:pPr>
      <w:r>
        <w:rPr>
          <w:rFonts w:hint="eastAsia" w:ascii="仿宋_GB2312" w:eastAsia="仿宋_GB2312"/>
          <w:spacing w:val="-11"/>
          <w:sz w:val="32"/>
          <w:szCs w:val="32"/>
        </w:rPr>
        <w:t>沁阳市文化广电</w:t>
      </w:r>
      <w:r>
        <w:rPr>
          <w:rFonts w:hint="eastAsia" w:ascii="仿宋_GB2312" w:eastAsia="仿宋_GB2312"/>
          <w:spacing w:val="-11"/>
          <w:sz w:val="32"/>
          <w:szCs w:val="32"/>
          <w:lang w:eastAsia="zh-CN"/>
        </w:rPr>
        <w:t>和旅游</w:t>
      </w:r>
      <w:r>
        <w:rPr>
          <w:rFonts w:hint="eastAsia" w:ascii="仿宋_GB2312" w:eastAsia="仿宋_GB2312"/>
          <w:spacing w:val="-11"/>
          <w:sz w:val="32"/>
          <w:szCs w:val="32"/>
        </w:rPr>
        <w:t>局办公室</w:t>
      </w:r>
      <w:r>
        <w:rPr>
          <w:rFonts w:hint="eastAsia" w:ascii="仿宋_GB2312" w:eastAsia="仿宋_GB2312"/>
          <w:spacing w:val="-11"/>
          <w:sz w:val="32"/>
          <w:szCs w:val="32"/>
          <w:lang w:val="en-US" w:eastAsia="zh-CN"/>
        </w:rPr>
        <w:t xml:space="preserve">     </w:t>
      </w:r>
      <w:r>
        <w:rPr>
          <w:rFonts w:hint="eastAsia" w:ascii="仿宋_GB2312" w:eastAsia="仿宋_GB2312"/>
          <w:spacing w:val="-11"/>
          <w:sz w:val="32"/>
          <w:szCs w:val="32"/>
        </w:rPr>
        <w:t>20</w:t>
      </w:r>
      <w:r>
        <w:rPr>
          <w:rFonts w:hint="eastAsia" w:ascii="仿宋_GB2312" w:eastAsia="仿宋_GB2312"/>
          <w:spacing w:val="-11"/>
          <w:sz w:val="32"/>
          <w:szCs w:val="32"/>
          <w:lang w:val="en-US" w:eastAsia="zh-CN"/>
        </w:rPr>
        <w:t>21年12</w:t>
      </w:r>
      <w:r>
        <w:rPr>
          <w:rFonts w:hint="eastAsia" w:ascii="仿宋_GB2312" w:eastAsia="仿宋_GB2312"/>
          <w:spacing w:val="-11"/>
          <w:sz w:val="32"/>
          <w:szCs w:val="32"/>
        </w:rPr>
        <w:t>月</w:t>
      </w:r>
      <w:r>
        <w:rPr>
          <w:rFonts w:hint="eastAsia" w:ascii="仿宋_GB2312" w:eastAsia="仿宋_GB2312"/>
          <w:spacing w:val="-11"/>
          <w:sz w:val="32"/>
          <w:szCs w:val="32"/>
          <w:lang w:val="en-US" w:eastAsia="zh-CN"/>
        </w:rPr>
        <w:t>30</w:t>
      </w:r>
      <w:r>
        <w:rPr>
          <w:rFonts w:hint="eastAsia" w:ascii="仿宋_GB2312" w:eastAsia="仿宋_GB2312"/>
          <w:spacing w:val="-11"/>
          <w:sz w:val="32"/>
          <w:szCs w:val="32"/>
        </w:rPr>
        <w:t>日印</w:t>
      </w:r>
      <w:r>
        <w:rPr>
          <w:rFonts w:hint="eastAsia" w:ascii="仿宋_GB2312" w:eastAsia="仿宋_GB2312"/>
          <w:spacing w:val="-11"/>
          <w:sz w:val="32"/>
          <w:szCs w:val="32"/>
          <w:lang w:eastAsia="zh-CN"/>
        </w:rPr>
        <w:t>发</w:t>
      </w:r>
      <w:r>
        <w:rPr>
          <w:rFonts w:hint="eastAsia" w:ascii="仿宋_GB2312" w:eastAsia="仿宋_GB2312"/>
          <w:spacing w:val="-11"/>
          <w:sz w:val="32"/>
          <w:szCs w:val="32"/>
          <w:lang w:val="en-US" w:eastAsia="zh-CN"/>
        </w:rPr>
        <w:t xml:space="preserve">  </w:t>
      </w:r>
    </w:p>
    <w:p>
      <w:pPr>
        <w:widowControl w:val="0"/>
        <w:wordWrap/>
        <w:adjustRightInd/>
        <w:snapToGrid/>
        <w:spacing w:before="0" w:after="0" w:line="30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eastAsia="仿宋_GB2312"/>
          <w:b/>
          <w:strike/>
          <w:sz w:val="32"/>
          <w:szCs w:val="32"/>
        </w:rPr>
        <w:t xml:space="preserve">                                                    </w:t>
      </w:r>
      <w:r>
        <w:rPr>
          <w:rFonts w:hint="eastAsia" w:ascii="仿宋_GB2312" w:eastAsia="仿宋_GB2312"/>
          <w:b/>
          <w:strike/>
          <w:sz w:val="32"/>
          <w:szCs w:val="32"/>
          <w:lang w:val="en-US" w:eastAsia="zh-CN"/>
        </w:rPr>
        <w:t xml:space="preserve"> </w:t>
      </w:r>
    </w:p>
    <w:sectPr>
      <w:footerReference r:id="rId3" w:type="default"/>
      <w:pgSz w:w="11906" w:h="16838"/>
      <w:pgMar w:top="1701"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6D72018"/>
    <w:rsid w:val="678D15A2"/>
    <w:rsid w:val="7A4E4B30"/>
    <w:rsid w:val="F63FC8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2021-12-27T15:30:00Z</dcterms:created>
  <dc:creator>家在远方</dc:creator>
  <cp:lastModifiedBy>zwk</cp:lastModifiedBy>
  <cp:lastPrinted>2021-12-28T09:59:00Z</cp:lastPrinted>
  <dcterms:modified xsi:type="dcterms:W3CDTF">2023-06-13T09:01:46Z</dcterms:modified>
  <dc:title>沁文广旅字〔2021〕号              签发人：郑  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F710F5D2803D44729E82E5A6A5DDF0DF</vt:lpwstr>
  </property>
</Properties>
</file>