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after="157" w:afterLines="50"/>
        <w:rPr>
          <w:rFonts w:hint="eastAsia" w:ascii="黑体" w:hAnsi="黑体" w:eastAsia="黑体"/>
          <w:b/>
          <w:color w:val="auto"/>
          <w:spacing w:val="0"/>
          <w:sz w:val="28"/>
          <w:szCs w:val="28"/>
        </w:rPr>
      </w:pPr>
      <w:r>
        <w:rPr>
          <w:rFonts w:hint="eastAsia" w:ascii="黑体" w:hAnsi="仿宋" w:eastAsia="黑体"/>
          <w:b/>
          <w:color w:val="auto"/>
          <w:spacing w:val="0"/>
          <w:sz w:val="28"/>
          <w:szCs w:val="28"/>
        </w:rPr>
        <w:t>附件</w:t>
      </w:r>
    </w:p>
    <w:p>
      <w:pPr>
        <w:snapToGrid w:val="0"/>
        <w:spacing w:beforeLines="0" w:after="157" w:afterLines="50"/>
        <w:jc w:val="center"/>
        <w:rPr>
          <w:rFonts w:hint="eastAsia" w:ascii="华文中宋" w:hAnsi="华文中宋" w:eastAsia="华文中宋"/>
          <w:b/>
          <w:color w:val="auto"/>
          <w:spacing w:val="-11"/>
          <w:sz w:val="42"/>
          <w:szCs w:val="24"/>
        </w:rPr>
      </w:pPr>
      <w:bookmarkStart w:id="0" w:name="_GoBack"/>
      <w:r>
        <w:rPr>
          <w:rFonts w:hint="eastAsia" w:ascii="华文中宋" w:hAnsi="华文中宋" w:eastAsia="华文中宋"/>
          <w:b/>
          <w:color w:val="auto"/>
          <w:spacing w:val="-11"/>
          <w:sz w:val="44"/>
          <w:szCs w:val="44"/>
        </w:rPr>
        <w:t>2022年区政府重点工作任务责任分解一览表</w:t>
      </w:r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4501"/>
        <w:gridCol w:w="875"/>
        <w:gridCol w:w="2537"/>
        <w:gridCol w:w="988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0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79"/>
              <w:rPr>
                <w:rFonts w:hint="eastAsia" w:ascii="黑体" w:hAnsi="黑体" w:eastAsia="黑体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序号</w:t>
            </w: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79"/>
              <w:jc w:val="center"/>
              <w:rPr>
                <w:rFonts w:hint="eastAsia" w:ascii="黑体" w:hAnsi="黑体" w:eastAsia="黑体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工  作  任  务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79"/>
              <w:rPr>
                <w:rFonts w:hint="eastAsia" w:ascii="黑体" w:hAnsi="黑体" w:eastAsia="黑体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完 成</w:t>
            </w:r>
          </w:p>
          <w:p>
            <w:pPr>
              <w:spacing w:beforeLines="0" w:afterLines="0" w:line="280" w:lineRule="exact"/>
              <w:ind w:left="79"/>
              <w:rPr>
                <w:rFonts w:hint="eastAsia" w:ascii="黑体" w:hAnsi="黑体" w:eastAsia="黑体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时 限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79"/>
              <w:jc w:val="center"/>
              <w:rPr>
                <w:rFonts w:hint="eastAsia" w:ascii="黑体" w:hAnsi="黑体" w:eastAsia="黑体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责任单位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79"/>
              <w:rPr>
                <w:rFonts w:hint="eastAsia" w:ascii="黑体" w:hAnsi="黑体" w:eastAsia="黑体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责任人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79"/>
              <w:jc w:val="center"/>
              <w:rPr>
                <w:rFonts w:hint="eastAsia" w:ascii="黑体" w:hAnsi="黑体" w:eastAsia="黑体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分管</w:t>
            </w:r>
          </w:p>
          <w:p>
            <w:pPr>
              <w:spacing w:beforeLines="0" w:afterLines="0" w:line="280" w:lineRule="exact"/>
              <w:ind w:left="79"/>
              <w:jc w:val="center"/>
              <w:rPr>
                <w:rFonts w:hint="eastAsia" w:ascii="黑体" w:hAnsi="黑体" w:eastAsia="黑体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2" w:hRule="atLeast"/>
          <w:jc w:val="center"/>
        </w:trPr>
        <w:tc>
          <w:tcPr>
            <w:tcW w:w="10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left"/>
              <w:rPr>
                <w:rFonts w:hint="default" w:ascii="宋体" w:hAnsi="宋体" w:cs="仿宋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（一）着力稳定经济增长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tLeast"/>
              <w:ind w:left="80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1</w:t>
            </w: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ind w:firstLine="422" w:firstLineChars="200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坚持项目为王。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  <w:t>始终把项目建设作为经济工作的主抓手，实施重点建设项目108个，年度完成投资245.9亿元。谋划中央预算内投资项目18个，总投资8.6亿元；29个专项债项目，申请债券资金31.1亿元。用足用活国开行、农发行专项贷款，力争融资项目资金18亿元。落实重大项目建设“1513”推进机制，完善“五大专班”联席会议制度，每季度开展重点项目和亮点工作观摩，形成比学赶超、大干快上的浓厚氛围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年底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区发改委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区财政局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陈建普左尚书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朱志勇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87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tLeast"/>
              <w:ind w:left="80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240" w:lineRule="atLeast"/>
              <w:ind w:firstLine="422" w:firstLineChars="200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0"/>
                <w:kern w:val="2"/>
                <w:sz w:val="21"/>
                <w:szCs w:val="21"/>
                <w:lang w:bidi="ar-SA"/>
              </w:rPr>
              <w:t>培育市场主体。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纵深推进“万人助万企”活动，落实“八个深化”，推进企业包联全覆盖，确保问题解决率保持在98%以上。全面落实重点行业减税降费、增值税留抵退税、技改贴息等惠企政策，全年减税降费7亿元以上。常态化开展“政银企”对接，探索实施重点企业“一企一策”金融定制服务。加快企业培育，推动中小微企业“个转企、小升规、规改股、股上市”，新增规上企业91家、上市企业1家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年底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firstLine="630" w:firstLineChars="30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区科工局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区税务局</w:t>
            </w:r>
          </w:p>
          <w:p>
            <w:pPr>
              <w:spacing w:before="157" w:beforeLines="50" w:after="157" w:afterLines="50" w:line="240" w:lineRule="atLeast"/>
              <w:ind w:firstLine="630" w:firstLineChars="30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张邦林冷春柏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朱志勇白  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3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tLeast"/>
              <w:ind w:left="80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3</w:t>
            </w: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firstLine="422" w:firstLineChars="200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激发消费潜力。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  <w:t>提升商业品质，完成胜利路步行街、万家灯火、汐悦广场商业综合体建设，完善城市有机更新片区商业配套，打造区域性消费中心。做强电商经济，强力推进电子商务产业园二期建设，打造浉河区电商实训基地，争创国家级电子商务示范基地。全力推进华润河南医药现代物流中心、信阳圆通市级快递分拨中心项目建设，持续凸显智慧物流优势。完善区乡村三级电商物流服务体系，建设233个村级物流节点，推动快递进村，打造一刻钟便民生活圈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年底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区住建局</w:t>
            </w:r>
          </w:p>
          <w:p>
            <w:pPr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-11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11"/>
                <w:kern w:val="2"/>
                <w:sz w:val="21"/>
                <w:szCs w:val="21"/>
              </w:rPr>
              <w:t>区邮政业和电商物流中心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金牛物流产业集聚区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朱晓波王堃锦周  南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吴继宏白  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6" w:hRule="atLeast"/>
          <w:jc w:val="center"/>
        </w:trPr>
        <w:tc>
          <w:tcPr>
            <w:tcW w:w="10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default" w:ascii="宋体" w:hAnsi="宋体" w:cs="仿宋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（二）着力深化改革创新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47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4</w:t>
            </w: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djustRightInd w:val="0"/>
              <w:snapToGrid w:val="0"/>
              <w:spacing w:before="0" w:beforeAutospacing="0" w:after="0" w:afterAutospacing="0" w:line="240" w:lineRule="atLeast"/>
              <w:ind w:firstLine="422" w:firstLineChars="200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0"/>
                <w:kern w:val="2"/>
                <w:sz w:val="21"/>
                <w:szCs w:val="21"/>
                <w:lang w:bidi="ar-SA"/>
              </w:rPr>
              <w:t>营造最优营商环境。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坚决打好营商环境翻身仗，确保2021年全区营商环境一级指标摆脱落后方阵。5月底前完成第一批47项执法事项下放乡镇（街道），实现一支队伍管执法；10项涉及乡镇（街道）协同落实事项纳入区乡协同事项联办清单，154项政务服务事项下沉乡村“就近办”，推进政务服务标准化、规范化、便利化，全面实现政务服务事项“网上办、掌上办、就近办、一次办”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年底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</w:p>
          <w:p>
            <w:pPr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-11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11"/>
                <w:kern w:val="2"/>
                <w:sz w:val="21"/>
                <w:szCs w:val="21"/>
              </w:rPr>
              <w:t>区委改革办</w:t>
            </w:r>
          </w:p>
          <w:p>
            <w:pPr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-11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11"/>
                <w:kern w:val="2"/>
                <w:sz w:val="21"/>
                <w:szCs w:val="21"/>
              </w:rPr>
              <w:t>区发改委</w:t>
            </w:r>
          </w:p>
          <w:p>
            <w:pPr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-11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11"/>
                <w:kern w:val="2"/>
                <w:sz w:val="21"/>
                <w:szCs w:val="21"/>
              </w:rPr>
              <w:t>区政务服务和大数据管理局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区行政服务中心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张清涛陈建普徐良臻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朱志勇华运君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99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5</w:t>
            </w: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ind w:firstLine="422" w:firstLineChars="200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推进更深层次改革。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  <w:t>上半年完成区发投公司、金牛山投融资公司、金禹水利公司及其他国有公司改革方案编制，建立现代企业制度。年底前完成事业单位重塑性改革，为高质量发展增添活力。深化农村集体产权制度改革，启动农村宅基地制度改革，农村房地一体确权登记颁证率达到95%以上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年底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区财政局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区委编办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区农业农村局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左尚书王同森张  兵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朱志勇冯海国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10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6</w:t>
            </w: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ind w:firstLine="422" w:firstLineChars="200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打造更高能级平台。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  <w:t>加强“标准地”供应，在集聚区整理1000亩土地，拟以“标准地”方式出让，让企业拿地即开工。盘活低效用地，腾退标准化厂房6万平方米，清退4家低效企业，盘活土地577亩，增加土地供给。全面推行产业集聚区“管委会+公司”“三化三制”改革，完成新申办事处筹建处“五办五中心”组建，让集聚区管委会聚焦经济发展主责主业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年底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金牛物流产业集聚区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区自然资源局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周  南徐洪城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吴继宏白  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9" w:hRule="atLeast"/>
          <w:jc w:val="center"/>
        </w:trPr>
        <w:tc>
          <w:tcPr>
            <w:tcW w:w="10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left"/>
              <w:rPr>
                <w:rFonts w:hint="default" w:ascii="宋体" w:hAnsi="宋体" w:cs="仿宋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sz w:val="21"/>
                <w:szCs w:val="21"/>
              </w:rPr>
              <w:t>（三）</w:t>
            </w:r>
            <w:r>
              <w:rPr>
                <w:rFonts w:hint="eastAsia" w:ascii="楷体_GB2312" w:hAnsi="楷体_GB2312" w:eastAsia="楷体_GB2312" w:cs="楷体_GB2312"/>
                <w:b/>
                <w:color w:val="auto"/>
                <w:spacing w:val="0"/>
                <w:sz w:val="21"/>
                <w:szCs w:val="21"/>
              </w:rPr>
              <w:t>着力壮大优势产业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91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7</w:t>
            </w: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ind w:left="79" w:firstLine="422" w:firstLineChars="200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“三年倍增”做大增量。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  <w:t>大力实施工业“三年倍增”计划。全年完成工业投资60亿元，全区工业主营营业收入达到60亿元。谷麦光电智能显示模组项目开工建设，今上半导体二期、壹辰光学、创维达手机、若邦半导体、星原光电等项目建成投产。实施“双链”驱动工程。上半年，“链主企业”谷麦光电三期建成投产，年内实现主板上市，三年内市值、产值达到双百亿。加快推进“链主项目”电子信息智造科技园建设，为全市电子信息产业集聚发展提供浉河平台，确保完成全年主导产业50亿元主营业务收入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年底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区科工局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张邦林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白  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91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8</w:t>
            </w: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ind w:left="79" w:firstLine="422" w:firstLineChars="200"/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提质转型做优存量。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  <w:t>加快新旧动能转换步伐，实施工业三大改造项目20个。加快二纺机智能化改造、星宇航天智能产业园、银光机械汽车零配件生产线等项目建设，推动工业提质升级。加强企业培育，培育国家级专精特新企业2家，省级专精特新企业10家。大力推行规上工业企业研发活动全覆盖，做到有研发平台、有研发人员、有研发经费、有产学研结合，年内规上工业企业研发活动覆盖率达到50%以上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年底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区科工局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张邦林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白  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61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9</w:t>
            </w: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firstLine="422" w:firstLineChars="200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开放招商做强变量。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  <w:t>创新沟通方式，从“面对面”转化为“屏对屏”，将疫情的“危”转化为发展的“机”。坚持“二分之一”工作法，紧盯长三角、粤港澳、大武汉，突出主导产业，加强产业链招商、亲情招商、以商招商，推进资本招商，依托平台招商等多种方式开展招商工作。全年招引并落地5000万元项目43个以上，其中，亿元以上“1+1”产业项目27个以上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年底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区投资服务中心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张廷迅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白  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5" w:hRule="atLeast"/>
          <w:jc w:val="center"/>
        </w:trPr>
        <w:tc>
          <w:tcPr>
            <w:tcW w:w="10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left"/>
              <w:rPr>
                <w:rFonts w:hint="default" w:ascii="宋体" w:hAnsi="宋体" w:cs="仿宋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sz w:val="21"/>
                <w:szCs w:val="21"/>
              </w:rPr>
              <w:t>（四）</w:t>
            </w:r>
            <w:r>
              <w:rPr>
                <w:rFonts w:hint="eastAsia" w:ascii="楷体_GB2312" w:hAnsi="楷体_GB2312" w:eastAsia="楷体_GB2312" w:cs="楷体_GB2312"/>
                <w:b/>
                <w:color w:val="auto"/>
                <w:spacing w:val="0"/>
                <w:sz w:val="21"/>
                <w:szCs w:val="21"/>
              </w:rPr>
              <w:t>着力实施乡村振兴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65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10</w:t>
            </w: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ind w:firstLine="422" w:firstLineChars="200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做优一个示范。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  <w:t>加快乡村振兴示范区建设，以国家级现代农业产业园为载体，以董家河镇、浉河港镇为核心支撑，统筹各类要素资源，推广“示范区+合作社+农户”模式，全年培育农民专业合作社80个、家庭农场20家、涉农经营生产主体800家，打造“特色鲜明、省内领先、全国一流、示范出彩”的乡村振兴示范区。因地制宜高标准做好集镇发展规划，优化空间布局，年底前将董家河镇、浉河港镇建成达标集镇，加速城乡融合发展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年底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区农业农村局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区乡村振兴局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区自然资源局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张  兵韩列贵徐洪城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冯海国吴继宏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72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11</w:t>
            </w: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 w:firstLine="422" w:firstLineChars="200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做强一个产业。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  <w:t>高标准编制《信阳毛尖“十四五”高质量发展规划》，推动农村产业一二三产融合。做优一产。实施“改良、提质、赋能”三大工程，支持信阳10号良种繁育示范基地建设，新发展油茶、改造低产油茶各2500亩，新增茶园绿色防控面积2000亩。做强二产。拉长精深加工链条，推动规上茶企拓展夏秋茶生产，夏秋茶产值突破40亿元。出台中小茶企“升规纳统”扶持政策，新增规上茶企6家，总量达到20家。依托国家农业科技园、国家级现代农业产业园，再引进茶企5家，培育市级以上合作社5家、市级龙头企业20家以上。通过“信阳绿茶中欧班列”，出口茶叶达到5000吨。做活三产。加快绿色金融“六个一”推广应用，全年绿色金融贷款达到6亿元。深度推进茶旅融合，做强全域旅游品牌，涉茶综合产值突破100亿元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年底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区林茶局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区商务局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区金融办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区文旅局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李振华高言富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胡固新杨冬梅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朱志勇杨  鹭冯海国白  鹤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32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12</w:t>
            </w: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ind w:firstLine="422" w:firstLineChars="200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做好一项工程。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  <w:t>持续做好防返贫动态监测和帮扶工作，巩固拓展脱贫攻坚成果。深入推进“百千工程”，打造高品质乡村生活样板。深入整治“六乱”，全面开展“六清”，推动农村人居环境“四起来”，年内打造18个示范引领村，创建90个生态宜居示范村，全区所有行政村实现达标。解决5.6万农村人口饮水安全问题，建设吴家店、游河、董家河、东双河4个镇区供水工程。完成白沙河水系连通及农村水系整治工程，治理水土流失14平方公里，对5座小型水库实施除险加固。深化农村厕所革命，完成改厕2400户。聚焦“三化九场景”，打造浉河港镇郝家冲茶山未来乡村样板，推进一镇一未来乡村建设。全面完成农村公益性公墓建设，倡树殡葬新风，推动移风易俗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年底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区巩固拓展办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区乡村振兴局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区农业农村局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区水利局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区民政局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韩列贵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张  兵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周  建余华亮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高志安冯海国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2" w:hRule="atLeast"/>
          <w:jc w:val="center"/>
        </w:trPr>
        <w:tc>
          <w:tcPr>
            <w:tcW w:w="10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left"/>
              <w:rPr>
                <w:rFonts w:hint="default" w:ascii="宋体" w:hAnsi="宋体" w:cs="仿宋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sz w:val="21"/>
                <w:szCs w:val="21"/>
              </w:rPr>
              <w:t>（五）</w:t>
            </w:r>
            <w:r>
              <w:rPr>
                <w:rFonts w:hint="eastAsia" w:ascii="楷体_GB2312" w:hAnsi="楷体_GB2312" w:eastAsia="楷体_GB2312" w:cs="楷体_GB2312"/>
                <w:b/>
                <w:color w:val="auto"/>
                <w:spacing w:val="0"/>
                <w:sz w:val="21"/>
                <w:szCs w:val="21"/>
              </w:rPr>
              <w:t>着力建造花园城市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58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13</w:t>
            </w: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 w:firstLine="422" w:firstLineChars="200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城市功能提质。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  <w:t>不断强化城市基础设施建设，优化社会公共服务。推进海绵城市建设，完成三里店河桥、湖东沟桥2处河道卡点工程。对中心城区主次干道63处积水点、19处城市易涝点分批次实施改造，提升城市韧性。加快工区路、开放路、和谐路等9条断头路建设，完成新七大道与北京大街交叉口等9处渠化改造，打造高效便捷“城市交通圈”。加强城市山体、水系、绿道保护，实施浉河一期改造提升工程，启动浉河景观带建设，完成龟山公园二期、琵琶山公园建设，建成坪溪园二期、十里河游园等城市口袋公园30个以上。新建10座城市书房，增设公共停车位5000个以上，增加居民活动场所15个以上，优化城市服务供给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年底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区城市管理局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区住建局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吴  鸿朱晓波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吴继宏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26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14</w:t>
            </w: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firstLine="422" w:firstLineChars="200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城市建设提速。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  <w:t>梯次推进城市有机更新，加快已实施片区供地，平西、两河口、三里店、五里墩4个片区安置区主体工程年内封顶。开展老旧小区、老旧厂区、老旧街区和城中村“三区一村”改造。实施老旧小区改造79个，加快推进红星二组、红星三组、金牛社区、平西社区棚改项目建设，开工建设英才小区、文华苑保障性租赁住房1500套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年底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区住建局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朱晓波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吴继宏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16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15</w:t>
            </w: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tLeast"/>
              <w:ind w:firstLine="422" w:firstLineChars="200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城市运营提效。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  <w:t>实施城市畅通行动，加大交通秩序整治，着力解决重点区域、重点时段拥堵问题。深化城市社区网格化管理，进一步提升934个“红色港湾”服务功能。智慧城市建设提速，新建5G基站100个以上，数字化城管案件处置率达到100%。完成机关事业单位“拆墙透绿”，推动中心城区围挡“清零”，建设无围墙城市。全面推行中心城区拆迁“房票”安置工作，积极稳妥化解拆迁群众长期未安置问题；6月底前基本完成问题楼盘化解任务，促进房地产业良性循环和健康发展，推动城市建设由开发型向运营型转变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157" w:beforeLines="50" w:after="157" w:afterLines="5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年底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区委组织部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区科工局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区城市管理局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区住建局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朱  敏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张邦林吴  鸿朱晓波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朱志勇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吴继宏白  鹤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2" w:hRule="atLeast"/>
          <w:jc w:val="center"/>
        </w:trPr>
        <w:tc>
          <w:tcPr>
            <w:tcW w:w="10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left"/>
              <w:rPr>
                <w:rFonts w:hint="default" w:ascii="宋体" w:hAnsi="宋体" w:cs="仿宋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sz w:val="21"/>
                <w:szCs w:val="21"/>
              </w:rPr>
              <w:t>（六）</w:t>
            </w:r>
            <w:r>
              <w:rPr>
                <w:rFonts w:hint="eastAsia" w:ascii="楷体_GB2312" w:hAnsi="楷体_GB2312" w:eastAsia="楷体_GB2312" w:cs="楷体_GB2312"/>
                <w:b/>
                <w:color w:val="auto"/>
                <w:spacing w:val="0"/>
                <w:sz w:val="21"/>
                <w:szCs w:val="21"/>
              </w:rPr>
              <w:t>着力推进交旅融合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10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16</w:t>
            </w: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ind w:firstLine="422" w:firstLineChars="200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贯通路网“保快进”。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  <w:t>聚焦建设区域性互联互通综合交通枢纽，配合做好明鸡高速、信随高速、G107、G312绕城新建工程，优化现代化高质量公路网。实施农村公路建设“三个一百”计划，新建农村公路400公里以上，争创省级“四好农村路”示范区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年底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default" w:ascii="宋体"/>
                <w:color w:val="auto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区交通运输局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汪志刚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杨  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02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17</w:t>
            </w: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ind w:firstLine="422" w:firstLineChars="200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丰富供给“享慢游”。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  <w:t>加快“两湖”区域建设，配合做好“两湖”区域概念性规划。开展乡村旅游示范村创建，创成2个省级乡村旅游示范村、4个市级乡村旅游示范村、12个区级乡村旅游示范村。实施交旅融合示范工程，上半年建设环南湾湖最美乡村旅游公路、浉河港至四望山红色旅游公路，年内完成信阳1号旅游风景道（G107线宝石桥至豫鄂省界段）提质改造。加快发展民宿经济，何家寨露营基地、花海人家建成启用，每个乡镇新增民宿1家以上；引进借宿、小住一下、斯维登、宿描等优质团队，建设10家精品民宿，全区民宿达到30家以上。加快信阳菜数智文化文旅产业园建设，创新推出“浉河茶宴”“柳林豆腐宴”；支持吴家店镇建设信阳菜深加工项目，加快信阳养生菜品牌示范（连锁）店建设，打造“美好生活·食尚信阳”品牌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年底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区发改委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区文旅局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区交通运输局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陈建普杨冬梅汪志刚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朱志勇杨  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47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18</w:t>
            </w: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ind w:firstLine="422" w:firstLineChars="200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打造亮点“提品质”。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  <w:t>推进A级景区提质升级，实施文新茶村、信阳书画院基础设施提升工程。保护利用好红色文化资源，实施四望山新四军五师旧址群、柳林革命旧址、袁家大楼修缮保护，启动红二十五军穿越平汉铁路文化展示带建设。提高基层公共文化设施使用效率，打造一批乡村文化合作社示范样板，全区乡村文化合作社覆盖率达到40%，提升乡村文化“软实力”，提振乡村振兴“精气神”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年底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文旅局进展情况：完善景区基础设施，文新茶村建设生态停车场一处，茶文化展示中心一处；信阳市四望山新四军五师旧址群修缮保护二期工程首批资金150万元已下达，目前正在办理政府采购招投标相关手续。已编制完成《信阳市袁家大楼维修保护设计方案》，相关资料已按流程上报省文物局审核，方案审核通过后可申请省级文物保护抢救性维修经费，对袁家大楼进行抢救性维修保护。正在编制《信阳柳林革命旧址一期修缮保护设计方案》；目前已注册乡村文化合作社95家，全区各乡镇、办事处乡村文化合作社建设达到全覆盖，在全市文化合作社建设工作中，我区成立文化合作社数量最多，排名第一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杨冬梅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杨  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5" w:hRule="atLeast"/>
          <w:jc w:val="center"/>
        </w:trPr>
        <w:tc>
          <w:tcPr>
            <w:tcW w:w="10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left"/>
              <w:rPr>
                <w:rFonts w:hint="default" w:ascii="宋体" w:hAnsi="宋体" w:cs="仿宋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sz w:val="21"/>
                <w:szCs w:val="21"/>
              </w:rPr>
              <w:t>（七）</w:t>
            </w:r>
            <w:r>
              <w:rPr>
                <w:rFonts w:hint="eastAsia" w:ascii="楷体_GB2312" w:hAnsi="楷体_GB2312" w:eastAsia="楷体_GB2312" w:cs="楷体_GB2312"/>
                <w:b/>
                <w:color w:val="auto"/>
                <w:spacing w:val="0"/>
                <w:sz w:val="21"/>
                <w:szCs w:val="21"/>
              </w:rPr>
              <w:t>着力推动生态建设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19</w:t>
            </w: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ind w:firstLine="422" w:firstLineChars="200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保卫好蓝天。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  <w:t>持续狠抓“六控”，严格落实“六个百分百”，确保全年优良天数达到300天以上，PM2.5年均浓度控制在35微克/立方米以下，全区空气质量实现国家二级达标，各项指标稳居省市前列。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年底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区环境攻坚办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11"/>
                <w:kern w:val="2"/>
                <w:sz w:val="21"/>
                <w:szCs w:val="21"/>
              </w:rPr>
              <w:t>市生态环境局直属一分局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许厚军邹法俊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朱志勇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11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20</w:t>
            </w: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ind w:firstLine="422" w:firstLineChars="200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守护好绿水。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  <w:t>加快推进农村生活污水收集处理、南湾水库上游7条河流“一河一策”、南湾湖水环境综合治理等项目建设，改善入库水质。乡镇政府所在地生活污水实现应收尽收、集中处理，全区地表水11个考核断面全部实现保Ⅲ争Ⅱ。认真落实河湖长制，强化“人防+技防”，加快智慧河湖建设，打造特色“样板河湖”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年底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-11"/>
                <w:kern w:val="2"/>
                <w:sz w:val="21"/>
                <w:szCs w:val="21"/>
              </w:rPr>
            </w:pP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11"/>
                <w:kern w:val="2"/>
                <w:sz w:val="21"/>
                <w:szCs w:val="21"/>
              </w:rPr>
              <w:t>市生态环境局直属一分局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区水利局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邹法俊周  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朱志勇冯海国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58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21</w:t>
            </w: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ind w:firstLine="422" w:firstLineChars="200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保护好净土。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  <w:t>加强农业面源污染管控，确保农用地安全利用。加快推进原信阳化工总厂农药厂污染地块修复治理，完善风险管控措施，启动风险管控工程，确保明年6月底前整改销号。认真做好矿产资源管理和地质灾害防治，完成33处废弃矿山生态修复治理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年底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区农业农村局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区环境攻坚办</w:t>
            </w:r>
          </w:p>
          <w:p>
            <w:pPr>
              <w:spacing w:beforeLines="0" w:afterLines="0" w:line="240" w:lineRule="atLeast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市生态环境局直属一分局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default" w:ascii="宋体"/>
                <w:color w:val="auto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区矿管办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张  兵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许厚军邹法俊高传武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朱志勇冯海国吴继宏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61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22</w:t>
            </w: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ind w:firstLine="422" w:firstLineChars="200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营造好生态。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  <w:t>不断擦亮生态底色，放大生态效益，争创“两山”理论创新实践基地。认真落实林长制，推进国土空间绿化，完成中幼林抚育1.9万亩，建成市级以上森林乡村6个，创建国家生态文明建设示范区、“中国天然氧吧”，争创国家级森林特色小镇1个、省级森林康养基地1所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年底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-11"/>
                <w:kern w:val="2"/>
                <w:sz w:val="21"/>
                <w:szCs w:val="21"/>
              </w:rPr>
            </w:pP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-11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11"/>
                <w:kern w:val="2"/>
                <w:sz w:val="21"/>
                <w:szCs w:val="21"/>
              </w:rPr>
              <w:t>市生态环境局直属一分局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区林茶局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邹法俊李振华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朱志勇冯海国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5" w:hRule="atLeast"/>
          <w:jc w:val="center"/>
        </w:trPr>
        <w:tc>
          <w:tcPr>
            <w:tcW w:w="10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left"/>
              <w:rPr>
                <w:rFonts w:hint="default" w:ascii="宋体" w:hAnsi="宋体" w:cs="仿宋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sz w:val="21"/>
                <w:szCs w:val="21"/>
              </w:rPr>
              <w:t>（八）</w:t>
            </w:r>
            <w:r>
              <w:rPr>
                <w:rFonts w:hint="eastAsia" w:ascii="楷体_GB2312" w:hAnsi="楷体_GB2312" w:eastAsia="楷体_GB2312" w:cs="楷体_GB2312"/>
                <w:b/>
                <w:color w:val="auto"/>
                <w:spacing w:val="0"/>
                <w:sz w:val="21"/>
                <w:szCs w:val="21"/>
              </w:rPr>
              <w:t>着力引领品质生活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14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23</w:t>
            </w: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ind w:firstLine="422" w:firstLineChars="200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突出就业优先。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  <w:t>健全完善公共就业创业服务体系，加强公益性岗位开发，做好高校毕业生、退役军人、农民工、就业困难人员等重点群体就业，新增城镇就业1万人以上、农村劳动力转移就业4000人以上。高质量推进“人人持证、技能河南”建设，全年培训1.8万人次以上，培养高技能人才5800人，实现1.4万人持证，再吸纳高校毕业生就业1400人，为高质量发展提供人才支撑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年底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区人社局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易祖斌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高志安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11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24</w:t>
            </w: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ind w:firstLine="422" w:firstLineChars="200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优化教育资源。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  <w:t>持续扩充优质教育资源，加快推动春华学校、新时代学校、三小正弘新城分校及大拱桥幼儿园、马鞍幼儿园、东双河幼儿园等一批项目建设，新增学位5080个。强化教师队伍建设，加大教师招引力度，引进300名中小学教师，建成115套农村教师周转宿舍。持续巩固“双减”工作成效，规范校外培训行为。开工建设浉河区劳动教育实践基地和研学旅行基地，区教育信息大数据中心建成使用，争创国家智慧教育示范区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年底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区教体局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岑峻峰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杨  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86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25</w:t>
            </w: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ind w:firstLine="422" w:firstLineChars="200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打造健康浉河。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  <w:t>以紧密型医共体建设为抓手，构建覆盖全域的疾病防控和救治体系，提高应对突发重大公共卫生事件应急能力。支持市精神病院创建三级精神类专科医院。推进卫生资源下沉，实施浉河港镇、柳林乡、十三里桥乡等8所乡镇卫生院实施整体迁建工程，支持吴家店镇卫生院、游河乡卫生院创建二级综合医院，实现乡镇卫生院、社区卫生服务中心服务能力全面达标，提升基层医疗服务能力。坚持“外防输入、内防反弹”，常态化开展实战演练，年底前核酸日检测能力达到51.7万份，集中隔离房间达到2489间，筑牢疫情防控“铜墙铁壁”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年底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区卫健委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张  泓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冯海国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26</w:t>
            </w: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ind w:firstLine="422" w:firstLineChars="200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强化社会保障。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  <w:t>纵深推进全民参保计划，推动城乡居民养老保险、医疗保险“应保尽保”。大力发展企业年金，全面实施职业年金，建立个人养老金制度。落实失业保险和工伤保险省级统筹政策，按要求提高企业和机关事业单位退休人员基本养老金。推进城区规范化社区建设，打造3个市级规范化社区。提升农村养老水平，30%以上村（居）推广戴畈模式居家上门服务。完善社区居家养老服务建设，实施特殊困难老年人家庭适老化改造，完成500张家庭养老床位建设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年底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区人社局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区医保局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区民政局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易祖斌刘传相余华亮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高志安冯海国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10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27</w:t>
            </w: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ind w:firstLine="422" w:firstLineChars="200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pacing w:val="0"/>
                <w:kern w:val="2"/>
                <w:sz w:val="21"/>
                <w:szCs w:val="21"/>
              </w:rPr>
              <w:t>提升治理水平。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  <w:lang w:bidi="ar"/>
              </w:rPr>
              <w:t>防范化解安全生产风险，严格落实“三管三必须”要求，纵深推进安全生产专项整治三年行动，深化消防、建筑施工、危化品等9大重点领域系统治理，重点企业安全生产执法检查覆盖率达到100%，坚决遏制较大以上安全生产事故发生。深刻汲取郑州“7·20”特大暴雨灾害教训，构建抵御自然灾害防线，持续完善区、乡、村三级自然灾害应急预案。强化应急救援队伍建设，培训各类救援力量600人以上，常态化开展应急演练，全面提升实战能力。深化“三零”平安创建，健全完善矛盾纠纷多元化解机制，严厉打击电信网络诈骗等各类违法犯罪活动。做好金融、政府债务、信访等领域风险防范化解工作，营造平稳健康的发展环境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年底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区应急管理局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市公安局浉河分局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区金融办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区财政局</w:t>
            </w:r>
          </w:p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区信访局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周家升杨春历胡固新左尚书张  勇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ind w:left="80"/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"/>
                <w:sz w:val="21"/>
                <w:szCs w:val="21"/>
              </w:rPr>
              <w:t>朱志勇杨春历</w:t>
            </w:r>
          </w:p>
        </w:tc>
      </w:tr>
    </w:tbl>
    <w:p>
      <w:pPr>
        <w:pStyle w:val="2"/>
        <w:spacing w:beforeLines="0" w:afterLines="0"/>
        <w:rPr>
          <w:rFonts w:hint="default"/>
          <w:color w:val="auto"/>
          <w:sz w:val="32"/>
          <w:szCs w:val="20"/>
        </w:rPr>
      </w:pPr>
    </w:p>
    <w:p>
      <w:pPr>
        <w:rPr>
          <w:color w:val="auto"/>
        </w:rPr>
      </w:pPr>
    </w:p>
    <w:sectPr>
      <w:footerReference r:id="rId4" w:type="default"/>
      <w:pgSz w:w="11906" w:h="16838"/>
      <w:pgMar w:top="1440" w:right="1797" w:bottom="1440" w:left="1797" w:header="1474" w:footer="1361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0" w:afterLines="0"/>
      <w:ind w:right="360"/>
      <w:rPr>
        <w:rFonts w:hint="default" w:ascii="宋体"/>
        <w:sz w:val="28"/>
        <w:szCs w:val="28"/>
      </w:rPr>
    </w:pPr>
    <w:r>
      <w:rPr>
        <w:rFonts w:hint="default"/>
        <w:sz w:val="2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 w:asci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 w:ascii="宋体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宋体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宋体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/>
                              <w:sz w:val="1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default" w:ascii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0hbt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a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tIW7dAQAAvgMAAA4AAAAAAAAA&#10;AQAgAAAAHgEAAGRycy9lMm9Eb2MueG1sUEsFBgAAAAAGAAYAWQEAAG0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 w:ascii="宋体"/>
                        <w:sz w:val="18"/>
                        <w:szCs w:val="18"/>
                      </w:rPr>
                    </w:pPr>
                    <w:r>
                      <w:rPr>
                        <w:rFonts w:hint="default" w:ascii="宋体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 w:ascii="宋体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default" w:ascii="宋体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宋体"/>
                        <w:sz w:val="18"/>
                        <w:szCs w:val="18"/>
                      </w:rPr>
                      <w:t>- 1 -</w:t>
                    </w:r>
                    <w:r>
                      <w:rPr>
                        <w:rFonts w:hint="default" w:ascii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mJhOTgyNGE5NGQ4NDcxYjA2YzViYzc5ZTljOTcifQ=="/>
  </w:docVars>
  <w:rsids>
    <w:rsidRoot w:val="00172A27"/>
    <w:rsid w:val="30CB4551"/>
    <w:rsid w:val="5A353B6D"/>
    <w:rsid w:val="5ABE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黑体"/>
      <w:snapToGrid w:val="0"/>
      <w:spacing w:val="-4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Lines="0" w:after="120" w:afterLines="0"/>
    </w:pPr>
    <w:rPr>
      <w:rFonts w:hint="default"/>
      <w:sz w:val="32"/>
      <w:szCs w:val="20"/>
    </w:rPr>
  </w:style>
  <w:style w:type="paragraph" w:customStyle="1" w:styleId="3">
    <w:name w:val="正文文本 21"/>
    <w:basedOn w:val="1"/>
    <w:unhideWhenUsed/>
    <w:qFormat/>
    <w:uiPriority w:val="99"/>
    <w:pPr>
      <w:spacing w:beforeLines="0" w:afterLines="0" w:line="480" w:lineRule="auto"/>
    </w:pPr>
    <w:rPr>
      <w:rFonts w:hint="default"/>
      <w:sz w:val="32"/>
      <w:szCs w:val="2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hint="default"/>
      <w:sz w:val="24"/>
      <w:szCs w:val="24"/>
      <w:lang w:bidi="ar"/>
    </w:rPr>
  </w:style>
  <w:style w:type="paragraph" w:customStyle="1" w:styleId="8">
    <w:name w:val="浉河要闻"/>
    <w:basedOn w:val="1"/>
    <w:qFormat/>
    <w:uiPriority w:val="0"/>
    <w:pPr>
      <w:widowControl/>
      <w:spacing w:line="580" w:lineRule="exact"/>
      <w:ind w:firstLine="420" w:firstLineChars="200"/>
    </w:pPr>
    <w:rPr>
      <w:rFonts w:hint="eastAsia" w:ascii="宋体" w:hAnsi="宋体" w:eastAsia="宋体" w:cs="宋体"/>
      <w:color w:val="000000"/>
      <w:kern w:val="0"/>
      <w:szCs w:val="21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市委外事工作委员会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2023-06-30T13:27:00Z</dcterms:created>
  <dc:creator>姬君</dc:creator>
  <cp:lastModifiedBy>姬君</cp:lastModifiedBy>
  <dcterms:modified xsi:type="dcterms:W3CDTF">2023-06-30T13:27:21Z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C74DD1BB51F74A31A50964EDE7237E89_11</vt:lpwstr>
  </property>
</Properties>
</file>