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黑体" w:hAnsi="宋体" w:eastAsia="黑体" w:cs="宋体"/>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黑体" w:hAnsi="宋体" w:eastAsia="黑体" w:cs="宋体"/>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ascii="黑体" w:hAnsi="宋体" w:eastAsia="黑体" w:cs="宋体"/>
          <w:color w:val="000000" w:themeColor="text1"/>
          <w:kern w:val="0"/>
          <w:sz w:val="32"/>
          <w:szCs w:val="32"/>
          <w14:textFill>
            <w14:solidFill>
              <w14:schemeClr w14:val="tx1"/>
            </w14:solidFill>
          </w14:textFill>
        </w:rPr>
      </w:pPr>
    </w:p>
    <w:p>
      <w:pPr>
        <w:keepNext w:val="0"/>
        <w:keepLines w:val="0"/>
        <w:pageBreakBefore w:val="0"/>
        <w:widowControl/>
        <w:tabs>
          <w:tab w:val="left" w:pos="426"/>
          <w:tab w:val="left" w:pos="7513"/>
          <w:tab w:val="left" w:pos="7938"/>
          <w:tab w:val="left" w:pos="8080"/>
          <w:tab w:val="left" w:pos="8222"/>
          <w:tab w:val="left" w:pos="8505"/>
          <w:tab w:val="left" w:pos="8647"/>
        </w:tabs>
        <w:kinsoku/>
        <w:wordWrap/>
        <w:overflowPunct/>
        <w:topLinePunct w:val="0"/>
        <w:autoSpaceDE/>
        <w:autoSpaceDN/>
        <w:bidi w:val="0"/>
        <w:adjustRightInd/>
        <w:snapToGrid/>
        <w:spacing w:line="520" w:lineRule="exact"/>
        <w:jc w:val="center"/>
        <w:textAlignment w:val="auto"/>
        <w:rPr>
          <w:rFonts w:ascii="黑体" w:hAnsi="宋体" w:eastAsia="黑体" w:cs="宋体"/>
          <w:color w:val="000000" w:themeColor="text1"/>
          <w:kern w:val="0"/>
          <w:sz w:val="32"/>
          <w:szCs w:val="32"/>
          <w14:textFill>
            <w14:solidFill>
              <w14:schemeClr w14:val="tx1"/>
            </w14:solidFill>
          </w14:textFill>
        </w:rPr>
      </w:pPr>
    </w:p>
    <w:p>
      <w:pPr>
        <w:keepNext w:val="0"/>
        <w:keepLines w:val="0"/>
        <w:pageBreakBefore w:val="0"/>
        <w:widowControl/>
        <w:tabs>
          <w:tab w:val="left" w:pos="426"/>
          <w:tab w:val="left" w:pos="7513"/>
          <w:tab w:val="left" w:pos="7938"/>
          <w:tab w:val="left" w:pos="8080"/>
          <w:tab w:val="left" w:pos="8222"/>
          <w:tab w:val="left" w:pos="8505"/>
          <w:tab w:val="left" w:pos="8647"/>
        </w:tabs>
        <w:kinsoku/>
        <w:wordWrap/>
        <w:overflowPunct/>
        <w:topLinePunct w:val="0"/>
        <w:autoSpaceDE/>
        <w:autoSpaceDN/>
        <w:bidi w:val="0"/>
        <w:adjustRightInd/>
        <w:snapToGrid/>
        <w:spacing w:line="520" w:lineRule="exact"/>
        <w:jc w:val="center"/>
        <w:textAlignment w:val="auto"/>
        <w:rPr>
          <w:rFonts w:ascii="黑体" w:hAnsi="宋体" w:eastAsia="黑体" w:cs="宋体"/>
          <w:color w:val="000000" w:themeColor="text1"/>
          <w:kern w:val="0"/>
          <w:sz w:val="32"/>
          <w:szCs w:val="32"/>
          <w14:textFill>
            <w14:solidFill>
              <w14:schemeClr w14:val="tx1"/>
            </w14:solidFill>
          </w14:textFill>
        </w:rPr>
      </w:pPr>
    </w:p>
    <w:p>
      <w:pPr>
        <w:keepNext w:val="0"/>
        <w:keepLines w:val="0"/>
        <w:pageBreakBefore w:val="0"/>
        <w:widowControl/>
        <w:tabs>
          <w:tab w:val="left" w:pos="426"/>
          <w:tab w:val="left" w:pos="7513"/>
          <w:tab w:val="left" w:pos="7938"/>
          <w:tab w:val="left" w:pos="8080"/>
          <w:tab w:val="left" w:pos="8222"/>
          <w:tab w:val="left" w:pos="8505"/>
          <w:tab w:val="left" w:pos="8647"/>
        </w:tabs>
        <w:kinsoku/>
        <w:wordWrap/>
        <w:overflowPunct/>
        <w:topLinePunct w:val="0"/>
        <w:autoSpaceDE/>
        <w:autoSpaceDN/>
        <w:bidi w:val="0"/>
        <w:adjustRightInd/>
        <w:snapToGrid/>
        <w:spacing w:line="520" w:lineRule="exact"/>
        <w:jc w:val="center"/>
        <w:textAlignment w:val="auto"/>
        <w:rPr>
          <w:rFonts w:ascii="黑体" w:hAnsi="宋体" w:eastAsia="黑体" w:cs="宋体"/>
          <w:color w:val="000000" w:themeColor="text1"/>
          <w:kern w:val="0"/>
          <w:sz w:val="32"/>
          <w:szCs w:val="32"/>
          <w14:textFill>
            <w14:solidFill>
              <w14:schemeClr w14:val="tx1"/>
            </w14:solidFill>
          </w14:textFill>
        </w:rPr>
      </w:pPr>
    </w:p>
    <w:p>
      <w:pPr>
        <w:keepNext w:val="0"/>
        <w:keepLines w:val="0"/>
        <w:pageBreakBefore w:val="0"/>
        <w:widowControl/>
        <w:tabs>
          <w:tab w:val="left" w:pos="426"/>
          <w:tab w:val="left" w:pos="7513"/>
          <w:tab w:val="left" w:pos="7938"/>
          <w:tab w:val="left" w:pos="8080"/>
          <w:tab w:val="left" w:pos="8222"/>
          <w:tab w:val="left" w:pos="8505"/>
          <w:tab w:val="left" w:pos="8647"/>
        </w:tabs>
        <w:kinsoku/>
        <w:wordWrap/>
        <w:overflowPunct/>
        <w:topLinePunct w:val="0"/>
        <w:autoSpaceDE/>
        <w:autoSpaceDN/>
        <w:bidi w:val="0"/>
        <w:adjustRightInd/>
        <w:snapToGrid/>
        <w:spacing w:line="520" w:lineRule="exact"/>
        <w:jc w:val="center"/>
        <w:textAlignment w:val="auto"/>
        <w:rPr>
          <w:rFonts w:ascii="黑体" w:hAnsi="宋体" w:eastAsia="黑体" w:cs="宋体"/>
          <w:color w:val="000000" w:themeColor="text1"/>
          <w:kern w:val="0"/>
          <w:sz w:val="32"/>
          <w:szCs w:val="32"/>
          <w14:textFill>
            <w14:solidFill>
              <w14:schemeClr w14:val="tx1"/>
            </w14:solidFill>
          </w14:textFill>
        </w:rPr>
      </w:pPr>
    </w:p>
    <w:p>
      <w:pPr>
        <w:keepNext w:val="0"/>
        <w:keepLines w:val="0"/>
        <w:pageBreakBefore w:val="0"/>
        <w:widowControl/>
        <w:tabs>
          <w:tab w:val="left" w:pos="426"/>
          <w:tab w:val="left" w:pos="7513"/>
          <w:tab w:val="left" w:pos="7938"/>
          <w:tab w:val="left" w:pos="8080"/>
          <w:tab w:val="left" w:pos="8222"/>
          <w:tab w:val="left" w:pos="8364"/>
          <w:tab w:val="left" w:pos="8647"/>
        </w:tabs>
        <w:kinsoku/>
        <w:wordWrap/>
        <w:overflowPunct/>
        <w:topLinePunct w:val="0"/>
        <w:autoSpaceDE/>
        <w:autoSpaceDN/>
        <w:bidi w:val="0"/>
        <w:adjustRightInd/>
        <w:snapToGrid/>
        <w:spacing w:before="157" w:beforeLines="50" w:line="680" w:lineRule="exact"/>
        <w:jc w:val="center"/>
        <w:textAlignment w:val="auto"/>
        <w:rPr>
          <w:rFonts w:hint="eastAsia" w:ascii="楷体_GB2312" w:hAnsi="宋体" w:eastAsia="仿宋_GB2312" w:cs="宋体"/>
          <w:color w:val="000000" w:themeColor="text1"/>
          <w:kern w:val="0"/>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息教</w:t>
      </w:r>
      <w:r>
        <w:rPr>
          <w:rFonts w:hint="eastAsia" w:ascii="仿宋_GB2312" w:hAnsi="宋体" w:eastAsia="仿宋_GB2312"/>
          <w:color w:val="000000" w:themeColor="text1"/>
          <w:sz w:val="32"/>
          <w:szCs w:val="32"/>
          <w:lang w:eastAsia="zh-CN"/>
          <w14:textFill>
            <w14:solidFill>
              <w14:schemeClr w14:val="tx1"/>
            </w14:solidFill>
          </w14:textFill>
        </w:rPr>
        <w:t>体办</w:t>
      </w:r>
      <w:r>
        <w:rPr>
          <w:rFonts w:hint="eastAsia" w:ascii="仿宋_GB2312" w:hAnsi="宋体" w:eastAsia="仿宋_GB2312"/>
          <w:color w:val="000000" w:themeColor="text1"/>
          <w:sz w:val="32"/>
          <w:szCs w:val="32"/>
          <w14:textFill>
            <w14:solidFill>
              <w14:schemeClr w14:val="tx1"/>
            </w14:solidFill>
          </w14:textFill>
        </w:rPr>
        <w:t>〔2</w:t>
      </w:r>
      <w:r>
        <w:rPr>
          <w:rFonts w:hint="eastAsia" w:ascii="仿宋_GB2312" w:hAnsi="宋体" w:eastAsia="仿宋_GB2312"/>
          <w:color w:val="000000" w:themeColor="text1"/>
          <w:sz w:val="32"/>
          <w:szCs w:val="32"/>
          <w:lang w:val="en-US" w:eastAsia="zh-CN"/>
          <w14:textFill>
            <w14:solidFill>
              <w14:schemeClr w14:val="tx1"/>
            </w14:solidFill>
          </w14:textFill>
        </w:rPr>
        <w:t>022</w:t>
      </w:r>
      <w:r>
        <w:rPr>
          <w:rFonts w:hint="eastAsia"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号                  签发人：</w:t>
      </w:r>
      <w:r>
        <w:rPr>
          <w:rFonts w:hint="eastAsia" w:ascii="楷体_GB2312" w:hAnsi="宋体" w:eastAsia="楷体_GB2312"/>
          <w:color w:val="000000" w:themeColor="text1"/>
          <w:sz w:val="32"/>
          <w:szCs w:val="32"/>
          <w:lang w:eastAsia="zh-CN"/>
          <w14:textFill>
            <w14:solidFill>
              <w14:schemeClr w14:val="tx1"/>
            </w14:solidFill>
          </w14:textFill>
        </w:rPr>
        <w:t>范</w:t>
      </w:r>
      <w:r>
        <w:rPr>
          <w:rFonts w:hint="eastAsia" w:ascii="楷体_GB2312" w:hAnsi="宋体" w:eastAsia="楷体_GB2312"/>
          <w:color w:val="000000" w:themeColor="text1"/>
          <w:sz w:val="32"/>
          <w:szCs w:val="32"/>
          <w:lang w:val="en-US" w:eastAsia="zh-CN"/>
          <w14:textFill>
            <w14:solidFill>
              <w14:schemeClr w14:val="tx1"/>
            </w14:solidFill>
          </w14:textFill>
        </w:rPr>
        <w:t xml:space="preserve">  </w:t>
      </w:r>
      <w:r>
        <w:rPr>
          <w:rFonts w:hint="eastAsia" w:ascii="楷体_GB2312" w:hAnsi="宋体" w:eastAsia="楷体_GB2312"/>
          <w:color w:val="000000" w:themeColor="text1"/>
          <w:sz w:val="32"/>
          <w:szCs w:val="32"/>
          <w:lang w:eastAsia="zh-CN"/>
          <w14:textFill>
            <w14:solidFill>
              <w14:schemeClr w14:val="tx1"/>
            </w14:solidFill>
          </w14:textFill>
        </w:rPr>
        <w:t>军</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left="0" w:leftChars="0"/>
        <w:jc w:val="center"/>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left="0" w:leftChars="0"/>
        <w:jc w:val="center"/>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息县教育体育局</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关于上报2021年度法治建设工作的</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报</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告</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000000" w:themeColor="text1"/>
          <w:sz w:val="32"/>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县委、县人民政府：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根据《党政主要负责人履行推进法治建设第一责任人职责规定》、《法治政府建设与责任落实督察工作规定》要求，现将《</w:t>
      </w:r>
      <w:r>
        <w:rPr>
          <w:rFonts w:hint="eastAsia" w:ascii="仿宋_GB2312" w:hAnsi="仿宋_GB2312" w:eastAsia="仿宋_GB2312" w:cs="仿宋_GB2312"/>
          <w:sz w:val="32"/>
          <w:szCs w:val="32"/>
          <w:lang w:val="en-US" w:eastAsia="zh-CN"/>
        </w:rPr>
        <w:t>息县教育体育局</w:t>
      </w:r>
      <w:r>
        <w:rPr>
          <w:rFonts w:hint="eastAsia" w:ascii="仿宋_GB2312" w:hAnsi="仿宋_GB2312" w:eastAsia="仿宋_GB2312" w:cs="仿宋_GB2312"/>
          <w:sz w:val="32"/>
          <w:szCs w:val="32"/>
        </w:rPr>
        <w:t>2021年度法治建设工作报告》上报，请予审阅。</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440" w:firstLineChars="17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息县教育体育局</w:t>
      </w:r>
    </w:p>
    <w:p>
      <w:pPr>
        <w:keepNext w:val="0"/>
        <w:keepLines w:val="0"/>
        <w:pageBreakBefore w:val="0"/>
        <w:widowControl w:val="0"/>
        <w:kinsoku/>
        <w:wordWrap/>
        <w:overflowPunct/>
        <w:topLinePunct w:val="0"/>
        <w:autoSpaceDE/>
        <w:autoSpaceDN/>
        <w:bidi w:val="0"/>
        <w:adjustRightInd/>
        <w:snapToGrid/>
        <w:spacing w:line="540" w:lineRule="exact"/>
        <w:ind w:firstLine="5440" w:firstLineChars="17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朱宝成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13703762195</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w w:val="95"/>
          <w:sz w:val="32"/>
          <w:szCs w:val="32"/>
        </w:rPr>
      </w:pPr>
      <w:r>
        <w:rPr>
          <w:rFonts w:hint="eastAsia" w:ascii="方正小标宋简体" w:hAnsi="方正小标宋简体" w:eastAsia="方正小标宋简体" w:cs="方正小标宋简体"/>
          <w:w w:val="95"/>
          <w:sz w:val="44"/>
          <w:szCs w:val="44"/>
          <w:lang w:val="en-US" w:eastAsia="zh-CN"/>
        </w:rPr>
        <w:t>息县教育体育局</w:t>
      </w:r>
      <w:r>
        <w:rPr>
          <w:rFonts w:hint="eastAsia" w:ascii="方正小标宋简体" w:hAnsi="方正小标宋简体" w:eastAsia="方正小标宋简体" w:cs="方正小标宋简体"/>
          <w:w w:val="95"/>
          <w:sz w:val="44"/>
          <w:szCs w:val="44"/>
        </w:rPr>
        <w:t>2021年度法治建设工作报告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息县教体局</w:t>
      </w:r>
      <w:r>
        <w:rPr>
          <w:rFonts w:hint="eastAsia" w:ascii="仿宋_GB2312" w:hAnsi="仿宋_GB2312" w:eastAsia="仿宋_GB2312" w:cs="仿宋_GB2312"/>
          <w:sz w:val="32"/>
          <w:szCs w:val="32"/>
        </w:rPr>
        <w:t>在县委、县政府的正确领导下，深入贯彻落实习近平新时代中国特色社会主义思想和党的十九大及历次全会精神，根据《党政主要负责人履行推进法治建设第一责任人职责规定》《法治政府建设与责任落实督察工作规定》《中共息县县委全面依法治县委员会2021年工作要点》《息县2021年度法治政府建设工作要点》等文件精神，深入推进教育领域法治政府建设，全面推进依法治校、依法治教，进一步规范依法行政，努力提升</w:t>
      </w:r>
      <w:r>
        <w:rPr>
          <w:rFonts w:hint="eastAsia" w:ascii="仿宋_GB2312" w:hAnsi="仿宋_GB2312" w:eastAsia="仿宋_GB2312" w:cs="仿宋_GB2312"/>
          <w:sz w:val="32"/>
          <w:szCs w:val="32"/>
          <w:lang w:val="en-US" w:eastAsia="zh-CN"/>
        </w:rPr>
        <w:t>法治</w:t>
      </w:r>
      <w:r>
        <w:rPr>
          <w:rFonts w:hint="eastAsia" w:ascii="仿宋_GB2312" w:hAnsi="仿宋_GB2312" w:eastAsia="仿宋_GB2312" w:cs="仿宋_GB2312"/>
          <w:sz w:val="32"/>
          <w:szCs w:val="32"/>
        </w:rPr>
        <w:t xml:space="preserve">教育服务水平, </w:t>
      </w:r>
      <w:r>
        <w:rPr>
          <w:rFonts w:hint="eastAsia" w:ascii="仿宋_GB2312" w:hAnsi="仿宋_GB2312" w:eastAsia="仿宋_GB2312" w:cs="仿宋_GB2312"/>
          <w:sz w:val="32"/>
          <w:szCs w:val="32"/>
          <w:lang w:val="en-US" w:eastAsia="zh-CN"/>
        </w:rPr>
        <w:t>现将有关</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sz w:val="32"/>
          <w:szCs w:val="32"/>
        </w:rPr>
        <w:t>报告</w:t>
      </w:r>
      <w:r>
        <w:rPr>
          <w:rFonts w:hint="eastAsia" w:ascii="仿宋_GB2312" w:hAnsi="仿宋_GB2312" w:eastAsia="仿宋_GB2312" w:cs="仿宋_GB2312"/>
          <w:sz w:val="32"/>
          <w:szCs w:val="32"/>
          <w:lang w:val="en-US" w:eastAsia="zh-CN"/>
        </w:rPr>
        <w:t>如下</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一、推进法治建设的主要举措和成效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（一）建立健全机制，加强组织领导。</w:t>
      </w:r>
      <w:r>
        <w:rPr>
          <w:rFonts w:hint="eastAsia" w:ascii="仿宋_GB2312" w:hAnsi="仿宋_GB2312" w:eastAsia="仿宋_GB2312" w:cs="仿宋_GB2312"/>
          <w:sz w:val="32"/>
          <w:szCs w:val="32"/>
          <w:lang w:val="en-US" w:eastAsia="zh-CN"/>
        </w:rPr>
        <w:t>息县教体局高度重视依法治教工作，不断完善工作机制，全面加强组织领导，扎实推进工作有序开展，突出“三个狠抓”。</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狠抓责任制建设。成立了以局党组书记、局长为组长、分管领导为副组长，相关股室站负责人为成员的依法治教工作领导小组，各学校也相应成立领导机构，形成了“一把手”亲自抓，分管领导具体抓，层层有人抓、级级有人管的工作格局。</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狠抓制度保障。印发《息县教体系统“三重一大”工作制度》《息县教育系统2021年法治宣传教育活动实施方案》等制度文件，形成以执行制度为基础、以强化管理为手段、以加强监督为保障的作风建设长效机制，使执法人员有章可依、有章可循、依法治教。</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狠抓督查考核。建立了不定期的督查工作机制，督促学校法治教育工作扎实有效开展。并将学校法治建设作为年度重点工作之一，纳入了年度平安建设目标考核，由法治安全股负责实施。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default" w:ascii="楷体_GB2312" w:hAnsi="楷体_GB2312" w:eastAsia="楷体_GB2312" w:cs="楷体_GB2312"/>
          <w:b/>
          <w:bCs/>
          <w:sz w:val="32"/>
          <w:szCs w:val="32"/>
          <w:lang w:val="en-US" w:eastAsia="zh-CN"/>
        </w:rPr>
        <w:t>（二）创新活动载体，提升普法成效。</w:t>
      </w:r>
      <w:r>
        <w:rPr>
          <w:rFonts w:hint="eastAsia" w:ascii="仿宋_GB2312" w:hAnsi="仿宋_GB2312" w:eastAsia="仿宋_GB2312" w:cs="仿宋_GB2312"/>
          <w:sz w:val="32"/>
          <w:szCs w:val="32"/>
          <w:lang w:val="en-US" w:eastAsia="zh-CN"/>
        </w:rPr>
        <w:t>息县教体局将普法宣传作为局机关同志、学校师生增强法治意识，提高用法能力的重要手段，积极谋划创新，丰富活动载体，提高工作成效。</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坚持示范引领。以局机关为龙头，聘请法律专业人士开展普法学法活动，自主探索开展“一月一学法”活动，截止目前，教体局已成功举办10多场学法专题讲座，大大增强依法行政、依法治教的法治思维。</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坚持统筹推进。全县教体系统积极推进普法学法工作，扎实推进青少年法治宣传教育。发挥课堂主渠道作用，全面落实法治知识课程，开齐、开足、开好道德与法治课。通过信阳市安全教育平台、宪法卫士、青骄第二课</w:t>
      </w:r>
      <w:bookmarkStart w:id="0" w:name="_GoBack"/>
      <w:bookmarkEnd w:id="0"/>
      <w:r>
        <w:rPr>
          <w:rFonts w:hint="eastAsia" w:ascii="仿宋_GB2312" w:hAnsi="仿宋_GB2312" w:eastAsia="仿宋_GB2312" w:cs="仿宋_GB2312"/>
          <w:sz w:val="32"/>
          <w:szCs w:val="32"/>
          <w:lang w:val="en-US" w:eastAsia="zh-CN"/>
        </w:rPr>
        <w:t>堂等媒介，积极拓展法治教育第二课堂，在主题班（队）会、国旗下讲话等学校活动和校园文化建设中有机融入法治理念。结合“全国中小学生安全教育日”“12.4国家宪法日”“宪法宣传周”等时间节点，开展“宪法晨读”、“学宪法 讲宪法”演讲比赛、知识竞赛等宣传教育活动，营造良好法治氛围，2021年我县派出6人参加全市第六届“学宪法 讲宪法”比赛，成绩可喜，其中一人代表信阳市参加省级比赛，也取得二等奖的优异成绩。</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加强</w:t>
      </w:r>
      <w:r>
        <w:rPr>
          <w:rFonts w:hint="eastAsia" w:ascii="仿宋_GB2312" w:hAnsi="仿宋_GB2312" w:eastAsia="仿宋_GB2312" w:cs="仿宋_GB2312"/>
          <w:sz w:val="32"/>
          <w:szCs w:val="32"/>
          <w:lang w:val="en-US" w:eastAsia="zh-CN"/>
        </w:rPr>
        <w:t>法治队伍建设。加强执法人员培训，2021年6人通过执法培训、考试，目前，教体局有执法证9人，增强教体局执法能力和水平。同时，全县中小学校实施聘任法治副校长工作制度，从县检察院为全县中小学（幼儿园）聘请法治副校长38人。2021年，息县教体局联合县公检法司等部门，大力开展“送法进校园”活动，法治副校长、律师、公安人员积极发挥专业优势，为学校师生开展普法宣讲，使师生的法治意识得到明显提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default" w:ascii="楷体_GB2312" w:hAnsi="楷体_GB2312" w:eastAsia="楷体_GB2312" w:cs="楷体_GB2312"/>
          <w:b/>
          <w:bCs/>
          <w:sz w:val="32"/>
          <w:szCs w:val="32"/>
          <w:lang w:val="en-US" w:eastAsia="zh-CN"/>
        </w:rPr>
        <w:t>（三）强化教育治理，规范办学行为。</w:t>
      </w:r>
      <w:r>
        <w:rPr>
          <w:rFonts w:hint="eastAsia" w:ascii="仿宋_GB2312" w:hAnsi="仿宋_GB2312" w:eastAsia="仿宋_GB2312" w:cs="仿宋_GB2312"/>
          <w:sz w:val="32"/>
          <w:szCs w:val="32"/>
          <w:lang w:val="en-US" w:eastAsia="zh-CN"/>
        </w:rPr>
        <w:t>多措并举，全面加强学校办学管理，有效推进依法治教的工作。</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抓办学管理。认真做好市县人民政府履行教育职责考评工作，推进深化教育体制机制改革，实施教育执法“双随机一公开”工作细则，开展教育乱收费治理、开展民办教育新法、新政策学习宣传。</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抓安全保障。开展各类安全宣传教育和隐患排查整治，修订完善《息县教育体育系统突发事件总体应急预案》、《息县教育体育系统防范低温雨雪冰冻灾害应急预案》等，创新实施教体系统“周三安全巡察日”、上放学“两见”制度，周末、节假日等时间节点多频次向学生家长推送安全警示提醒信息，做好校方责任保险工作，规范校车管理，多重保障，护校安园。</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抓民生保障。完善并落实涵盖各级各类教育的资助帮扶体系，重点做好精准脱贫教育资助工作，落实大学生生源地助学贷款工作，开展贫困家庭子女接受教育情况专题调研，开展年度尊师重教系列活动，每年奖励优秀教师、资助经济困难教师；提高农村教师生活和工资待遇，推进解决原民办教师生活困难诉求问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default" w:ascii="楷体_GB2312" w:hAnsi="楷体_GB2312" w:eastAsia="楷体_GB2312" w:cs="楷体_GB2312"/>
          <w:b/>
          <w:bCs/>
          <w:sz w:val="32"/>
          <w:szCs w:val="32"/>
          <w:lang w:val="en-US" w:eastAsia="zh-CN"/>
        </w:rPr>
        <w:t>（四）推行专项活动，丰富法治内涵。</w:t>
      </w:r>
      <w:r>
        <w:rPr>
          <w:rFonts w:hint="eastAsia" w:ascii="仿宋_GB2312" w:hAnsi="仿宋_GB2312" w:eastAsia="仿宋_GB2312" w:cs="仿宋_GB2312"/>
          <w:sz w:val="32"/>
          <w:szCs w:val="32"/>
          <w:lang w:val="en-US" w:eastAsia="zh-CN"/>
        </w:rPr>
        <w:t>为深化依法治教工作，息县教体局坚持“点面结合推进”工作思路，积极开展多个法治专项行动。一是开展学校章程建设活动。通过成立工作组、制订实施方案、召开专题会议等，推进各学校落实章程建设，并遵章办学。二是建立学校法律顾问制度。采取“一校一聘”、“乡聘校用”、“局聘校用”等形式，建立健全法律顾问制度，让受聘律师积极参与学校办学各项活动，确保学校决策和办学行为的合法合规性。三是开展依法治校创建活动。积极推进学校制度建设，完善学校内部治理结构，开展依法治校工作标准评估认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sz w:val="32"/>
          <w:szCs w:val="40"/>
          <w:lang w:val="en-US" w:eastAsia="zh-CN"/>
        </w:rPr>
        <w:t>（五）推进简政放权，提升服务效率。</w:t>
      </w:r>
      <w:r>
        <w:rPr>
          <w:rFonts w:hint="eastAsia" w:ascii="仿宋_GB2312" w:hAnsi="仿宋_GB2312" w:eastAsia="仿宋_GB2312" w:cs="仿宋_GB2312"/>
          <w:sz w:val="32"/>
          <w:szCs w:val="32"/>
          <w:lang w:val="en-US" w:eastAsia="zh-CN"/>
        </w:rPr>
        <w:t>息县教体局认真落实上级要求，持续深化“互联网+政务服务”，努力解决群众办事难、多跑腿的问题。同时，大力推行“一网通办”和“最多跑一次”改革，积极推动教师资格认定、证书补发换发、区级示范幼儿园评定、民办学校许可证年度检查、三级社会体育指导员审批等事项简化程序，提高办事效率。认真贯彻《政府信息公开条例》，着力推进政务公开，在息县人民政府网、息县教育微信公众号、局内政务公开栏中公开，坚持做到程序公开、操作公开、结果公开、主动公开。2021年息县教体局政务服务事项共49项（行政许可28项，公共服务4项，行政奖励2项，其他行政权力12项，行政确认2项，行政检查1项），已全部编制完善相关信息并上传至河南省政务服务网，截至目前，已在政务服务大厅线上办理教师资格认定874件、普惠性民办幼儿园认定1件、区级示范幼儿园评定1件、民办初中、小学、幼儿园办学许可证年度检查19件，并全部及时在信用息县进行公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楷体_GB2312" w:hAnsi="楷体_GB2312" w:eastAsia="楷体_GB2312" w:cs="楷体_GB2312"/>
          <w:b/>
          <w:bCs/>
          <w:sz w:val="32"/>
          <w:szCs w:val="40"/>
          <w:lang w:val="en-US" w:eastAsia="zh-CN"/>
        </w:rPr>
      </w:pPr>
      <w:r>
        <w:rPr>
          <w:rFonts w:hint="eastAsia" w:ascii="楷体_GB2312" w:hAnsi="楷体_GB2312" w:eastAsia="楷体_GB2312" w:cs="楷体_GB2312"/>
          <w:b/>
          <w:bCs/>
          <w:sz w:val="32"/>
          <w:szCs w:val="40"/>
          <w:lang w:val="en-US" w:eastAsia="zh-CN"/>
        </w:rPr>
        <w:t>（六）推进“双随机一公开”，助推优化营商环境。</w:t>
      </w:r>
      <w:r>
        <w:rPr>
          <w:rFonts w:hint="eastAsia" w:ascii="仿宋_GB2312" w:hAnsi="仿宋_GB2312" w:eastAsia="仿宋_GB2312" w:cs="仿宋_GB2312"/>
          <w:sz w:val="32"/>
          <w:szCs w:val="40"/>
          <w:lang w:val="en-US" w:eastAsia="zh-CN"/>
        </w:rPr>
        <w:t>根据全县“</w:t>
      </w:r>
      <w:r>
        <w:rPr>
          <w:rFonts w:hint="eastAsia" w:ascii="仿宋_GB2312" w:hAnsi="仿宋_GB2312" w:eastAsia="仿宋_GB2312" w:cs="仿宋_GB2312"/>
          <w:sz w:val="32"/>
          <w:szCs w:val="40"/>
        </w:rPr>
        <w:t>双随机一公开”</w:t>
      </w:r>
      <w:r>
        <w:rPr>
          <w:rFonts w:hint="eastAsia" w:ascii="仿宋_GB2312" w:hAnsi="仿宋_GB2312" w:eastAsia="仿宋_GB2312" w:cs="仿宋_GB2312"/>
          <w:sz w:val="32"/>
          <w:szCs w:val="40"/>
          <w:lang w:val="en-US" w:eastAsia="zh-CN"/>
        </w:rPr>
        <w:t>抽查计划，结合工作实际，县教体局制定了《息县教体局随机抽查事项清单》和《随机抽查计划》，并组建了工作专班，明确了相关人员的具体职责。按照制定的计划，县教体局已联合县市场监督管理局和县卫健委，对涉及中小学教辅材料管理使用、中小学课程教材用书选用、学校卫生、学校疾病防治、学校食堂食品卫生安全等6个方面的检查事项进行检查，并及时</w:t>
      </w:r>
      <w:r>
        <w:rPr>
          <w:rFonts w:hint="eastAsia" w:ascii="仿宋_GB2312" w:hAnsi="仿宋_GB2312" w:eastAsia="仿宋_GB2312" w:cs="仿宋_GB2312"/>
          <w:kern w:val="2"/>
          <w:sz w:val="32"/>
          <w:szCs w:val="32"/>
          <w:lang w:val="en-US" w:eastAsia="zh-CN" w:bidi="ar-SA"/>
        </w:rPr>
        <w:t>将检查的结果进行公示，接受社会和群众监督。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二、党政主要负责人履行推进法治建设第一责任人职责，加强法治政府建设的有关情况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（一）加强法治建设组织领导。</w:t>
      </w:r>
      <w:r>
        <w:rPr>
          <w:rFonts w:hint="eastAsia" w:ascii="仿宋_GB2312" w:hAnsi="仿宋_GB2312" w:eastAsia="仿宋_GB2312" w:cs="仿宋_GB2312"/>
          <w:sz w:val="32"/>
          <w:szCs w:val="32"/>
          <w:lang w:val="en-US" w:eastAsia="zh-CN"/>
        </w:rPr>
        <w:t>2021年，息县教体局始终将建设法治政府摆在全局工作的重要位置，定期部署法治政府建设工作任务。局主要负责人切实履行推进法治建设第一责任人职责，抓好法治政府建设，主动协调解决改革突出问题，推进落实法治建设责任，同时把法治政府建设列入各学校的年度考核中。年初印发了《息县教育体育局2021年法治工作要点》，对法治建设任务进行责任分解。行政审批体制改革、行政执法“三项制度”、重大行政决策制度、规范性文件管理等工作扎实开展，取得良好成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（二）健全法制教育工作网络。</w:t>
      </w:r>
      <w:r>
        <w:rPr>
          <w:rFonts w:hint="eastAsia" w:ascii="仿宋_GB2312" w:hAnsi="仿宋_GB2312" w:eastAsia="仿宋_GB2312" w:cs="仿宋_GB2312"/>
          <w:sz w:val="32"/>
          <w:szCs w:val="32"/>
          <w:lang w:val="en-US" w:eastAsia="zh-CN"/>
        </w:rPr>
        <w:t>根据人事变动情况，及时调整法治政府建设工作领导小组，由局长任组长，作为依法行政、法治宣传、政务公开等工作第一责任人，负责统筹领导工作。明确了领导小组及成员的各项职责。下设办公室，专人负责教体系统及局机关的法治宣传、规范性文件审核和依法行政日常工作。各学校相应成立由校长为组长的普法、学法、用法工作机构和队伍，建立和完善了以学校党组织为龙头，以政教处为主导，以班主任、任课教师为骨干的法治教育工作网络，真正把全员普法落到实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（三）增强依法行政意识。</w:t>
      </w:r>
      <w:r>
        <w:rPr>
          <w:rFonts w:hint="eastAsia" w:ascii="仿宋_GB2312" w:hAnsi="仿宋_GB2312" w:eastAsia="仿宋_GB2312" w:cs="仿宋_GB2312"/>
          <w:sz w:val="32"/>
          <w:szCs w:val="32"/>
          <w:lang w:val="en-US" w:eastAsia="zh-CN"/>
        </w:rPr>
        <w:t>息县教体局组织全体干部认真学习了习近平总书记关于法治政府建设的重要指示精神，使全体党员干部深刻认识到法治政府建设在全面依法治国中的战略地位，增强了加快建设法治政府的责任感、紧迫感。严格履行推进法治建设第一责任人职责，始终将依法行政作为“一把手”工程，牢牢记心上、抓手上、落实处，做到了涉法工作逢会必讲，涉法工作优先安排。编制了年度普法责任清单，组织制定年度培训计划，2021年共组织开展普法专题讲座6次，全面提升了工作人员运用法治思维和法治方式的能力水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（四）落实学法常态化。</w:t>
      </w:r>
      <w:r>
        <w:rPr>
          <w:rFonts w:hint="eastAsia" w:ascii="仿宋_GB2312" w:hAnsi="仿宋_GB2312" w:eastAsia="仿宋_GB2312" w:cs="仿宋_GB2312"/>
          <w:sz w:val="32"/>
          <w:szCs w:val="32"/>
          <w:lang w:val="en-US" w:eastAsia="zh-CN"/>
        </w:rPr>
        <w:t>局领导班子坚持以习近平总书记全面依法治国新理念新思想新战略领航定向，不断强化学法用法的政治自觉、思想自觉和行动自觉，建立会前学法制度，主要领导以身作则，带头学法，在中心组学习、党组会议等会前专门安排时间以专家讲解、个别交流、集体学习等形式学习相关法律法规。2021年，息县教体局多次邀请著名律师朱燕同志围绕《民法典》《教师法》《民办教育促进法》《政府信息公开条例》等法律法规开展专题讲座，坚持把局机关领导干部集体学法常态化，通过一年来坚持不断的学习，领导干部法治意识明显增强，依法行政、依法履职、依法办事的能力和水平稳步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三、存在的问题和原因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息县教体局</w:t>
      </w:r>
      <w:r>
        <w:rPr>
          <w:rFonts w:hint="eastAsia" w:ascii="仿宋_GB2312" w:hAnsi="仿宋_GB2312" w:eastAsia="仿宋_GB2312" w:cs="仿宋_GB2312"/>
          <w:sz w:val="32"/>
          <w:szCs w:val="32"/>
        </w:rPr>
        <w:t>法治政府建设工作取得了明显成效，但仍然存在一些问题和不足。</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个别学校的学校章程制定没有及时更新、修订，存在条款内容不适合当前形势等问题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lang w:val="en-US" w:eastAsia="zh-CN"/>
        </w:rPr>
        <w:t>个别教师</w:t>
      </w:r>
      <w:r>
        <w:rPr>
          <w:rFonts w:hint="eastAsia" w:ascii="仿宋_GB2312" w:hAnsi="仿宋_GB2312" w:eastAsia="仿宋_GB2312" w:cs="仿宋_GB2312"/>
          <w:sz w:val="32"/>
          <w:szCs w:val="32"/>
        </w:rPr>
        <w:t>法律知识较缺乏。主要原因是存在重钻研业务轻法治学习的现象，缺少正规学习教育法律知识的途径，理解、掌握教育法律知识的程度不够。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四、下一年度推进法治建设的打算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息</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val="en-US" w:eastAsia="zh-CN"/>
        </w:rPr>
        <w:t>教体</w:t>
      </w:r>
      <w:r>
        <w:rPr>
          <w:rFonts w:hint="eastAsia" w:ascii="仿宋_GB2312" w:hAnsi="仿宋_GB2312" w:eastAsia="仿宋_GB2312" w:cs="仿宋_GB2312"/>
          <w:sz w:val="32"/>
          <w:szCs w:val="32"/>
        </w:rPr>
        <w:t>局将坚持以习近平新时代中国特色社会主义思想为指导，认真贯彻习近平总书记关于</w:t>
      </w:r>
      <w:r>
        <w:rPr>
          <w:rFonts w:hint="eastAsia" w:ascii="仿宋_GB2312" w:hAnsi="仿宋_GB2312" w:eastAsia="仿宋_GB2312" w:cs="仿宋_GB2312"/>
          <w:sz w:val="32"/>
          <w:szCs w:val="32"/>
          <w:lang w:val="en-US" w:eastAsia="zh-CN"/>
        </w:rPr>
        <w:t>法治</w:t>
      </w:r>
      <w:r>
        <w:rPr>
          <w:rFonts w:hint="eastAsia" w:ascii="仿宋_GB2312" w:hAnsi="仿宋_GB2312" w:eastAsia="仿宋_GB2312" w:cs="仿宋_GB2312"/>
          <w:sz w:val="32"/>
          <w:szCs w:val="32"/>
        </w:rPr>
        <w:t>教育的重要论述，按照县法治政府建设的总体部署和要求，进一步提高认识，强化措施，狠抓落实，推动全县</w:t>
      </w:r>
      <w:r>
        <w:rPr>
          <w:rFonts w:hint="eastAsia" w:ascii="仿宋_GB2312" w:hAnsi="仿宋_GB2312" w:eastAsia="仿宋_GB2312" w:cs="仿宋_GB2312"/>
          <w:sz w:val="32"/>
          <w:szCs w:val="32"/>
          <w:lang w:val="en-US" w:eastAsia="zh-CN"/>
        </w:rPr>
        <w:t>教体</w:t>
      </w:r>
      <w:r>
        <w:rPr>
          <w:rFonts w:hint="eastAsia" w:ascii="仿宋_GB2312" w:hAnsi="仿宋_GB2312" w:eastAsia="仿宋_GB2312" w:cs="仿宋_GB2312"/>
          <w:sz w:val="32"/>
          <w:szCs w:val="32"/>
        </w:rPr>
        <w:t>系统法治建设再上新台阶：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（一）强化法治培训，提升依法行政水平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继续加大法治教育培训力度，组织局机关工作人员，积极参加</w:t>
      </w:r>
      <w:r>
        <w:rPr>
          <w:rFonts w:hint="eastAsia" w:ascii="仿宋_GB2312" w:hAnsi="仿宋_GB2312" w:eastAsia="仿宋_GB2312" w:cs="仿宋_GB2312"/>
          <w:sz w:val="32"/>
          <w:szCs w:val="32"/>
          <w:lang w:val="en-US" w:eastAsia="zh-CN"/>
        </w:rPr>
        <w:t>县司法局组织的</w:t>
      </w:r>
      <w:r>
        <w:rPr>
          <w:rFonts w:hint="eastAsia" w:ascii="仿宋_GB2312" w:hAnsi="仿宋_GB2312" w:eastAsia="仿宋_GB2312" w:cs="仿宋_GB2312"/>
          <w:sz w:val="32"/>
          <w:szCs w:val="32"/>
        </w:rPr>
        <w:t>行政执法考试。积极开展依法行政学习交流活动，采取“走出去”“请进来”等方式，着力提高全县</w:t>
      </w:r>
      <w:r>
        <w:rPr>
          <w:rFonts w:hint="eastAsia" w:ascii="仿宋_GB2312" w:hAnsi="仿宋_GB2312" w:eastAsia="仿宋_GB2312" w:cs="仿宋_GB2312"/>
          <w:sz w:val="32"/>
          <w:szCs w:val="32"/>
          <w:lang w:val="en-US" w:eastAsia="zh-CN"/>
        </w:rPr>
        <w:t>教体</w:t>
      </w:r>
      <w:r>
        <w:rPr>
          <w:rFonts w:hint="eastAsia" w:ascii="仿宋_GB2312" w:hAnsi="仿宋_GB2312" w:eastAsia="仿宋_GB2312" w:cs="仿宋_GB2312"/>
          <w:sz w:val="32"/>
          <w:szCs w:val="32"/>
        </w:rPr>
        <w:t>系统依法行政、依法治教水平。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（二）加强规范审查，确保规范性文件合规合法</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提高制度建设公众参与度，对公民、法人和其他组织权利义务有重大影响、涉及人民群众切身利益的行政规范性文件，及时向社会公开征求意见。涉及企业和特定群体、行业利益的，充分听取企业、人民团体、行业协会商会的意见。重要的行政规范性文件依法依规执行评估论证、公开征求意见、合法性审核、集体审议决定、向社会公开发布等程序。专业性、技术性较强的行政规范性文件，组织相关领域专家进行论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（三）完善决策程序，健全依法决策机制</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及时制定并公开重大行政决策事项目录、标准，明确重大行政决策的决策主体、事项范围、法定程序、法律责任等，规范重大行政决策流程。及时组织专家、专业机构论证其必要性、可行性、科学性，并进行社会稳定、公共安全、环境和经济等方面的风险评估和合法性审查，落实法律顾问制度，在重大行政决策制定中发挥法律顾问有效作用，建立重大行政决策全过程记录、材料归档和档案管理制度，实现重大行政决策年度目录事项全部立卷归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（四）强化执法责任，规范行政执法行为</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健全行政执法人员管理制度，加强行政执法保障，认真做好本部门行政执法证申领和换证工作；全面推行行政执法公示制度和执法全过程记录制度，全面推行重大执法决定法制审核制度，全面落实行政执法责任制。聘请司法局或行政执法部门人员做专业指导，严格落实行政执法“三项制度”，完善行政执法程序，切实做到流程清晰、要求具体、期限明确。加强行政执法人员资格管理，及时公布“双随机一公开”信息，自觉接受社会监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（五）加强普法宣传，夯实依法行政根基</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严格落实“谁执法谁普法”普法责任制，在执法实践中深入开展以案释法和警示教育，不断健全完善普法宣传教育机制。根据青少年学生的特点和接受能力，广泛开展形式多样、生动活泼的法治宣传教育活动，不断提高法治教育的针对性和实效性，引导青少年学生树立社会主义法治理念和法治意识。联合公检法司等部门，开展“12.4”国家宪法周（日）集中宣传教育活动和“学宪法</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讲宪法”系列活动，深入推进“法治进校园”，提升学校法治建设能力水平，提高教育系统广大师生的法治素养。</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抄送：中共息县县委全面依法治县委员会办公室</w:t>
      </w:r>
    </w:p>
    <w:tbl>
      <w:tblPr>
        <w:tblStyle w:val="10"/>
        <w:tblpPr w:leftFromText="180" w:rightFromText="180" w:vertAnchor="text" w:horzAnchor="page" w:tblpX="1435" w:tblpY="86"/>
        <w:tblW w:w="9285"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85"/>
      </w:tblGrid>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9285" w:type="dxa"/>
            <w:noWrap w:val="0"/>
            <w:vAlign w:val="center"/>
          </w:tcPr>
          <w:p>
            <w:pPr>
              <w:keepNext w:val="0"/>
              <w:keepLines w:val="0"/>
              <w:pageBreakBefore w:val="0"/>
              <w:widowControl/>
              <w:tabs>
                <w:tab w:val="left" w:pos="709"/>
              </w:tabs>
              <w:kinsoku/>
              <w:wordWrap/>
              <w:overflowPunct/>
              <w:topLinePunct w:val="0"/>
              <w:autoSpaceDE w:val="0"/>
              <w:autoSpaceDN w:val="0"/>
              <w:bidi w:val="0"/>
              <w:adjustRightInd w:val="0"/>
              <w:snapToGrid/>
              <w:spacing w:line="540" w:lineRule="exact"/>
              <w:jc w:val="center"/>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息县教育体育局办公室                          202</w:t>
            </w:r>
            <w:r>
              <w:rPr>
                <w:rFonts w:hint="eastAsia" w:ascii="仿宋_GB2312" w:eastAsia="仿宋_GB2312"/>
                <w:color w:val="000000" w:themeColor="text1"/>
                <w:sz w:val="28"/>
                <w:szCs w:val="28"/>
                <w:lang w:val="en-US" w:eastAsia="zh-CN"/>
                <w14:textFill>
                  <w14:solidFill>
                    <w14:schemeClr w14:val="tx1"/>
                  </w14:solidFill>
                </w14:textFill>
              </w:rPr>
              <w:t>2</w:t>
            </w:r>
            <w:r>
              <w:rPr>
                <w:rFonts w:hint="eastAsia" w:ascii="仿宋_GB2312" w:eastAsia="仿宋_GB2312"/>
                <w:color w:val="000000" w:themeColor="text1"/>
                <w:sz w:val="28"/>
                <w:szCs w:val="28"/>
                <w14:textFill>
                  <w14:solidFill>
                    <w14:schemeClr w14:val="tx1"/>
                  </w14:solidFill>
                </w14:textFill>
              </w:rPr>
              <w:t>年</w:t>
            </w:r>
            <w:r>
              <w:rPr>
                <w:rFonts w:hint="eastAsia" w:ascii="仿宋_GB2312" w:eastAsia="仿宋_GB2312"/>
                <w:color w:val="000000" w:themeColor="text1"/>
                <w:sz w:val="28"/>
                <w:szCs w:val="28"/>
                <w:lang w:val="en-US" w:eastAsia="zh-CN"/>
                <w14:textFill>
                  <w14:solidFill>
                    <w14:schemeClr w14:val="tx1"/>
                  </w14:solidFill>
                </w14:textFill>
              </w:rPr>
              <w:t>2</w:t>
            </w:r>
            <w:r>
              <w:rPr>
                <w:rFonts w:hint="eastAsia" w:ascii="仿宋_GB2312" w:eastAsia="仿宋_GB2312"/>
                <w:color w:val="000000" w:themeColor="text1"/>
                <w:sz w:val="28"/>
                <w:szCs w:val="28"/>
                <w14:textFill>
                  <w14:solidFill>
                    <w14:schemeClr w14:val="tx1"/>
                  </w14:solidFill>
                </w14:textFill>
              </w:rPr>
              <w:t>月</w:t>
            </w:r>
            <w:r>
              <w:rPr>
                <w:rFonts w:hint="eastAsia" w:ascii="仿宋_GB2312" w:eastAsia="仿宋_GB2312"/>
                <w:color w:val="000000" w:themeColor="text1"/>
                <w:sz w:val="28"/>
                <w:szCs w:val="28"/>
                <w:lang w:val="en-US" w:eastAsia="zh-CN"/>
                <w14:textFill>
                  <w14:solidFill>
                    <w14:schemeClr w14:val="tx1"/>
                  </w14:solidFill>
                </w14:textFill>
              </w:rPr>
              <w:t>15</w:t>
            </w:r>
            <w:r>
              <w:rPr>
                <w:rFonts w:hint="eastAsia" w:ascii="仿宋_GB2312" w:eastAsia="仿宋_GB2312"/>
                <w:color w:val="000000" w:themeColor="text1"/>
                <w:sz w:val="28"/>
                <w:szCs w:val="28"/>
                <w14:textFill>
                  <w14:solidFill>
                    <w14:schemeClr w14:val="tx1"/>
                  </w14:solidFill>
                </w14:textFill>
              </w:rPr>
              <w:t>日印发</w:t>
            </w:r>
          </w:p>
        </w:tc>
      </w:tr>
    </w:tbl>
    <w:p>
      <w:pPr>
        <w:pStyle w:val="8"/>
        <w:ind w:left="0" w:leftChars="0" w:firstLine="0" w:firstLineChars="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sectPr>
      <w:footerReference r:id="rId3" w:type="default"/>
      <w:pgSz w:w="11906" w:h="16838"/>
      <w:pgMar w:top="1871" w:right="1531" w:bottom="1757" w:left="1531" w:header="851" w:footer="124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7A"/>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44"/>
                            </w:rPr>
                          </w:pP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PAGE  \* MERGEFORMAT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44"/>
                            </w:rPr>
                            <w:t>- 1 -</w:t>
                          </w:r>
                          <w:r>
                            <w:rPr>
                              <w:rFonts w:hint="eastAsia" w:ascii="仿宋_GB2312" w:hAnsi="仿宋_GB2312" w:eastAsia="仿宋_GB2312" w:cs="仿宋_GB2312"/>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44"/>
                      </w:rPr>
                    </w:pP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PAGE  \* MERGEFORMAT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44"/>
                      </w:rPr>
                      <w:t>- 1 -</w:t>
                    </w:r>
                    <w:r>
                      <w:rPr>
                        <w:rFonts w:hint="eastAsia" w:ascii="仿宋_GB2312" w:hAnsi="仿宋_GB2312" w:eastAsia="仿宋_GB2312" w:cs="仿宋_GB2312"/>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DA3E36"/>
    <w:rsid w:val="00746DCF"/>
    <w:rsid w:val="030807F6"/>
    <w:rsid w:val="03EC632F"/>
    <w:rsid w:val="041345ED"/>
    <w:rsid w:val="06DA3E36"/>
    <w:rsid w:val="08384867"/>
    <w:rsid w:val="092C60C8"/>
    <w:rsid w:val="0D254C95"/>
    <w:rsid w:val="14710E9D"/>
    <w:rsid w:val="16B10530"/>
    <w:rsid w:val="17F378CF"/>
    <w:rsid w:val="183624F9"/>
    <w:rsid w:val="1E6E21AA"/>
    <w:rsid w:val="1F884DA0"/>
    <w:rsid w:val="207F7320"/>
    <w:rsid w:val="220C573F"/>
    <w:rsid w:val="23272BB3"/>
    <w:rsid w:val="29755CB6"/>
    <w:rsid w:val="2F702752"/>
    <w:rsid w:val="308C32CF"/>
    <w:rsid w:val="3AF45EE9"/>
    <w:rsid w:val="3DA62968"/>
    <w:rsid w:val="3ECC43B4"/>
    <w:rsid w:val="44733DAC"/>
    <w:rsid w:val="45B71A13"/>
    <w:rsid w:val="46A859EA"/>
    <w:rsid w:val="496C7A82"/>
    <w:rsid w:val="498B25EB"/>
    <w:rsid w:val="49C82DC0"/>
    <w:rsid w:val="4B131357"/>
    <w:rsid w:val="4B970DBC"/>
    <w:rsid w:val="4E383529"/>
    <w:rsid w:val="4E5541DB"/>
    <w:rsid w:val="52480454"/>
    <w:rsid w:val="5B70469C"/>
    <w:rsid w:val="5E98159C"/>
    <w:rsid w:val="62C7563F"/>
    <w:rsid w:val="65BB5BBD"/>
    <w:rsid w:val="686F51EC"/>
    <w:rsid w:val="68906F44"/>
    <w:rsid w:val="69C3726A"/>
    <w:rsid w:val="707A152B"/>
    <w:rsid w:val="779240D3"/>
    <w:rsid w:val="78162F2F"/>
    <w:rsid w:val="79D12015"/>
    <w:rsid w:val="7A6522B0"/>
    <w:rsid w:val="7CA02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仿宋_GB2312" w:hAnsi="仿宋_GB2312" w:eastAsia="仿宋_GB2312" w:cs="仿宋_GB2312"/>
      <w:sz w:val="30"/>
      <w:szCs w:val="30"/>
      <w:lang w:val="zh-CN" w:eastAsia="zh-CN" w:bidi="zh-CN"/>
    </w:rPr>
  </w:style>
  <w:style w:type="paragraph" w:styleId="3">
    <w:name w:val="Normal Indent"/>
    <w:basedOn w:val="1"/>
    <w:qFormat/>
    <w:uiPriority w:val="0"/>
    <w:pPr>
      <w:ind w:firstLine="4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Body Text First Indent"/>
    <w:basedOn w:val="2"/>
    <w:unhideWhenUsed/>
    <w:qFormat/>
    <w:uiPriority w:val="99"/>
    <w:pPr>
      <w:ind w:firstLine="420" w:firstLineChars="1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2021-01-07T07:11:00Z</dcterms:created>
  <dc:creator>王才昌</dc:creator>
  <cp:lastModifiedBy>一步一步</cp:lastModifiedBy>
  <cp:lastPrinted>2022-02-15T07:50:11Z</cp:lastPrinted>
  <dcterms:modified xsi:type="dcterms:W3CDTF">2022-02-15T07:53:39Z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25A5850D7C734DB9B467049450AD5454</vt:lpwstr>
  </property>
</Properties>
</file>