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文星黑体" w:hAnsi="宋体" w:eastAsia="文星黑体" w:cs="文星仿宋"/>
          <w:color w:val="000000"/>
          <w:kern w:val="0"/>
          <w:sz w:val="32"/>
          <w:szCs w:val="32"/>
        </w:rPr>
      </w:pPr>
      <w:r>
        <w:rPr>
          <w:rFonts w:hint="eastAsia" w:ascii="文星黑体" w:hAnsi="宋体" w:eastAsia="文星黑体" w:cs="Times New Roman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文星标宋" w:eastAsia="文星标宋" w:cs="Times New Roman"/>
          <w:kern w:val="0"/>
          <w:sz w:val="44"/>
          <w:szCs w:val="44"/>
          <w:lang w:val="en-US" w:eastAsia="zh-CN" w:bidi="ar"/>
        </w:rPr>
      </w:pPr>
      <w:r>
        <w:rPr>
          <w:rFonts w:hint="eastAsia" w:ascii="文星标宋" w:eastAsia="文星标宋" w:cs="Times New Roman"/>
          <w:kern w:val="0"/>
          <w:sz w:val="44"/>
          <w:szCs w:val="44"/>
          <w:lang w:val="en-US" w:eastAsia="zh-CN" w:bidi="ar"/>
        </w:rPr>
        <w:t>2023年度</w:t>
      </w: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>人工智能场景应用创新专项</w:t>
      </w:r>
      <w:r>
        <w:rPr>
          <w:rFonts w:hint="eastAsia" w:ascii="文星标宋" w:eastAsia="文星标宋" w:cs="Times New Roman"/>
          <w:kern w:val="0"/>
          <w:sz w:val="44"/>
          <w:szCs w:val="44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>申报指南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eastAsia" w:ascii="文星标宋" w:hAnsi="Times New Roman" w:eastAsia="文星标宋" w:cs="Times New Roman"/>
          <w:kern w:val="0"/>
          <w:sz w:val="44"/>
          <w:szCs w:val="44"/>
        </w:rPr>
      </w:pPr>
      <w:r>
        <w:rPr>
          <w:rFonts w:hint="eastAsia" w:ascii="文星标宋" w:hAnsi="Times New Roman" w:eastAsia="文星标宋" w:cs="Times New Roman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2023年度人工智能场景应用创新专项拟支持方向</w:t>
      </w:r>
      <w:r>
        <w:rPr>
          <w:rFonts w:hint="eastAsia" w:ascii="文星仿宋" w:eastAsia="文星仿宋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个，项目实施周期</w:t>
      </w:r>
      <w:r>
        <w:rPr>
          <w:rFonts w:hint="eastAsia" w:ascii="文星仿宋" w:eastAsia="文星仿宋" w:cs="Times New Roman"/>
          <w:kern w:val="2"/>
          <w:sz w:val="32"/>
          <w:szCs w:val="32"/>
          <w:lang w:val="en-US" w:eastAsia="zh-CN" w:bidi="ar"/>
        </w:rPr>
        <w:t>原则上三年</w:t>
      </w:r>
      <w:r>
        <w:rPr>
          <w:rFonts w:hint="eastAsia" w:ascii="文星仿宋" w:hAnsi="Times New Roman" w:eastAsia="文星仿宋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专项一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智能制造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场景应用创新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研究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应用</w:t>
      </w:r>
      <w:r>
        <w:rPr>
          <w:rFonts w:hint="eastAsia" w:ascii="楷体" w:hAnsi="楷体" w:eastAsia="楷体" w:cs="楷体"/>
          <w:b/>
          <w:sz w:val="32"/>
          <w:szCs w:val="32"/>
        </w:rPr>
        <w:t>内容：</w:t>
      </w:r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围绕研发设计、生产制造、运营管理、产品服务等环节，综合运用工业互联网、工厂数字孪生、大数据、深度学习、智能控制、优化决策等技术，在生产过程智能决策、柔性化制造、大型设备能耗优化、设备智能诊断与维护、工业产品缺陷检测等方面形成具有行业特色的智能、高效制造体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专项二 智能供应链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场景应用创新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研究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应用</w:t>
      </w:r>
      <w:r>
        <w:rPr>
          <w:rFonts w:hint="eastAsia" w:ascii="楷体" w:hAnsi="楷体" w:eastAsia="楷体" w:cs="楷体"/>
          <w:b/>
          <w:sz w:val="32"/>
          <w:szCs w:val="32"/>
        </w:rPr>
        <w:t>内容：</w:t>
      </w:r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针对智能仓储、智能配送等关键环节，运用人机交互、自动驾驶、智能调度、物流机械臂控制、反向定制、需求预测与售后追踪等关键技术，优化场景驱动的智能供应链算法，构建智能、高效、协同的供应链体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专项三 智慧农场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场景应用创新</w:t>
      </w:r>
    </w:p>
    <w:p>
      <w:pPr>
        <w:spacing w:line="560" w:lineRule="exact"/>
        <w:ind w:firstLine="642" w:firstLineChars="200"/>
        <w:rPr>
          <w:rFonts w:hint="eastAsia" w:ascii="文星仿宋" w:hAnsi="文星仿宋" w:eastAsia="文星仿宋" w:cs="文星仿宋"/>
          <w:kern w:val="2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研究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应用</w:t>
      </w:r>
      <w:r>
        <w:rPr>
          <w:rFonts w:hint="eastAsia" w:ascii="楷体" w:hAnsi="楷体" w:eastAsia="楷体" w:cs="楷体"/>
          <w:b/>
          <w:sz w:val="32"/>
          <w:szCs w:val="32"/>
        </w:rPr>
        <w:t>内容：</w:t>
      </w:r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运用5G、物联网、大数据、云计算等技术，结合多功能气象站、微型气象仪、智能水肥一体化等物联网设备化装备等关键技术，实时采集农田环境、农作物或蔬菜的种植类型、种植面积、作物长势、病情虫情等农情数据，建立农业大数据智能分析与决策系统，实现病虫害自动监测识别、温湿度自动控制、营养液自动监测补给，推进农业大数据在精准农业、灾害预警与风险防范、产销信息预警等领域的应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专项四 </w:t>
      </w:r>
      <w:r>
        <w:rPr>
          <w:rFonts w:hint="eastAsia" w:ascii="微软雅黑" w:hAnsi="微软雅黑" w:eastAsia="微软雅黑" w:cs="微软雅黑"/>
          <w:i w:val="0"/>
          <w:caps w:val="0"/>
          <w:color w:val="28303E"/>
          <w:spacing w:val="0"/>
          <w:kern w:val="0"/>
          <w:sz w:val="30"/>
          <w:szCs w:val="30"/>
          <w:shd w:val="clear" w:fill="FCFDFD"/>
          <w:lang w:val="en-US" w:eastAsia="zh-CN" w:bidi="ar"/>
        </w:rPr>
        <w:t>智能诊疗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场景应用创新</w:t>
      </w:r>
    </w:p>
    <w:p>
      <w:pPr>
        <w:spacing w:line="560" w:lineRule="exact"/>
        <w:ind w:firstLine="642" w:firstLineChars="200"/>
        <w:rPr>
          <w:rFonts w:ascii="文星仿宋" w:hAnsi="文星仿宋" w:eastAsia="文星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研究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应用</w:t>
      </w:r>
      <w:r>
        <w:rPr>
          <w:rFonts w:hint="eastAsia" w:ascii="楷体" w:hAnsi="楷体" w:eastAsia="楷体" w:cs="楷体"/>
          <w:b/>
          <w:sz w:val="32"/>
          <w:szCs w:val="32"/>
        </w:rPr>
        <w:t>内容：</w:t>
      </w:r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基于医疗领域数据库与知识库的规模化构建，利用互联网医院、远程会诊和移动诊疗等平台，实现人工智能辅助诊疗、智能算法模型支持的疾病风险筛查、人体健康状态评估与持续跟踪等功能，建立线上线下一体化，集合慢病预防、疾病治疗、健康管理的整合型服务体系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文星黑体" w:hAnsi="Times New Roman" w:eastAsia="文星黑体" w:cs="Times New Roman"/>
          <w:kern w:val="0"/>
          <w:sz w:val="32"/>
          <w:szCs w:val="32"/>
          <w:lang w:val="en-US" w:eastAsia="zh-CN" w:bidi="ar"/>
        </w:rPr>
        <w:t>专项五 自动驾驶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技术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场景应用创新</w:t>
      </w:r>
    </w:p>
    <w:p>
      <w:pPr>
        <w:pStyle w:val="3"/>
        <w:adjustRightInd w:val="0"/>
        <w:snapToGrid w:val="0"/>
        <w:spacing w:line="560" w:lineRule="exact"/>
        <w:ind w:firstLine="642" w:firstLineChars="200"/>
        <w:rPr>
          <w:rFonts w:hint="eastAsia" w:ascii="文星仿宋" w:hAnsi="文星仿宋" w:eastAsia="文星仿宋" w:cs="文星仿宋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-SA"/>
        </w:rPr>
        <w:t>研究应用内容：</w:t>
      </w:r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运用车端与路端传感器融合的高准确环境感知与超视距信息共享、车路云一体化的协同决策与控制、车路协同路径规划等关键技术，开展复杂行车条件下自动驾驶场景应用，推动高级别自动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bidi="ar"/>
        </w:rPr>
        <w:t>驾驶汽车、智能网联公交车等发展。</w:t>
      </w: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hint="default" w:ascii="文星仿宋" w:hAnsi="文星仿宋" w:eastAsia="文星仿宋" w:cs="文星仿宋"/>
          <w:sz w:val="32"/>
          <w:szCs w:val="32"/>
          <w:lang w:val="en-US" w:eastAsia="zh-CN" w:bidi="ar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黑体">
    <w:altName w:val="黑体"/>
    <w:panose1 w:val="020106090000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0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方正书宋_GBK"/>
    <w:panose1 w:val="0201060900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TRhOTcwMzc5ZWQyYjY3YmNiZDA0ZDI4YTdiMjgifQ=="/>
  </w:docVars>
  <w:rsids>
    <w:rsidRoot w:val="20547FDC"/>
    <w:rsid w:val="20547FDC"/>
    <w:rsid w:val="2AF33147"/>
    <w:rsid w:val="37CFDDC5"/>
    <w:rsid w:val="3FBB4039"/>
    <w:rsid w:val="47FD86A8"/>
    <w:rsid w:val="4CFA850F"/>
    <w:rsid w:val="5BDFCCE5"/>
    <w:rsid w:val="773B379C"/>
    <w:rsid w:val="7BDF54C7"/>
    <w:rsid w:val="7BF925BB"/>
    <w:rsid w:val="7E3BC57A"/>
    <w:rsid w:val="7ECE708D"/>
    <w:rsid w:val="7FB5F248"/>
    <w:rsid w:val="7FBB11B0"/>
    <w:rsid w:val="7FF75538"/>
    <w:rsid w:val="8E6F998E"/>
    <w:rsid w:val="9EBFBCB1"/>
    <w:rsid w:val="9FD71AF5"/>
    <w:rsid w:val="BFF543D1"/>
    <w:rsid w:val="C9F909BB"/>
    <w:rsid w:val="D56FF289"/>
    <w:rsid w:val="DBFD8B3E"/>
    <w:rsid w:val="E63EE0C3"/>
    <w:rsid w:val="EEDFB6AB"/>
    <w:rsid w:val="FD2BF752"/>
    <w:rsid w:val="FE3FC9CA"/>
    <w:rsid w:val="FEFDCA16"/>
    <w:rsid w:val="FFFFC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2022-12-16T06:46:00Z</dcterms:created>
  <dc:creator>Bourne</dc:creator>
  <cp:lastModifiedBy>greatwall</cp:lastModifiedBy>
  <dcterms:modified xsi:type="dcterms:W3CDTF">2023-05-30T16:42:43Z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6B3501C23ECF4B3BB4F8368E87574DBC</vt:lpwstr>
  </property>
</Properties>
</file>