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94" w:firstLineChars="1648"/>
        <w:rPr>
          <w:rFonts w:hint="eastAsia" w:cs="Times New Roman"/>
          <w:b/>
          <w:bCs/>
          <w:sz w:val="32"/>
          <w:szCs w:val="32"/>
        </w:rPr>
      </w:pPr>
      <w:r>
        <w:rPr>
          <w:rFonts w:hint="eastAsia" w:cs="Times New Roman"/>
          <w:b/>
          <w:bCs/>
          <w:sz w:val="32"/>
          <w:szCs w:val="32"/>
          <w:lang w:eastAsia="zh-CN"/>
        </w:rPr>
        <w:t>卫健委</w:t>
      </w:r>
      <w:r>
        <w:rPr>
          <w:rFonts w:hint="eastAsia" w:cs="Times New Roman"/>
          <w:b/>
          <w:bCs/>
          <w:sz w:val="32"/>
          <w:szCs w:val="32"/>
          <w:lang w:val="en-US" w:eastAsia="zh-CN"/>
        </w:rPr>
        <w:t>权责清单</w:t>
      </w:r>
      <w:r>
        <w:rPr>
          <w:rFonts w:hint="eastAsia" w:cs="Times New Roman"/>
          <w:b/>
          <w:bCs/>
          <w:sz w:val="32"/>
          <w:szCs w:val="32"/>
        </w:rPr>
        <w:t>（</w:t>
      </w:r>
      <w:r>
        <w:rPr>
          <w:rFonts w:hint="eastAsia" w:cs="Times New Roman"/>
          <w:b/>
          <w:bCs/>
          <w:sz w:val="32"/>
          <w:szCs w:val="32"/>
          <w:lang w:val="en-US" w:eastAsia="zh-CN"/>
        </w:rPr>
        <w:t>2023版</w:t>
      </w:r>
      <w:r>
        <w:rPr>
          <w:rFonts w:hint="eastAsia" w:cs="Times New Roman"/>
          <w:b/>
          <w:bCs/>
          <w:sz w:val="32"/>
          <w:szCs w:val="32"/>
        </w:rPr>
        <w:t>）</w:t>
      </w:r>
    </w:p>
    <w:p>
      <w:pPr>
        <w:ind w:firstLine="5294" w:firstLineChars="1648"/>
        <w:rPr>
          <w:rFonts w:hint="eastAsia" w:cs="Times New Roman"/>
          <w:b/>
          <w:bCs/>
          <w:sz w:val="32"/>
          <w:szCs w:val="32"/>
        </w:rPr>
      </w:pPr>
    </w:p>
    <w:tbl>
      <w:tblPr>
        <w:tblStyle w:val="5"/>
        <w:tblpPr w:leftFromText="180" w:rightFromText="180" w:vertAnchor="page" w:horzAnchor="page" w:tblpX="1200" w:tblpY="2410"/>
        <w:tblW w:w="14474" w:type="dxa"/>
        <w:tblInd w:w="0" w:type="dxa"/>
        <w:tblLayout w:type="fixed"/>
        <w:tblCellMar>
          <w:top w:w="15" w:type="dxa"/>
          <w:left w:w="15" w:type="dxa"/>
          <w:bottom w:w="15" w:type="dxa"/>
          <w:right w:w="15" w:type="dxa"/>
        </w:tblCellMar>
      </w:tblPr>
      <w:tblGrid>
        <w:gridCol w:w="582"/>
        <w:gridCol w:w="851"/>
        <w:gridCol w:w="709"/>
        <w:gridCol w:w="567"/>
        <w:gridCol w:w="3778"/>
        <w:gridCol w:w="616"/>
        <w:gridCol w:w="709"/>
        <w:gridCol w:w="992"/>
        <w:gridCol w:w="1134"/>
        <w:gridCol w:w="850"/>
        <w:gridCol w:w="851"/>
        <w:gridCol w:w="658"/>
        <w:gridCol w:w="618"/>
        <w:gridCol w:w="992"/>
        <w:gridCol w:w="567"/>
      </w:tblGrid>
      <w:tr>
        <w:tblPrEx>
          <w:tblCellMar>
            <w:top w:w="15" w:type="dxa"/>
            <w:left w:w="15" w:type="dxa"/>
            <w:bottom w:w="15" w:type="dxa"/>
            <w:right w:w="15" w:type="dxa"/>
          </w:tblCellMar>
        </w:tblPrEx>
        <w:trPr>
          <w:trHeight w:val="395"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序号</w:t>
            </w:r>
          </w:p>
        </w:tc>
        <w:tc>
          <w:tcPr>
            <w:tcW w:w="85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项目</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子 项</w:t>
            </w:r>
          </w:p>
        </w:tc>
        <w:tc>
          <w:tcPr>
            <w:tcW w:w="3778"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实施依据</w:t>
            </w:r>
          </w:p>
        </w:tc>
        <w:tc>
          <w:tcPr>
            <w:tcW w:w="616"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对象</w:t>
            </w:r>
          </w:p>
        </w:tc>
        <w:tc>
          <w:tcPr>
            <w:tcW w:w="70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机构</w:t>
            </w:r>
          </w:p>
        </w:tc>
        <w:tc>
          <w:tcPr>
            <w:tcW w:w="992"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其他共同实施部门</w:t>
            </w:r>
          </w:p>
        </w:tc>
        <w:tc>
          <w:tcPr>
            <w:tcW w:w="1134"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审批证件名</w:t>
            </w:r>
          </w:p>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称及有效期</w:t>
            </w:r>
          </w:p>
        </w:tc>
        <w:tc>
          <w:tcPr>
            <w:tcW w:w="1701" w:type="dxa"/>
            <w:gridSpan w:val="2"/>
            <w:tcBorders>
              <w:top w:val="single" w:color="000000" w:sz="4" w:space="0"/>
              <w:left w:val="nil"/>
              <w:bottom w:val="nil"/>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时限要求</w:t>
            </w:r>
          </w:p>
        </w:tc>
        <w:tc>
          <w:tcPr>
            <w:tcW w:w="1276" w:type="dxa"/>
            <w:gridSpan w:val="2"/>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收费情况</w:t>
            </w:r>
          </w:p>
        </w:tc>
        <w:tc>
          <w:tcPr>
            <w:tcW w:w="992" w:type="dxa"/>
            <w:vMerge w:val="restart"/>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调整意</w:t>
            </w:r>
          </w:p>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见及理由</w:t>
            </w:r>
          </w:p>
        </w:tc>
        <w:tc>
          <w:tcPr>
            <w:tcW w:w="567"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备注</w:t>
            </w:r>
          </w:p>
        </w:tc>
      </w:tr>
      <w:tr>
        <w:tblPrEx>
          <w:tblCellMar>
            <w:top w:w="15" w:type="dxa"/>
            <w:left w:w="15" w:type="dxa"/>
            <w:bottom w:w="15" w:type="dxa"/>
            <w:right w:w="15" w:type="dxa"/>
          </w:tblCellMar>
        </w:tblPrEx>
        <w:trPr>
          <w:trHeight w:val="81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序号</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名称</w:t>
            </w:r>
          </w:p>
        </w:tc>
        <w:tc>
          <w:tcPr>
            <w:tcW w:w="37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p>
        </w:tc>
        <w:tc>
          <w:tcPr>
            <w:tcW w:w="6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Cs w:val="21"/>
              </w:rPr>
            </w:pPr>
            <w:r>
              <w:rPr>
                <w:rFonts w:hint="eastAsia" w:ascii="宋体" w:hAnsi="宋体" w:cs="Times New Roman"/>
                <w:b/>
                <w:bCs/>
                <w:color w:val="000000"/>
                <w:kern w:val="0"/>
                <w:szCs w:val="21"/>
              </w:rPr>
              <w:t>法定时限（天）</w:t>
            </w:r>
          </w:p>
        </w:tc>
        <w:tc>
          <w:tcPr>
            <w:tcW w:w="851"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Cs w:val="21"/>
              </w:rPr>
            </w:pPr>
            <w:r>
              <w:rPr>
                <w:rFonts w:hint="eastAsia" w:ascii="宋体" w:hAnsi="宋体" w:cs="Times New Roman"/>
                <w:b/>
                <w:bCs/>
                <w:color w:val="000000"/>
                <w:kern w:val="0"/>
                <w:szCs w:val="21"/>
              </w:rPr>
              <w:t>承诺时限（天）</w:t>
            </w:r>
          </w:p>
        </w:tc>
        <w:tc>
          <w:tcPr>
            <w:tcW w:w="658" w:type="dxa"/>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标准</w:t>
            </w:r>
          </w:p>
        </w:tc>
        <w:tc>
          <w:tcPr>
            <w:tcW w:w="61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依据</w:t>
            </w: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5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r>
      <w:tr>
        <w:tblPrEx>
          <w:tblCellMar>
            <w:top w:w="15" w:type="dxa"/>
            <w:left w:w="15" w:type="dxa"/>
            <w:bottom w:w="15" w:type="dxa"/>
            <w:right w:w="15" w:type="dxa"/>
          </w:tblCellMar>
        </w:tblPrEx>
        <w:trPr>
          <w:trHeight w:val="2689" w:hRule="atLeast"/>
        </w:trPr>
        <w:tc>
          <w:tcPr>
            <w:tcW w:w="582"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851" w:type="dxa"/>
            <w:vMerge w:val="restart"/>
            <w:tcBorders>
              <w:top w:val="single" w:color="000000" w:sz="4" w:space="0"/>
              <w:left w:val="nil"/>
              <w:right w:val="single" w:color="auto" w:sz="4" w:space="0"/>
            </w:tcBorders>
            <w:vAlign w:val="center"/>
          </w:tcPr>
          <w:p>
            <w:pPr>
              <w:rPr>
                <w:rFonts w:ascii="Times New Roman" w:hAnsi="Times New Roman" w:cs="Times New Roman"/>
                <w:szCs w:val="21"/>
              </w:rPr>
            </w:pPr>
            <w:r>
              <w:rPr>
                <w:rFonts w:hint="eastAsia" w:ascii="仿宋_GB2312" w:hAnsi="Courier New" w:eastAsia="仿宋_GB2312" w:cs="Courier New"/>
                <w:kern w:val="0"/>
                <w:sz w:val="18"/>
                <w:szCs w:val="18"/>
              </w:rPr>
              <w:t xml:space="preserve">  医疗机构执业许可。</w:t>
            </w:r>
          </w:p>
          <w:p>
            <w:pPr>
              <w:widowControl/>
              <w:rPr>
                <w:rFonts w:ascii="宋体" w:hAnsi="宋体" w:cs="Times New Roman"/>
                <w:b/>
                <w:bCs/>
                <w:color w:val="000000"/>
                <w:kern w:val="0"/>
                <w:sz w:val="22"/>
              </w:rPr>
            </w:pPr>
          </w:p>
        </w:tc>
        <w:tc>
          <w:tcPr>
            <w:tcW w:w="709"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s="Times New Roman"/>
                <w:color w:val="000000"/>
                <w:kern w:val="0"/>
                <w:sz w:val="22"/>
              </w:rPr>
            </w:pPr>
            <w:r>
              <w:rPr>
                <w:rFonts w:hint="eastAsia" w:ascii="宋体" w:hAnsi="宋体" w:cs="Times New Roman"/>
                <w:color w:val="000000"/>
                <w:kern w:val="0"/>
                <w:sz w:val="22"/>
              </w:rPr>
              <w:t>1</w:t>
            </w:r>
          </w:p>
        </w:tc>
        <w:tc>
          <w:tcPr>
            <w:tcW w:w="567"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 w:val="22"/>
              </w:rPr>
            </w:pPr>
            <w:r>
              <w:rPr>
                <w:rFonts w:hint="eastAsia" w:ascii="仿宋_GB2312" w:hAnsi="宋体" w:eastAsia="仿宋_GB2312" w:cs="Times New Roman"/>
                <w:sz w:val="18"/>
                <w:szCs w:val="18"/>
              </w:rPr>
              <w:t>医疗机构设置申请</w:t>
            </w:r>
          </w:p>
        </w:tc>
        <w:tc>
          <w:tcPr>
            <w:tcW w:w="3778" w:type="dxa"/>
            <w:vMerge w:val="restart"/>
            <w:tcBorders>
              <w:top w:val="single" w:color="000000" w:sz="4" w:space="0"/>
              <w:left w:val="nil"/>
              <w:right w:val="single" w:color="000000" w:sz="4" w:space="0"/>
            </w:tcBorders>
            <w:vAlign w:val="center"/>
          </w:tcPr>
          <w:p>
            <w:pPr>
              <w:widowControl/>
              <w:ind w:firstLine="270" w:firstLine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《医疗机构管理条例 》（国务院令第149号）</w:t>
            </w:r>
          </w:p>
          <w:p>
            <w:pPr>
              <w:widowControl/>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第九条： 单位或者个人设置医疗机构，必须经县级以上地方人民政府卫生行政部门审查批准，并取得设置医疗机构批准书，方可向有关部门办理其他手续。</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 xml:space="preserve">  第十五条： 医疗机构执业，必须进行登记，领取《医疗机构执业许可证》。</w:t>
            </w:r>
          </w:p>
          <w:p>
            <w:pPr>
              <w:widowControl/>
              <w:ind w:firstLine="180" w:firstLineChars="100"/>
              <w:jc w:val="left"/>
              <w:rPr>
                <w:rFonts w:ascii="宋体" w:hAnsi="宋体" w:cs="Times New Roman"/>
                <w:color w:val="000000"/>
                <w:kern w:val="0"/>
                <w:sz w:val="22"/>
              </w:rPr>
            </w:pPr>
            <w:r>
              <w:rPr>
                <w:rFonts w:hint="eastAsia" w:ascii="仿宋_GB2312" w:hAnsi="仿宋_GB2312" w:eastAsia="仿宋_GB2312" w:cs="仿宋_GB2312"/>
                <w:sz w:val="18"/>
                <w:szCs w:val="18"/>
              </w:rPr>
              <w:t>第十七条： 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w:t>
            </w:r>
          </w:p>
        </w:tc>
        <w:tc>
          <w:tcPr>
            <w:tcW w:w="616" w:type="dxa"/>
            <w:vMerge w:val="restart"/>
            <w:tcBorders>
              <w:top w:val="single" w:color="000000" w:sz="4" w:space="0"/>
              <w:left w:val="nil"/>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vMerge w:val="restart"/>
            <w:tcBorders>
              <w:top w:val="single" w:color="000000" w:sz="4" w:space="0"/>
              <w:left w:val="nil"/>
              <w:right w:val="single" w:color="000000" w:sz="4" w:space="0"/>
            </w:tcBorders>
            <w:vAlign w:val="center"/>
          </w:tcPr>
          <w:p>
            <w:pPr>
              <w:widowControl/>
              <w:jc w:val="left"/>
              <w:rPr>
                <w:rFonts w:hint="eastAsia" w:ascii="仿宋_GB2312" w:eastAsia="仿宋_GB2312" w:cs="Times New Roman"/>
                <w:color w:val="000000"/>
                <w:kern w:val="0"/>
                <w:sz w:val="18"/>
                <w:szCs w:val="18"/>
                <w:lang w:eastAsia="zh-CN"/>
              </w:rPr>
            </w:pPr>
            <w:r>
              <w:rPr>
                <w:rFonts w:hint="eastAsia" w:ascii="仿宋_GB2312" w:eastAsia="仿宋_GB2312" w:cs="Times New Roman"/>
                <w:color w:val="000000"/>
                <w:kern w:val="0"/>
                <w:sz w:val="18"/>
                <w:szCs w:val="18"/>
                <w:lang w:eastAsia="zh-CN"/>
              </w:rPr>
              <w:t>卫健委政务服务大厅窗口</w:t>
            </w:r>
          </w:p>
        </w:tc>
        <w:tc>
          <w:tcPr>
            <w:tcW w:w="992" w:type="dxa"/>
            <w:vMerge w:val="restart"/>
            <w:tcBorders>
              <w:top w:val="single" w:color="000000" w:sz="4" w:space="0"/>
              <w:left w:val="nil"/>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134" w:type="dxa"/>
            <w:vMerge w:val="restart"/>
            <w:tcBorders>
              <w:top w:val="single" w:color="000000" w:sz="4" w:space="0"/>
              <w:left w:val="nil"/>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 xml:space="preserve">  《医疗机构执业许可证》</w:t>
            </w:r>
          </w:p>
          <w:p>
            <w:pPr>
              <w:widowControl/>
              <w:jc w:val="left"/>
              <w:rPr>
                <w:rFonts w:hint="eastAsia" w:ascii="仿宋_GB2312" w:eastAsia="仿宋_GB2312" w:cs="Times New Roman"/>
                <w:sz w:val="18"/>
                <w:szCs w:val="18"/>
              </w:rPr>
            </w:pPr>
            <w:r>
              <w:rPr>
                <w:rFonts w:hint="eastAsia" w:ascii="仿宋_GB2312" w:eastAsia="仿宋_GB2312" w:cs="Times New Roman"/>
                <w:color w:val="000000"/>
                <w:kern w:val="0"/>
                <w:sz w:val="18"/>
                <w:szCs w:val="18"/>
              </w:rPr>
              <w:t>有效期一年期。</w:t>
            </w:r>
          </w:p>
          <w:p>
            <w:pPr>
              <w:widowControl/>
              <w:jc w:val="left"/>
              <w:rPr>
                <w:rFonts w:hint="eastAsia" w:ascii="仿宋_GB2312" w:eastAsia="仿宋_GB2312" w:cs="Times New Roman"/>
                <w:color w:val="000000"/>
                <w:kern w:val="0"/>
                <w:sz w:val="18"/>
                <w:szCs w:val="18"/>
              </w:rPr>
            </w:pPr>
          </w:p>
        </w:tc>
        <w:tc>
          <w:tcPr>
            <w:tcW w:w="850" w:type="dxa"/>
            <w:vMerge w:val="restart"/>
            <w:tcBorders>
              <w:top w:val="single" w:color="000000" w:sz="4" w:space="0"/>
              <w:left w:val="nil"/>
              <w:right w:val="single" w:color="000000" w:sz="4" w:space="0"/>
            </w:tcBorders>
            <w:vAlign w:val="center"/>
          </w:tcPr>
          <w:p>
            <w:pPr>
              <w:widowControl/>
              <w:jc w:val="center"/>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20</w:t>
            </w:r>
          </w:p>
        </w:tc>
        <w:tc>
          <w:tcPr>
            <w:tcW w:w="851" w:type="dxa"/>
            <w:vMerge w:val="restart"/>
            <w:tcBorders>
              <w:top w:val="single" w:color="000000" w:sz="4" w:space="0"/>
              <w:left w:val="nil"/>
              <w:right w:val="single" w:color="000000" w:sz="4" w:space="0"/>
            </w:tcBorders>
            <w:vAlign w:val="center"/>
          </w:tcPr>
          <w:p>
            <w:pPr>
              <w:widowControl/>
              <w:jc w:val="center"/>
              <w:rPr>
                <w:rFonts w:hint="eastAsia" w:ascii="仿宋_GB2312" w:eastAsia="仿宋_GB2312" w:cs="Times New Roman"/>
                <w:color w:val="000000"/>
                <w:kern w:val="0"/>
                <w:sz w:val="18"/>
                <w:szCs w:val="18"/>
                <w:lang w:eastAsia="zh-CN"/>
              </w:rPr>
            </w:pPr>
            <w:r>
              <w:rPr>
                <w:rFonts w:hint="eastAsia" w:ascii="仿宋_GB2312" w:eastAsia="仿宋_GB2312" w:cs="Times New Roman"/>
                <w:color w:val="000000"/>
                <w:kern w:val="0"/>
                <w:sz w:val="18"/>
                <w:szCs w:val="18"/>
                <w:lang w:val="en-US" w:eastAsia="zh-CN"/>
              </w:rPr>
              <w:t>1</w:t>
            </w:r>
          </w:p>
        </w:tc>
        <w:tc>
          <w:tcPr>
            <w:tcW w:w="658" w:type="dxa"/>
            <w:vMerge w:val="restart"/>
            <w:tcBorders>
              <w:top w:val="single" w:color="000000" w:sz="4" w:space="0"/>
              <w:left w:val="nil"/>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618" w:type="dxa"/>
            <w:vMerge w:val="restart"/>
            <w:tcBorders>
              <w:top w:val="single" w:color="000000" w:sz="4" w:space="0"/>
              <w:left w:val="nil"/>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vMerge w:val="restart"/>
            <w:tcBorders>
              <w:top w:val="single" w:color="000000" w:sz="4" w:space="0"/>
              <w:left w:val="nil"/>
              <w:right w:val="single" w:color="000000" w:sz="4" w:space="0"/>
            </w:tcBorders>
            <w:vAlign w:val="center"/>
          </w:tcPr>
          <w:p>
            <w:pPr>
              <w:widowControl/>
              <w:jc w:val="left"/>
              <w:rPr>
                <w:rFonts w:ascii="宋体" w:hAnsi="宋体" w:cs="Times New Roman"/>
                <w:color w:val="000000"/>
                <w:kern w:val="0"/>
                <w:sz w:val="22"/>
              </w:rPr>
            </w:pPr>
          </w:p>
        </w:tc>
        <w:tc>
          <w:tcPr>
            <w:tcW w:w="567" w:type="dxa"/>
            <w:vMerge w:val="restart"/>
            <w:tcBorders>
              <w:top w:val="single" w:color="000000" w:sz="4" w:space="0"/>
              <w:left w:val="nil"/>
              <w:right w:val="single" w:color="000000" w:sz="4" w:space="0"/>
            </w:tcBorders>
            <w:vAlign w:val="center"/>
          </w:tcPr>
          <w:p>
            <w:pPr>
              <w:widowControl/>
              <w:jc w:val="left"/>
              <w:rPr>
                <w:rFonts w:ascii="仿宋_GB2312" w:hAnsi="宋体" w:eastAsia="仿宋_GB2312" w:cs="宋体"/>
                <w:color w:val="000000"/>
                <w:kern w:val="0"/>
                <w:sz w:val="22"/>
              </w:rPr>
            </w:pPr>
          </w:p>
        </w:tc>
      </w:tr>
      <w:tr>
        <w:tblPrEx>
          <w:tblCellMar>
            <w:top w:w="15" w:type="dxa"/>
            <w:left w:w="15" w:type="dxa"/>
            <w:bottom w:w="15" w:type="dxa"/>
            <w:right w:w="15" w:type="dxa"/>
          </w:tblCellMar>
        </w:tblPrEx>
        <w:trPr>
          <w:trHeight w:val="2719" w:hRule="atLeast"/>
        </w:trPr>
        <w:tc>
          <w:tcPr>
            <w:tcW w:w="582" w:type="dxa"/>
            <w:vMerge w:val="continue"/>
            <w:tcBorders>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 w:val="22"/>
              </w:rPr>
            </w:pPr>
          </w:p>
        </w:tc>
        <w:tc>
          <w:tcPr>
            <w:tcW w:w="851" w:type="dxa"/>
            <w:vMerge w:val="continue"/>
            <w:tcBorders>
              <w:left w:val="nil"/>
              <w:bottom w:val="single" w:color="auto" w:sz="4" w:space="0"/>
              <w:right w:val="single" w:color="auto" w:sz="4" w:space="0"/>
            </w:tcBorders>
            <w:vAlign w:val="center"/>
          </w:tcPr>
          <w:p>
            <w:pPr>
              <w:widowControl/>
              <w:rPr>
                <w:rFonts w:ascii="宋体" w:hAnsi="宋体" w:cs="Times New Roman"/>
                <w:color w:val="000000"/>
                <w:kern w:val="0"/>
                <w:sz w:val="22"/>
              </w:rPr>
            </w:pPr>
          </w:p>
        </w:tc>
        <w:tc>
          <w:tcPr>
            <w:tcW w:w="709"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Times New Roman"/>
                <w:color w:val="000000"/>
                <w:kern w:val="0"/>
                <w:sz w:val="22"/>
              </w:rPr>
            </w:pPr>
            <w:r>
              <w:rPr>
                <w:rFonts w:hint="eastAsia" w:ascii="宋体" w:hAnsi="宋体" w:cs="Times New Roman"/>
                <w:color w:val="000000"/>
                <w:kern w:val="0"/>
                <w:sz w:val="22"/>
              </w:rPr>
              <w:t>2</w:t>
            </w:r>
          </w:p>
        </w:tc>
        <w:tc>
          <w:tcPr>
            <w:tcW w:w="567"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Times New Roman"/>
                <w:sz w:val="18"/>
                <w:szCs w:val="18"/>
              </w:rPr>
            </w:pPr>
            <w:r>
              <w:rPr>
                <w:rFonts w:hint="eastAsia" w:ascii="仿宋_GB2312" w:hAnsi="宋体" w:eastAsia="仿宋_GB2312" w:cs="Times New Roman"/>
                <w:sz w:val="18"/>
                <w:szCs w:val="18"/>
              </w:rPr>
              <w:t>医疗机构申请执业变更登记注册</w:t>
            </w:r>
          </w:p>
        </w:tc>
        <w:tc>
          <w:tcPr>
            <w:tcW w:w="3778" w:type="dxa"/>
            <w:vMerge w:val="continue"/>
            <w:tcBorders>
              <w:left w:val="nil"/>
              <w:bottom w:val="single" w:color="auto" w:sz="4" w:space="0"/>
              <w:right w:val="single" w:color="000000" w:sz="4" w:space="0"/>
            </w:tcBorders>
            <w:vAlign w:val="center"/>
          </w:tcPr>
          <w:p>
            <w:pPr>
              <w:widowControl/>
              <w:jc w:val="left"/>
              <w:rPr>
                <w:rFonts w:ascii="仿宋_GB2312" w:hAnsi="宋体" w:eastAsia="仿宋_GB2312" w:cs="Times New Roman"/>
                <w:sz w:val="18"/>
                <w:szCs w:val="18"/>
              </w:rPr>
            </w:pPr>
          </w:p>
        </w:tc>
        <w:tc>
          <w:tcPr>
            <w:tcW w:w="616" w:type="dxa"/>
            <w:vMerge w:val="continue"/>
            <w:tcBorders>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709" w:type="dxa"/>
            <w:vMerge w:val="continue"/>
            <w:tcBorders>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vMerge w:val="continue"/>
            <w:tcBorders>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134" w:type="dxa"/>
            <w:vMerge w:val="continue"/>
            <w:tcBorders>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850" w:type="dxa"/>
            <w:vMerge w:val="continue"/>
            <w:tcBorders>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rPr>
            </w:pPr>
          </w:p>
        </w:tc>
        <w:tc>
          <w:tcPr>
            <w:tcW w:w="851" w:type="dxa"/>
            <w:vMerge w:val="continue"/>
            <w:tcBorders>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rPr>
            </w:pPr>
          </w:p>
        </w:tc>
        <w:tc>
          <w:tcPr>
            <w:tcW w:w="658" w:type="dxa"/>
            <w:vMerge w:val="continue"/>
            <w:tcBorders>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618" w:type="dxa"/>
            <w:vMerge w:val="continue"/>
            <w:tcBorders>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vMerge w:val="continue"/>
            <w:tcBorders>
              <w:left w:val="nil"/>
              <w:bottom w:val="single" w:color="auto" w:sz="4" w:space="0"/>
              <w:right w:val="single" w:color="000000" w:sz="4" w:space="0"/>
            </w:tcBorders>
            <w:vAlign w:val="center"/>
          </w:tcPr>
          <w:p>
            <w:pPr>
              <w:widowControl/>
              <w:jc w:val="left"/>
              <w:rPr>
                <w:rFonts w:ascii="宋体" w:hAnsi="宋体" w:cs="Times New Roman"/>
                <w:color w:val="000000"/>
                <w:kern w:val="0"/>
                <w:sz w:val="22"/>
              </w:rPr>
            </w:pPr>
          </w:p>
        </w:tc>
        <w:tc>
          <w:tcPr>
            <w:tcW w:w="567" w:type="dxa"/>
            <w:vMerge w:val="continue"/>
            <w:tcBorders>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2"/>
              </w:rPr>
            </w:pPr>
          </w:p>
        </w:tc>
      </w:tr>
    </w:tbl>
    <w:p>
      <w:pPr>
        <w:ind w:firstLine="5108" w:firstLineChars="1696"/>
        <w:rPr>
          <w:rFonts w:hint="eastAsia" w:cs="Times New Roman"/>
          <w:b/>
          <w:bCs/>
          <w:sz w:val="30"/>
          <w:szCs w:val="30"/>
        </w:rPr>
      </w:pPr>
    </w:p>
    <w:p>
      <w:pPr>
        <w:ind w:firstLine="5108" w:firstLineChars="1696"/>
        <w:rPr>
          <w:rFonts w:hint="eastAsia" w:cs="Times New Roman"/>
          <w:b/>
          <w:bCs/>
          <w:sz w:val="30"/>
          <w:szCs w:val="30"/>
        </w:rPr>
      </w:pPr>
    </w:p>
    <w:p>
      <w:pPr>
        <w:ind w:firstLine="5108" w:firstLineChars="1696"/>
        <w:rPr>
          <w:rFonts w:hint="eastAsia" w:cs="Times New Roman"/>
          <w:b/>
          <w:bCs/>
          <w:sz w:val="30"/>
          <w:szCs w:val="30"/>
        </w:rPr>
      </w:pPr>
    </w:p>
    <w:tbl>
      <w:tblPr>
        <w:tblStyle w:val="5"/>
        <w:tblW w:w="14339" w:type="dxa"/>
        <w:tblInd w:w="135" w:type="dxa"/>
        <w:tblLayout w:type="fixed"/>
        <w:tblCellMar>
          <w:top w:w="15" w:type="dxa"/>
          <w:left w:w="15" w:type="dxa"/>
          <w:bottom w:w="15" w:type="dxa"/>
          <w:right w:w="15" w:type="dxa"/>
        </w:tblCellMar>
      </w:tblPr>
      <w:tblGrid>
        <w:gridCol w:w="582"/>
        <w:gridCol w:w="851"/>
        <w:gridCol w:w="709"/>
        <w:gridCol w:w="567"/>
        <w:gridCol w:w="3778"/>
        <w:gridCol w:w="616"/>
        <w:gridCol w:w="709"/>
        <w:gridCol w:w="992"/>
        <w:gridCol w:w="999"/>
        <w:gridCol w:w="850"/>
        <w:gridCol w:w="709"/>
        <w:gridCol w:w="709"/>
        <w:gridCol w:w="567"/>
        <w:gridCol w:w="992"/>
        <w:gridCol w:w="709"/>
      </w:tblGrid>
      <w:tr>
        <w:tblPrEx>
          <w:tblCellMar>
            <w:top w:w="15" w:type="dxa"/>
            <w:left w:w="15" w:type="dxa"/>
            <w:bottom w:w="15" w:type="dxa"/>
            <w:right w:w="15" w:type="dxa"/>
          </w:tblCellMar>
        </w:tblPrEx>
        <w:trPr>
          <w:trHeight w:val="6561" w:hRule="atLeast"/>
        </w:trPr>
        <w:tc>
          <w:tcPr>
            <w:tcW w:w="58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851" w:type="dxa"/>
            <w:tcBorders>
              <w:top w:val="single" w:color="000000" w:sz="4" w:space="0"/>
              <w:left w:val="nil"/>
              <w:bottom w:val="single" w:color="auto" w:sz="4" w:space="0"/>
              <w:right w:val="single" w:color="000000" w:sz="4" w:space="0"/>
            </w:tcBorders>
            <w:vAlign w:val="center"/>
          </w:tcPr>
          <w:p>
            <w:pPr>
              <w:widowControl/>
              <w:ind w:firstLine="90" w:firstLineChars="50"/>
              <w:rPr>
                <w:rFonts w:ascii="宋体" w:hAnsi="宋体" w:cs="Times New Roman"/>
                <w:color w:val="000000"/>
                <w:kern w:val="0"/>
                <w:sz w:val="22"/>
              </w:rPr>
            </w:pPr>
            <w:r>
              <w:rPr>
                <w:rFonts w:hint="eastAsia" w:ascii="仿宋_GB2312" w:hAnsi="宋体" w:eastAsia="仿宋_GB2312" w:cs="宋体"/>
                <w:color w:val="000000"/>
                <w:kern w:val="0"/>
                <w:sz w:val="18"/>
                <w:szCs w:val="18"/>
              </w:rPr>
              <w:t>生活饮用水供水单位卫生许可</w:t>
            </w:r>
          </w:p>
        </w:tc>
        <w:tc>
          <w:tcPr>
            <w:tcW w:w="709" w:type="dxa"/>
            <w:tcBorders>
              <w:top w:val="single" w:color="000000" w:sz="4" w:space="0"/>
              <w:left w:val="nil"/>
              <w:bottom w:val="single" w:color="auto" w:sz="4" w:space="0"/>
              <w:right w:val="single" w:color="000000" w:sz="4" w:space="0"/>
            </w:tcBorders>
            <w:vAlign w:val="center"/>
          </w:tcPr>
          <w:p>
            <w:pPr>
              <w:jc w:val="center"/>
              <w:rPr>
                <w:rFonts w:ascii="宋体" w:hAnsi="宋体" w:cs="Times New Roman"/>
                <w:color w:val="000000"/>
                <w:kern w:val="0"/>
                <w:sz w:val="22"/>
              </w:rPr>
            </w:pPr>
          </w:p>
        </w:tc>
        <w:tc>
          <w:tcPr>
            <w:tcW w:w="567"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 w:val="22"/>
              </w:rPr>
            </w:pPr>
          </w:p>
        </w:tc>
        <w:tc>
          <w:tcPr>
            <w:tcW w:w="3778" w:type="dxa"/>
            <w:tcBorders>
              <w:top w:val="single" w:color="000000" w:sz="4" w:space="0"/>
              <w:left w:val="nil"/>
              <w:bottom w:val="single" w:color="auto" w:sz="4" w:space="0"/>
              <w:right w:val="single" w:color="000000" w:sz="4" w:space="0"/>
            </w:tcBorders>
            <w:vAlign w:val="center"/>
          </w:tcPr>
          <w:p>
            <w:pPr>
              <w:widowControl/>
              <w:ind w:firstLine="270" w:firstLineChars="150"/>
              <w:jc w:val="left"/>
              <w:rPr>
                <w:rFonts w:ascii="仿宋_GB2312" w:hAnsi="宋体" w:eastAsia="仿宋_GB2312"/>
                <w:sz w:val="18"/>
                <w:szCs w:val="18"/>
              </w:rPr>
            </w:pPr>
            <w:r>
              <w:rPr>
                <w:rFonts w:hint="eastAsia" w:ascii="仿宋_GB2312" w:hAnsi="仿宋_GB2312" w:eastAsia="仿宋_GB2312" w:cs="仿宋_GB2312"/>
                <w:color w:val="000000"/>
                <w:sz w:val="18"/>
                <w:szCs w:val="18"/>
              </w:rPr>
              <w:t xml:space="preserve">《中华人民共和国传染病防治法》第二十九条:用于传染病防治的消毒产品、饮用水供水单位供应的饮用水和涉及饮用水卫生安全的产品，应当符合国家卫生标准和卫生规范。 </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 xml:space="preserve">饮用水供水单位从事生产或者供应活动，应当依法取得卫生许可证。 </w:t>
            </w:r>
            <w:r>
              <w:rPr>
                <w:rFonts w:hint="eastAsia" w:ascii=".." w:hAnsi=".."/>
                <w:color w:val="000000"/>
              </w:rPr>
              <w:br w:type="textWrapping"/>
            </w:r>
            <w:r>
              <w:rPr>
                <w:rFonts w:hint="eastAsia" w:ascii="仿宋_GB2312" w:hAnsi="宋体" w:eastAsia="仿宋_GB2312"/>
                <w:sz w:val="18"/>
                <w:szCs w:val="18"/>
              </w:rPr>
              <w:t xml:space="preserve">   《生活饮用水卫生监督管理办法》（建设部、卫生部令第53号）第三条：卫生部主管全国饮用水卫生监督工作。县级以上地方人民政府卫生行政部门主管本行政区域内饮用水卫生监督工作。建设部主管全国城市饮用水卫生管理工作。县级以上地方人民政府建设行政主管部门主管本行政区域内城镇饮用水卫生管理工作。</w:t>
            </w:r>
          </w:p>
          <w:p>
            <w:pPr>
              <w:widowControl/>
              <w:jc w:val="left"/>
              <w:rPr>
                <w:rFonts w:ascii="仿宋_GB2312" w:hAnsi="宋体" w:eastAsia="仿宋_GB2312"/>
                <w:sz w:val="18"/>
                <w:szCs w:val="18"/>
              </w:rPr>
            </w:pPr>
            <w:r>
              <w:rPr>
                <w:rFonts w:hint="eastAsia" w:ascii="仿宋_GB2312" w:hAnsi="宋体" w:eastAsia="仿宋_GB2312"/>
                <w:sz w:val="18"/>
                <w:szCs w:val="18"/>
              </w:rPr>
              <w:t>    第四条：国家对供水单位和涉及饮用水卫生安全的产品实行卫生许可制度。</w:t>
            </w:r>
          </w:p>
          <w:p>
            <w:pPr>
              <w:widowControl/>
              <w:ind w:firstLine="360" w:firstLineChars="200"/>
              <w:jc w:val="left"/>
              <w:rPr>
                <w:rFonts w:ascii="仿宋_GB2312" w:hAnsi="宋体" w:eastAsia="仿宋_GB2312"/>
                <w:sz w:val="18"/>
                <w:szCs w:val="18"/>
              </w:rPr>
            </w:pPr>
            <w:r>
              <w:rPr>
                <w:rFonts w:hint="eastAsia" w:ascii="仿宋_GB2312" w:hAnsi="宋体" w:eastAsia="仿宋_GB2312"/>
                <w:sz w:val="18"/>
                <w:szCs w:val="18"/>
              </w:rPr>
              <w:t>第二十条;供水单位卫生许可证由县级以上人民政府卫生行政部门按照本办法第十六规定的管理范围发放，有效期四年，每年复核一次。有效期满前六个月重新提出申请换发新证。《城市供水企业资质证书》的申办按《城市供水企业资质管理规定》执行。</w:t>
            </w:r>
          </w:p>
          <w:p>
            <w:pPr>
              <w:widowControl/>
              <w:ind w:firstLine="360" w:firstLineChars="200"/>
              <w:jc w:val="left"/>
              <w:rPr>
                <w:rFonts w:ascii="仿宋_GB2312" w:hAnsi="宋体" w:eastAsia="仿宋_GB2312"/>
                <w:sz w:val="18"/>
                <w:szCs w:val="18"/>
              </w:rPr>
            </w:pPr>
          </w:p>
        </w:tc>
        <w:tc>
          <w:tcPr>
            <w:tcW w:w="616"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9" w:type="dxa"/>
            <w:tcBorders>
              <w:top w:val="single" w:color="000000" w:sz="4" w:space="0"/>
              <w:left w:val="nil"/>
              <w:bottom w:val="single" w:color="auto" w:sz="4" w:space="0"/>
              <w:right w:val="single" w:color="000000" w:sz="4" w:space="0"/>
            </w:tcBorders>
            <w:vAlign w:val="center"/>
          </w:tcPr>
          <w:p>
            <w:pPr>
              <w:rPr>
                <w:rFonts w:ascii="仿宋_GB2312" w:hAnsi="宋体" w:eastAsia="仿宋_GB2312"/>
                <w:szCs w:val="21"/>
              </w:rPr>
            </w:pPr>
            <w:r>
              <w:rPr>
                <w:rFonts w:hint="eastAsia" w:ascii="仿宋_GB2312" w:hAnsi="仿宋_GB2312" w:eastAsia="仿宋_GB2312" w:cs="仿宋_GB2312"/>
                <w:sz w:val="18"/>
                <w:szCs w:val="18"/>
              </w:rPr>
              <w:t>《生活饮用水供水单位卫生许可》有效期4年。每年复核一次。</w:t>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20</w:t>
            </w:r>
          </w:p>
        </w:tc>
        <w:tc>
          <w:tcPr>
            <w:tcW w:w="709"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709"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567"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tcBorders>
              <w:top w:val="single" w:color="000000" w:sz="4" w:space="0"/>
              <w:left w:val="nil"/>
              <w:bottom w:val="single" w:color="auto" w:sz="4" w:space="0"/>
              <w:right w:val="single" w:color="000000" w:sz="4" w:space="0"/>
            </w:tcBorders>
            <w:vAlign w:val="center"/>
          </w:tcPr>
          <w:p>
            <w:pPr>
              <w:widowControl/>
              <w:jc w:val="left"/>
              <w:rPr>
                <w:rFonts w:ascii="宋体" w:hAnsi="宋体" w:cs="Times New Roman"/>
                <w:color w:val="000000"/>
                <w:kern w:val="0"/>
                <w:sz w:val="22"/>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2"/>
              </w:rPr>
            </w:pPr>
          </w:p>
        </w:tc>
      </w:tr>
    </w:tbl>
    <w:p>
      <w:pPr>
        <w:ind w:firstLine="5108" w:firstLineChars="1696"/>
        <w:rPr>
          <w:rFonts w:hint="eastAsia" w:cs="Times New Roman"/>
          <w:b/>
          <w:bCs/>
          <w:sz w:val="30"/>
          <w:szCs w:val="30"/>
        </w:rPr>
      </w:pPr>
    </w:p>
    <w:tbl>
      <w:tblPr>
        <w:tblStyle w:val="5"/>
        <w:tblpPr w:leftFromText="180" w:rightFromText="180" w:vertAnchor="page" w:horzAnchor="page" w:tblpX="1234" w:tblpY="1602"/>
        <w:tblW w:w="14743" w:type="dxa"/>
        <w:tblInd w:w="0" w:type="dxa"/>
        <w:tblLayout w:type="fixed"/>
        <w:tblCellMar>
          <w:top w:w="15" w:type="dxa"/>
          <w:left w:w="15" w:type="dxa"/>
          <w:bottom w:w="15" w:type="dxa"/>
          <w:right w:w="15" w:type="dxa"/>
        </w:tblCellMar>
      </w:tblPr>
      <w:tblGrid>
        <w:gridCol w:w="441"/>
        <w:gridCol w:w="992"/>
        <w:gridCol w:w="567"/>
        <w:gridCol w:w="709"/>
        <w:gridCol w:w="4096"/>
        <w:gridCol w:w="708"/>
        <w:gridCol w:w="709"/>
        <w:gridCol w:w="992"/>
        <w:gridCol w:w="993"/>
        <w:gridCol w:w="850"/>
        <w:gridCol w:w="851"/>
        <w:gridCol w:w="708"/>
        <w:gridCol w:w="567"/>
        <w:gridCol w:w="993"/>
        <w:gridCol w:w="567"/>
      </w:tblGrid>
      <w:tr>
        <w:tblPrEx>
          <w:tblCellMar>
            <w:top w:w="15" w:type="dxa"/>
            <w:left w:w="15" w:type="dxa"/>
            <w:bottom w:w="15" w:type="dxa"/>
            <w:right w:w="15" w:type="dxa"/>
          </w:tblCellMar>
        </w:tblPrEx>
        <w:trPr>
          <w:trHeight w:val="6150" w:hRule="atLeast"/>
        </w:trPr>
        <w:tc>
          <w:tcPr>
            <w:tcW w:w="441"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992" w:type="dxa"/>
            <w:tcBorders>
              <w:top w:val="single" w:color="000000" w:sz="4" w:space="0"/>
              <w:left w:val="nil"/>
              <w:bottom w:val="single" w:color="auto" w:sz="4" w:space="0"/>
              <w:right w:val="single" w:color="000000" w:sz="4" w:space="0"/>
            </w:tcBorders>
            <w:vAlign w:val="center"/>
          </w:tcPr>
          <w:p>
            <w:pPr>
              <w:widowControl/>
              <w:ind w:firstLine="180" w:firstLineChars="100"/>
              <w:rPr>
                <w:rFonts w:ascii="宋体" w:hAnsi="宋体" w:cs="Times New Roman"/>
                <w:color w:val="000000"/>
                <w:kern w:val="0"/>
                <w:sz w:val="22"/>
              </w:rPr>
            </w:pPr>
            <w:r>
              <w:rPr>
                <w:rFonts w:hint="eastAsia" w:ascii="仿宋_GB2312" w:hAnsi="宋体" w:eastAsia="仿宋_GB2312" w:cs="宋体"/>
                <w:color w:val="000000"/>
                <w:kern w:val="0"/>
                <w:sz w:val="18"/>
                <w:szCs w:val="18"/>
              </w:rPr>
              <w:t>公共场所卫生许可（不含公园、体育场馆、公共交通工具、饭馆、咖啡馆、酒吧、茶座）</w:t>
            </w:r>
          </w:p>
        </w:tc>
        <w:tc>
          <w:tcPr>
            <w:tcW w:w="567" w:type="dxa"/>
            <w:tcBorders>
              <w:top w:val="single" w:color="000000" w:sz="4" w:space="0"/>
              <w:left w:val="nil"/>
              <w:bottom w:val="single" w:color="auto" w:sz="4" w:space="0"/>
              <w:right w:val="single" w:color="000000" w:sz="4" w:space="0"/>
            </w:tcBorders>
            <w:vAlign w:val="center"/>
          </w:tcPr>
          <w:p>
            <w:pPr>
              <w:jc w:val="center"/>
              <w:rPr>
                <w:rFonts w:ascii="宋体" w:hAnsi="宋体" w:cs="Times New Roman"/>
                <w:color w:val="000000"/>
                <w:kern w:val="0"/>
                <w:sz w:val="22"/>
              </w:rPr>
            </w:pPr>
          </w:p>
        </w:tc>
        <w:tc>
          <w:tcPr>
            <w:tcW w:w="709"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 w:val="22"/>
              </w:rPr>
            </w:pPr>
          </w:p>
        </w:tc>
        <w:tc>
          <w:tcPr>
            <w:tcW w:w="4096" w:type="dxa"/>
            <w:tcBorders>
              <w:top w:val="single" w:color="000000" w:sz="4" w:space="0"/>
              <w:left w:val="nil"/>
              <w:bottom w:val="single" w:color="auto" w:sz="4" w:space="0"/>
              <w:right w:val="single" w:color="000000" w:sz="4" w:space="0"/>
            </w:tcBorders>
            <w:vAlign w:val="center"/>
          </w:tcPr>
          <w:p>
            <w:pPr>
              <w:ind w:firstLine="270" w:firstLineChars="150"/>
              <w:rPr>
                <w:rFonts w:ascii="仿宋_GB2312" w:hAnsi="宋体" w:eastAsia="仿宋_GB2312"/>
                <w:sz w:val="18"/>
                <w:szCs w:val="18"/>
              </w:rPr>
            </w:pPr>
            <w:r>
              <w:rPr>
                <w:rFonts w:hint="eastAsia" w:ascii="仿宋_GB2312" w:hAnsi="宋体" w:eastAsia="仿宋_GB2312"/>
                <w:sz w:val="18"/>
                <w:szCs w:val="18"/>
              </w:rPr>
              <w:t>《公共场所卫生管理条例》国发</w:t>
            </w:r>
            <w:r>
              <w:rPr>
                <w:rFonts w:ascii="宋体" w:hAnsi="宋体" w:cs="宋体"/>
                <w:kern w:val="0"/>
                <w:sz w:val="24"/>
                <w:szCs w:val="24"/>
              </w:rPr>
              <w:t>〔</w:t>
            </w:r>
            <w:r>
              <w:rPr>
                <w:rFonts w:hint="eastAsia" w:ascii="仿宋_GB2312" w:hAnsi="宋体" w:eastAsia="仿宋_GB2312"/>
                <w:sz w:val="18"/>
                <w:szCs w:val="18"/>
              </w:rPr>
              <w:t>1987</w:t>
            </w:r>
            <w:r>
              <w:rPr>
                <w:rFonts w:ascii="宋体" w:hAnsi="宋体" w:cs="宋体"/>
                <w:kern w:val="0"/>
                <w:sz w:val="24"/>
                <w:szCs w:val="24"/>
              </w:rPr>
              <w:t>〕</w:t>
            </w:r>
            <w:r>
              <w:rPr>
                <w:rFonts w:hint="eastAsia" w:ascii="仿宋_GB2312" w:hAnsi="宋体" w:eastAsia="仿宋_GB2312"/>
                <w:sz w:val="18"/>
                <w:szCs w:val="18"/>
              </w:rPr>
              <w:t>24号第四条：国家对公共场所以及新建、改建、扩建的公共场所的选址和设计实行“卫生许可证”制度。“卫生许可证”由县以上卫生行政部门签发。</w:t>
            </w:r>
          </w:p>
          <w:p>
            <w:pPr>
              <w:ind w:firstLine="270" w:firstLineChars="150"/>
              <w:rPr>
                <w:rFonts w:ascii="仿宋_GB2312" w:hAnsi="宋体" w:eastAsia="仿宋_GB2312"/>
                <w:sz w:val="18"/>
                <w:szCs w:val="18"/>
              </w:rPr>
            </w:pPr>
            <w:r>
              <w:rPr>
                <w:rFonts w:hint="eastAsia" w:ascii="仿宋_GB2312" w:hAnsi="宋体" w:eastAsia="仿宋_GB2312"/>
                <w:sz w:val="18"/>
                <w:szCs w:val="18"/>
              </w:rPr>
              <w:t>第八条：经营单位须取得“卫生许可证”后，方可向工商行政管理部门申请登记，办理营业执照。在本条例实施前已开业的，须经卫生防疫机构验收合格后，补发“卫生许可证”。“卫生许可证”两年复核一次。</w:t>
            </w:r>
          </w:p>
          <w:p>
            <w:pPr>
              <w:widowControl/>
              <w:ind w:firstLine="270" w:firstLineChars="150"/>
              <w:jc w:val="left"/>
              <w:rPr>
                <w:rFonts w:ascii="宋体" w:hAnsi="宋体" w:cs="Times New Roman"/>
                <w:color w:val="000000"/>
                <w:kern w:val="0"/>
                <w:sz w:val="22"/>
              </w:rPr>
            </w:pPr>
            <w:r>
              <w:rPr>
                <w:rFonts w:hint="eastAsia" w:ascii="仿宋_GB2312" w:hAnsi="宋体" w:eastAsia="仿宋_GB2312"/>
                <w:sz w:val="18"/>
                <w:szCs w:val="18"/>
              </w:rPr>
              <w:t>《公共场所卫生管理条例实施细则》（中华人民共和国卫生部令第80号）第二十二条：国家对公共场所实行卫生许可证管理。公共场所经营者应当按照规定向县级以上地方人民政府卫生行政部门申请卫生许可证。未取得卫生许可证的，不得营业。公共场所卫生监督的具体范围由省、自治区、直辖市人民政府卫生行政部门公布。</w:t>
            </w:r>
          </w:p>
        </w:tc>
        <w:tc>
          <w:tcPr>
            <w:tcW w:w="708"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auto" w:sz="4" w:space="0"/>
              <w:right w:val="single" w:color="000000" w:sz="4" w:space="0"/>
            </w:tcBorders>
            <w:vAlign w:val="center"/>
          </w:tcPr>
          <w:p>
            <w:pPr>
              <w:widowControl/>
              <w:ind w:firstLine="180" w:firstLineChars="100"/>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3"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hAnsi="仿宋_GB2312" w:eastAsia="仿宋_GB2312" w:cs="仿宋_GB2312"/>
                <w:sz w:val="18"/>
                <w:szCs w:val="18"/>
              </w:rPr>
              <w:t>《公共场所卫生许可证》有效期限为四年，每两年复核一次。</w:t>
            </w:r>
            <w:r>
              <w:rPr>
                <w:rFonts w:hint="eastAsia"/>
                <w:sz w:val="32"/>
                <w:szCs w:val="32"/>
              </w:rPr>
              <w:br w:type="textWrapping"/>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20</w:t>
            </w:r>
          </w:p>
        </w:tc>
        <w:tc>
          <w:tcPr>
            <w:tcW w:w="851"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708"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567"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3" w:type="dxa"/>
            <w:tcBorders>
              <w:top w:val="single" w:color="000000" w:sz="4" w:space="0"/>
              <w:left w:val="nil"/>
              <w:bottom w:val="single" w:color="auto" w:sz="4" w:space="0"/>
              <w:right w:val="single" w:color="auto" w:sz="4" w:space="0"/>
            </w:tcBorders>
            <w:vAlign w:val="center"/>
          </w:tcPr>
          <w:p>
            <w:pPr>
              <w:widowControl/>
              <w:jc w:val="left"/>
              <w:rPr>
                <w:rFonts w:ascii="宋体" w:hAnsi="宋体" w:cs="Times New Roman"/>
                <w:color w:val="000000"/>
                <w:kern w:val="0"/>
                <w:sz w:val="22"/>
              </w:rPr>
            </w:pPr>
          </w:p>
        </w:tc>
        <w:tc>
          <w:tcPr>
            <w:tcW w:w="567"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Times New Roman"/>
                <w:color w:val="000000"/>
                <w:kern w:val="0"/>
                <w:sz w:val="22"/>
              </w:rPr>
            </w:pPr>
          </w:p>
        </w:tc>
      </w:tr>
    </w:tbl>
    <w:p>
      <w:pPr>
        <w:rPr>
          <w:rFonts w:hint="eastAsia" w:cs="Times New Roman"/>
          <w:b/>
          <w:bCs/>
          <w:sz w:val="30"/>
          <w:szCs w:val="30"/>
        </w:rPr>
      </w:pPr>
    </w:p>
    <w:p>
      <w:pPr>
        <w:ind w:firstLine="5108" w:firstLineChars="1696"/>
        <w:rPr>
          <w:rFonts w:hint="eastAsia" w:cs="Times New Roman"/>
          <w:b/>
          <w:bCs/>
          <w:sz w:val="30"/>
          <w:szCs w:val="30"/>
        </w:rPr>
      </w:pPr>
    </w:p>
    <w:tbl>
      <w:tblPr>
        <w:tblStyle w:val="5"/>
        <w:tblW w:w="14459" w:type="dxa"/>
        <w:tblInd w:w="15" w:type="dxa"/>
        <w:tblLayout w:type="fixed"/>
        <w:tblCellMar>
          <w:top w:w="15" w:type="dxa"/>
          <w:left w:w="15" w:type="dxa"/>
          <w:bottom w:w="15" w:type="dxa"/>
          <w:right w:w="15" w:type="dxa"/>
        </w:tblCellMar>
      </w:tblPr>
      <w:tblGrid>
        <w:gridCol w:w="426"/>
        <w:gridCol w:w="708"/>
        <w:gridCol w:w="567"/>
        <w:gridCol w:w="567"/>
        <w:gridCol w:w="4253"/>
        <w:gridCol w:w="702"/>
        <w:gridCol w:w="709"/>
        <w:gridCol w:w="992"/>
        <w:gridCol w:w="1134"/>
        <w:gridCol w:w="850"/>
        <w:gridCol w:w="769"/>
        <w:gridCol w:w="514"/>
        <w:gridCol w:w="567"/>
        <w:gridCol w:w="992"/>
        <w:gridCol w:w="709"/>
      </w:tblGrid>
      <w:tr>
        <w:tblPrEx>
          <w:tblCellMar>
            <w:top w:w="15" w:type="dxa"/>
            <w:left w:w="15" w:type="dxa"/>
            <w:bottom w:w="15" w:type="dxa"/>
            <w:right w:w="15" w:type="dxa"/>
          </w:tblCellMar>
        </w:tblPrEx>
        <w:trPr>
          <w:trHeight w:val="7203" w:hRule="atLeast"/>
        </w:trPr>
        <w:tc>
          <w:tcPr>
            <w:tcW w:w="426"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708" w:type="dxa"/>
            <w:tcBorders>
              <w:top w:val="single" w:color="000000" w:sz="4" w:space="0"/>
              <w:left w:val="nil"/>
              <w:bottom w:val="single" w:color="auto" w:sz="4" w:space="0"/>
              <w:right w:val="single" w:color="000000" w:sz="4" w:space="0"/>
            </w:tcBorders>
            <w:vAlign w:val="center"/>
          </w:tcPr>
          <w:p>
            <w:pPr>
              <w:rPr>
                <w:rFonts w:ascii="仿宋_GB2312" w:hAnsi="宋体" w:eastAsia="仿宋_GB2312" w:cs="宋体"/>
                <w:color w:val="000000"/>
                <w:kern w:val="0"/>
                <w:szCs w:val="21"/>
              </w:rPr>
            </w:pPr>
          </w:p>
          <w:p>
            <w:pPr>
              <w:widowControl/>
              <w:rPr>
                <w:rFonts w:ascii="宋体" w:hAnsi="宋体" w:cs="Times New Roman"/>
                <w:color w:val="000000"/>
                <w:kern w:val="0"/>
                <w:sz w:val="18"/>
                <w:szCs w:val="18"/>
              </w:rPr>
            </w:pPr>
            <w:r>
              <w:rPr>
                <w:rFonts w:hint="eastAsia" w:ascii="仿宋_GB2312" w:hAnsi="宋体" w:eastAsia="仿宋_GB2312" w:cs="宋体"/>
                <w:color w:val="000000"/>
                <w:kern w:val="0"/>
                <w:sz w:val="18"/>
                <w:szCs w:val="18"/>
              </w:rPr>
              <w:t>放射性工作卫生许可</w:t>
            </w:r>
          </w:p>
        </w:tc>
        <w:tc>
          <w:tcPr>
            <w:tcW w:w="567" w:type="dxa"/>
            <w:tcBorders>
              <w:top w:val="single" w:color="000000" w:sz="4" w:space="0"/>
              <w:left w:val="nil"/>
              <w:bottom w:val="single" w:color="auto" w:sz="4" w:space="0"/>
              <w:right w:val="single" w:color="000000" w:sz="4" w:space="0"/>
            </w:tcBorders>
            <w:vAlign w:val="center"/>
          </w:tcPr>
          <w:p>
            <w:pPr>
              <w:jc w:val="center"/>
              <w:rPr>
                <w:rFonts w:ascii="宋体" w:hAnsi="宋体" w:cs="Times New Roman"/>
                <w:color w:val="000000"/>
                <w:kern w:val="0"/>
                <w:sz w:val="22"/>
              </w:rPr>
            </w:pPr>
          </w:p>
        </w:tc>
        <w:tc>
          <w:tcPr>
            <w:tcW w:w="567"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 w:val="22"/>
              </w:rPr>
            </w:pPr>
          </w:p>
        </w:tc>
        <w:tc>
          <w:tcPr>
            <w:tcW w:w="4253" w:type="dxa"/>
            <w:tcBorders>
              <w:top w:val="single" w:color="000000" w:sz="4" w:space="0"/>
              <w:left w:val="nil"/>
              <w:bottom w:val="single" w:color="auto" w:sz="4" w:space="0"/>
              <w:right w:val="single" w:color="000000" w:sz="4" w:space="0"/>
            </w:tcBorders>
            <w:vAlign w:val="center"/>
          </w:tcPr>
          <w:p>
            <w:pPr>
              <w:widowControl/>
              <w:spacing w:before="100" w:beforeAutospacing="1"/>
              <w:ind w:firstLine="180" w:firstLineChars="100"/>
              <w:jc w:val="left"/>
              <w:outlineLvl w:val="3"/>
              <w:rPr>
                <w:rFonts w:ascii="仿宋_GB2312" w:hAnsi="宋体" w:eastAsia="仿宋_GB2312" w:cs="Times New Roman"/>
                <w:color w:val="000000"/>
                <w:kern w:val="0"/>
                <w:sz w:val="18"/>
                <w:szCs w:val="18"/>
              </w:rPr>
            </w:pPr>
            <w:r>
              <w:rPr>
                <w:rFonts w:hint="eastAsia" w:ascii="仿宋_GB2312" w:hAnsi="宋体" w:eastAsia="仿宋_GB2312" w:cs="Times New Roman"/>
                <w:color w:val="000000"/>
                <w:kern w:val="0"/>
                <w:sz w:val="18"/>
                <w:szCs w:val="18"/>
              </w:rPr>
              <w:t>《中华人民共和国职业病防治法》主席令第五十二号第八十九条:对医疗机构放射性职业病危害控制的监督管理，由卫生行政部门依照本法的规定实施。</w:t>
            </w:r>
          </w:p>
          <w:p>
            <w:pPr>
              <w:widowControl/>
              <w:ind w:firstLine="180" w:firstLineChars="100"/>
              <w:jc w:val="left"/>
              <w:outlineLvl w:val="3"/>
              <w:rPr>
                <w:rFonts w:ascii="仿宋_GB2312" w:hAnsi="宋体" w:eastAsia="仿宋_GB2312" w:cs="Times New Roman"/>
                <w:color w:val="000000"/>
                <w:kern w:val="0"/>
                <w:sz w:val="18"/>
                <w:szCs w:val="18"/>
              </w:rPr>
            </w:pPr>
            <w:r>
              <w:rPr>
                <w:rFonts w:hint="eastAsia" w:ascii="仿宋_GB2312" w:hAnsi="宋体" w:eastAsia="仿宋_GB2312" w:cs="Times New Roman"/>
                <w:color w:val="000000"/>
                <w:kern w:val="0"/>
                <w:sz w:val="18"/>
                <w:szCs w:val="18"/>
              </w:rPr>
              <w:t xml:space="preserve">《放射性同位素与射线装置安全和防护条例》国务院令第449号第八条: 生产、销售、使用放射性同位素和射线装置的单位，应当事先向有审批权的环境保护主管部门提出许可申请，并提交符合本条例第七条规定条件的证明材料。 </w:t>
            </w:r>
          </w:p>
          <w:p>
            <w:pPr>
              <w:widowControl/>
              <w:ind w:firstLine="345"/>
              <w:jc w:val="left"/>
              <w:outlineLvl w:val="3"/>
              <w:rPr>
                <w:rFonts w:ascii="仿宋_GB2312" w:hAnsi="宋体" w:eastAsia="仿宋_GB2312" w:cs="Times New Roman"/>
                <w:color w:val="000000"/>
                <w:kern w:val="0"/>
                <w:sz w:val="18"/>
                <w:szCs w:val="18"/>
              </w:rPr>
            </w:pPr>
            <w:r>
              <w:rPr>
                <w:rFonts w:hint="eastAsia" w:ascii="仿宋_GB2312" w:hAnsi="宋体" w:eastAsia="仿宋_GB2312" w:cs="Times New Roman"/>
                <w:color w:val="000000"/>
                <w:kern w:val="0"/>
                <w:sz w:val="18"/>
                <w:szCs w:val="18"/>
              </w:rPr>
              <w:t>使用放射性同位素和射线装置进行放射诊疗的医疗卫生机构，还应当获得放射源诊疗技术和医用辐射机构许可。</w:t>
            </w:r>
          </w:p>
          <w:p>
            <w:pPr>
              <w:widowControl/>
              <w:ind w:firstLine="345"/>
              <w:jc w:val="left"/>
              <w:outlineLvl w:val="3"/>
              <w:rPr>
                <w:rFonts w:ascii="仿宋_GB2312" w:hAnsi="宋体" w:eastAsia="仿宋_GB2312" w:cs="Times New Roman"/>
                <w:color w:val="000000"/>
                <w:kern w:val="0"/>
                <w:sz w:val="18"/>
                <w:szCs w:val="18"/>
              </w:rPr>
            </w:pPr>
            <w:r>
              <w:rPr>
                <w:rFonts w:hint="eastAsia" w:ascii="仿宋_GB2312" w:hAnsi="宋体" w:eastAsia="仿宋_GB2312" w:cs="Times New Roman"/>
                <w:color w:val="000000"/>
                <w:kern w:val="0"/>
                <w:sz w:val="18"/>
                <w:szCs w:val="18"/>
              </w:rPr>
              <w:t>《放射诊疗管理规定》（卫生部令第46号）第十四条：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w:t>
            </w:r>
          </w:p>
        </w:tc>
        <w:tc>
          <w:tcPr>
            <w:tcW w:w="702"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auto" w:sz="4" w:space="0"/>
              <w:right w:val="single" w:color="000000" w:sz="4" w:space="0"/>
            </w:tcBorders>
            <w:vAlign w:val="center"/>
          </w:tcPr>
          <w:p>
            <w:pPr>
              <w:widowControl/>
              <w:ind w:firstLine="180" w:firstLineChars="100"/>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134"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hAnsi="仿宋_GB2312" w:eastAsia="仿宋_GB2312" w:cs="仿宋_GB2312"/>
                <w:sz w:val="18"/>
                <w:szCs w:val="18"/>
              </w:rPr>
              <w:t>《放射性工作卫生许可证》与《医疗机构执业许可证》同时效验。</w:t>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20</w:t>
            </w:r>
          </w:p>
        </w:tc>
        <w:tc>
          <w:tcPr>
            <w:tcW w:w="769"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514"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w:t>
            </w:r>
          </w:p>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收</w:t>
            </w:r>
          </w:p>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费</w:t>
            </w:r>
          </w:p>
        </w:tc>
        <w:tc>
          <w:tcPr>
            <w:tcW w:w="567"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tcBorders>
              <w:top w:val="single" w:color="000000" w:sz="4" w:space="0"/>
              <w:left w:val="nil"/>
              <w:bottom w:val="single" w:color="auto" w:sz="4" w:space="0"/>
              <w:right w:val="single" w:color="000000" w:sz="4" w:space="0"/>
            </w:tcBorders>
            <w:vAlign w:val="center"/>
          </w:tcPr>
          <w:p>
            <w:pPr>
              <w:widowControl/>
              <w:jc w:val="left"/>
              <w:rPr>
                <w:rFonts w:ascii="宋体" w:hAnsi="宋体" w:cs="Times New Roman"/>
                <w:color w:val="000000"/>
                <w:kern w:val="0"/>
                <w:sz w:val="22"/>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2"/>
              </w:rPr>
            </w:pPr>
          </w:p>
        </w:tc>
      </w:tr>
    </w:tbl>
    <w:p>
      <w:pPr>
        <w:ind w:firstLine="5108" w:firstLineChars="1696"/>
        <w:rPr>
          <w:rFonts w:hint="eastAsia" w:cs="Times New Roman"/>
          <w:b/>
          <w:bCs/>
          <w:sz w:val="30"/>
          <w:szCs w:val="30"/>
        </w:rPr>
      </w:pPr>
    </w:p>
    <w:tbl>
      <w:tblPr>
        <w:tblStyle w:val="5"/>
        <w:tblW w:w="14601" w:type="dxa"/>
        <w:tblInd w:w="15" w:type="dxa"/>
        <w:tblLayout w:type="fixed"/>
        <w:tblCellMar>
          <w:top w:w="15" w:type="dxa"/>
          <w:left w:w="15" w:type="dxa"/>
          <w:bottom w:w="15" w:type="dxa"/>
          <w:right w:w="15" w:type="dxa"/>
        </w:tblCellMar>
      </w:tblPr>
      <w:tblGrid>
        <w:gridCol w:w="426"/>
        <w:gridCol w:w="708"/>
        <w:gridCol w:w="709"/>
        <w:gridCol w:w="709"/>
        <w:gridCol w:w="3969"/>
        <w:gridCol w:w="702"/>
        <w:gridCol w:w="709"/>
        <w:gridCol w:w="992"/>
        <w:gridCol w:w="1134"/>
        <w:gridCol w:w="850"/>
        <w:gridCol w:w="769"/>
        <w:gridCol w:w="740"/>
        <w:gridCol w:w="618"/>
        <w:gridCol w:w="999"/>
        <w:gridCol w:w="567"/>
      </w:tblGrid>
      <w:tr>
        <w:trPr>
          <w:trHeight w:val="4260" w:hRule="atLeast"/>
        </w:trPr>
        <w:tc>
          <w:tcPr>
            <w:tcW w:w="426"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708" w:type="dxa"/>
            <w:tcBorders>
              <w:top w:val="single" w:color="000000" w:sz="4" w:space="0"/>
              <w:left w:val="nil"/>
              <w:bottom w:val="single" w:color="auto" w:sz="4" w:space="0"/>
              <w:right w:val="single" w:color="000000" w:sz="4" w:space="0"/>
            </w:tcBorders>
            <w:vAlign w:val="center"/>
          </w:tcPr>
          <w:p>
            <w:pPr>
              <w:widowControl/>
              <w:rPr>
                <w:rFonts w:ascii="宋体" w:hAnsi="宋体" w:cs="Times New Roman"/>
                <w:color w:val="000000"/>
                <w:kern w:val="0"/>
                <w:sz w:val="18"/>
                <w:szCs w:val="18"/>
              </w:rPr>
            </w:pPr>
            <w:r>
              <w:rPr>
                <w:rFonts w:hint="eastAsia" w:ascii="仿宋_GB2312" w:hAnsi="宋体" w:eastAsia="仿宋_GB2312" w:cs="宋体"/>
                <w:color w:val="000000"/>
                <w:kern w:val="0"/>
                <w:sz w:val="18"/>
                <w:szCs w:val="18"/>
              </w:rPr>
              <w:t>医师执业注册许可</w:t>
            </w:r>
          </w:p>
        </w:tc>
        <w:tc>
          <w:tcPr>
            <w:tcW w:w="709" w:type="dxa"/>
            <w:tcBorders>
              <w:top w:val="single" w:color="000000" w:sz="4" w:space="0"/>
              <w:left w:val="nil"/>
              <w:bottom w:val="single" w:color="auto" w:sz="4" w:space="0"/>
              <w:right w:val="single" w:color="000000" w:sz="4" w:space="0"/>
            </w:tcBorders>
            <w:vAlign w:val="center"/>
          </w:tcPr>
          <w:p>
            <w:pPr>
              <w:jc w:val="center"/>
              <w:rPr>
                <w:rFonts w:ascii="宋体" w:hAnsi="宋体" w:cs="Times New Roman"/>
                <w:color w:val="000000"/>
                <w:kern w:val="0"/>
                <w:sz w:val="22"/>
              </w:rPr>
            </w:pPr>
            <w:r>
              <w:rPr>
                <w:rFonts w:hint="eastAsia" w:ascii="宋体" w:hAnsi="宋体" w:cs="Times New Roman"/>
                <w:color w:val="000000"/>
                <w:kern w:val="0"/>
                <w:sz w:val="22"/>
              </w:rPr>
              <w:t>1</w:t>
            </w:r>
          </w:p>
        </w:tc>
        <w:tc>
          <w:tcPr>
            <w:tcW w:w="709"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 w:val="22"/>
              </w:rPr>
            </w:pPr>
            <w:r>
              <w:rPr>
                <w:rFonts w:hint="eastAsia" w:ascii="仿宋_GB2312" w:hAnsi="宋体" w:eastAsia="仿宋_GB2312"/>
                <w:sz w:val="18"/>
                <w:szCs w:val="18"/>
              </w:rPr>
              <w:t>医师执业变更注 册</w:t>
            </w:r>
          </w:p>
        </w:tc>
        <w:tc>
          <w:tcPr>
            <w:tcW w:w="3969" w:type="dxa"/>
            <w:tcBorders>
              <w:top w:val="single" w:color="000000" w:sz="4" w:space="0"/>
              <w:left w:val="nil"/>
              <w:bottom w:val="single" w:color="auto" w:sz="4" w:space="0"/>
              <w:right w:val="single" w:color="000000" w:sz="4" w:space="0"/>
            </w:tcBorders>
            <w:vAlign w:val="center"/>
          </w:tcPr>
          <w:p>
            <w:pPr>
              <w:widowControl/>
              <w:ind w:firstLine="180" w:firstLineChars="100"/>
              <w:jc w:val="left"/>
              <w:rPr>
                <w:rFonts w:ascii="宋体" w:hAnsi="宋体" w:cs="Times New Roman"/>
                <w:color w:val="000000"/>
                <w:kern w:val="0"/>
                <w:sz w:val="22"/>
              </w:rPr>
            </w:pPr>
            <w:r>
              <w:rPr>
                <w:rFonts w:hint="eastAsia" w:ascii="仿宋_GB2312" w:hAnsi="宋体" w:eastAsia="仿宋_GB2312"/>
                <w:sz w:val="18"/>
                <w:szCs w:val="18"/>
              </w:rPr>
              <w:t>《中华人民共和国执业医师法》（1998年6月26日第九届全国人民代表大会常务委员会第三次会议通过）第十三条：国家实行医师执业注册制度。取得医师资格的，可以向所在地县级以上人民政府卫生行政部门申请注册。 除有本法第十五条规定的情形外，受理申请的卫生行政部门应当自收到申请之日起三十日内准予注册，并发给由国务院卫生行政部门统一印制的医师执业证书。医疗、预防、保健机构可以为本机构中的医师集体办理注册手续。</w:t>
            </w:r>
          </w:p>
        </w:tc>
        <w:tc>
          <w:tcPr>
            <w:tcW w:w="702"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134"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《执业医师</w:t>
            </w:r>
          </w:p>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证书》</w:t>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20</w:t>
            </w:r>
          </w:p>
        </w:tc>
        <w:tc>
          <w:tcPr>
            <w:tcW w:w="769"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lang w:eastAsia="zh-CN"/>
              </w:rPr>
            </w:pPr>
            <w:r>
              <w:rPr>
                <w:rFonts w:hint="eastAsia" w:ascii="仿宋_GB2312" w:eastAsia="仿宋_GB2312" w:cs="Times New Roman"/>
                <w:color w:val="000000"/>
                <w:kern w:val="0"/>
                <w:sz w:val="18"/>
                <w:szCs w:val="18"/>
                <w:lang w:val="en-US" w:eastAsia="zh-CN"/>
              </w:rPr>
              <w:t>1</w:t>
            </w:r>
          </w:p>
        </w:tc>
        <w:tc>
          <w:tcPr>
            <w:tcW w:w="740"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618"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9" w:type="dxa"/>
            <w:tcBorders>
              <w:top w:val="single" w:color="000000" w:sz="4" w:space="0"/>
              <w:left w:val="nil"/>
              <w:bottom w:val="single" w:color="auto" w:sz="4" w:space="0"/>
              <w:right w:val="single" w:color="000000" w:sz="4" w:space="0"/>
            </w:tcBorders>
            <w:vAlign w:val="center"/>
          </w:tcPr>
          <w:p>
            <w:pPr>
              <w:widowControl/>
              <w:jc w:val="left"/>
              <w:rPr>
                <w:rFonts w:ascii="宋体" w:hAnsi="宋体" w:cs="Times New Roman"/>
                <w:color w:val="000000"/>
                <w:kern w:val="0"/>
                <w:sz w:val="22"/>
              </w:rPr>
            </w:pPr>
          </w:p>
        </w:tc>
        <w:tc>
          <w:tcPr>
            <w:tcW w:w="567"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2"/>
              </w:rPr>
            </w:pPr>
          </w:p>
        </w:tc>
      </w:tr>
    </w:tbl>
    <w:tbl>
      <w:tblPr>
        <w:tblStyle w:val="5"/>
        <w:tblpPr w:leftFromText="180" w:rightFromText="180" w:vertAnchor="text" w:horzAnchor="page" w:tblpX="1264" w:tblpY="14"/>
        <w:tblOverlap w:val="never"/>
        <w:tblW w:w="14621" w:type="dxa"/>
        <w:tblInd w:w="0" w:type="dxa"/>
        <w:tblLayout w:type="fixed"/>
        <w:tblCellMar>
          <w:top w:w="15" w:type="dxa"/>
          <w:left w:w="15" w:type="dxa"/>
          <w:bottom w:w="15" w:type="dxa"/>
          <w:right w:w="15" w:type="dxa"/>
        </w:tblCellMar>
      </w:tblPr>
      <w:tblGrid>
        <w:gridCol w:w="426"/>
        <w:gridCol w:w="850"/>
        <w:gridCol w:w="567"/>
        <w:gridCol w:w="709"/>
        <w:gridCol w:w="3871"/>
        <w:gridCol w:w="708"/>
        <w:gridCol w:w="800"/>
        <w:gridCol w:w="960"/>
        <w:gridCol w:w="1185"/>
        <w:gridCol w:w="780"/>
        <w:gridCol w:w="855"/>
        <w:gridCol w:w="675"/>
        <w:gridCol w:w="660"/>
        <w:gridCol w:w="1005"/>
        <w:gridCol w:w="570"/>
      </w:tblGrid>
      <w:tr>
        <w:tblPrEx>
          <w:tblCellMar>
            <w:top w:w="15" w:type="dxa"/>
            <w:left w:w="15" w:type="dxa"/>
            <w:bottom w:w="15" w:type="dxa"/>
            <w:right w:w="15" w:type="dxa"/>
          </w:tblCellMar>
        </w:tblPrEx>
        <w:trPr>
          <w:trHeight w:val="2715" w:hRule="atLeast"/>
        </w:trPr>
        <w:tc>
          <w:tcPr>
            <w:tcW w:w="426"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850" w:type="dxa"/>
            <w:tcBorders>
              <w:top w:val="single" w:color="000000" w:sz="4" w:space="0"/>
              <w:left w:val="nil"/>
              <w:bottom w:val="single" w:color="auto" w:sz="4" w:space="0"/>
              <w:right w:val="single" w:color="000000" w:sz="4" w:space="0"/>
            </w:tcBorders>
            <w:vAlign w:val="center"/>
          </w:tcPr>
          <w:p>
            <w:pPr>
              <w:widowControl/>
              <w:rPr>
                <w:rFonts w:ascii="仿宋_GB2312" w:hAnsi="宋体" w:eastAsia="仿宋_GB2312" w:cs="Times New Roman"/>
                <w:color w:val="000000"/>
                <w:kern w:val="0"/>
                <w:szCs w:val="21"/>
              </w:rPr>
            </w:pPr>
            <w:r>
              <w:rPr>
                <w:rFonts w:hint="eastAsia" w:ascii="仿宋_GB2312" w:hAnsi="宋体" w:eastAsia="仿宋_GB2312" w:cs="宋体"/>
                <w:color w:val="000000"/>
                <w:kern w:val="0"/>
                <w:szCs w:val="21"/>
              </w:rPr>
              <w:t>乡村医生执业注册许可</w:t>
            </w:r>
          </w:p>
        </w:tc>
        <w:tc>
          <w:tcPr>
            <w:tcW w:w="567" w:type="dxa"/>
            <w:tcBorders>
              <w:top w:val="single" w:color="000000" w:sz="4" w:space="0"/>
              <w:left w:val="nil"/>
              <w:bottom w:val="single" w:color="auto" w:sz="4" w:space="0"/>
              <w:right w:val="single" w:color="000000" w:sz="4" w:space="0"/>
            </w:tcBorders>
            <w:vAlign w:val="center"/>
          </w:tcPr>
          <w:p>
            <w:pPr>
              <w:jc w:val="center"/>
              <w:rPr>
                <w:rFonts w:ascii="仿宋_GB2312" w:hAnsi="宋体" w:eastAsia="仿宋_GB2312" w:cs="Times New Roman"/>
                <w:color w:val="000000"/>
                <w:kern w:val="0"/>
                <w:szCs w:val="21"/>
              </w:rPr>
            </w:pPr>
            <w:r>
              <w:rPr>
                <w:rFonts w:hint="eastAsia" w:ascii="仿宋_GB2312" w:hAnsi="宋体" w:eastAsia="仿宋_GB2312" w:cs="Times New Roman"/>
                <w:color w:val="000000"/>
                <w:kern w:val="0"/>
                <w:szCs w:val="21"/>
              </w:rPr>
              <w:t>1</w:t>
            </w:r>
          </w:p>
        </w:tc>
        <w:tc>
          <w:tcPr>
            <w:tcW w:w="709" w:type="dxa"/>
            <w:tcBorders>
              <w:top w:val="single" w:color="000000" w:sz="4" w:space="0"/>
              <w:left w:val="nil"/>
              <w:bottom w:val="single" w:color="auto" w:sz="4" w:space="0"/>
              <w:right w:val="single" w:color="000000" w:sz="4" w:space="0"/>
            </w:tcBorders>
            <w:vAlign w:val="center"/>
          </w:tcPr>
          <w:p>
            <w:pPr>
              <w:rPr>
                <w:rFonts w:ascii="仿宋_GB2312" w:hAnsi="宋体" w:eastAsia="仿宋_GB2312"/>
                <w:szCs w:val="21"/>
              </w:rPr>
            </w:pPr>
          </w:p>
          <w:p>
            <w:pPr>
              <w:widowControl/>
              <w:jc w:val="center"/>
              <w:rPr>
                <w:rFonts w:ascii="仿宋_GB2312" w:hAnsi="宋体" w:eastAsia="仿宋_GB2312" w:cs="Times New Roman"/>
                <w:color w:val="000000"/>
                <w:kern w:val="0"/>
                <w:szCs w:val="21"/>
              </w:rPr>
            </w:pPr>
            <w:r>
              <w:rPr>
                <w:rFonts w:hint="eastAsia" w:ascii="仿宋_GB2312" w:hAnsi="宋体" w:eastAsia="仿宋_GB2312" w:cs="宋体"/>
                <w:color w:val="000000"/>
                <w:kern w:val="0"/>
                <w:szCs w:val="21"/>
              </w:rPr>
              <w:t>乡村医生执业注册变更</w:t>
            </w:r>
          </w:p>
        </w:tc>
        <w:tc>
          <w:tcPr>
            <w:tcW w:w="3871" w:type="dxa"/>
            <w:tcBorders>
              <w:top w:val="single" w:color="000000" w:sz="4" w:space="0"/>
              <w:left w:val="nil"/>
              <w:bottom w:val="single" w:color="auto" w:sz="4" w:space="0"/>
              <w:right w:val="single" w:color="000000" w:sz="4" w:space="0"/>
            </w:tcBorders>
            <w:vAlign w:val="center"/>
          </w:tcPr>
          <w:p>
            <w:pPr>
              <w:widowControl/>
              <w:ind w:firstLine="210" w:firstLineChars="100"/>
              <w:jc w:val="left"/>
              <w:rPr>
                <w:rFonts w:ascii="仿宋_GB2312" w:hAnsi="宋体" w:eastAsia="仿宋_GB2312" w:cs="Times New Roman"/>
                <w:color w:val="000000"/>
                <w:kern w:val="0"/>
                <w:szCs w:val="21"/>
              </w:rPr>
            </w:pPr>
            <w:r>
              <w:rPr>
                <w:rFonts w:hint="eastAsia" w:ascii="仿宋_GB2312" w:hAnsi="宋体" w:eastAsia="仿宋_GB2312"/>
                <w:szCs w:val="21"/>
              </w:rPr>
              <w:t>《乡村医生从业管理条例》（国务院令第386号）第九条：国家实行乡村医生执业注册制度。县级人民政府卫生行政主管部门负责乡村医生执业注册工作</w:t>
            </w:r>
          </w:p>
        </w:tc>
        <w:tc>
          <w:tcPr>
            <w:tcW w:w="708"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Cs w:val="21"/>
              </w:rPr>
            </w:pPr>
            <w:r>
              <w:rPr>
                <w:rFonts w:hint="eastAsia" w:ascii="仿宋_GB2312" w:eastAsia="仿宋_GB2312" w:cs="Times New Roman"/>
                <w:color w:val="000000"/>
                <w:kern w:val="0"/>
                <w:szCs w:val="21"/>
              </w:rPr>
              <w:t>公民、法人和其他组织</w:t>
            </w:r>
          </w:p>
          <w:p>
            <w:pPr>
              <w:widowControl/>
              <w:jc w:val="left"/>
              <w:rPr>
                <w:rFonts w:hint="eastAsia" w:ascii="仿宋_GB2312" w:eastAsia="仿宋_GB2312" w:cs="Times New Roman"/>
                <w:color w:val="000000"/>
                <w:kern w:val="0"/>
                <w:szCs w:val="21"/>
              </w:rPr>
            </w:pPr>
          </w:p>
        </w:tc>
        <w:tc>
          <w:tcPr>
            <w:tcW w:w="800"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r>
              <w:rPr>
                <w:rFonts w:hint="eastAsia" w:ascii="仿宋_GB2312" w:eastAsia="仿宋_GB2312" w:cs="Times New Roman"/>
                <w:color w:val="000000"/>
                <w:kern w:val="0"/>
                <w:sz w:val="18"/>
                <w:szCs w:val="18"/>
                <w:lang w:eastAsia="zh-CN"/>
              </w:rPr>
              <w:t>卫健委政务服务大厅窗口</w:t>
            </w:r>
          </w:p>
        </w:tc>
        <w:tc>
          <w:tcPr>
            <w:tcW w:w="960"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p>
        </w:tc>
        <w:tc>
          <w:tcPr>
            <w:tcW w:w="1185"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《乡村医生执业证书》</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5年效验一次。</w:t>
            </w:r>
          </w:p>
        </w:tc>
        <w:tc>
          <w:tcPr>
            <w:tcW w:w="780" w:type="dxa"/>
            <w:tcBorders>
              <w:top w:val="single" w:color="000000" w:sz="4" w:space="0"/>
              <w:left w:val="nil"/>
              <w:bottom w:val="single" w:color="auto" w:sz="4" w:space="0"/>
              <w:right w:val="single" w:color="000000" w:sz="4" w:space="0"/>
            </w:tcBorders>
            <w:vAlign w:val="center"/>
          </w:tcPr>
          <w:p>
            <w:pPr>
              <w:widowControl/>
              <w:jc w:val="center"/>
              <w:rPr>
                <w:rFonts w:hint="default" w:ascii="仿宋_GB2312" w:eastAsia="仿宋_GB2312" w:cs="Times New Roman"/>
                <w:color w:val="000000"/>
                <w:kern w:val="0"/>
                <w:szCs w:val="21"/>
                <w:lang w:val="en-US" w:eastAsia="zh-CN"/>
              </w:rPr>
            </w:pPr>
            <w:r>
              <w:rPr>
                <w:rFonts w:hint="eastAsia" w:ascii="仿宋_GB2312" w:eastAsia="仿宋_GB2312" w:cs="Times New Roman"/>
                <w:color w:val="000000"/>
                <w:kern w:val="0"/>
                <w:szCs w:val="21"/>
                <w:lang w:val="en-US" w:eastAsia="zh-CN"/>
              </w:rPr>
              <w:t>20</w:t>
            </w:r>
          </w:p>
        </w:tc>
        <w:tc>
          <w:tcPr>
            <w:tcW w:w="855"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Cs w:val="21"/>
              </w:rPr>
            </w:pPr>
            <w:r>
              <w:rPr>
                <w:rFonts w:hint="eastAsia" w:ascii="仿宋_GB2312" w:eastAsia="仿宋_GB2312" w:cs="Times New Roman"/>
                <w:color w:val="000000"/>
                <w:kern w:val="0"/>
                <w:szCs w:val="21"/>
              </w:rPr>
              <w:t>1</w:t>
            </w:r>
          </w:p>
        </w:tc>
        <w:tc>
          <w:tcPr>
            <w:tcW w:w="675"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r>
              <w:rPr>
                <w:rFonts w:hint="eastAsia" w:ascii="仿宋_GB2312" w:eastAsia="仿宋_GB2312" w:cs="Times New Roman"/>
                <w:color w:val="000000"/>
                <w:kern w:val="0"/>
                <w:szCs w:val="21"/>
              </w:rPr>
              <w:t>不收费</w:t>
            </w:r>
          </w:p>
        </w:tc>
        <w:tc>
          <w:tcPr>
            <w:tcW w:w="660"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005" w:type="dxa"/>
            <w:tcBorders>
              <w:top w:val="single" w:color="000000" w:sz="4" w:space="0"/>
              <w:left w:val="nil"/>
              <w:bottom w:val="single" w:color="auto" w:sz="4" w:space="0"/>
              <w:right w:val="single" w:color="000000" w:sz="4" w:space="0"/>
            </w:tcBorders>
            <w:vAlign w:val="center"/>
          </w:tcPr>
          <w:p>
            <w:pPr>
              <w:widowControl/>
              <w:jc w:val="left"/>
              <w:rPr>
                <w:rFonts w:ascii="宋体" w:hAnsi="宋体" w:cs="Times New Roman"/>
                <w:color w:val="000000"/>
                <w:kern w:val="0"/>
                <w:sz w:val="22"/>
              </w:rPr>
            </w:pPr>
          </w:p>
        </w:tc>
        <w:tc>
          <w:tcPr>
            <w:tcW w:w="570"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2"/>
              </w:rPr>
            </w:pPr>
          </w:p>
        </w:tc>
      </w:tr>
    </w:tbl>
    <w:p>
      <w:pPr>
        <w:rPr>
          <w:rFonts w:hint="eastAsia" w:cs="Times New Roman"/>
          <w:b/>
          <w:bCs/>
          <w:sz w:val="30"/>
          <w:szCs w:val="30"/>
        </w:rPr>
      </w:pPr>
    </w:p>
    <w:p>
      <w:pPr>
        <w:ind w:firstLine="5108" w:firstLineChars="1696"/>
        <w:rPr>
          <w:rFonts w:hint="eastAsia" w:cs="Times New Roman"/>
          <w:b/>
          <w:bCs/>
          <w:sz w:val="30"/>
          <w:szCs w:val="30"/>
        </w:rPr>
      </w:pPr>
    </w:p>
    <w:p>
      <w:pPr>
        <w:rPr>
          <w:rFonts w:hint="eastAsia" w:cs="Times New Roman"/>
          <w:b/>
          <w:bCs/>
          <w:sz w:val="30"/>
          <w:szCs w:val="30"/>
        </w:rPr>
      </w:pPr>
    </w:p>
    <w:tbl>
      <w:tblPr>
        <w:tblStyle w:val="5"/>
        <w:tblW w:w="14459" w:type="dxa"/>
        <w:tblInd w:w="15" w:type="dxa"/>
        <w:tblLayout w:type="fixed"/>
        <w:tblCellMar>
          <w:top w:w="15" w:type="dxa"/>
          <w:left w:w="15" w:type="dxa"/>
          <w:bottom w:w="15" w:type="dxa"/>
          <w:right w:w="15" w:type="dxa"/>
        </w:tblCellMar>
      </w:tblPr>
      <w:tblGrid>
        <w:gridCol w:w="426"/>
        <w:gridCol w:w="1127"/>
        <w:gridCol w:w="709"/>
        <w:gridCol w:w="567"/>
        <w:gridCol w:w="3550"/>
        <w:gridCol w:w="709"/>
        <w:gridCol w:w="709"/>
        <w:gridCol w:w="992"/>
        <w:gridCol w:w="1269"/>
        <w:gridCol w:w="850"/>
        <w:gridCol w:w="769"/>
        <w:gridCol w:w="514"/>
        <w:gridCol w:w="567"/>
        <w:gridCol w:w="992"/>
        <w:gridCol w:w="709"/>
      </w:tblGrid>
      <w:tr>
        <w:tblPrEx>
          <w:tblCellMar>
            <w:top w:w="15" w:type="dxa"/>
            <w:left w:w="15" w:type="dxa"/>
            <w:bottom w:w="15" w:type="dxa"/>
            <w:right w:w="15" w:type="dxa"/>
          </w:tblCellMar>
        </w:tblPrEx>
        <w:trPr>
          <w:trHeight w:val="90" w:hRule="atLeast"/>
        </w:trPr>
        <w:tc>
          <w:tcPr>
            <w:tcW w:w="426"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1127" w:type="dxa"/>
            <w:tcBorders>
              <w:top w:val="single" w:color="000000" w:sz="4" w:space="0"/>
              <w:left w:val="nil"/>
              <w:bottom w:val="single" w:color="auto" w:sz="4" w:space="0"/>
              <w:right w:val="single" w:color="000000" w:sz="4" w:space="0"/>
            </w:tcBorders>
            <w:vAlign w:val="center"/>
          </w:tcPr>
          <w:p>
            <w:pPr>
              <w:widowControl/>
              <w:rPr>
                <w:rFonts w:ascii="宋体" w:hAnsi="宋体" w:cs="Times New Roman"/>
                <w:color w:val="000000"/>
                <w:kern w:val="0"/>
                <w:sz w:val="22"/>
              </w:rPr>
            </w:pPr>
            <w:r>
              <w:rPr>
                <w:rFonts w:hint="eastAsia" w:ascii="仿宋_GB2312" w:hAnsi="仿宋_GB2312" w:eastAsia="仿宋_GB2312" w:cs="仿宋_GB2312"/>
                <w:color w:val="000000"/>
                <w:kern w:val="0"/>
                <w:sz w:val="18"/>
                <w:szCs w:val="18"/>
              </w:rPr>
              <w:t xml:space="preserve"> 计划生育技术服务机构设立许可</w:t>
            </w:r>
          </w:p>
        </w:tc>
        <w:tc>
          <w:tcPr>
            <w:tcW w:w="709" w:type="dxa"/>
            <w:tcBorders>
              <w:top w:val="single" w:color="000000" w:sz="4" w:space="0"/>
              <w:left w:val="nil"/>
              <w:bottom w:val="single" w:color="auto" w:sz="4" w:space="0"/>
              <w:right w:val="single" w:color="000000" w:sz="4" w:space="0"/>
            </w:tcBorders>
            <w:vAlign w:val="center"/>
          </w:tcPr>
          <w:p>
            <w:pPr>
              <w:jc w:val="center"/>
              <w:rPr>
                <w:rFonts w:ascii="宋体" w:hAnsi="宋体" w:cs="Times New Roman"/>
                <w:color w:val="000000"/>
                <w:kern w:val="0"/>
                <w:sz w:val="22"/>
              </w:rPr>
            </w:pPr>
          </w:p>
        </w:tc>
        <w:tc>
          <w:tcPr>
            <w:tcW w:w="567"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 w:val="22"/>
              </w:rPr>
            </w:pPr>
          </w:p>
        </w:tc>
        <w:tc>
          <w:tcPr>
            <w:tcW w:w="3550" w:type="dxa"/>
            <w:tcBorders>
              <w:top w:val="single" w:color="000000" w:sz="4" w:space="0"/>
              <w:left w:val="nil"/>
              <w:bottom w:val="single" w:color="auto" w:sz="4" w:space="0"/>
              <w:right w:val="single" w:color="000000" w:sz="4" w:space="0"/>
            </w:tcBorders>
            <w:vAlign w:val="center"/>
          </w:tcPr>
          <w:p>
            <w:pPr>
              <w:widowControl/>
              <w:shd w:val="clear" w:color="auto" w:fill="FFFFFF"/>
              <w:ind w:firstLine="270" w:firstLineChars="150"/>
              <w:jc w:val="left"/>
              <w:rPr>
                <w:rFonts w:ascii="仿宋_GB2312" w:hAnsi="宋体" w:eastAsia="仿宋_GB2312"/>
                <w:sz w:val="18"/>
                <w:szCs w:val="18"/>
              </w:rPr>
            </w:pPr>
            <w:r>
              <w:rPr>
                <w:rFonts w:hint="eastAsia" w:ascii="仿宋_GB2312" w:hAnsi="宋体" w:eastAsia="仿宋_GB2312"/>
                <w:sz w:val="18"/>
                <w:szCs w:val="18"/>
              </w:rPr>
              <w:t>《计划生育技术服务管理条例》（国务院令第428号）第二十一条：设立计划生育技术服务机构，由设区的市级以上地方人民政府计划生育行政部门批准，发给《计划生育技术服务机构执业许可证》，并在《计划生育技术服务机构执业许可证》上注明获准开展的计划生育技术服务项目。</w:t>
            </w:r>
          </w:p>
          <w:p>
            <w:pPr>
              <w:widowControl/>
              <w:ind w:firstLine="180" w:firstLineChars="100"/>
              <w:jc w:val="left"/>
              <w:rPr>
                <w:rFonts w:ascii="宋体" w:hAnsi="宋体" w:cs="Times New Roman"/>
                <w:color w:val="000000"/>
                <w:kern w:val="0"/>
                <w:sz w:val="22"/>
              </w:rPr>
            </w:pPr>
            <w:r>
              <w:rPr>
                <w:rFonts w:hint="eastAsia" w:ascii="仿宋_GB2312" w:hAnsi="宋体" w:eastAsia="仿宋_GB2312"/>
                <w:sz w:val="18"/>
                <w:szCs w:val="18"/>
              </w:rPr>
              <w:t>《国务院关于第六批取消和调整行政审批项目的决定》附件2.国务院决定调整的行政审批项目目录（143项）第50条由市级下放到县级以上地方人民政府人口计生行政部门审批。</w:t>
            </w:r>
          </w:p>
        </w:tc>
        <w:tc>
          <w:tcPr>
            <w:tcW w:w="709"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269"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hAnsi="宋体" w:eastAsia="仿宋_GB2312"/>
                <w:sz w:val="18"/>
                <w:szCs w:val="18"/>
              </w:rPr>
              <w:t>《计划生育技术服务机构执业许可证》</w:t>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20</w:t>
            </w:r>
          </w:p>
        </w:tc>
        <w:tc>
          <w:tcPr>
            <w:tcW w:w="769"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514"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567"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tcBorders>
              <w:top w:val="single" w:color="000000" w:sz="4" w:space="0"/>
              <w:left w:val="nil"/>
              <w:bottom w:val="single" w:color="auto" w:sz="4" w:space="0"/>
              <w:right w:val="single" w:color="000000" w:sz="4" w:space="0"/>
            </w:tcBorders>
            <w:vAlign w:val="center"/>
          </w:tcPr>
          <w:p>
            <w:pPr>
              <w:widowControl/>
              <w:jc w:val="left"/>
              <w:rPr>
                <w:rFonts w:ascii="宋体" w:hAnsi="宋体" w:cs="Times New Roman"/>
                <w:color w:val="000000"/>
                <w:kern w:val="0"/>
                <w:sz w:val="22"/>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2"/>
              </w:rPr>
            </w:pPr>
          </w:p>
        </w:tc>
      </w:tr>
    </w:tbl>
    <w:p>
      <w:pPr>
        <w:rPr>
          <w:rFonts w:hint="eastAsia" w:cs="Times New Roman"/>
          <w:b/>
          <w:bCs/>
          <w:sz w:val="30"/>
          <w:szCs w:val="30"/>
        </w:rPr>
      </w:pPr>
    </w:p>
    <w:tbl>
      <w:tblPr>
        <w:tblStyle w:val="5"/>
        <w:tblW w:w="14459" w:type="dxa"/>
        <w:tblInd w:w="15" w:type="dxa"/>
        <w:tblLayout w:type="fixed"/>
        <w:tblCellMar>
          <w:top w:w="15" w:type="dxa"/>
          <w:left w:w="15" w:type="dxa"/>
          <w:bottom w:w="15" w:type="dxa"/>
          <w:right w:w="15" w:type="dxa"/>
        </w:tblCellMar>
      </w:tblPr>
      <w:tblGrid>
        <w:gridCol w:w="426"/>
        <w:gridCol w:w="1127"/>
        <w:gridCol w:w="709"/>
        <w:gridCol w:w="567"/>
        <w:gridCol w:w="3550"/>
        <w:gridCol w:w="709"/>
        <w:gridCol w:w="709"/>
        <w:gridCol w:w="992"/>
        <w:gridCol w:w="1269"/>
        <w:gridCol w:w="850"/>
        <w:gridCol w:w="769"/>
        <w:gridCol w:w="514"/>
        <w:gridCol w:w="567"/>
        <w:gridCol w:w="992"/>
        <w:gridCol w:w="709"/>
      </w:tblGrid>
      <w:tr>
        <w:trPr>
          <w:trHeight w:val="2645" w:hRule="atLeast"/>
        </w:trPr>
        <w:tc>
          <w:tcPr>
            <w:tcW w:w="426"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w:t>
            </w:r>
          </w:p>
        </w:tc>
        <w:tc>
          <w:tcPr>
            <w:tcW w:w="1127" w:type="dxa"/>
            <w:tcBorders>
              <w:top w:val="single" w:color="000000" w:sz="4" w:space="0"/>
              <w:left w:val="nil"/>
              <w:bottom w:val="single" w:color="auto" w:sz="4" w:space="0"/>
              <w:right w:val="single" w:color="000000" w:sz="4" w:space="0"/>
            </w:tcBorders>
            <w:vAlign w:val="center"/>
          </w:tcPr>
          <w:p>
            <w:pPr>
              <w:widowControl/>
              <w:rPr>
                <w:rFonts w:ascii="宋体" w:hAnsi="宋体" w:cs="Times New Roman"/>
                <w:color w:val="000000"/>
                <w:kern w:val="0"/>
                <w:sz w:val="22"/>
              </w:rPr>
            </w:pPr>
            <w:r>
              <w:rPr>
                <w:rFonts w:hint="eastAsia" w:ascii="仿宋_GB2312" w:hAnsi="仿宋_GB2312" w:eastAsia="仿宋_GB2312" w:cs="仿宋_GB2312"/>
                <w:sz w:val="18"/>
                <w:szCs w:val="18"/>
              </w:rPr>
              <w:t>母保健技术服务执业许可</w:t>
            </w:r>
          </w:p>
        </w:tc>
        <w:tc>
          <w:tcPr>
            <w:tcW w:w="709" w:type="dxa"/>
            <w:tcBorders>
              <w:top w:val="single" w:color="000000" w:sz="4" w:space="0"/>
              <w:left w:val="nil"/>
              <w:bottom w:val="single" w:color="auto" w:sz="4" w:space="0"/>
              <w:right w:val="single" w:color="000000" w:sz="4" w:space="0"/>
            </w:tcBorders>
            <w:vAlign w:val="center"/>
          </w:tcPr>
          <w:p>
            <w:pPr>
              <w:jc w:val="center"/>
              <w:rPr>
                <w:rFonts w:ascii="宋体" w:hAnsi="宋体" w:cs="Times New Roman"/>
                <w:color w:val="000000"/>
                <w:kern w:val="0"/>
                <w:sz w:val="22"/>
              </w:rPr>
            </w:pPr>
          </w:p>
        </w:tc>
        <w:tc>
          <w:tcPr>
            <w:tcW w:w="567"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 w:val="22"/>
              </w:rPr>
            </w:pPr>
          </w:p>
        </w:tc>
        <w:tc>
          <w:tcPr>
            <w:tcW w:w="3550" w:type="dxa"/>
            <w:tcBorders>
              <w:top w:val="single" w:color="000000" w:sz="4" w:space="0"/>
              <w:left w:val="nil"/>
              <w:bottom w:val="single" w:color="auto" w:sz="4" w:space="0"/>
              <w:right w:val="single" w:color="000000" w:sz="4" w:space="0"/>
            </w:tcBorders>
            <w:vAlign w:val="center"/>
          </w:tcPr>
          <w:p>
            <w:pPr>
              <w:widowControl/>
              <w:ind w:firstLine="180" w:firstLineChars="100"/>
              <w:jc w:val="left"/>
              <w:rPr>
                <w:rFonts w:ascii="宋体" w:hAnsi="宋体" w:cs="Times New Roman"/>
                <w:color w:val="000000"/>
                <w:kern w:val="0"/>
                <w:sz w:val="22"/>
              </w:rPr>
            </w:pPr>
            <w:r>
              <w:rPr>
                <w:rFonts w:hint="eastAsia" w:ascii="仿宋_GB2312" w:hAnsi="仿宋_GB2312" w:eastAsia="仿宋_GB2312" w:cs="仿宋_GB2312"/>
                <w:sz w:val="18"/>
                <w:szCs w:val="18"/>
              </w:rPr>
              <w:t>《中华人民共和国母婴保健法》第三十二条　医疗保健机构依照本法规定开展婚前医学检查、遗传病诊断、产前诊断以及施行结扎手术和终止妊娠手术的，必须符合国务院卫生行政部门规定的条件和技术标准，并经县级以上地方人民政府卫生行政部门许可。</w:t>
            </w:r>
          </w:p>
        </w:tc>
        <w:tc>
          <w:tcPr>
            <w:tcW w:w="709"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269" w:type="dxa"/>
            <w:tcBorders>
              <w:top w:val="single" w:color="000000" w:sz="4" w:space="0"/>
              <w:left w:val="nil"/>
              <w:bottom w:val="single" w:color="auto" w:sz="4" w:space="0"/>
              <w:right w:val="single" w:color="000000" w:sz="4" w:space="0"/>
            </w:tcBorders>
            <w:vAlign w:val="center"/>
          </w:tcPr>
          <w:p>
            <w:pPr>
              <w:rPr>
                <w:rFonts w:hint="eastAsia" w:ascii="仿宋_GB2312" w:eastAsia="仿宋_GB2312"/>
                <w:sz w:val="18"/>
                <w:szCs w:val="18"/>
              </w:rPr>
            </w:pPr>
            <w:r>
              <w:rPr>
                <w:rFonts w:hint="eastAsia" w:ascii="仿宋_GB2312" w:hAnsi="宋体" w:eastAsia="仿宋_GB2312"/>
                <w:sz w:val="18"/>
                <w:szCs w:val="18"/>
              </w:rPr>
              <w:t>《母婴保健技术服务执业许可证》</w:t>
            </w:r>
          </w:p>
          <w:p>
            <w:pPr>
              <w:widowControl/>
              <w:jc w:val="left"/>
              <w:rPr>
                <w:rFonts w:hint="eastAsia" w:ascii="仿宋_GB2312" w:eastAsia="仿宋_GB2312" w:cs="Times New Roman"/>
                <w:color w:val="000000"/>
                <w:kern w:val="0"/>
                <w:sz w:val="18"/>
                <w:szCs w:val="18"/>
              </w:rPr>
            </w:pP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20</w:t>
            </w:r>
          </w:p>
        </w:tc>
        <w:tc>
          <w:tcPr>
            <w:tcW w:w="769" w:type="dxa"/>
            <w:tcBorders>
              <w:top w:val="single" w:color="000000" w:sz="4" w:space="0"/>
              <w:left w:val="nil"/>
              <w:bottom w:val="single" w:color="auto" w:sz="4" w:space="0"/>
              <w:right w:val="single" w:color="000000" w:sz="4" w:space="0"/>
            </w:tcBorders>
            <w:vAlign w:val="center"/>
          </w:tcPr>
          <w:p>
            <w:pPr>
              <w:widowControl/>
              <w:rPr>
                <w:rFonts w:hint="eastAsia"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514"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567"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tcBorders>
              <w:top w:val="single" w:color="000000" w:sz="4" w:space="0"/>
              <w:left w:val="nil"/>
              <w:bottom w:val="single" w:color="auto" w:sz="4" w:space="0"/>
              <w:right w:val="single" w:color="000000" w:sz="4" w:space="0"/>
            </w:tcBorders>
            <w:vAlign w:val="center"/>
          </w:tcPr>
          <w:p>
            <w:pPr>
              <w:widowControl/>
              <w:jc w:val="left"/>
              <w:rPr>
                <w:rFonts w:ascii="宋体" w:hAnsi="宋体" w:cs="Times New Roman"/>
                <w:color w:val="000000"/>
                <w:kern w:val="0"/>
                <w:sz w:val="22"/>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2"/>
              </w:rPr>
            </w:pPr>
          </w:p>
        </w:tc>
      </w:tr>
    </w:tbl>
    <w:p>
      <w:pPr>
        <w:rPr>
          <w:rFonts w:hint="eastAsia" w:cs="Times New Roman"/>
          <w:b/>
          <w:bCs/>
          <w:sz w:val="30"/>
          <w:szCs w:val="30"/>
        </w:rPr>
      </w:pPr>
    </w:p>
    <w:p>
      <w:pPr>
        <w:rPr>
          <w:rFonts w:hint="eastAsia" w:cs="Times New Roman"/>
          <w:b/>
          <w:bCs/>
          <w:sz w:val="30"/>
          <w:szCs w:val="30"/>
        </w:rPr>
      </w:pPr>
    </w:p>
    <w:p>
      <w:pPr>
        <w:rPr>
          <w:rFonts w:hint="eastAsia" w:cs="Times New Roman"/>
          <w:b/>
          <w:bCs/>
          <w:sz w:val="30"/>
          <w:szCs w:val="30"/>
        </w:rPr>
      </w:pPr>
    </w:p>
    <w:tbl>
      <w:tblPr>
        <w:tblStyle w:val="5"/>
        <w:tblW w:w="14459" w:type="dxa"/>
        <w:tblInd w:w="15" w:type="dxa"/>
        <w:tblLayout w:type="fixed"/>
        <w:tblCellMar>
          <w:top w:w="15" w:type="dxa"/>
          <w:left w:w="15" w:type="dxa"/>
          <w:bottom w:w="15" w:type="dxa"/>
          <w:right w:w="15" w:type="dxa"/>
        </w:tblCellMar>
      </w:tblPr>
      <w:tblGrid>
        <w:gridCol w:w="426"/>
        <w:gridCol w:w="992"/>
        <w:gridCol w:w="844"/>
        <w:gridCol w:w="567"/>
        <w:gridCol w:w="3550"/>
        <w:gridCol w:w="709"/>
        <w:gridCol w:w="709"/>
        <w:gridCol w:w="992"/>
        <w:gridCol w:w="1269"/>
        <w:gridCol w:w="850"/>
        <w:gridCol w:w="769"/>
        <w:gridCol w:w="514"/>
        <w:gridCol w:w="567"/>
        <w:gridCol w:w="992"/>
        <w:gridCol w:w="709"/>
      </w:tblGrid>
      <w:tr>
        <w:trPr>
          <w:trHeight w:val="90" w:hRule="atLeast"/>
        </w:trPr>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9</w:t>
            </w:r>
          </w:p>
        </w:tc>
        <w:tc>
          <w:tcPr>
            <w:tcW w:w="992" w:type="dxa"/>
            <w:tcBorders>
              <w:top w:val="single" w:color="000000" w:sz="4" w:space="0"/>
              <w:left w:val="nil"/>
              <w:bottom w:val="single" w:color="000000" w:sz="4" w:space="0"/>
              <w:right w:val="single" w:color="000000" w:sz="4" w:space="0"/>
            </w:tcBorders>
            <w:vAlign w:val="center"/>
          </w:tcPr>
          <w:p>
            <w:pPr>
              <w:widowControl/>
              <w:rPr>
                <w:rFonts w:ascii="仿宋_GB2312" w:hAnsi="仿宋_GB2312" w:eastAsia="仿宋_GB2312" w:cs="仿宋_GB2312"/>
                <w:sz w:val="18"/>
                <w:szCs w:val="18"/>
              </w:rPr>
            </w:pPr>
            <w:r>
              <w:rPr>
                <w:rFonts w:hint="eastAsia" w:ascii="仿宋_GB2312" w:hAnsi="仿宋_GB2312" w:eastAsia="仿宋_GB2312" w:cs="仿宋_GB2312"/>
                <w:sz w:val="18"/>
                <w:szCs w:val="18"/>
              </w:rPr>
              <w:t>母婴保健</w:t>
            </w:r>
          </w:p>
          <w:p>
            <w:pPr>
              <w:widowControl/>
              <w:rPr>
                <w:rFonts w:ascii="仿宋_GB2312" w:hAnsi="仿宋_GB2312" w:eastAsia="仿宋_GB2312" w:cs="仿宋_GB2312"/>
                <w:sz w:val="18"/>
                <w:szCs w:val="18"/>
              </w:rPr>
            </w:pPr>
            <w:r>
              <w:rPr>
                <w:rFonts w:hint="eastAsia" w:ascii="仿宋_GB2312" w:hAnsi="仿宋_GB2312" w:eastAsia="仿宋_GB2312" w:cs="仿宋_GB2312"/>
                <w:sz w:val="18"/>
                <w:szCs w:val="18"/>
              </w:rPr>
              <w:t>技术服务</w:t>
            </w:r>
          </w:p>
          <w:p>
            <w:pPr>
              <w:widowControl/>
              <w:rPr>
                <w:rFonts w:ascii="仿宋_GB2312" w:hAnsi="仿宋_GB2312" w:eastAsia="仿宋_GB2312" w:cs="仿宋_GB2312"/>
                <w:sz w:val="18"/>
                <w:szCs w:val="18"/>
              </w:rPr>
            </w:pPr>
            <w:r>
              <w:rPr>
                <w:rFonts w:hint="eastAsia" w:ascii="仿宋_GB2312" w:hAnsi="仿宋_GB2312" w:eastAsia="仿宋_GB2312" w:cs="仿宋_GB2312"/>
                <w:sz w:val="18"/>
                <w:szCs w:val="18"/>
              </w:rPr>
              <w:t>人员资格</w:t>
            </w:r>
          </w:p>
          <w:p>
            <w:pPr>
              <w:widowControl/>
              <w:rPr>
                <w:rFonts w:ascii="宋体" w:hAnsi="宋体" w:cs="Times New Roman"/>
                <w:color w:val="000000"/>
                <w:kern w:val="0"/>
                <w:sz w:val="22"/>
              </w:rPr>
            </w:pPr>
            <w:r>
              <w:rPr>
                <w:rFonts w:hint="eastAsia" w:ascii="仿宋_GB2312" w:hAnsi="仿宋_GB2312" w:eastAsia="仿宋_GB2312" w:cs="仿宋_GB2312"/>
                <w:sz w:val="18"/>
                <w:szCs w:val="18"/>
              </w:rPr>
              <w:t>许可</w:t>
            </w:r>
          </w:p>
        </w:tc>
        <w:tc>
          <w:tcPr>
            <w:tcW w:w="844" w:type="dxa"/>
            <w:tcBorders>
              <w:top w:val="single" w:color="000000" w:sz="4" w:space="0"/>
              <w:left w:val="nil"/>
              <w:bottom w:val="single" w:color="000000" w:sz="4" w:space="0"/>
              <w:right w:val="single" w:color="000000" w:sz="4" w:space="0"/>
            </w:tcBorders>
            <w:vAlign w:val="center"/>
          </w:tcPr>
          <w:p>
            <w:pPr>
              <w:jc w:val="center"/>
              <w:rPr>
                <w:rFonts w:ascii="宋体" w:hAnsi="宋体" w:cs="Times New Roman"/>
                <w:color w:val="000000"/>
                <w:kern w:val="0"/>
                <w:sz w:val="22"/>
              </w:rPr>
            </w:pP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color w:val="000000"/>
                <w:kern w:val="0"/>
                <w:sz w:val="22"/>
              </w:rPr>
            </w:pPr>
          </w:p>
        </w:tc>
        <w:tc>
          <w:tcPr>
            <w:tcW w:w="3550" w:type="dxa"/>
            <w:tcBorders>
              <w:top w:val="single" w:color="000000" w:sz="4" w:space="0"/>
              <w:left w:val="nil"/>
              <w:bottom w:val="single" w:color="000000" w:sz="4" w:space="0"/>
              <w:right w:val="single" w:color="000000" w:sz="4" w:space="0"/>
            </w:tcBorders>
            <w:vAlign w:val="center"/>
          </w:tcPr>
          <w:p>
            <w:pPr>
              <w:widowControl/>
              <w:ind w:firstLine="180" w:firstLineChars="100"/>
              <w:jc w:val="left"/>
              <w:rPr>
                <w:rFonts w:ascii="宋体" w:hAnsi="宋体" w:cs="Times New Roman"/>
                <w:color w:val="000000"/>
                <w:kern w:val="0"/>
                <w:sz w:val="22"/>
              </w:rPr>
            </w:pPr>
            <w:r>
              <w:rPr>
                <w:rFonts w:hint="eastAsia" w:ascii="仿宋_GB2312" w:hAnsi="仿宋_GB2312" w:eastAsia="仿宋_GB2312" w:cs="仿宋_GB2312"/>
                <w:sz w:val="18"/>
                <w:szCs w:val="18"/>
              </w:rPr>
              <w:t>《中华人民共和国母婴保健法》第三十三条　从事本法规定的遗传病诊断、产前诊断的人员，必须经过省、自治区、直辖市人民政府卫生行政部门的考核，并取得相应的合格证书。</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　从事本法规定的婚前医学检查、施行结扎手术和终止妊娠手术的人员以及从事家庭接生的人员，必须经过县级以上地方人民政府卫生行政部门的考核，并取得相应的合格证书。</w:t>
            </w:r>
            <w:r>
              <w:rPr>
                <w:rFonts w:hint="eastAsia" w:ascii="仿宋_GB2312" w:hAnsi="仿宋_GB2312" w:eastAsia="仿宋_GB2312" w:cs="仿宋_GB2312"/>
                <w:sz w:val="18"/>
                <w:szCs w:val="18"/>
              </w:rPr>
              <w:br w:type="textWrapping"/>
            </w:r>
          </w:p>
        </w:tc>
        <w:tc>
          <w:tcPr>
            <w:tcW w:w="709" w:type="dxa"/>
            <w:tcBorders>
              <w:top w:val="single" w:color="000000" w:sz="4" w:space="0"/>
              <w:left w:val="nil"/>
              <w:bottom w:val="single" w:color="000000"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269" w:type="dxa"/>
            <w:tcBorders>
              <w:top w:val="single" w:color="000000" w:sz="4" w:space="0"/>
              <w:left w:val="nil"/>
              <w:bottom w:val="single" w:color="000000" w:sz="4" w:space="0"/>
              <w:right w:val="single" w:color="000000" w:sz="4" w:space="0"/>
            </w:tcBorders>
            <w:vAlign w:val="center"/>
          </w:tcPr>
          <w:p>
            <w:pPr>
              <w:rPr>
                <w:rFonts w:hint="eastAsia" w:ascii="仿宋_GB2312" w:eastAsia="仿宋_GB2312"/>
                <w:sz w:val="18"/>
                <w:szCs w:val="18"/>
              </w:rPr>
            </w:pPr>
            <w:r>
              <w:rPr>
                <w:rFonts w:hint="eastAsia" w:ascii="仿宋_GB2312" w:hAnsi="宋体" w:eastAsia="仿宋_GB2312"/>
                <w:sz w:val="18"/>
                <w:szCs w:val="18"/>
              </w:rPr>
              <w:t>《母婴保健技术考核合格证书》</w:t>
            </w:r>
          </w:p>
          <w:p>
            <w:pPr>
              <w:widowControl/>
              <w:jc w:val="left"/>
              <w:rPr>
                <w:rFonts w:hint="eastAsia" w:ascii="仿宋_GB2312" w:eastAsia="仿宋_GB2312" w:cs="Times New Roman"/>
                <w:color w:val="000000"/>
                <w:kern w:val="0"/>
                <w:sz w:val="18"/>
                <w:szCs w:val="18"/>
              </w:rPr>
            </w:pP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20</w:t>
            </w:r>
          </w:p>
        </w:tc>
        <w:tc>
          <w:tcPr>
            <w:tcW w:w="769" w:type="dxa"/>
            <w:tcBorders>
              <w:top w:val="single" w:color="000000" w:sz="4" w:space="0"/>
              <w:left w:val="nil"/>
              <w:bottom w:val="single" w:color="000000" w:sz="4" w:space="0"/>
              <w:right w:val="single" w:color="000000" w:sz="4" w:space="0"/>
            </w:tcBorders>
            <w:vAlign w:val="center"/>
          </w:tcPr>
          <w:p>
            <w:pPr>
              <w:widowControl/>
              <w:rPr>
                <w:rFonts w:hint="eastAsia"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514"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567"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color w:val="000000"/>
                <w:kern w:val="0"/>
                <w:sz w:val="22"/>
              </w:rPr>
            </w:pPr>
          </w:p>
        </w:tc>
        <w:tc>
          <w:tcPr>
            <w:tcW w:w="709" w:type="dxa"/>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rPr>
            </w:pPr>
          </w:p>
        </w:tc>
      </w:tr>
      <w:tr>
        <w:trPr>
          <w:trHeight w:val="2030" w:hRule="atLeast"/>
        </w:trPr>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10</w:t>
            </w:r>
          </w:p>
        </w:tc>
        <w:tc>
          <w:tcPr>
            <w:tcW w:w="992" w:type="dxa"/>
            <w:tcBorders>
              <w:top w:val="single" w:color="000000" w:sz="4" w:space="0"/>
              <w:left w:val="nil"/>
              <w:bottom w:val="single" w:color="000000" w:sz="4" w:space="0"/>
              <w:right w:val="single" w:color="000000" w:sz="4" w:space="0"/>
            </w:tcBorders>
            <w:vAlign w:val="center"/>
          </w:tcPr>
          <w:p>
            <w:pPr>
              <w:widowControl/>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诊所备案</w:t>
            </w:r>
          </w:p>
        </w:tc>
        <w:tc>
          <w:tcPr>
            <w:tcW w:w="844" w:type="dxa"/>
            <w:tcBorders>
              <w:top w:val="single" w:color="000000" w:sz="4" w:space="0"/>
              <w:left w:val="nil"/>
              <w:bottom w:val="single" w:color="000000" w:sz="4" w:space="0"/>
              <w:right w:val="single" w:color="000000" w:sz="4" w:space="0"/>
            </w:tcBorders>
            <w:vAlign w:val="center"/>
          </w:tcPr>
          <w:p>
            <w:pPr>
              <w:jc w:val="center"/>
              <w:rPr>
                <w:rFonts w:ascii="宋体" w:hAnsi="宋体" w:cs="Times New Roman"/>
                <w:color w:val="000000"/>
                <w:kern w:val="0"/>
                <w:sz w:val="22"/>
              </w:rPr>
            </w:pP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color w:val="000000"/>
                <w:kern w:val="0"/>
                <w:sz w:val="22"/>
              </w:rPr>
            </w:pPr>
          </w:p>
        </w:tc>
        <w:tc>
          <w:tcPr>
            <w:tcW w:w="3550" w:type="dxa"/>
            <w:tcBorders>
              <w:top w:val="single" w:color="000000" w:sz="4" w:space="0"/>
              <w:left w:val="nil"/>
              <w:bottom w:val="single" w:color="000000" w:sz="4" w:space="0"/>
              <w:right w:val="single" w:color="000000" w:sz="4" w:space="0"/>
            </w:tcBorders>
            <w:vAlign w:val="center"/>
          </w:tcPr>
          <w:p>
            <w:pPr>
              <w:widowControl/>
              <w:ind w:firstLine="180" w:firstLineChars="100"/>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《诊所备案暂行管理办法》第四条：申请举办诊所应报拟举办诊所所在地县 (市.区)级卫生健康行政部门或中医药行政部门备案，取得《诊所备案证书》后即可开展执业活动。个人举办诊所，由举办人申请;两人及以上合伙举办诊所，由合伙人共同申请;法人或者其他组织举办诊所，由其法定代表人申请。</w:t>
            </w:r>
          </w:p>
        </w:tc>
        <w:tc>
          <w:tcPr>
            <w:tcW w:w="709" w:type="dxa"/>
            <w:tcBorders>
              <w:top w:val="single" w:color="000000" w:sz="4" w:space="0"/>
              <w:left w:val="nil"/>
              <w:bottom w:val="single" w:color="000000"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lang w:eastAsia="zh-CN"/>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269"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769" w:type="dxa"/>
            <w:tcBorders>
              <w:top w:val="single" w:color="000000" w:sz="4" w:space="0"/>
              <w:left w:val="nil"/>
              <w:bottom w:val="single" w:color="000000" w:sz="4" w:space="0"/>
              <w:right w:val="single" w:color="000000" w:sz="4" w:space="0"/>
            </w:tcBorders>
            <w:vAlign w:val="center"/>
          </w:tcPr>
          <w:p>
            <w:pPr>
              <w:widowControl/>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514"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567"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color w:val="000000"/>
                <w:kern w:val="0"/>
                <w:sz w:val="22"/>
              </w:rPr>
            </w:pPr>
          </w:p>
        </w:tc>
        <w:tc>
          <w:tcPr>
            <w:tcW w:w="709" w:type="dxa"/>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rPr>
            </w:pPr>
          </w:p>
        </w:tc>
      </w:tr>
      <w:tr>
        <w:trPr>
          <w:trHeight w:val="2030" w:hRule="atLeast"/>
        </w:trPr>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11</w:t>
            </w:r>
          </w:p>
        </w:tc>
        <w:tc>
          <w:tcPr>
            <w:tcW w:w="992" w:type="dxa"/>
            <w:tcBorders>
              <w:top w:val="single" w:color="000000" w:sz="4" w:space="0"/>
              <w:left w:val="nil"/>
              <w:bottom w:val="single" w:color="000000" w:sz="4" w:space="0"/>
              <w:right w:val="single" w:color="000000" w:sz="4" w:space="0"/>
            </w:tcBorders>
            <w:vAlign w:val="center"/>
          </w:tcPr>
          <w:p>
            <w:pPr>
              <w:widowControl/>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护士执业注册、变更、延续</w:t>
            </w:r>
          </w:p>
        </w:tc>
        <w:tc>
          <w:tcPr>
            <w:tcW w:w="844" w:type="dxa"/>
            <w:tcBorders>
              <w:top w:val="single" w:color="000000" w:sz="4" w:space="0"/>
              <w:left w:val="nil"/>
              <w:bottom w:val="single" w:color="000000" w:sz="4" w:space="0"/>
              <w:right w:val="single" w:color="000000" w:sz="4" w:space="0"/>
            </w:tcBorders>
            <w:vAlign w:val="center"/>
          </w:tcPr>
          <w:p>
            <w:pPr>
              <w:jc w:val="center"/>
              <w:rPr>
                <w:rFonts w:ascii="宋体" w:hAnsi="宋体" w:cs="Times New Roman"/>
                <w:color w:val="000000"/>
                <w:kern w:val="0"/>
                <w:sz w:val="22"/>
              </w:rPr>
            </w:pP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color w:val="000000"/>
                <w:kern w:val="0"/>
                <w:sz w:val="22"/>
              </w:rPr>
            </w:pPr>
          </w:p>
        </w:tc>
        <w:tc>
          <w:tcPr>
            <w:tcW w:w="3550" w:type="dxa"/>
            <w:tcBorders>
              <w:top w:val="single" w:color="000000" w:sz="4" w:space="0"/>
              <w:left w:val="nil"/>
              <w:bottom w:val="single" w:color="000000" w:sz="4" w:space="0"/>
              <w:right w:val="single" w:color="000000" w:sz="4" w:space="0"/>
            </w:tcBorders>
            <w:vAlign w:val="center"/>
          </w:tcPr>
          <w:p>
            <w:pPr>
              <w:widowControl/>
              <w:ind w:firstLine="160" w:firstLineChars="100"/>
              <w:jc w:val="left"/>
              <w:rPr>
                <w:rFonts w:hint="eastAsia" w:ascii="仿宋_GB2312" w:hAnsi="仿宋_GB2312" w:eastAsia="仿宋_GB2312" w:cs="仿宋_GB2312"/>
                <w:sz w:val="18"/>
                <w:szCs w:val="18"/>
                <w:lang w:eastAsia="zh-CN"/>
              </w:rPr>
            </w:pPr>
            <w:r>
              <w:rPr>
                <w:rFonts w:hint="eastAsia" w:ascii="仿宋" w:hAnsi="仿宋" w:eastAsia="仿宋" w:cs="仿宋"/>
                <w:i w:val="0"/>
                <w:iCs w:val="0"/>
                <w:caps w:val="0"/>
                <w:color w:val="auto"/>
                <w:spacing w:val="0"/>
                <w:sz w:val="16"/>
                <w:szCs w:val="16"/>
              </w:rPr>
              <w:t>《护士条例》（2008年1月31日国务院令第517号）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2.《国务院关于取消和下放一批行政许可事项的决定》（国发〔2019〕6号）中“护士执业医疗机构由设区的市级卫生健康部门批准设立的，下放至设区的市级卫生健康部门；护士执业医疗机构由县级卫生健康部门批准设立或备案的，下放至县级卫生健康部门。”</w:t>
            </w:r>
          </w:p>
        </w:tc>
        <w:tc>
          <w:tcPr>
            <w:tcW w:w="709" w:type="dxa"/>
            <w:tcBorders>
              <w:top w:val="single" w:color="000000" w:sz="4" w:space="0"/>
              <w:left w:val="nil"/>
              <w:bottom w:val="single" w:color="000000"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lang w:eastAsia="zh-CN"/>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269" w:type="dxa"/>
            <w:tcBorders>
              <w:top w:val="single" w:color="000000" w:sz="4" w:space="0"/>
              <w:left w:val="nil"/>
              <w:bottom w:val="single" w:color="000000" w:sz="4" w:space="0"/>
              <w:right w:val="single" w:color="000000" w:sz="4" w:space="0"/>
            </w:tcBorders>
            <w:vAlign w:val="center"/>
          </w:tcPr>
          <w:tbl>
            <w:tblPr>
              <w:tblStyle w:val="5"/>
              <w:tblW w:w="12300"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2300" w:type="dxa"/>
                  <w:tcBorders>
                    <w:top w:val="single" w:color="E2E2E2" w:sz="6" w:space="0"/>
                    <w:left w:val="single" w:color="E2E2E2" w:sz="6" w:space="0"/>
                    <w:bottom w:val="single" w:color="E2E2E2" w:sz="6" w:space="0"/>
                    <w:right w:val="single" w:color="E2E2E2" w:sz="6" w:space="0"/>
                  </w:tcBorders>
                  <w:shd w:val="clear" w:color="auto" w:fill="auto"/>
                  <w:vAlign w:val="top"/>
                </w:tcPr>
                <w:p>
                  <w:pPr>
                    <w:keepNext w:val="0"/>
                    <w:keepLines w:val="0"/>
                    <w:widowControl/>
                    <w:suppressLineNumbers w:val="0"/>
                    <w:wordWrap w:val="0"/>
                    <w:spacing w:before="0" w:beforeAutospacing="0" w:after="0" w:afterAutospacing="0" w:line="24" w:lineRule="atLeast"/>
                    <w:ind w:left="0" w:right="0"/>
                    <w:jc w:val="left"/>
                    <w:textAlignment w:val="top"/>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br w:type="textWrapping"/>
                  </w:r>
                  <w:r>
                    <w:rPr>
                      <w:rFonts w:hint="eastAsia" w:ascii="仿宋_GB2312" w:hAnsi="仿宋_GB2312" w:eastAsia="仿宋_GB2312" w:cs="仿宋_GB2312"/>
                      <w:i w:val="0"/>
                      <w:iCs w:val="0"/>
                      <w:caps w:val="0"/>
                      <w:color w:val="000000"/>
                      <w:spacing w:val="0"/>
                      <w:kern w:val="0"/>
                      <w:sz w:val="21"/>
                      <w:szCs w:val="21"/>
                      <w:lang w:val="en-US" w:eastAsia="zh-CN" w:bidi="ar"/>
                    </w:rPr>
                    <w:t>护士执业证书</w:t>
                  </w:r>
                </w:p>
              </w:tc>
            </w:tr>
          </w:tbl>
          <w:p>
            <w:pPr>
              <w:widowControl/>
              <w:jc w:val="left"/>
              <w:rPr>
                <w:rFonts w:hint="eastAsia" w:ascii="仿宋_GB2312" w:eastAsia="仿宋_GB2312" w:cs="Times New Roman"/>
                <w:color w:val="000000"/>
                <w:kern w:val="0"/>
                <w:sz w:val="18"/>
                <w:szCs w:val="18"/>
              </w:rPr>
            </w:pP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10</w:t>
            </w:r>
          </w:p>
        </w:tc>
        <w:tc>
          <w:tcPr>
            <w:tcW w:w="769" w:type="dxa"/>
            <w:tcBorders>
              <w:top w:val="single" w:color="000000" w:sz="4" w:space="0"/>
              <w:left w:val="nil"/>
              <w:bottom w:val="single" w:color="000000" w:sz="4" w:space="0"/>
              <w:right w:val="single" w:color="000000" w:sz="4" w:space="0"/>
            </w:tcBorders>
            <w:vAlign w:val="center"/>
          </w:tcPr>
          <w:p>
            <w:pPr>
              <w:widowControl/>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514"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567"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color w:val="000000"/>
                <w:kern w:val="0"/>
                <w:sz w:val="22"/>
              </w:rPr>
            </w:pPr>
          </w:p>
        </w:tc>
        <w:tc>
          <w:tcPr>
            <w:tcW w:w="709" w:type="dxa"/>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rPr>
            </w:pPr>
          </w:p>
        </w:tc>
      </w:tr>
      <w:tr>
        <w:tblPrEx>
          <w:tblCellMar>
            <w:top w:w="15" w:type="dxa"/>
            <w:left w:w="15" w:type="dxa"/>
            <w:bottom w:w="15" w:type="dxa"/>
            <w:right w:w="15" w:type="dxa"/>
          </w:tblCellMar>
        </w:tblPrEx>
        <w:trPr>
          <w:trHeight w:val="2030" w:hRule="atLeast"/>
        </w:trPr>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12</w:t>
            </w:r>
          </w:p>
        </w:tc>
        <w:tc>
          <w:tcPr>
            <w:tcW w:w="992" w:type="dxa"/>
            <w:tcBorders>
              <w:top w:val="single" w:color="000000" w:sz="4" w:space="0"/>
              <w:left w:val="nil"/>
              <w:bottom w:val="single" w:color="000000" w:sz="4" w:space="0"/>
              <w:right w:val="single" w:color="000000" w:sz="4" w:space="0"/>
            </w:tcBorders>
            <w:vAlign w:val="center"/>
          </w:tcPr>
          <w:p>
            <w:pPr>
              <w:widowControl/>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麻醉药品、第一类精神药品许可</w:t>
            </w:r>
          </w:p>
        </w:tc>
        <w:tc>
          <w:tcPr>
            <w:tcW w:w="844" w:type="dxa"/>
            <w:tcBorders>
              <w:top w:val="single" w:color="000000" w:sz="4" w:space="0"/>
              <w:left w:val="nil"/>
              <w:bottom w:val="single" w:color="000000" w:sz="4" w:space="0"/>
              <w:right w:val="single" w:color="000000" w:sz="4" w:space="0"/>
            </w:tcBorders>
            <w:vAlign w:val="center"/>
          </w:tcPr>
          <w:p>
            <w:pPr>
              <w:jc w:val="center"/>
              <w:rPr>
                <w:rFonts w:ascii="宋体" w:hAnsi="宋体" w:cs="Times New Roman"/>
                <w:color w:val="000000"/>
                <w:kern w:val="0"/>
                <w:sz w:val="22"/>
              </w:rPr>
            </w:pP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color w:val="000000"/>
                <w:kern w:val="0"/>
                <w:sz w:val="22"/>
              </w:rPr>
            </w:pPr>
          </w:p>
        </w:tc>
        <w:tc>
          <w:tcPr>
            <w:tcW w:w="3550" w:type="dxa"/>
            <w:tcBorders>
              <w:top w:val="single" w:color="000000" w:sz="4" w:space="0"/>
              <w:left w:val="nil"/>
              <w:bottom w:val="single" w:color="000000" w:sz="4" w:space="0"/>
              <w:right w:val="single" w:color="000000" w:sz="4" w:space="0"/>
            </w:tcBorders>
            <w:vAlign w:val="center"/>
          </w:tcPr>
          <w:p>
            <w:pPr>
              <w:widowControl/>
              <w:ind w:firstLine="210" w:firstLineChars="100"/>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i w:val="0"/>
                <w:iCs w:val="0"/>
                <w:caps w:val="0"/>
                <w:color w:val="auto"/>
                <w:spacing w:val="0"/>
                <w:sz w:val="21"/>
                <w:szCs w:val="21"/>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709" w:type="dxa"/>
            <w:tcBorders>
              <w:top w:val="single" w:color="000000" w:sz="4" w:space="0"/>
              <w:left w:val="nil"/>
              <w:bottom w:val="single" w:color="000000"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lang w:eastAsia="zh-CN"/>
              </w:rPr>
            </w:pPr>
            <w:r>
              <w:rPr>
                <w:rFonts w:hint="eastAsia" w:ascii="仿宋_GB2312" w:eastAsia="仿宋_GB2312" w:cs="Times New Roman"/>
                <w:color w:val="000000"/>
                <w:kern w:val="0"/>
                <w:sz w:val="18"/>
                <w:szCs w:val="18"/>
                <w:lang w:eastAsia="zh-CN"/>
              </w:rPr>
              <w:t>卫健委政务服务大厅窗口</w:t>
            </w:r>
          </w:p>
        </w:tc>
        <w:tc>
          <w:tcPr>
            <w:tcW w:w="992"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269"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hAnsi="仿宋_GB2312" w:eastAsia="仿宋_GB2312" w:cs="仿宋_GB2312"/>
                <w:i w:val="0"/>
                <w:iCs w:val="0"/>
                <w:caps w:val="0"/>
                <w:color w:val="000000"/>
                <w:spacing w:val="0"/>
                <w:sz w:val="21"/>
                <w:szCs w:val="21"/>
              </w:rPr>
              <w:t>麻醉药品、第一类精神药品购用印鉴卡</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40</w:t>
            </w:r>
          </w:p>
        </w:tc>
        <w:tc>
          <w:tcPr>
            <w:tcW w:w="769" w:type="dxa"/>
            <w:tcBorders>
              <w:top w:val="single" w:color="000000" w:sz="4" w:space="0"/>
              <w:left w:val="nil"/>
              <w:bottom w:val="single" w:color="000000" w:sz="4" w:space="0"/>
              <w:right w:val="single" w:color="000000" w:sz="4" w:space="0"/>
            </w:tcBorders>
            <w:vAlign w:val="center"/>
          </w:tcPr>
          <w:p>
            <w:pPr>
              <w:widowControl/>
              <w:rPr>
                <w:rFonts w:hint="default" w:ascii="仿宋_GB2312" w:eastAsia="仿宋_GB2312" w:cs="Times New Roman"/>
                <w:color w:val="000000"/>
                <w:kern w:val="0"/>
                <w:sz w:val="18"/>
                <w:szCs w:val="18"/>
                <w:lang w:val="en-US" w:eastAsia="zh-CN"/>
              </w:rPr>
            </w:pPr>
            <w:r>
              <w:rPr>
                <w:rFonts w:hint="eastAsia" w:ascii="仿宋_GB2312" w:eastAsia="仿宋_GB2312" w:cs="Times New Roman"/>
                <w:color w:val="000000"/>
                <w:kern w:val="0"/>
                <w:sz w:val="18"/>
                <w:szCs w:val="18"/>
                <w:lang w:val="en-US" w:eastAsia="zh-CN"/>
              </w:rPr>
              <w:t>1</w:t>
            </w:r>
          </w:p>
        </w:tc>
        <w:tc>
          <w:tcPr>
            <w:tcW w:w="514"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567" w:type="dxa"/>
            <w:tcBorders>
              <w:top w:val="single" w:color="000000" w:sz="4" w:space="0"/>
              <w:left w:val="nil"/>
              <w:bottom w:val="single" w:color="000000"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color w:val="000000"/>
                <w:kern w:val="0"/>
                <w:sz w:val="22"/>
              </w:rPr>
            </w:pPr>
          </w:p>
        </w:tc>
        <w:tc>
          <w:tcPr>
            <w:tcW w:w="709" w:type="dxa"/>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rPr>
            </w:pPr>
          </w:p>
        </w:tc>
      </w:tr>
    </w:tbl>
    <w:p>
      <w:pPr>
        <w:rPr>
          <w:rFonts w:hint="eastAsia" w:cs="Times New Roman"/>
          <w:b/>
          <w:bCs/>
          <w:sz w:val="30"/>
          <w:szCs w:val="30"/>
        </w:rPr>
      </w:pPr>
    </w:p>
    <w:p>
      <w:pPr>
        <w:ind w:firstLine="4807" w:firstLineChars="1596"/>
        <w:rPr>
          <w:rFonts w:hint="eastAsia" w:cs="Times New Roman"/>
          <w:b/>
          <w:bCs/>
          <w:sz w:val="30"/>
          <w:szCs w:val="30"/>
        </w:rPr>
      </w:pPr>
    </w:p>
    <w:p>
      <w:pPr>
        <w:ind w:firstLine="4807" w:firstLineChars="1596"/>
        <w:rPr>
          <w:rFonts w:hint="eastAsia" w:cs="Times New Roman"/>
          <w:b/>
          <w:bCs/>
          <w:sz w:val="30"/>
          <w:szCs w:val="30"/>
        </w:rPr>
      </w:pPr>
    </w:p>
    <w:p>
      <w:pPr>
        <w:ind w:firstLine="4807" w:firstLineChars="1596"/>
        <w:rPr>
          <w:rFonts w:hint="eastAsia" w:cs="Times New Roman"/>
          <w:b/>
          <w:bCs/>
          <w:sz w:val="30"/>
          <w:szCs w:val="30"/>
        </w:rPr>
      </w:pPr>
    </w:p>
    <w:p>
      <w:pPr>
        <w:ind w:firstLine="4807" w:firstLineChars="1596"/>
        <w:rPr>
          <w:rFonts w:hint="eastAsia" w:cs="Times New Roman"/>
          <w:b/>
          <w:bCs/>
          <w:sz w:val="30"/>
          <w:szCs w:val="30"/>
        </w:rPr>
      </w:pPr>
    </w:p>
    <w:p>
      <w:pPr>
        <w:ind w:firstLine="4807" w:firstLineChars="1596"/>
        <w:rPr>
          <w:rFonts w:hint="eastAsia" w:cs="Times New Roman"/>
          <w:b/>
          <w:bCs/>
          <w:sz w:val="30"/>
          <w:szCs w:val="30"/>
        </w:rPr>
      </w:pPr>
    </w:p>
    <w:p>
      <w:pPr>
        <w:ind w:firstLine="4807" w:firstLineChars="1596"/>
        <w:rPr>
          <w:rFonts w:hint="eastAsia" w:cs="Times New Roman"/>
          <w:b/>
          <w:bCs/>
          <w:sz w:val="30"/>
          <w:szCs w:val="30"/>
        </w:rPr>
      </w:pPr>
    </w:p>
    <w:p>
      <w:pPr>
        <w:ind w:firstLine="4807" w:firstLineChars="1596"/>
        <w:rPr>
          <w:rFonts w:hint="eastAsia" w:cs="Times New Roman"/>
          <w:b/>
          <w:bCs/>
          <w:sz w:val="30"/>
          <w:szCs w:val="30"/>
        </w:rPr>
      </w:pPr>
    </w:p>
    <w:p>
      <w:pPr>
        <w:rPr>
          <w:rFonts w:hint="eastAsia" w:cs="Times New Roman"/>
          <w:b/>
          <w:bCs/>
          <w:sz w:val="30"/>
          <w:szCs w:val="30"/>
        </w:rPr>
      </w:pPr>
    </w:p>
    <w:p>
      <w:pPr>
        <w:ind w:firstLine="4807" w:firstLineChars="1596"/>
        <w:rPr>
          <w:rFonts w:hint="eastAsia" w:cs="Times New Roman"/>
          <w:b/>
          <w:bCs/>
          <w:sz w:val="30"/>
          <w:szCs w:val="30"/>
        </w:rPr>
      </w:pPr>
    </w:p>
    <w:tbl>
      <w:tblPr>
        <w:tblStyle w:val="5"/>
        <w:tblW w:w="1474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2745"/>
        <w:gridCol w:w="1417"/>
        <w:gridCol w:w="7797"/>
        <w:gridCol w:w="12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58" w:type="dxa"/>
            <w:vAlign w:val="center"/>
          </w:tcPr>
          <w:p>
            <w:pPr>
              <w:jc w:val="center"/>
              <w:rPr>
                <w:rFonts w:hint="eastAsia" w:cs="Times New Roman"/>
                <w:b/>
                <w:bCs/>
                <w:sz w:val="24"/>
                <w:szCs w:val="24"/>
              </w:rPr>
            </w:pPr>
            <w:r>
              <w:rPr>
                <w:rFonts w:hint="eastAsia" w:cs="Times New Roman"/>
                <w:b/>
                <w:bCs/>
                <w:sz w:val="24"/>
                <w:szCs w:val="24"/>
              </w:rPr>
              <w:t>序号</w:t>
            </w:r>
          </w:p>
        </w:tc>
        <w:tc>
          <w:tcPr>
            <w:tcW w:w="2745" w:type="dxa"/>
            <w:vAlign w:val="center"/>
          </w:tcPr>
          <w:p>
            <w:pPr>
              <w:jc w:val="center"/>
              <w:rPr>
                <w:rFonts w:hint="eastAsia" w:cs="Times New Roman"/>
                <w:b/>
                <w:bCs/>
                <w:sz w:val="24"/>
                <w:szCs w:val="24"/>
              </w:rPr>
            </w:pPr>
            <w:r>
              <w:rPr>
                <w:rFonts w:hint="eastAsia" w:cs="Times New Roman"/>
                <w:b/>
                <w:bCs/>
                <w:sz w:val="24"/>
                <w:szCs w:val="24"/>
              </w:rPr>
              <w:t>项目名称</w:t>
            </w:r>
          </w:p>
        </w:tc>
        <w:tc>
          <w:tcPr>
            <w:tcW w:w="1417"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7797" w:type="dxa"/>
            <w:vAlign w:val="center"/>
          </w:tcPr>
          <w:p>
            <w:pPr>
              <w:jc w:val="center"/>
              <w:rPr>
                <w:rFonts w:hint="eastAsia" w:cs="Times New Roman"/>
                <w:b/>
                <w:bCs/>
                <w:sz w:val="24"/>
                <w:szCs w:val="24"/>
              </w:rPr>
            </w:pPr>
            <w:r>
              <w:rPr>
                <w:rFonts w:hint="eastAsia" w:cs="Times New Roman"/>
                <w:b/>
                <w:bCs/>
                <w:sz w:val="24"/>
                <w:szCs w:val="24"/>
              </w:rPr>
              <w:t>实施依据</w:t>
            </w:r>
          </w:p>
        </w:tc>
        <w:tc>
          <w:tcPr>
            <w:tcW w:w="1275" w:type="dxa"/>
            <w:vAlign w:val="center"/>
          </w:tcPr>
          <w:p>
            <w:pPr>
              <w:jc w:val="center"/>
              <w:rPr>
                <w:rFonts w:hint="eastAsia" w:cs="Times New Roman"/>
                <w:b/>
                <w:bCs/>
                <w:sz w:val="24"/>
                <w:szCs w:val="24"/>
              </w:rPr>
            </w:pPr>
            <w:r>
              <w:rPr>
                <w:rFonts w:hint="eastAsia" w:cs="Times New Roman"/>
                <w:b/>
                <w:bCs/>
                <w:sz w:val="24"/>
                <w:szCs w:val="24"/>
              </w:rPr>
              <w:t>调整意</w:t>
            </w:r>
          </w:p>
          <w:p>
            <w:pPr>
              <w:rPr>
                <w:rFonts w:hint="eastAsia" w:cs="Times New Roman"/>
                <w:b/>
                <w:bCs/>
                <w:sz w:val="24"/>
                <w:szCs w:val="24"/>
              </w:rPr>
            </w:pPr>
            <w:r>
              <w:rPr>
                <w:rFonts w:hint="eastAsia" w:cs="Times New Roman"/>
                <w:b/>
                <w:bCs/>
                <w:sz w:val="24"/>
                <w:szCs w:val="24"/>
              </w:rPr>
              <w:t>见及理由</w:t>
            </w:r>
          </w:p>
        </w:tc>
        <w:tc>
          <w:tcPr>
            <w:tcW w:w="851"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9" w:hRule="atLeast"/>
        </w:trPr>
        <w:tc>
          <w:tcPr>
            <w:tcW w:w="658"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2745" w:type="dxa"/>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未依法取得公共场所卫</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生许可证擅自营业的处罚</w:t>
            </w:r>
          </w:p>
          <w:p>
            <w:pPr>
              <w:rPr>
                <w:rFonts w:ascii="仿宋_GB2312" w:hAnsi="仿宋_GB2312" w:eastAsia="仿宋_GB2312" w:cs="仿宋_GB2312"/>
                <w:b/>
                <w:bCs/>
                <w:szCs w:val="21"/>
              </w:rPr>
            </w:pPr>
          </w:p>
        </w:tc>
        <w:tc>
          <w:tcPr>
            <w:tcW w:w="1417" w:type="dxa"/>
            <w:vAlign w:val="center"/>
          </w:tcPr>
          <w:p>
            <w:pPr>
              <w:jc w:val="center"/>
              <w:rPr>
                <w:rFonts w:ascii="仿宋_GB2312" w:hAnsi="仿宋_GB2312" w:eastAsia="仿宋_GB2312" w:cs="仿宋_GB2312"/>
                <w:b/>
                <w:bCs/>
                <w:szCs w:val="21"/>
              </w:rPr>
            </w:pPr>
          </w:p>
          <w:p>
            <w:pPr>
              <w:ind w:firstLine="180" w:firstLineChars="100"/>
              <w:rPr>
                <w:rFonts w:hint="eastAsia" w:ascii="仿宋_GB2312" w:hAnsi="宋体" w:eastAsia="仿宋_GB2312"/>
                <w:sz w:val="18"/>
                <w:szCs w:val="18"/>
                <w:lang w:eastAsia="zh-CN"/>
              </w:rPr>
            </w:pPr>
            <w:r>
              <w:rPr>
                <w:rFonts w:hint="eastAsia" w:ascii="仿宋_GB2312" w:hAnsi="宋体" w:eastAsia="仿宋_GB2312"/>
                <w:sz w:val="18"/>
                <w:szCs w:val="18"/>
                <w:lang w:eastAsia="zh-CN"/>
              </w:rPr>
              <w:t>卫生监督执法所</w:t>
            </w:r>
          </w:p>
        </w:tc>
        <w:tc>
          <w:tcPr>
            <w:tcW w:w="779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《公共场所卫生管理条例实施细则》(卫生部令第 80 号)第三十五条：“对未依法取得公共场所卫生许可证擅自营业的，由县级以上地方人民政府卫生行政部门责令</w:t>
            </w:r>
          </w:p>
          <w:p>
            <w:pPr>
              <w:rPr>
                <w:rFonts w:ascii="仿宋_GB2312" w:hAnsi="仿宋_GB2312" w:eastAsia="仿宋_GB2312" w:cs="仿宋_GB2312"/>
                <w:szCs w:val="21"/>
              </w:rPr>
            </w:pPr>
            <w:r>
              <w:rPr>
                <w:rFonts w:hint="eastAsia" w:ascii="仿宋_GB2312" w:hAnsi="仿宋_GB2312" w:eastAsia="仿宋_GB2312" w:cs="仿宋_GB2312"/>
                <w:szCs w:val="21"/>
              </w:rPr>
              <w:t>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w:t>
            </w:r>
          </w:p>
        </w:tc>
        <w:tc>
          <w:tcPr>
            <w:tcW w:w="1275" w:type="dxa"/>
          </w:tcPr>
          <w:p>
            <w:pPr>
              <w:rPr>
                <w:rFonts w:ascii="仿宋_GB2312" w:hAnsi="仿宋_GB2312" w:eastAsia="仿宋_GB2312" w:cs="仿宋_GB2312"/>
                <w:b/>
                <w:bCs/>
                <w:szCs w:val="21"/>
              </w:rPr>
            </w:pPr>
          </w:p>
        </w:tc>
        <w:tc>
          <w:tcPr>
            <w:tcW w:w="851" w:type="dxa"/>
          </w:tcPr>
          <w:p>
            <w:pPr>
              <w:rPr>
                <w:rFonts w:ascii="仿宋_GB2312" w:hAnsi="仿宋_GB2312" w:eastAsia="仿宋_GB2312" w:cs="仿宋_GB2312"/>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8" w:hRule="atLeast"/>
        </w:trPr>
        <w:tc>
          <w:tcPr>
            <w:tcW w:w="658"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2745" w:type="dxa"/>
          </w:tcPr>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公共场所经营者未依照规定对公共场所的空气、微</w:t>
            </w:r>
            <w:r>
              <w:rPr>
                <w:rFonts w:hint="eastAsia" w:ascii="仿宋_GB2312" w:hAnsi="仿宋_GB2312" w:eastAsia="仿宋_GB2312" w:cs="仿宋_GB2312"/>
                <w:spacing w:val="-7"/>
                <w:kern w:val="0"/>
                <w:szCs w:val="21"/>
              </w:rPr>
              <w:t>小气候、水质、采光、照</w:t>
            </w:r>
            <w:r>
              <w:rPr>
                <w:rFonts w:hint="eastAsia" w:ascii="仿宋_GB2312" w:hAnsi="仿宋_GB2312" w:eastAsia="仿宋_GB2312" w:cs="仿宋_GB2312"/>
                <w:spacing w:val="-4"/>
                <w:kern w:val="0"/>
                <w:szCs w:val="21"/>
              </w:rPr>
              <w:t>明、噪声、顾客用品用具</w:t>
            </w:r>
            <w:r>
              <w:rPr>
                <w:rFonts w:hint="eastAsia" w:ascii="仿宋_GB2312" w:hAnsi="仿宋_GB2312" w:eastAsia="仿宋_GB2312" w:cs="仿宋_GB2312"/>
                <w:kern w:val="0"/>
                <w:szCs w:val="21"/>
              </w:rPr>
              <w:t>进行卫生检测以及对顾客用品用具进</w:t>
            </w:r>
            <w:r>
              <w:rPr>
                <w:rFonts w:hint="eastAsia" w:ascii="仿宋_GB2312" w:hAnsi="仿宋_GB2312" w:eastAsia="仿宋_GB2312" w:cs="仿宋_GB2312"/>
                <w:spacing w:val="-4"/>
                <w:kern w:val="0"/>
                <w:szCs w:val="21"/>
              </w:rPr>
              <w:t>行清洗、消毒、保洁，或</w:t>
            </w:r>
            <w:r>
              <w:rPr>
                <w:rFonts w:hint="eastAsia" w:ascii="仿宋_GB2312" w:hAnsi="仿宋_GB2312" w:eastAsia="仿宋_GB2312" w:cs="仿宋_GB2312"/>
                <w:kern w:val="0"/>
                <w:szCs w:val="21"/>
              </w:rPr>
              <w:t>者重复使用一次性用品用具的处罚。</w:t>
            </w:r>
          </w:p>
        </w:tc>
        <w:tc>
          <w:tcPr>
            <w:tcW w:w="1417" w:type="dxa"/>
            <w:vAlign w:val="center"/>
          </w:tcPr>
          <w:p>
            <w:pPr>
              <w:jc w:val="center"/>
              <w:rPr>
                <w:rFonts w:ascii="仿宋_GB2312" w:hAnsi="宋体" w:eastAsia="仿宋_GB2312"/>
                <w:sz w:val="18"/>
                <w:szCs w:val="18"/>
              </w:rPr>
            </w:pPr>
            <w:r>
              <w:rPr>
                <w:rFonts w:hint="eastAsia" w:ascii="仿宋_GB2312" w:hAnsi="宋体" w:eastAsia="仿宋_GB2312"/>
                <w:sz w:val="18"/>
                <w:szCs w:val="18"/>
                <w:lang w:eastAsia="zh-CN"/>
              </w:rPr>
              <w:t>卫生监督执法所</w:t>
            </w:r>
          </w:p>
        </w:tc>
        <w:tc>
          <w:tcPr>
            <w:tcW w:w="7797" w:type="dxa"/>
          </w:tcPr>
          <w:p>
            <w:pPr>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《公共场所卫生管理条例实施细则》 (卫生部令第 80 号)第三十六条：“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 (二)未按照规定对顾客用品用具进行清洗、消毒、保洁，或者重复使用一次性用品用具的。”</w:t>
            </w:r>
          </w:p>
          <w:p>
            <w:pPr>
              <w:rPr>
                <w:rFonts w:ascii="仿宋_GB2312" w:hAnsi="仿宋_GB2312" w:eastAsia="仿宋_GB2312" w:cs="仿宋_GB2312"/>
                <w:b/>
                <w:bCs/>
                <w:szCs w:val="21"/>
              </w:rPr>
            </w:pPr>
          </w:p>
        </w:tc>
        <w:tc>
          <w:tcPr>
            <w:tcW w:w="1275" w:type="dxa"/>
          </w:tcPr>
          <w:p>
            <w:pPr>
              <w:rPr>
                <w:rFonts w:ascii="仿宋_GB2312" w:hAnsi="仿宋_GB2312" w:eastAsia="仿宋_GB2312" w:cs="仿宋_GB2312"/>
                <w:b/>
                <w:bCs/>
                <w:szCs w:val="21"/>
              </w:rPr>
            </w:pPr>
          </w:p>
        </w:tc>
        <w:tc>
          <w:tcPr>
            <w:tcW w:w="851" w:type="dxa"/>
          </w:tcPr>
          <w:p>
            <w:pPr>
              <w:rPr>
                <w:rFonts w:ascii="仿宋_GB2312" w:hAnsi="仿宋_GB2312" w:eastAsia="仿宋_GB2312" w:cs="仿宋_GB2312"/>
                <w:b/>
                <w:bCs/>
                <w:szCs w:val="21"/>
              </w:rPr>
            </w:pPr>
          </w:p>
        </w:tc>
      </w:tr>
    </w:tbl>
    <w:p>
      <w:pPr>
        <w:rPr>
          <w:rFonts w:hint="eastAsia" w:cs="Times New Roman"/>
          <w:b/>
          <w:bCs/>
          <w:sz w:val="30"/>
          <w:szCs w:val="30"/>
        </w:rPr>
      </w:pPr>
    </w:p>
    <w:tbl>
      <w:tblPr>
        <w:tblStyle w:val="5"/>
        <w:tblW w:w="1474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962"/>
        <w:gridCol w:w="1208"/>
        <w:gridCol w:w="8789"/>
        <w:gridCol w:w="12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58" w:type="dxa"/>
            <w:vAlign w:val="center"/>
          </w:tcPr>
          <w:p>
            <w:pPr>
              <w:jc w:val="center"/>
              <w:rPr>
                <w:rFonts w:hint="eastAsia" w:cs="Times New Roman"/>
                <w:b/>
                <w:bCs/>
                <w:sz w:val="24"/>
                <w:szCs w:val="24"/>
              </w:rPr>
            </w:pPr>
            <w:r>
              <w:rPr>
                <w:rFonts w:hint="eastAsia" w:cs="Times New Roman"/>
                <w:b/>
                <w:bCs/>
                <w:sz w:val="24"/>
                <w:szCs w:val="24"/>
              </w:rPr>
              <w:t>序号</w:t>
            </w:r>
          </w:p>
        </w:tc>
        <w:tc>
          <w:tcPr>
            <w:tcW w:w="1962" w:type="dxa"/>
            <w:vAlign w:val="center"/>
          </w:tcPr>
          <w:p>
            <w:pPr>
              <w:jc w:val="center"/>
              <w:rPr>
                <w:rFonts w:hint="eastAsia" w:cs="Times New Roman"/>
                <w:b/>
                <w:bCs/>
                <w:sz w:val="24"/>
                <w:szCs w:val="24"/>
              </w:rPr>
            </w:pPr>
            <w:r>
              <w:rPr>
                <w:rFonts w:hint="eastAsia" w:cs="Times New Roman"/>
                <w:b/>
                <w:bCs/>
                <w:sz w:val="24"/>
                <w:szCs w:val="24"/>
              </w:rPr>
              <w:t>项目名称</w:t>
            </w:r>
          </w:p>
        </w:tc>
        <w:tc>
          <w:tcPr>
            <w:tcW w:w="1208"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789" w:type="dxa"/>
            <w:vAlign w:val="center"/>
          </w:tcPr>
          <w:p>
            <w:pPr>
              <w:jc w:val="center"/>
              <w:rPr>
                <w:rFonts w:hint="eastAsia" w:cs="Times New Roman"/>
                <w:b/>
                <w:bCs/>
                <w:sz w:val="24"/>
                <w:szCs w:val="24"/>
              </w:rPr>
            </w:pPr>
            <w:r>
              <w:rPr>
                <w:rFonts w:hint="eastAsia" w:cs="Times New Roman"/>
                <w:b/>
                <w:bCs/>
                <w:sz w:val="24"/>
                <w:szCs w:val="24"/>
              </w:rPr>
              <w:t>实施依据</w:t>
            </w:r>
          </w:p>
        </w:tc>
        <w:tc>
          <w:tcPr>
            <w:tcW w:w="1275" w:type="dxa"/>
            <w:vAlign w:val="center"/>
          </w:tcPr>
          <w:p>
            <w:pPr>
              <w:jc w:val="center"/>
              <w:rPr>
                <w:rFonts w:hint="eastAsia" w:cs="Times New Roman"/>
                <w:b/>
                <w:bCs/>
                <w:sz w:val="24"/>
                <w:szCs w:val="24"/>
              </w:rPr>
            </w:pPr>
            <w:r>
              <w:rPr>
                <w:rFonts w:hint="eastAsia" w:cs="Times New Roman"/>
                <w:b/>
                <w:bCs/>
                <w:sz w:val="24"/>
                <w:szCs w:val="24"/>
              </w:rPr>
              <w:t>调整意</w:t>
            </w:r>
          </w:p>
          <w:p>
            <w:pPr>
              <w:rPr>
                <w:rFonts w:hint="eastAsia" w:cs="Times New Roman"/>
                <w:b/>
                <w:bCs/>
                <w:sz w:val="24"/>
                <w:szCs w:val="24"/>
              </w:rPr>
            </w:pPr>
            <w:r>
              <w:rPr>
                <w:rFonts w:hint="eastAsia" w:cs="Times New Roman"/>
                <w:b/>
                <w:bCs/>
                <w:sz w:val="24"/>
                <w:szCs w:val="24"/>
              </w:rPr>
              <w:t>见及理由</w:t>
            </w:r>
          </w:p>
        </w:tc>
        <w:tc>
          <w:tcPr>
            <w:tcW w:w="851"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3" w:hRule="atLeast"/>
        </w:trPr>
        <w:tc>
          <w:tcPr>
            <w:tcW w:w="658" w:type="dxa"/>
          </w:tcPr>
          <w:p>
            <w:pPr>
              <w:rPr>
                <w:rFonts w:hint="eastAsia" w:cs="Times New Roman"/>
                <w:b/>
                <w:bCs/>
                <w:sz w:val="30"/>
                <w:szCs w:val="30"/>
              </w:rPr>
            </w:pPr>
          </w:p>
          <w:p>
            <w:pPr>
              <w:rPr>
                <w:rFonts w:hint="eastAsia" w:cs="Times New Roman"/>
                <w:b/>
                <w:bCs/>
                <w:sz w:val="30"/>
                <w:szCs w:val="30"/>
              </w:rPr>
            </w:pPr>
          </w:p>
          <w:p>
            <w:pPr>
              <w:rPr>
                <w:rFonts w:hint="eastAsia" w:cs="Times New Roman"/>
                <w:b/>
                <w:bCs/>
                <w:sz w:val="30"/>
                <w:szCs w:val="30"/>
              </w:rPr>
            </w:pPr>
          </w:p>
          <w:p>
            <w:pPr>
              <w:rPr>
                <w:rFonts w:hint="eastAsia" w:cs="Times New Roman"/>
                <w:b/>
                <w:bCs/>
                <w:sz w:val="30"/>
                <w:szCs w:val="30"/>
              </w:rPr>
            </w:pPr>
            <w:r>
              <w:rPr>
                <w:rFonts w:hint="eastAsia" w:cs="Times New Roman"/>
                <w:b/>
                <w:bCs/>
                <w:szCs w:val="21"/>
              </w:rPr>
              <w:t>3</w:t>
            </w:r>
          </w:p>
        </w:tc>
        <w:tc>
          <w:tcPr>
            <w:tcW w:w="1962" w:type="dxa"/>
          </w:tcPr>
          <w:p>
            <w:pPr>
              <w:rPr>
                <w:rFonts w:ascii="楷体_GB2312" w:hAnsi="宋体" w:eastAsia="楷体_GB2312" w:cs="宋体"/>
                <w:kern w:val="0"/>
                <w:sz w:val="20"/>
              </w:rPr>
            </w:pPr>
          </w:p>
          <w:p>
            <w:pPr>
              <w:rPr>
                <w:rFonts w:ascii="楷体_GB2312" w:hAnsi="宋体" w:eastAsia="楷体_GB2312" w:cs="宋体"/>
                <w:kern w:val="0"/>
                <w:sz w:val="20"/>
              </w:rPr>
            </w:pPr>
          </w:p>
          <w:p>
            <w:pPr>
              <w:rPr>
                <w:rFonts w:ascii="楷体_GB2312" w:hAnsi="宋体" w:eastAsia="楷体_GB2312" w:cs="宋体"/>
                <w:kern w:val="0"/>
                <w:sz w:val="20"/>
              </w:rPr>
            </w:pPr>
          </w:p>
          <w:p>
            <w:pPr>
              <w:rPr>
                <w:rFonts w:ascii="楷体_GB2312" w:hAnsi="宋体" w:eastAsia="楷体_GB2312" w:cs="宋体"/>
                <w:kern w:val="0"/>
                <w:sz w:val="20"/>
              </w:rPr>
            </w:pPr>
          </w:p>
          <w:p>
            <w:pPr>
              <w:ind w:firstLine="200" w:firstLineChars="100"/>
              <w:rPr>
                <w:rFonts w:hint="eastAsia" w:cs="Times New Roman"/>
                <w:b/>
                <w:bCs/>
                <w:sz w:val="30"/>
                <w:szCs w:val="30"/>
              </w:rPr>
            </w:pPr>
            <w:r>
              <w:rPr>
                <w:rFonts w:hint="eastAsia" w:ascii="楷体_GB2312" w:hAnsi="宋体" w:eastAsia="楷体_GB2312" w:cs="宋体"/>
                <w:kern w:val="0"/>
                <w:sz w:val="20"/>
              </w:rPr>
              <w:t>公共场所经营者未按照规定办理公共场所卫生许可证复核手续的处罚</w:t>
            </w:r>
          </w:p>
        </w:tc>
        <w:tc>
          <w:tcPr>
            <w:tcW w:w="1208" w:type="dxa"/>
            <w:vAlign w:val="center"/>
          </w:tcPr>
          <w:p>
            <w:pPr>
              <w:ind w:firstLine="88" w:firstLineChars="49"/>
              <w:rPr>
                <w:rFonts w:ascii="仿宋_GB2312" w:hAnsi="仿宋_GB2312" w:eastAsia="仿宋_GB2312" w:cs="仿宋_GB2312"/>
                <w:b/>
                <w:bCs/>
                <w:szCs w:val="21"/>
              </w:rPr>
            </w:pPr>
            <w:r>
              <w:rPr>
                <w:rFonts w:hint="eastAsia" w:ascii="仿宋_GB2312" w:hAnsi="宋体" w:eastAsia="仿宋_GB2312"/>
                <w:sz w:val="18"/>
                <w:szCs w:val="18"/>
                <w:lang w:eastAsia="zh-CN"/>
              </w:rPr>
              <w:t>卫生监督执法所</w:t>
            </w:r>
          </w:p>
        </w:tc>
        <w:tc>
          <w:tcPr>
            <w:tcW w:w="8789" w:type="dxa"/>
          </w:tcPr>
          <w:p>
            <w:pPr>
              <w:ind w:firstLine="315" w:firstLineChars="150"/>
              <w:rPr>
                <w:rFonts w:hint="eastAsia" w:cs="Times New Roman"/>
                <w:b/>
                <w:bCs/>
                <w:sz w:val="30"/>
                <w:szCs w:val="30"/>
              </w:rPr>
            </w:pPr>
            <w:r>
              <w:rPr>
                <w:rFonts w:hint="eastAsia" w:ascii="仿宋_GB2312" w:hAnsi="黑体" w:eastAsia="仿宋_GB2312" w:cs="宋体"/>
                <w:szCs w:val="21"/>
              </w:rPr>
              <w:t>《公共场所卫生管理条例实施细则》 (卫生部令第 80 号)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九）未按照规定办理公共场所卫生许可证复核手续的。</w:t>
            </w:r>
          </w:p>
        </w:tc>
        <w:tc>
          <w:tcPr>
            <w:tcW w:w="1275" w:type="dxa"/>
          </w:tcPr>
          <w:p>
            <w:pPr>
              <w:rPr>
                <w:rFonts w:hint="eastAsia" w:cs="Times New Roman"/>
                <w:b/>
                <w:bCs/>
                <w:sz w:val="30"/>
                <w:szCs w:val="30"/>
              </w:rPr>
            </w:pPr>
          </w:p>
        </w:tc>
        <w:tc>
          <w:tcPr>
            <w:tcW w:w="851" w:type="dxa"/>
          </w:tcPr>
          <w:p>
            <w:pPr>
              <w:rPr>
                <w:rFonts w:hint="eastAsia" w:cs="Times New Roman"/>
                <w:b/>
                <w:bCs/>
                <w:sz w:val="30"/>
                <w:szCs w:val="30"/>
              </w:rPr>
            </w:pPr>
          </w:p>
        </w:tc>
      </w:tr>
    </w:tbl>
    <w:p>
      <w:pPr>
        <w:ind w:firstLine="3561" w:firstLineChars="1696"/>
        <w:rPr>
          <w:rFonts w:hint="eastAsia"/>
        </w:rPr>
      </w:pPr>
    </w:p>
    <w:p>
      <w:pPr>
        <w:ind w:firstLine="3561" w:firstLineChars="1696"/>
        <w:rPr>
          <w:rFonts w:hint="eastAsia"/>
        </w:rPr>
      </w:pPr>
    </w:p>
    <w:p>
      <w:pPr>
        <w:ind w:firstLine="3561" w:firstLineChars="1696"/>
        <w:rPr>
          <w:rFonts w:hint="eastAsia"/>
        </w:rPr>
      </w:pPr>
    </w:p>
    <w:p>
      <w:pPr>
        <w:ind w:firstLine="3561" w:firstLineChars="1696"/>
        <w:rPr>
          <w:rFonts w:hint="eastAsia"/>
        </w:rPr>
      </w:pPr>
    </w:p>
    <w:p>
      <w:pPr>
        <w:ind w:firstLine="3561" w:firstLineChars="1696"/>
        <w:rPr>
          <w:rFonts w:hint="eastAsia"/>
        </w:rPr>
      </w:pPr>
    </w:p>
    <w:p>
      <w:pPr>
        <w:ind w:firstLine="3561" w:firstLineChars="1696"/>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2320"/>
        <w:gridCol w:w="1559"/>
        <w:gridCol w:w="8080"/>
        <w:gridCol w:w="12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2320" w:type="dxa"/>
            <w:vAlign w:val="center"/>
          </w:tcPr>
          <w:p>
            <w:pPr>
              <w:jc w:val="center"/>
              <w:rPr>
                <w:rFonts w:hint="eastAsia" w:cs="Times New Roman"/>
                <w:b/>
                <w:bCs/>
                <w:sz w:val="24"/>
                <w:szCs w:val="24"/>
              </w:rPr>
            </w:pPr>
            <w:r>
              <w:rPr>
                <w:rFonts w:hint="eastAsia" w:cs="Times New Roman"/>
                <w:b/>
                <w:bCs/>
                <w:sz w:val="24"/>
                <w:szCs w:val="24"/>
              </w:rPr>
              <w:t>项目名称</w:t>
            </w:r>
          </w:p>
        </w:tc>
        <w:tc>
          <w:tcPr>
            <w:tcW w:w="1559"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080" w:type="dxa"/>
            <w:vAlign w:val="center"/>
          </w:tcPr>
          <w:p>
            <w:pPr>
              <w:jc w:val="center"/>
              <w:rPr>
                <w:rFonts w:hint="eastAsia" w:cs="Times New Roman"/>
                <w:b/>
                <w:bCs/>
                <w:sz w:val="24"/>
                <w:szCs w:val="24"/>
              </w:rPr>
            </w:pPr>
            <w:r>
              <w:rPr>
                <w:rFonts w:hint="eastAsia" w:cs="Times New Roman"/>
                <w:b/>
                <w:bCs/>
                <w:sz w:val="24"/>
                <w:szCs w:val="24"/>
              </w:rPr>
              <w:t>实施依据</w:t>
            </w:r>
          </w:p>
        </w:tc>
        <w:tc>
          <w:tcPr>
            <w:tcW w:w="1275" w:type="dxa"/>
            <w:vAlign w:val="center"/>
          </w:tcPr>
          <w:p>
            <w:pPr>
              <w:jc w:val="center"/>
              <w:rPr>
                <w:rFonts w:hint="eastAsia" w:cs="Times New Roman"/>
                <w:b/>
                <w:bCs/>
                <w:sz w:val="24"/>
                <w:szCs w:val="24"/>
              </w:rPr>
            </w:pPr>
            <w:r>
              <w:rPr>
                <w:rFonts w:hint="eastAsia" w:cs="Times New Roman"/>
                <w:b/>
                <w:bCs/>
                <w:sz w:val="24"/>
                <w:szCs w:val="24"/>
              </w:rPr>
              <w:t>调整意</w:t>
            </w:r>
          </w:p>
          <w:p>
            <w:pPr>
              <w:rPr>
                <w:rFonts w:hint="eastAsia" w:cs="Times New Roman"/>
                <w:b/>
                <w:bCs/>
                <w:sz w:val="24"/>
                <w:szCs w:val="24"/>
              </w:rPr>
            </w:pPr>
            <w:r>
              <w:rPr>
                <w:rFonts w:hint="eastAsia" w:cs="Times New Roman"/>
                <w:b/>
                <w:bCs/>
                <w:sz w:val="24"/>
                <w:szCs w:val="24"/>
              </w:rPr>
              <w:t>见及理由</w:t>
            </w:r>
          </w:p>
        </w:tc>
        <w:tc>
          <w:tcPr>
            <w:tcW w:w="851"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trPr>
        <w:tc>
          <w:tcPr>
            <w:tcW w:w="516" w:type="dxa"/>
            <w:vAlign w:val="center"/>
          </w:tcPr>
          <w:p>
            <w:pPr>
              <w:jc w:val="center"/>
              <w:rPr>
                <w:rFonts w:ascii="宋体" w:hAnsi="宋体" w:cs="宋体"/>
                <w:b/>
                <w:bCs/>
                <w:szCs w:val="21"/>
              </w:rPr>
            </w:pPr>
          </w:p>
          <w:p>
            <w:pPr>
              <w:jc w:val="center"/>
              <w:rPr>
                <w:rFonts w:ascii="宋体" w:hAnsi="宋体" w:cs="宋体"/>
                <w:b/>
                <w:bCs/>
                <w:szCs w:val="21"/>
              </w:rPr>
            </w:pPr>
          </w:p>
          <w:p>
            <w:pPr>
              <w:jc w:val="center"/>
              <w:rPr>
                <w:rFonts w:ascii="宋体" w:hAnsi="宋体" w:cs="宋体"/>
                <w:b/>
                <w:bCs/>
                <w:szCs w:val="21"/>
              </w:rPr>
            </w:pPr>
            <w:r>
              <w:rPr>
                <w:rFonts w:hint="eastAsia" w:ascii="宋体" w:hAnsi="宋体" w:cs="宋体"/>
                <w:b/>
                <w:bCs/>
                <w:szCs w:val="21"/>
              </w:rPr>
              <w:t>4</w:t>
            </w:r>
          </w:p>
        </w:tc>
        <w:tc>
          <w:tcPr>
            <w:tcW w:w="2320"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公共场所经营者安排未获得有效健康合格证明的从业人员从事直接为顾客服务工作的处罚</w:t>
            </w:r>
          </w:p>
        </w:tc>
        <w:tc>
          <w:tcPr>
            <w:tcW w:w="1559" w:type="dxa"/>
            <w:vAlign w:val="center"/>
          </w:tcPr>
          <w:p>
            <w:pPr>
              <w:jc w:val="center"/>
              <w:rPr>
                <w:rFonts w:ascii="仿宋_GB2312" w:hAnsi="仿宋_GB2312" w:eastAsia="仿宋_GB2312" w:cs="仿宋_GB2312"/>
                <w:b/>
                <w:bCs/>
                <w:szCs w:val="21"/>
              </w:rPr>
            </w:pPr>
            <w:r>
              <w:rPr>
                <w:rFonts w:hint="eastAsia" w:ascii="仿宋_GB2312" w:hAnsi="宋体" w:eastAsia="仿宋_GB2312"/>
                <w:sz w:val="18"/>
                <w:szCs w:val="18"/>
                <w:lang w:eastAsia="zh-CN"/>
              </w:rPr>
              <w:t>卫生监督执法所</w:t>
            </w:r>
          </w:p>
        </w:tc>
        <w:tc>
          <w:tcPr>
            <w:tcW w:w="8080" w:type="dxa"/>
          </w:tcPr>
          <w:p>
            <w:pPr>
              <w:ind w:firstLine="315" w:firstLineChars="150"/>
              <w:rPr>
                <w:rFonts w:ascii="仿宋_GB2312" w:hAnsi="仿宋_GB2312" w:eastAsia="仿宋_GB2312" w:cs="仿宋_GB2312"/>
                <w:szCs w:val="21"/>
              </w:rPr>
            </w:pPr>
            <w:r>
              <w:rPr>
                <w:rFonts w:hint="eastAsia" w:ascii="仿宋_GB2312" w:hAnsi="仿宋_GB2312" w:eastAsia="仿宋_GB2312" w:cs="仿宋_GB2312"/>
                <w:szCs w:val="21"/>
              </w:rPr>
              <w:t>《公共场所卫生管理条例实施细则》(卫生部令第 80 号)第三十八条：“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rPr>
                <w:rFonts w:ascii="仿宋_GB2312" w:hAnsi="仿宋_GB2312" w:eastAsia="仿宋_GB2312" w:cs="仿宋_GB2312"/>
                <w:b/>
                <w:bCs/>
                <w:szCs w:val="21"/>
              </w:rPr>
            </w:pPr>
          </w:p>
        </w:tc>
        <w:tc>
          <w:tcPr>
            <w:tcW w:w="1275" w:type="dxa"/>
          </w:tcPr>
          <w:p>
            <w:pPr>
              <w:rPr>
                <w:rFonts w:hint="eastAsia" w:cs="Times New Roman"/>
                <w:b/>
                <w:bCs/>
                <w:sz w:val="30"/>
                <w:szCs w:val="30"/>
              </w:rPr>
            </w:pPr>
          </w:p>
        </w:tc>
        <w:tc>
          <w:tcPr>
            <w:tcW w:w="851"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2" w:hRule="atLeast"/>
        </w:trPr>
        <w:tc>
          <w:tcPr>
            <w:tcW w:w="516" w:type="dxa"/>
            <w:vAlign w:val="center"/>
          </w:tcPr>
          <w:p>
            <w:pPr>
              <w:jc w:val="center"/>
              <w:rPr>
                <w:rFonts w:ascii="宋体" w:hAnsi="宋体" w:cs="宋体"/>
                <w:b/>
                <w:bCs/>
                <w:szCs w:val="21"/>
              </w:rPr>
            </w:pPr>
          </w:p>
          <w:p>
            <w:pPr>
              <w:jc w:val="center"/>
              <w:rPr>
                <w:rFonts w:ascii="宋体" w:hAnsi="宋体" w:cs="宋体"/>
                <w:b/>
                <w:bCs/>
                <w:szCs w:val="21"/>
              </w:rPr>
            </w:pPr>
          </w:p>
          <w:p>
            <w:pPr>
              <w:jc w:val="center"/>
              <w:rPr>
                <w:rFonts w:ascii="宋体" w:hAnsi="宋体" w:cs="宋体"/>
                <w:b/>
                <w:bCs/>
                <w:szCs w:val="21"/>
              </w:rPr>
            </w:pPr>
            <w:r>
              <w:rPr>
                <w:rFonts w:hint="eastAsia" w:ascii="宋体" w:hAnsi="宋体" w:cs="宋体"/>
                <w:b/>
                <w:bCs/>
                <w:szCs w:val="21"/>
              </w:rPr>
              <w:t>5</w:t>
            </w:r>
          </w:p>
        </w:tc>
        <w:tc>
          <w:tcPr>
            <w:tcW w:w="2320"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公共场所经营者对发生的危害健康事故未立即采取处置措施导致危害扩大或者隐瞒、缓报、谎报的处罚。</w:t>
            </w:r>
          </w:p>
        </w:tc>
        <w:tc>
          <w:tcPr>
            <w:tcW w:w="1559"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080"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szCs w:val="21"/>
              </w:rPr>
              <w:t>《公共场所卫生管理条例实施细则》(卫生部令第 80 号)第三十九条: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c>
          <w:tcPr>
            <w:tcW w:w="1275" w:type="dxa"/>
          </w:tcPr>
          <w:p>
            <w:pPr>
              <w:rPr>
                <w:rFonts w:hint="eastAsia" w:cs="Times New Roman"/>
                <w:b/>
                <w:bCs/>
                <w:sz w:val="30"/>
                <w:szCs w:val="30"/>
              </w:rPr>
            </w:pPr>
          </w:p>
        </w:tc>
        <w:tc>
          <w:tcPr>
            <w:tcW w:w="851"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4" w:hRule="atLeast"/>
        </w:trPr>
        <w:tc>
          <w:tcPr>
            <w:tcW w:w="516"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w:t>
            </w:r>
          </w:p>
        </w:tc>
        <w:tc>
          <w:tcPr>
            <w:tcW w:w="2320"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集中式供水单位安排未取得体检合格证的人员从事直接供、管水工作或安排患有有碍饮用水卫生疾病的或病原携带者从事直接供、管水工作的处罚.</w:t>
            </w:r>
          </w:p>
        </w:tc>
        <w:tc>
          <w:tcPr>
            <w:tcW w:w="1559" w:type="dxa"/>
          </w:tcPr>
          <w:p>
            <w:pPr>
              <w:jc w:val="cente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080"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szCs w:val="21"/>
              </w:rPr>
              <w:t>《生活饮用水卫生监督管理办法》(卫生部令第 53 号)第二十五条：“集中式供水单位安排未取得体检合格证的人员从事直接供、管水工作或安排患有有碍饮用水卫生疾病的或病原携带者从事直接供、管水工作的，县级以上地方人民政府卫生行政部门应当责令限期改进,并可对供水单位处以20 元以上 1000 元以下的罚款。”</w:t>
            </w:r>
          </w:p>
        </w:tc>
        <w:tc>
          <w:tcPr>
            <w:tcW w:w="1275" w:type="dxa"/>
          </w:tcPr>
          <w:p>
            <w:pPr>
              <w:rPr>
                <w:rFonts w:hint="eastAsia" w:cs="Times New Roman"/>
                <w:b/>
                <w:bCs/>
                <w:sz w:val="30"/>
                <w:szCs w:val="30"/>
              </w:rPr>
            </w:pPr>
          </w:p>
        </w:tc>
        <w:tc>
          <w:tcPr>
            <w:tcW w:w="851" w:type="dxa"/>
          </w:tcPr>
          <w:p>
            <w:pPr>
              <w:rPr>
                <w:rFonts w:hint="eastAsia" w:cs="Times New Roman"/>
                <w:b/>
                <w:bCs/>
                <w:sz w:val="30"/>
                <w:szCs w:val="30"/>
              </w:rPr>
            </w:pPr>
          </w:p>
        </w:tc>
      </w:tr>
    </w:tbl>
    <w:p>
      <w:pPr>
        <w:ind w:firstLine="3561" w:firstLineChars="1696"/>
        <w:rPr>
          <w:rFonts w:hint="eastAsia"/>
        </w:rPr>
      </w:pPr>
    </w:p>
    <w:p>
      <w:pPr>
        <w:ind w:firstLine="3561" w:firstLineChars="1696"/>
        <w:rPr>
          <w:rFonts w:hint="eastAsia"/>
        </w:rPr>
      </w:pPr>
    </w:p>
    <w:tbl>
      <w:tblPr>
        <w:tblStyle w:val="5"/>
        <w:tblW w:w="1474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4162"/>
        <w:gridCol w:w="1134"/>
        <w:gridCol w:w="6521"/>
        <w:gridCol w:w="127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58" w:type="dxa"/>
            <w:vAlign w:val="center"/>
          </w:tcPr>
          <w:p>
            <w:pPr>
              <w:jc w:val="center"/>
              <w:rPr>
                <w:rFonts w:hint="eastAsia" w:cs="Times New Roman"/>
                <w:b/>
                <w:bCs/>
                <w:sz w:val="24"/>
                <w:szCs w:val="24"/>
              </w:rPr>
            </w:pPr>
            <w:r>
              <w:rPr>
                <w:rFonts w:hint="eastAsia" w:cs="Times New Roman"/>
                <w:b/>
                <w:bCs/>
                <w:sz w:val="24"/>
                <w:szCs w:val="24"/>
              </w:rPr>
              <w:t>序号</w:t>
            </w:r>
          </w:p>
        </w:tc>
        <w:tc>
          <w:tcPr>
            <w:tcW w:w="4162" w:type="dxa"/>
            <w:vAlign w:val="center"/>
          </w:tcPr>
          <w:p>
            <w:pPr>
              <w:jc w:val="center"/>
              <w:rPr>
                <w:rFonts w:hint="eastAsia" w:cs="Times New Roman"/>
                <w:b/>
                <w:bCs/>
                <w:sz w:val="24"/>
                <w:szCs w:val="24"/>
              </w:rPr>
            </w:pPr>
            <w:r>
              <w:rPr>
                <w:rFonts w:hint="eastAsia" w:cs="Times New Roman"/>
                <w:b/>
                <w:bCs/>
                <w:sz w:val="24"/>
                <w:szCs w:val="24"/>
              </w:rPr>
              <w:t>项目名称</w:t>
            </w:r>
          </w:p>
        </w:tc>
        <w:tc>
          <w:tcPr>
            <w:tcW w:w="1134"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6521" w:type="dxa"/>
            <w:vAlign w:val="center"/>
          </w:tcPr>
          <w:p>
            <w:pPr>
              <w:jc w:val="center"/>
              <w:rPr>
                <w:rFonts w:hint="eastAsia" w:cs="Times New Roman"/>
                <w:b/>
                <w:bCs/>
                <w:sz w:val="24"/>
                <w:szCs w:val="24"/>
              </w:rPr>
            </w:pPr>
            <w:r>
              <w:rPr>
                <w:rFonts w:hint="eastAsia" w:cs="Times New Roman"/>
                <w:b/>
                <w:bCs/>
                <w:sz w:val="24"/>
                <w:szCs w:val="24"/>
              </w:rPr>
              <w:t>实施依据</w:t>
            </w:r>
          </w:p>
        </w:tc>
        <w:tc>
          <w:tcPr>
            <w:tcW w:w="1276" w:type="dxa"/>
            <w:vAlign w:val="center"/>
          </w:tcPr>
          <w:p>
            <w:pPr>
              <w:jc w:val="center"/>
              <w:rPr>
                <w:rFonts w:hint="eastAsia" w:cs="Times New Roman"/>
                <w:b/>
                <w:bCs/>
                <w:sz w:val="24"/>
                <w:szCs w:val="24"/>
              </w:rPr>
            </w:pPr>
            <w:r>
              <w:rPr>
                <w:rFonts w:hint="eastAsia" w:cs="Times New Roman"/>
                <w:b/>
                <w:bCs/>
                <w:sz w:val="24"/>
                <w:szCs w:val="24"/>
              </w:rPr>
              <w:t>调整意</w:t>
            </w:r>
          </w:p>
          <w:p>
            <w:pPr>
              <w:rPr>
                <w:rFonts w:hint="eastAsia" w:cs="Times New Roman"/>
                <w:b/>
                <w:bCs/>
                <w:sz w:val="24"/>
                <w:szCs w:val="24"/>
              </w:rPr>
            </w:pPr>
            <w:r>
              <w:rPr>
                <w:rFonts w:hint="eastAsia" w:cs="Times New Roman"/>
                <w:b/>
                <w:bCs/>
                <w:sz w:val="24"/>
                <w:szCs w:val="24"/>
              </w:rPr>
              <w:t>见及理由</w:t>
            </w:r>
          </w:p>
        </w:tc>
        <w:tc>
          <w:tcPr>
            <w:tcW w:w="992"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7" w:hRule="atLeast"/>
        </w:trPr>
        <w:tc>
          <w:tcPr>
            <w:tcW w:w="658"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7</w:t>
            </w:r>
          </w:p>
        </w:tc>
        <w:tc>
          <w:tcPr>
            <w:tcW w:w="4162" w:type="dxa"/>
          </w:tcPr>
          <w:p>
            <w:pPr>
              <w:ind w:firstLine="315" w:firstLineChars="150"/>
              <w:rPr>
                <w:rFonts w:ascii="仿宋_GB2312" w:hAnsi="仿宋_GB2312" w:eastAsia="仿宋_GB2312" w:cs="仿宋_GB2312"/>
                <w:szCs w:val="21"/>
              </w:rPr>
            </w:pPr>
            <w:r>
              <w:rPr>
                <w:rFonts w:hint="eastAsia" w:ascii="仿宋_GB2312" w:hAnsi="仿宋_GB2312" w:eastAsia="仿宋_GB2312" w:cs="仿宋_GB2312"/>
                <w:szCs w:val="21"/>
              </w:rPr>
              <w:t>供水单位未取得卫生许可证擅自供水的处罚。</w:t>
            </w:r>
          </w:p>
          <w:p>
            <w:pPr>
              <w:rPr>
                <w:rFonts w:ascii="仿宋_GB2312" w:hAnsi="仿宋_GB2312" w:eastAsia="仿宋_GB2312" w:cs="仿宋_GB2312"/>
                <w:sz w:val="18"/>
                <w:szCs w:val="18"/>
              </w:rPr>
            </w:pPr>
          </w:p>
          <w:p>
            <w:pPr>
              <w:rPr>
                <w:rFonts w:ascii="仿宋_GB2312" w:hAnsi="仿宋_GB2312" w:eastAsia="仿宋_GB2312" w:cs="仿宋_GB2312"/>
                <w:sz w:val="18"/>
                <w:szCs w:val="18"/>
              </w:rPr>
            </w:pPr>
          </w:p>
          <w:p>
            <w:pPr>
              <w:rPr>
                <w:rFonts w:ascii="仿宋_GB2312" w:hAnsi="仿宋_GB2312" w:eastAsia="仿宋_GB2312" w:cs="仿宋_GB2312"/>
                <w:b/>
                <w:bCs/>
                <w:sz w:val="18"/>
                <w:szCs w:val="18"/>
              </w:rPr>
            </w:pPr>
          </w:p>
        </w:tc>
        <w:tc>
          <w:tcPr>
            <w:tcW w:w="1134"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521" w:type="dxa"/>
          </w:tcPr>
          <w:p>
            <w:pPr>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《生活饮用水卫生监督管理办法》(卫生部令第 53 号)第二十六条：“违反本办法规定，有下列情形之一的，县级以上地方人民政府卫生行政部门应当责令限期改进，并可处以 20 元以上 5000 元以下的罚款：(一)在饮用水水源保护区修建危害水源水质卫生的设施或进行有碍水源水质卫生的作业的; (二) 新建、改建、扩建的饮用水供水项目未经卫生行政部门参加选址、设计审查和竣工验收 而擅自供水的;(三)供水单位未取得卫生许可证而擅自供水的;(四)供水单位供应的饮用水不符合国家规定的生活饮用水卫生标准的。</w:t>
            </w:r>
          </w:p>
        </w:tc>
        <w:tc>
          <w:tcPr>
            <w:tcW w:w="1276" w:type="dxa"/>
          </w:tcPr>
          <w:p>
            <w:pPr>
              <w:rPr>
                <w:rFonts w:hint="eastAsia" w:cs="Times New Roman"/>
                <w:b/>
                <w:bCs/>
                <w:sz w:val="30"/>
                <w:szCs w:val="30"/>
              </w:rPr>
            </w:pPr>
          </w:p>
        </w:tc>
        <w:tc>
          <w:tcPr>
            <w:tcW w:w="992"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8" w:hRule="atLeast"/>
        </w:trPr>
        <w:tc>
          <w:tcPr>
            <w:tcW w:w="658"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8</w:t>
            </w:r>
          </w:p>
        </w:tc>
        <w:tc>
          <w:tcPr>
            <w:tcW w:w="4162"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kern w:val="0"/>
                <w:szCs w:val="21"/>
              </w:rPr>
              <w:t>生产或者销售无卫生许可批准文件的涉及饮用水卫生安全的产品的处罚。</w:t>
            </w:r>
          </w:p>
        </w:tc>
        <w:tc>
          <w:tcPr>
            <w:tcW w:w="1134"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521"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szCs w:val="21"/>
              </w:rPr>
              <w:t>《生活饮用水卫生监督管理办法》(卫生部令第 53 号)第二十七条：“违反本办法规定，生产或者销售无卫生许可批准文件的涉及饮用水卫生安全的产品的，县级以上地方人民政府卫生行政部门应当责令改进，并可处以违法所得 3 倍以下的罚款，但最高不超过 30000 元，或处以 500 元以上 10000 元以下的罚款。”</w:t>
            </w:r>
          </w:p>
        </w:tc>
        <w:tc>
          <w:tcPr>
            <w:tcW w:w="1276" w:type="dxa"/>
          </w:tcPr>
          <w:p>
            <w:pPr>
              <w:rPr>
                <w:rFonts w:hint="eastAsia" w:cs="Times New Roman"/>
                <w:b/>
                <w:bCs/>
                <w:sz w:val="30"/>
                <w:szCs w:val="30"/>
              </w:rPr>
            </w:pPr>
          </w:p>
        </w:tc>
        <w:tc>
          <w:tcPr>
            <w:tcW w:w="992"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trPr>
        <w:tc>
          <w:tcPr>
            <w:tcW w:w="658"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9</w:t>
            </w:r>
          </w:p>
        </w:tc>
        <w:tc>
          <w:tcPr>
            <w:tcW w:w="4162"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kern w:val="0"/>
                <w:szCs w:val="21"/>
              </w:rPr>
              <w:t>非法采集血液的; 血站、医疗机构出售无偿献血的血液的;非法组织他人出卖血液的处罚。</w:t>
            </w:r>
          </w:p>
        </w:tc>
        <w:tc>
          <w:tcPr>
            <w:tcW w:w="1134"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ind w:left="270"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521"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color w:val="000000"/>
                <w:szCs w:val="21"/>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tc>
        <w:tc>
          <w:tcPr>
            <w:tcW w:w="1276" w:type="dxa"/>
          </w:tcPr>
          <w:p>
            <w:pPr>
              <w:rPr>
                <w:rFonts w:ascii="仿宋_GB2312" w:hAnsi="仿宋_GB2312" w:eastAsia="仿宋_GB2312" w:cs="仿宋_GB2312"/>
                <w:b/>
                <w:bCs/>
                <w:szCs w:val="21"/>
              </w:rPr>
            </w:pPr>
          </w:p>
        </w:tc>
        <w:tc>
          <w:tcPr>
            <w:tcW w:w="992" w:type="dxa"/>
          </w:tcPr>
          <w:p>
            <w:pPr>
              <w:rPr>
                <w:rFonts w:ascii="仿宋_GB2312" w:hAnsi="仿宋_GB2312" w:eastAsia="仿宋_GB2312" w:cs="仿宋_GB2312"/>
                <w:b/>
                <w:bCs/>
                <w:szCs w:val="21"/>
              </w:rPr>
            </w:pPr>
          </w:p>
        </w:tc>
      </w:tr>
    </w:tbl>
    <w:p>
      <w:pPr>
        <w:ind w:firstLine="3561" w:firstLineChars="1696"/>
        <w:rPr>
          <w:rFonts w:hint="eastAsia"/>
        </w:rPr>
      </w:pPr>
    </w:p>
    <w:p>
      <w:pPr>
        <w:ind w:firstLine="3561" w:firstLineChars="1696"/>
        <w:rPr>
          <w:rFonts w:hint="eastAsia"/>
        </w:rPr>
      </w:pPr>
    </w:p>
    <w:p>
      <w:pPr>
        <w:ind w:firstLine="3561" w:firstLineChars="1696"/>
        <w:rPr>
          <w:rFonts w:hint="eastAsia"/>
        </w:rPr>
      </w:pPr>
    </w:p>
    <w:p>
      <w:pPr>
        <w:ind w:firstLine="3561" w:firstLineChars="1696"/>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2603"/>
        <w:gridCol w:w="1559"/>
        <w:gridCol w:w="7797"/>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2603" w:type="dxa"/>
            <w:vAlign w:val="center"/>
          </w:tcPr>
          <w:p>
            <w:pPr>
              <w:jc w:val="center"/>
              <w:rPr>
                <w:rFonts w:hint="eastAsia" w:cs="Times New Roman"/>
                <w:b/>
                <w:bCs/>
                <w:sz w:val="24"/>
                <w:szCs w:val="24"/>
              </w:rPr>
            </w:pPr>
            <w:r>
              <w:rPr>
                <w:rFonts w:hint="eastAsia" w:cs="Times New Roman"/>
                <w:b/>
                <w:bCs/>
                <w:sz w:val="24"/>
                <w:szCs w:val="24"/>
              </w:rPr>
              <w:t>项目名称</w:t>
            </w:r>
          </w:p>
        </w:tc>
        <w:tc>
          <w:tcPr>
            <w:tcW w:w="1559"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7797"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10</w:t>
            </w:r>
          </w:p>
        </w:tc>
        <w:tc>
          <w:tcPr>
            <w:tcW w:w="2603" w:type="dxa"/>
          </w:tcPr>
          <w:p>
            <w:pPr>
              <w:ind w:firstLine="172" w:firstLineChars="100"/>
              <w:rPr>
                <w:rFonts w:ascii="仿宋_GB2312" w:hAnsi="仿宋_GB2312" w:eastAsia="仿宋_GB2312" w:cs="仿宋_GB2312"/>
                <w:b/>
                <w:bCs/>
                <w:color w:val="000000"/>
                <w:sz w:val="18"/>
                <w:szCs w:val="18"/>
              </w:rPr>
            </w:pPr>
            <w:r>
              <w:rPr>
                <w:rFonts w:hint="eastAsia" w:ascii="仿宋_GB2312" w:hAnsi="仿宋_GB2312" w:eastAsia="仿宋_GB2312" w:cs="仿宋_GB2312"/>
                <w:color w:val="000000"/>
                <w:spacing w:val="-4"/>
                <w:kern w:val="0"/>
                <w:sz w:val="18"/>
                <w:szCs w:val="18"/>
              </w:rPr>
              <w:t>采供血机构</w:t>
            </w:r>
            <w:r>
              <w:rPr>
                <w:rFonts w:hint="eastAsia" w:ascii="仿宋_GB2312" w:hAnsi="仿宋_GB2312" w:eastAsia="仿宋_GB2312" w:cs="仿宋_GB2312"/>
                <w:color w:val="000000"/>
                <w:szCs w:val="21"/>
              </w:rPr>
              <w:t>未按照规定报告传染病疫情,或者隐瞒、谎报、缓报传染病疫情,或者未执行国家有关规定,导致因输入血液引起经血液传播疾病的处罚。</w:t>
            </w:r>
          </w:p>
        </w:tc>
        <w:tc>
          <w:tcPr>
            <w:tcW w:w="1559"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797"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color w:val="000000"/>
                <w:szCs w:val="21"/>
              </w:rPr>
              <w:t>《中华人民共和国传染病防治法》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6"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11</w:t>
            </w:r>
          </w:p>
        </w:tc>
        <w:tc>
          <w:tcPr>
            <w:tcW w:w="2603"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医师违法执业的处罚。</w:t>
            </w:r>
          </w:p>
        </w:tc>
        <w:tc>
          <w:tcPr>
            <w:tcW w:w="1559"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797"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color w:val="000000"/>
                <w:szCs w:val="21"/>
              </w:rPr>
              <w:t>《中华人民共和国执业医师法》第三十七条: “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二)由于不负责任延误急危患者的抢救和诊治,造成严重后果的; (三)造成医疗责任事故的;(四)未经亲自诊查、调查,签署诊断、治疗、流行病学等证明文件或者有关出生、死亡等证明文件的; (五)隐匿、伪造或者擅自销毁医学文书及有关资料的;(六)使用未经批准使用的药品、消毒药剂和医疗器械的;(七)不按照规定使用麻醉药品、医疗用毒性药品、精神药品和放射性药品的;(八)未经患者或者其家属同意,对患者进行实验性临床医疗的;(九)泄露患者隐私,造成严重后果的;(十)利用职务之便,索取、非法收受患者财物或者牟取其他不正当利益的; (十一)发生自然灾害、传染病流行、突发重大伤亡事故以及其他严重威胁人民生命健康的紧急情况时,不服从卫生行政部门调遣的;(十二)发生医疗事故或者发现传染病疫情,患者涉嫌伤害事件或者非正常死亡,不按照规定报告的。”</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ind w:firstLine="3561" w:firstLineChars="1696"/>
        <w:rPr>
          <w:rFonts w:hint="eastAsia"/>
        </w:rPr>
      </w:pPr>
    </w:p>
    <w:p>
      <w:pPr>
        <w:ind w:firstLine="3561" w:firstLineChars="1696"/>
        <w:rPr>
          <w:rFonts w:hint="eastAsia"/>
        </w:rPr>
      </w:pPr>
    </w:p>
    <w:p>
      <w:pPr>
        <w:ind w:firstLine="3561" w:firstLineChars="1696"/>
        <w:rPr>
          <w:rFonts w:hint="eastAsia"/>
        </w:rPr>
      </w:pPr>
    </w:p>
    <w:p>
      <w:pPr>
        <w:ind w:firstLine="3561" w:firstLineChars="1696"/>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985"/>
        <w:gridCol w:w="1130"/>
        <w:gridCol w:w="8651"/>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985" w:type="dxa"/>
            <w:vAlign w:val="center"/>
          </w:tcPr>
          <w:p>
            <w:pPr>
              <w:jc w:val="center"/>
              <w:rPr>
                <w:rFonts w:hint="eastAsia" w:cs="Times New Roman"/>
                <w:b/>
                <w:bCs/>
                <w:sz w:val="24"/>
                <w:szCs w:val="24"/>
              </w:rPr>
            </w:pPr>
            <w:r>
              <w:rPr>
                <w:rFonts w:hint="eastAsia" w:cs="Times New Roman"/>
                <w:b/>
                <w:bCs/>
                <w:sz w:val="24"/>
                <w:szCs w:val="24"/>
              </w:rPr>
              <w:t>项目名称</w:t>
            </w:r>
          </w:p>
        </w:tc>
        <w:tc>
          <w:tcPr>
            <w:tcW w:w="1130"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4" w:hRule="atLeast"/>
        </w:trPr>
        <w:tc>
          <w:tcPr>
            <w:tcW w:w="56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12</w:t>
            </w:r>
          </w:p>
        </w:tc>
        <w:tc>
          <w:tcPr>
            <w:tcW w:w="1985"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未经批准擅自开办医疗机构行医或者非医师行医的处罚.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color w:val="00000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2" w:hRule="atLeast"/>
        </w:trPr>
        <w:tc>
          <w:tcPr>
            <w:tcW w:w="56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13</w:t>
            </w:r>
          </w:p>
        </w:tc>
        <w:tc>
          <w:tcPr>
            <w:tcW w:w="1985"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以不正当手段取得医师执业证书的处罚。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color w:val="000000"/>
                <w:szCs w:val="21"/>
              </w:rPr>
              <w:t>《中华人民共和国执业医师法》第三十六条:“以不正当手段取得医师执业证书的,由发给证书的卫生行政部门予以吊销;对负有直接责任的主管人员和其他直接责任人员,依法给予行政处分。”</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trPr>
        <w:tc>
          <w:tcPr>
            <w:tcW w:w="56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14</w:t>
            </w:r>
          </w:p>
        </w:tc>
        <w:tc>
          <w:tcPr>
            <w:tcW w:w="1985"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kern w:val="0"/>
                <w:szCs w:val="21"/>
              </w:rPr>
              <w:t>医疗、保健机构或者人员未取得母婴保健技术许可，擅自从事婚前医学检查、遗传病诊断、产前诊断、终止妊娠手术和医学技术鉴定或者出具有关医学证明的处罚</w:t>
            </w:r>
          </w:p>
        </w:tc>
        <w:tc>
          <w:tcPr>
            <w:tcW w:w="1130" w:type="dxa"/>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ind w:left="270"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color w:val="000000"/>
                <w:szCs w:val="21"/>
              </w:rPr>
              <w:t>《母婴保健实施办法》(国务院令第308号)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 5000 元以上的,并处违法所得 3 倍以上 5 倍以下的罚款;没有违法所得或者违法所得不足5000 元 的, 并处5000 元以上 2 万元以下的罚款。</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985"/>
        <w:gridCol w:w="1130"/>
        <w:gridCol w:w="8651"/>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985" w:type="dxa"/>
            <w:vAlign w:val="center"/>
          </w:tcPr>
          <w:p>
            <w:pPr>
              <w:jc w:val="center"/>
              <w:rPr>
                <w:rFonts w:hint="eastAsia" w:cs="Times New Roman"/>
                <w:b/>
                <w:bCs/>
                <w:sz w:val="24"/>
                <w:szCs w:val="24"/>
              </w:rPr>
            </w:pPr>
            <w:r>
              <w:rPr>
                <w:rFonts w:hint="eastAsia" w:cs="Times New Roman"/>
                <w:b/>
                <w:bCs/>
                <w:sz w:val="24"/>
                <w:szCs w:val="24"/>
              </w:rPr>
              <w:t>项目名称</w:t>
            </w:r>
          </w:p>
        </w:tc>
        <w:tc>
          <w:tcPr>
            <w:tcW w:w="1130"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5" w:hRule="atLeast"/>
        </w:trPr>
        <w:tc>
          <w:tcPr>
            <w:tcW w:w="56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15</w:t>
            </w:r>
          </w:p>
        </w:tc>
        <w:tc>
          <w:tcPr>
            <w:tcW w:w="1985"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从事母婴保健工作的人员出具有关虚假医学证明的处罚。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ind w:firstLine="315" w:firstLineChars="150"/>
              <w:rPr>
                <w:rFonts w:ascii="仿宋_GB2312" w:hAnsi="黑体" w:eastAsia="仿宋_GB2312" w:cs="宋体"/>
                <w:color w:val="000000"/>
                <w:szCs w:val="21"/>
              </w:rPr>
            </w:pPr>
            <w:r>
              <w:rPr>
                <w:rFonts w:hint="eastAsia" w:ascii="仿宋_GB2312" w:hAnsi="黑体" w:eastAsia="仿宋_GB2312" w:cs="宋体"/>
                <w:color w:val="000000"/>
                <w:szCs w:val="21"/>
              </w:rPr>
              <w:t>《中华人民共和国母婴保健法》第三十七条:“从事母婴保健工作的人员违反本法规定,出具有关虚假医学证明或者进行胎儿性别鉴定的,由医疗保健机构或者卫生行政部门根据情节给予行政处分;情节严重的,依法取消执业资格。”</w:t>
            </w:r>
          </w:p>
          <w:p>
            <w:pPr>
              <w:ind w:firstLine="315" w:firstLineChars="150"/>
              <w:rPr>
                <w:rFonts w:ascii="仿宋_GB2312" w:hAnsi="仿宋_GB2312" w:eastAsia="仿宋_GB2312" w:cs="仿宋_GB2312"/>
                <w:b/>
                <w:bCs/>
                <w:szCs w:val="21"/>
              </w:rPr>
            </w:pPr>
            <w:r>
              <w:rPr>
                <w:rFonts w:hint="eastAsia" w:ascii="仿宋_GB2312" w:hAnsi="黑体" w:eastAsia="仿宋_GB2312" w:cs="宋体"/>
                <w:color w:val="000000"/>
                <w:szCs w:val="21"/>
              </w:rPr>
              <w:t>《母婴保健法实施办法》(国务院令第 308 号)第四十一条:“从事母婴保健技术服务的人员出具虚假医学证明文件的,依法给予行政处分;有下列情形之一的,由原发证部门撤销相应的母婴保健技术执业资格或者医师执业证书。(一) 因延误诊治造成严重后果的;(二)给当事人身心健康造成严重后果的; (三) 造成其他严重后果的。”</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0" w:hRule="atLeast"/>
        </w:trPr>
        <w:tc>
          <w:tcPr>
            <w:tcW w:w="56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16</w:t>
            </w:r>
          </w:p>
        </w:tc>
        <w:tc>
          <w:tcPr>
            <w:tcW w:w="1985"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违反规定购置具有鉴定胎儿性别功能设备,违反规定为他人进行非医学需要胎儿性别鉴定或者选择性别人工终止妊娠的处罚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spacing w:before="100" w:beforeAutospacing="1"/>
              <w:ind w:firstLine="315" w:firstLineChars="150"/>
              <w:jc w:val="left"/>
              <w:rPr>
                <w:rFonts w:ascii="仿宋_GB2312" w:hAnsi="黑体" w:eastAsia="仿宋_GB2312" w:cs="宋体"/>
                <w:color w:val="000000"/>
                <w:szCs w:val="21"/>
              </w:rPr>
            </w:pPr>
            <w:r>
              <w:rPr>
                <w:rFonts w:hint="eastAsia" w:ascii="仿宋_GB2312" w:hAnsi="黑体" w:eastAsia="仿宋_GB2312" w:cs="宋体"/>
                <w:color w:val="000000"/>
                <w:szCs w:val="21"/>
              </w:rPr>
              <w:t>《河南省禁止非医学需要胎儿性别鉴定和选择性别人工终止妊娠条例》(经河南省第十届人民代表大会常务委员会第二十六次会议于2006年9月29日审议通过)第十七条 :违反本条例规定，购置具有鉴定胎儿性别功能设备的，由县级以上人口和计划生育行政部门、卫生行政部门依据职权责令改正，可以并处五百元以上一千元以下罚款。</w:t>
            </w:r>
          </w:p>
          <w:p>
            <w:pPr>
              <w:rPr>
                <w:rFonts w:ascii="仿宋_GB2312" w:hAnsi="仿宋_GB2312" w:eastAsia="仿宋_GB2312" w:cs="仿宋_GB2312"/>
                <w:b/>
                <w:bCs/>
                <w:szCs w:val="21"/>
              </w:rPr>
            </w:pPr>
            <w:r>
              <w:rPr>
                <w:rFonts w:hint="eastAsia" w:ascii="仿宋_GB2312" w:hAnsi="黑体" w:eastAsia="仿宋_GB2312" w:cs="宋体"/>
                <w:color w:val="000000"/>
                <w:szCs w:val="21"/>
              </w:rPr>
              <w:t>　违反本条例规定，为他人进行非医学需要胎儿性别鉴定或者选择性别人工终止妊娠的，由县级以上人口和计划生育行政部门、卫生行政部门依据职权责令改正，给予警告，没收违法所得和器械；违法所得一万元以下的，处违法所得二倍以上六倍以下的罚款；没有违法所得或者违法所得不足一万元的，处一万元以上三万元以下罚款；情节严重的，由原发证机构吊销执业证书；构成犯罪的，依法追究刑事责任。</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985"/>
        <w:gridCol w:w="1130"/>
        <w:gridCol w:w="8651"/>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985" w:type="dxa"/>
            <w:vAlign w:val="center"/>
          </w:tcPr>
          <w:p>
            <w:pPr>
              <w:jc w:val="center"/>
              <w:rPr>
                <w:rFonts w:hint="eastAsia" w:cs="Times New Roman"/>
                <w:b/>
                <w:bCs/>
                <w:sz w:val="24"/>
                <w:szCs w:val="24"/>
              </w:rPr>
            </w:pPr>
            <w:r>
              <w:rPr>
                <w:rFonts w:hint="eastAsia" w:cs="Times New Roman"/>
                <w:b/>
                <w:bCs/>
                <w:sz w:val="24"/>
                <w:szCs w:val="24"/>
              </w:rPr>
              <w:t>项目名称</w:t>
            </w:r>
          </w:p>
        </w:tc>
        <w:tc>
          <w:tcPr>
            <w:tcW w:w="1130"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4" w:hRule="atLeast"/>
        </w:trPr>
        <w:tc>
          <w:tcPr>
            <w:tcW w:w="56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17</w:t>
            </w:r>
          </w:p>
        </w:tc>
        <w:tc>
          <w:tcPr>
            <w:tcW w:w="1985"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任何单位和个人未取得《医疗机构执业许可证》擅自执业的处罚.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spacing w:before="100" w:beforeAutospacing="1"/>
              <w:ind w:firstLine="210" w:firstLineChars="100"/>
              <w:jc w:val="left"/>
              <w:rPr>
                <w:rFonts w:ascii="仿宋_GB2312" w:hAnsi="黑体" w:eastAsia="仿宋_GB2312" w:cs="宋体"/>
                <w:color w:val="000000"/>
                <w:szCs w:val="21"/>
              </w:rPr>
            </w:pPr>
            <w:r>
              <w:rPr>
                <w:rFonts w:hint="eastAsia" w:ascii="仿宋_GB2312" w:hAnsi="黑体" w:eastAsia="仿宋_GB2312" w:cs="宋体"/>
                <w:color w:val="000000"/>
                <w:szCs w:val="21"/>
              </w:rPr>
              <w:t>《医疗机构管理条例》 (国务院令第149 号)第四十四条:“违反本条例第二十四条规定,未取得《医疗机构执业许可证》擅自执业的，由县级以上人民政府卫生行政部门责令其停止执业活动,没收非法所得和药品、器械，并可以根据情节处以1万元以下的罚款。”</w:t>
            </w:r>
          </w:p>
          <w:p>
            <w:pPr>
              <w:ind w:firstLine="315" w:firstLineChars="150"/>
              <w:rPr>
                <w:rFonts w:ascii="仿宋_GB2312" w:hAnsi="仿宋_GB2312" w:eastAsia="仿宋_GB2312" w:cs="仿宋_GB2312"/>
                <w:b/>
                <w:bCs/>
                <w:szCs w:val="21"/>
              </w:rPr>
            </w:pPr>
            <w:r>
              <w:rPr>
                <w:rFonts w:hint="eastAsia" w:ascii="仿宋_GB2312" w:hAnsi="黑体" w:eastAsia="仿宋_GB2312" w:cs="宋体"/>
                <w:color w:val="000000"/>
                <w:szCs w:val="21"/>
              </w:rPr>
              <w:t>第二十四条:“任何单位或者个人，未取得《医疗机构执业许可证》,不得开展诊疗活动。</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6" w:hRule="atLeast"/>
        </w:trPr>
        <w:tc>
          <w:tcPr>
            <w:tcW w:w="56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18</w:t>
            </w:r>
          </w:p>
        </w:tc>
        <w:tc>
          <w:tcPr>
            <w:tcW w:w="1985" w:type="dxa"/>
          </w:tcPr>
          <w:p>
            <w:pPr>
              <w:ind w:firstLine="315" w:firstLineChars="150"/>
              <w:rPr>
                <w:rFonts w:ascii="仿宋_GB2312" w:hAnsi="仿宋_GB2312" w:eastAsia="仿宋_GB2312" w:cs="仿宋_GB2312"/>
                <w:b/>
                <w:bCs/>
                <w:szCs w:val="21"/>
              </w:rPr>
            </w:pPr>
            <w:r>
              <w:rPr>
                <w:rFonts w:hint="eastAsia" w:ascii="仿宋_GB2312" w:hAnsi="宋体" w:eastAsia="仿宋_GB2312" w:cs="宋体"/>
                <w:kern w:val="0"/>
                <w:szCs w:val="21"/>
              </w:rPr>
              <w:t>使用通过买卖、转让、租借等非法手段获取的《医疗机构执业许可证》开展诊疗活动;使用伪造、变造的《医疗机构执业许可证》开展诊疗活动的处罚。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spacing w:before="100" w:beforeAutospacing="1"/>
              <w:ind w:firstLine="210" w:firstLineChars="100"/>
              <w:jc w:val="left"/>
              <w:rPr>
                <w:rFonts w:ascii="仿宋_GB2312" w:hAnsi="黑体" w:eastAsia="仿宋_GB2312" w:cs="宋体"/>
                <w:color w:val="000000"/>
                <w:szCs w:val="21"/>
              </w:rPr>
            </w:pPr>
            <w:r>
              <w:rPr>
                <w:rFonts w:hint="eastAsia" w:ascii="仿宋_GB2312" w:hAnsi="黑体" w:eastAsia="仿宋_GB2312" w:cs="宋体"/>
                <w:color w:val="000000"/>
                <w:szCs w:val="21"/>
              </w:rPr>
              <w:t>《医疗机构管理条例》(国务院令第149号)第四十六条:“违反本条例第二十三条规定,出卖、转让、出借《医疗机构执业许可证》的,由县级以上人民政府卫生行政部门没收非法所得,并可以处以 5000 元以下的罚款;情节严重的,吊销其《医疗机构执业许可证》。</w:t>
            </w:r>
          </w:p>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《卫生部关于对非法采供血液和单采血浆、非法行医专项整治工作中有关法律适用问题的批复》(卫政法发〔2004〕224 号): “一、有下列情形之一的,按照《医疗机构管理条例》第四十四条规定予以处罚:(一)使用通过买卖、转让、租借等非法手段获取的《医疗机构执业许可证》开展诊疗活动的; (二)使用伪 造、变造的《医疗机构执业许可证》开展诊疗活动的。”</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985"/>
        <w:gridCol w:w="1130"/>
        <w:gridCol w:w="8651"/>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985" w:type="dxa"/>
            <w:vAlign w:val="center"/>
          </w:tcPr>
          <w:p>
            <w:pPr>
              <w:jc w:val="center"/>
              <w:rPr>
                <w:rFonts w:hint="eastAsia" w:cs="Times New Roman"/>
                <w:b/>
                <w:bCs/>
                <w:sz w:val="24"/>
                <w:szCs w:val="24"/>
              </w:rPr>
            </w:pPr>
            <w:r>
              <w:rPr>
                <w:rFonts w:hint="eastAsia" w:cs="Times New Roman"/>
                <w:b/>
                <w:bCs/>
                <w:sz w:val="24"/>
                <w:szCs w:val="24"/>
              </w:rPr>
              <w:t>项目名称</w:t>
            </w:r>
          </w:p>
        </w:tc>
        <w:tc>
          <w:tcPr>
            <w:tcW w:w="1130"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trPr>
        <w:tc>
          <w:tcPr>
            <w:tcW w:w="567"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19</w:t>
            </w:r>
          </w:p>
        </w:tc>
        <w:tc>
          <w:tcPr>
            <w:tcW w:w="1985" w:type="dxa"/>
          </w:tcPr>
          <w:p>
            <w:pPr>
              <w:rPr>
                <w:rFonts w:ascii="仿宋_GB2312" w:hAnsi="宋体" w:eastAsia="仿宋_GB2312" w:cs="宋体"/>
                <w:kern w:val="0"/>
                <w:szCs w:val="21"/>
              </w:rPr>
            </w:pPr>
          </w:p>
          <w:p>
            <w:pPr>
              <w:ind w:firstLine="315" w:firstLineChars="150"/>
              <w:rPr>
                <w:rFonts w:ascii="仿宋_GB2312" w:hAnsi="仿宋_GB2312" w:eastAsia="仿宋_GB2312" w:cs="仿宋_GB2312"/>
                <w:b/>
                <w:bCs/>
                <w:szCs w:val="21"/>
              </w:rPr>
            </w:pPr>
            <w:r>
              <w:rPr>
                <w:rFonts w:hint="eastAsia" w:ascii="仿宋_GB2312" w:hAnsi="宋体" w:eastAsia="仿宋_GB2312" w:cs="宋体"/>
                <w:kern w:val="0"/>
                <w:szCs w:val="21"/>
              </w:rPr>
              <w:t>出卖、转让、出借《医疗机构执业许可证》的处罚。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spacing w:before="100" w:beforeAutospacing="1"/>
              <w:ind w:firstLine="210" w:firstLineChars="100"/>
              <w:jc w:val="left"/>
              <w:rPr>
                <w:rFonts w:ascii="仿宋_GB2312" w:hAnsi="黑体" w:eastAsia="仿宋_GB2312" w:cs="宋体"/>
                <w:color w:val="000000"/>
                <w:szCs w:val="21"/>
              </w:rPr>
            </w:pPr>
            <w:r>
              <w:rPr>
                <w:rFonts w:hint="eastAsia" w:ascii="仿宋_GB2312" w:hAnsi="黑体" w:eastAsia="仿宋_GB2312" w:cs="宋体"/>
                <w:color w:val="000000"/>
                <w:szCs w:val="21"/>
              </w:rPr>
              <w:t>《医疗机构管理条例》(国务院令第149 号)第四十六条:“违反本条例第二十三条规定,出卖、转让、出借《医疗机构执业许可证》的,由县级以上人民政府卫生行政部门没收非法所得,并可以处以5000 元以下的罚款;情节严重的,吊销其《医疗机构执业许可证》。”</w:t>
            </w:r>
          </w:p>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《医疗机构管理条例》(国务院令第149 号)第二十三条 :“《医疗机构执业许可证》不得伪造、涂改、出卖、转让、出借。《医疗机构执业许可证》遗失的,应当及时申明,并向原登记机关申请补发。”</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trPr>
        <w:tc>
          <w:tcPr>
            <w:tcW w:w="567"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w:t>
            </w:r>
          </w:p>
        </w:tc>
        <w:tc>
          <w:tcPr>
            <w:tcW w:w="1985"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医疗机构超出核准登记的诊疗科目开展诊疗活动的处罚.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spacing w:before="100" w:beforeAutospacing="1"/>
              <w:ind w:firstLine="210" w:firstLineChars="100"/>
              <w:jc w:val="left"/>
              <w:rPr>
                <w:rFonts w:ascii="仿宋_GB2312" w:hAnsi="黑体" w:eastAsia="仿宋_GB2312" w:cs="宋体"/>
                <w:color w:val="000000"/>
                <w:szCs w:val="21"/>
              </w:rPr>
            </w:pPr>
            <w:r>
              <w:rPr>
                <w:rFonts w:hint="eastAsia" w:ascii="仿宋_GB2312" w:hAnsi="黑体" w:eastAsia="仿宋_GB2312" w:cs="宋体"/>
                <w:color w:val="000000"/>
                <w:szCs w:val="21"/>
              </w:rPr>
              <w:t>《医疗机构管理条例》(国务院令第 149 号)第四十七条:“违反本条例第二十七条规定,诊疗活动超出登记范围的,由县级以上人民政府卫生行政部门予以警告、责令其改正,并可以根据情节处以 3000 元以下的罚款;情节严重的,吊销其《医疗机构执业许可证》。”</w:t>
            </w:r>
          </w:p>
          <w:p>
            <w:pPr>
              <w:ind w:firstLine="315" w:firstLineChars="150"/>
              <w:rPr>
                <w:rFonts w:ascii="仿宋_GB2312" w:hAnsi="仿宋_GB2312" w:eastAsia="仿宋_GB2312" w:cs="仿宋_GB2312"/>
                <w:b/>
                <w:bCs/>
                <w:szCs w:val="21"/>
              </w:rPr>
            </w:pPr>
            <w:r>
              <w:rPr>
                <w:rFonts w:hint="eastAsia" w:ascii="仿宋_GB2312" w:hAnsi="黑体" w:eastAsia="仿宋_GB2312" w:cs="宋体"/>
                <w:color w:val="000000"/>
                <w:szCs w:val="21"/>
              </w:rPr>
              <w:t>《医疗机构管理条例》(国务院令第149 号)第二十七条: “医疗机构必须按照核准登记的诊疗科目开展诊疗活动。”</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trPr>
        <w:tc>
          <w:tcPr>
            <w:tcW w:w="567"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21</w:t>
            </w:r>
          </w:p>
        </w:tc>
        <w:tc>
          <w:tcPr>
            <w:tcW w:w="1985"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医疗机构逾期不校验《医疗机构执业许可证》仍从事诊疗活动的处罚</w:t>
            </w:r>
          </w:p>
        </w:tc>
        <w:tc>
          <w:tcPr>
            <w:tcW w:w="1130" w:type="dxa"/>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ind w:left="270"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spacing w:before="100" w:beforeAutospacing="1"/>
              <w:ind w:firstLine="315" w:firstLineChars="150"/>
              <w:jc w:val="left"/>
              <w:rPr>
                <w:rFonts w:ascii="仿宋_GB2312" w:hAnsi="黑体" w:eastAsia="仿宋_GB2312" w:cs="宋体"/>
                <w:color w:val="000000"/>
                <w:szCs w:val="21"/>
              </w:rPr>
            </w:pPr>
            <w:r>
              <w:rPr>
                <w:rFonts w:hint="eastAsia" w:ascii="仿宋_GB2312" w:hAnsi="黑体" w:eastAsia="仿宋_GB2312" w:cs="宋体"/>
                <w:color w:val="000000"/>
                <w:szCs w:val="21"/>
              </w:rPr>
              <w:t>《医疗机构管理条例》(国务院令第 149 号)第四十五条 :“违反本条例第二十二条规定，逾期不校验《医疗机构执业许可证》仍从事诊疗活动的，由县级以上人民政府卫生行政部门责令其限期补办校验手续;拒不校验的,吊销其《医疗机构执业许可证》。”</w:t>
            </w:r>
          </w:p>
          <w:p>
            <w:pPr>
              <w:ind w:firstLine="315" w:firstLineChars="150"/>
              <w:rPr>
                <w:rFonts w:ascii="仿宋_GB2312" w:hAnsi="仿宋_GB2312" w:eastAsia="仿宋_GB2312" w:cs="仿宋_GB2312"/>
                <w:b/>
                <w:bCs/>
                <w:szCs w:val="21"/>
              </w:rPr>
            </w:pPr>
            <w:r>
              <w:rPr>
                <w:rFonts w:hint="eastAsia" w:ascii="仿宋_GB2312" w:hAnsi="黑体" w:eastAsia="仿宋_GB2312" w:cs="宋体"/>
                <w:color w:val="000000"/>
                <w:szCs w:val="21"/>
              </w:rPr>
              <w:t>《医疗机构管理条例》(国务院令第149 号)第二十二条: “床位不满 100 张的医疗机构,其《医疗机构执业许可证》每年校验1次;床位在100张以上的医疗机构,其《医疗机构执业许可证》每3年校验1次。校验由原登记机关办理。”</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W w:w="145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985"/>
        <w:gridCol w:w="1130"/>
        <w:gridCol w:w="8651"/>
        <w:gridCol w:w="1522"/>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985" w:type="dxa"/>
            <w:vAlign w:val="center"/>
          </w:tcPr>
          <w:p>
            <w:pPr>
              <w:jc w:val="center"/>
              <w:rPr>
                <w:rFonts w:hint="eastAsia" w:cs="Times New Roman"/>
                <w:b/>
                <w:bCs/>
                <w:sz w:val="24"/>
                <w:szCs w:val="24"/>
              </w:rPr>
            </w:pPr>
            <w:r>
              <w:rPr>
                <w:rFonts w:hint="eastAsia" w:cs="Times New Roman"/>
                <w:b/>
                <w:bCs/>
                <w:sz w:val="24"/>
                <w:szCs w:val="24"/>
              </w:rPr>
              <w:t>项目名称</w:t>
            </w:r>
          </w:p>
        </w:tc>
        <w:tc>
          <w:tcPr>
            <w:tcW w:w="1130"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522"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22</w:t>
            </w:r>
          </w:p>
        </w:tc>
        <w:tc>
          <w:tcPr>
            <w:tcW w:w="1985"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color w:val="000000"/>
                <w:kern w:val="0"/>
                <w:szCs w:val="21"/>
              </w:rPr>
              <w:t>医疗机构使用非卫生技术人员从事医疗卫生技术工作的处罚。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spacing w:before="100" w:beforeAutospacing="1"/>
              <w:ind w:firstLine="315" w:firstLineChars="150"/>
              <w:jc w:val="left"/>
              <w:rPr>
                <w:rFonts w:ascii="仿宋_GB2312" w:hAnsi="黑体" w:eastAsia="仿宋_GB2312" w:cs="宋体"/>
                <w:color w:val="000000"/>
                <w:szCs w:val="21"/>
              </w:rPr>
            </w:pPr>
            <w:r>
              <w:rPr>
                <w:rFonts w:hint="eastAsia" w:ascii="仿宋_GB2312" w:hAnsi="黑体" w:eastAsia="仿宋_GB2312" w:cs="宋体"/>
                <w:color w:val="000000"/>
                <w:szCs w:val="21"/>
              </w:rPr>
              <w:t>《医疗机构管理条例》 (国务院令第 149 号)第四十八条 :“违反本条例第二十八条规定，使用非卫生技术人员从事医疗卫生技术工作的,由县级以上人民政府卫生行政部门责令其限期改正,并可以处以 5000 元以下的罚款;情节严重的,吊销其《医疗机构执业许可证》。”</w:t>
            </w:r>
          </w:p>
          <w:p>
            <w:pPr>
              <w:rPr>
                <w:rFonts w:ascii="仿宋_GB2312" w:hAnsi="仿宋_GB2312" w:eastAsia="仿宋_GB2312" w:cs="仿宋_GB2312"/>
                <w:b/>
                <w:bCs/>
                <w:szCs w:val="21"/>
              </w:rPr>
            </w:pPr>
            <w:r>
              <w:rPr>
                <w:rFonts w:hint="eastAsia" w:ascii="仿宋_GB2312" w:hAnsi="黑体" w:eastAsia="仿宋_GB2312" w:cs="宋体"/>
                <w:color w:val="000000"/>
                <w:szCs w:val="21"/>
              </w:rPr>
              <w:t>第二十八条: “医疗机构不得使用非卫生技术人员从事医疗卫生技术工作。”</w:t>
            </w:r>
          </w:p>
        </w:tc>
        <w:tc>
          <w:tcPr>
            <w:tcW w:w="1522" w:type="dxa"/>
          </w:tcPr>
          <w:p>
            <w:pPr>
              <w:rPr>
                <w:rFonts w:hint="eastAsia" w:cs="Times New Roman"/>
                <w:b/>
                <w:bCs/>
                <w:sz w:val="30"/>
                <w:szCs w:val="30"/>
              </w:rPr>
            </w:pPr>
          </w:p>
        </w:tc>
        <w:tc>
          <w:tcPr>
            <w:tcW w:w="710"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4"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23</w:t>
            </w:r>
          </w:p>
        </w:tc>
        <w:tc>
          <w:tcPr>
            <w:tcW w:w="1985" w:type="dxa"/>
          </w:tcPr>
          <w:p>
            <w:pPr>
              <w:ind w:firstLine="210" w:firstLineChars="100"/>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医疗机构出具虚假证明文件的处罚。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spacing w:before="100" w:beforeAutospacing="1"/>
              <w:ind w:firstLine="315" w:firstLineChars="150"/>
              <w:jc w:val="left"/>
              <w:rPr>
                <w:rFonts w:ascii="仿宋_GB2312" w:hAnsi="黑体" w:eastAsia="仿宋_GB2312" w:cs="宋体"/>
                <w:color w:val="000000"/>
                <w:szCs w:val="21"/>
              </w:rPr>
            </w:pPr>
            <w:r>
              <w:rPr>
                <w:rFonts w:hint="eastAsia" w:ascii="仿宋_GB2312" w:hAnsi="黑体" w:eastAsia="仿宋_GB2312" w:cs="宋体"/>
                <w:color w:val="000000"/>
                <w:szCs w:val="21"/>
              </w:rPr>
              <w:t>《医疗机构管理条例》 (国务院令第 149 号)第四十九条 :“违反本条例第三十二条规定,出具虚假证明文件的,由县级以上人民政府卫生行政部门予以警告;对造成危害后果的,可以处以 1000 元以下的罚款;对直接责任人员由所在单位或者上级机关给予行政处分。”</w:t>
            </w:r>
          </w:p>
          <w:p>
            <w:pPr>
              <w:rPr>
                <w:rFonts w:ascii="仿宋_GB2312" w:hAnsi="仿宋_GB2312" w:eastAsia="仿宋_GB2312" w:cs="仿宋_GB2312"/>
                <w:b/>
                <w:bCs/>
                <w:szCs w:val="21"/>
              </w:rPr>
            </w:pPr>
            <w:r>
              <w:rPr>
                <w:rFonts w:hint="eastAsia" w:ascii="仿宋_GB2312" w:hAnsi="黑体" w:eastAsia="仿宋_GB2312" w:cs="宋体"/>
                <w:color w:val="000000"/>
                <w:szCs w:val="21"/>
              </w:rPr>
              <w:t>第三十二条: “未经医师(士) 亲自诊查病人,医疗机构不得出具疾病诊断书、健康证明书或者死亡证 明文件;未经医师(士)、助产人员亲自接产，医疗机构不得出具出生证明书或者死产报告书。”</w:t>
            </w:r>
          </w:p>
        </w:tc>
        <w:tc>
          <w:tcPr>
            <w:tcW w:w="1522" w:type="dxa"/>
          </w:tcPr>
          <w:p>
            <w:pPr>
              <w:rPr>
                <w:rFonts w:hint="eastAsia" w:cs="Times New Roman"/>
                <w:b/>
                <w:bCs/>
                <w:sz w:val="30"/>
                <w:szCs w:val="30"/>
              </w:rPr>
            </w:pPr>
          </w:p>
        </w:tc>
        <w:tc>
          <w:tcPr>
            <w:tcW w:w="710"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24</w:t>
            </w:r>
          </w:p>
        </w:tc>
        <w:tc>
          <w:tcPr>
            <w:tcW w:w="1985"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color w:val="0000FF"/>
                <w:szCs w:val="21"/>
              </w:rPr>
              <w:t>医疗机构违规发布医疗广告的处罚。</w:t>
            </w:r>
          </w:p>
        </w:tc>
        <w:tc>
          <w:tcPr>
            <w:tcW w:w="1130" w:type="dxa"/>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ind w:left="270"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ind w:firstLine="315" w:firstLineChars="150"/>
              <w:rPr>
                <w:rFonts w:ascii="仿宋_GB2312" w:hAnsi="仿宋_GB2312" w:eastAsia="仿宋_GB2312" w:cs="仿宋_GB2312"/>
                <w:b/>
                <w:bCs/>
                <w:szCs w:val="21"/>
              </w:rPr>
            </w:pPr>
            <w:r>
              <w:rPr>
                <w:rFonts w:hint="eastAsia" w:ascii="仿宋_GB2312" w:hAnsi="黑体" w:eastAsia="仿宋_GB2312" w:cs="宋体"/>
                <w:color w:val="000000"/>
                <w:szCs w:val="21"/>
              </w:rPr>
              <w:t>《医疗广告管理办法》 (工商行政总局、卫生部令第26号)第二十条: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未取得《医疗机构执业许可证》发布医疗广告的,按非法行医处罚。”</w:t>
            </w:r>
          </w:p>
        </w:tc>
        <w:tc>
          <w:tcPr>
            <w:tcW w:w="1522" w:type="dxa"/>
          </w:tcPr>
          <w:p>
            <w:pPr>
              <w:rPr>
                <w:rFonts w:hint="eastAsia" w:cs="Times New Roman"/>
                <w:b/>
                <w:bCs/>
                <w:sz w:val="30"/>
                <w:szCs w:val="30"/>
              </w:rPr>
            </w:pPr>
          </w:p>
        </w:tc>
        <w:tc>
          <w:tcPr>
            <w:tcW w:w="710"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5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843"/>
        <w:gridCol w:w="1272"/>
        <w:gridCol w:w="8651"/>
        <w:gridCol w:w="1522"/>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843" w:type="dxa"/>
            <w:vAlign w:val="center"/>
          </w:tcPr>
          <w:p>
            <w:pPr>
              <w:jc w:val="center"/>
              <w:rPr>
                <w:rFonts w:hint="eastAsia" w:cs="Times New Roman"/>
                <w:b/>
                <w:bCs/>
                <w:sz w:val="24"/>
                <w:szCs w:val="24"/>
              </w:rPr>
            </w:pPr>
            <w:r>
              <w:rPr>
                <w:rFonts w:hint="eastAsia" w:cs="Times New Roman"/>
                <w:b/>
                <w:bCs/>
                <w:sz w:val="24"/>
                <w:szCs w:val="24"/>
              </w:rPr>
              <w:t>项目名称</w:t>
            </w:r>
          </w:p>
        </w:tc>
        <w:tc>
          <w:tcPr>
            <w:tcW w:w="1272"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522"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9"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25</w:t>
            </w:r>
          </w:p>
        </w:tc>
        <w:tc>
          <w:tcPr>
            <w:tcW w:w="1843" w:type="dxa"/>
          </w:tcPr>
          <w:p>
            <w:pPr>
              <w:rPr>
                <w:rFonts w:ascii="仿宋_GB2312" w:hAnsi="Courier New" w:eastAsia="仿宋_GB2312" w:cs="Courier New"/>
                <w:w w:val="104"/>
                <w:kern w:val="0"/>
                <w:szCs w:val="21"/>
              </w:rPr>
            </w:pPr>
          </w:p>
          <w:p>
            <w:pPr>
              <w:rPr>
                <w:rFonts w:ascii="仿宋_GB2312" w:hAnsi="Courier New" w:eastAsia="仿宋_GB2312" w:cs="Courier New"/>
                <w:w w:val="104"/>
                <w:kern w:val="0"/>
                <w:szCs w:val="21"/>
              </w:rPr>
            </w:pPr>
          </w:p>
          <w:p>
            <w:pPr>
              <w:rPr>
                <w:rFonts w:ascii="仿宋_GB2312" w:hAnsi="Courier New" w:eastAsia="仿宋_GB2312" w:cs="Courier New"/>
                <w:w w:val="104"/>
                <w:kern w:val="0"/>
                <w:szCs w:val="21"/>
              </w:rPr>
            </w:pPr>
          </w:p>
          <w:p>
            <w:pPr>
              <w:rPr>
                <w:rFonts w:ascii="仿宋_GB2312" w:hAnsi="Courier New" w:eastAsia="仿宋_GB2312" w:cs="Courier New"/>
                <w:w w:val="104"/>
                <w:kern w:val="0"/>
                <w:szCs w:val="21"/>
              </w:rPr>
            </w:pPr>
          </w:p>
          <w:p>
            <w:pPr>
              <w:rPr>
                <w:rFonts w:ascii="仿宋_GB2312" w:hAnsi="Courier New" w:eastAsia="仿宋_GB2312" w:cs="Courier New"/>
                <w:w w:val="104"/>
                <w:kern w:val="0"/>
                <w:szCs w:val="21"/>
              </w:rPr>
            </w:pPr>
          </w:p>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任何单位和个人,未取得《医疗机构执业许可证》并经登记机关核准开展医疗美容服务的处罚.</w:t>
            </w:r>
          </w:p>
        </w:tc>
        <w:tc>
          <w:tcPr>
            <w:tcW w:w="1272"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spacing w:before="100" w:beforeAutospacing="1"/>
              <w:ind w:firstLine="315" w:firstLineChars="150"/>
              <w:jc w:val="left"/>
              <w:rPr>
                <w:rFonts w:ascii="仿宋_GB2312" w:hAnsi="黑体" w:eastAsia="仿宋_GB2312" w:cs="宋体"/>
                <w:color w:val="000000"/>
                <w:szCs w:val="21"/>
              </w:rPr>
            </w:pPr>
            <w:r>
              <w:rPr>
                <w:rFonts w:hint="eastAsia" w:ascii="仿宋_GB2312" w:hAnsi="黑体" w:eastAsia="仿宋_GB2312" w:cs="宋体"/>
                <w:color w:val="000000"/>
                <w:szCs w:val="21"/>
              </w:rPr>
              <w:t>《医疗美容服务管理办法》(卫生部令第19号)第二十四条: “任何单位和个人,未取得《医疗机构执业许可证》并经登记机关核准开展医疗美容诊疗科目, 不得开展医疗美容服务。”</w:t>
            </w:r>
          </w:p>
          <w:p>
            <w:pPr>
              <w:widowControl/>
              <w:ind w:firstLine="315" w:firstLineChars="150"/>
              <w:jc w:val="left"/>
              <w:rPr>
                <w:rFonts w:ascii="仿宋_GB2312" w:hAnsi="黑体" w:eastAsia="仿宋_GB2312" w:cs="宋体"/>
                <w:color w:val="000000"/>
                <w:szCs w:val="21"/>
              </w:rPr>
            </w:pPr>
            <w:r>
              <w:rPr>
                <w:rFonts w:hint="eastAsia" w:ascii="仿宋_GB2312" w:hAnsi="黑体" w:eastAsia="仿宋_GB2312" w:cs="宋体"/>
                <w:color w:val="000000"/>
                <w:szCs w:val="21"/>
              </w:rPr>
              <w:t xml:space="preserve">第三十条：“对违反本办法规定的,依据《执业医师法》、《医疗机构管理条例》和《护士管理办法》有关规定予以处罚。” </w:t>
            </w:r>
          </w:p>
          <w:p>
            <w:pPr>
              <w:widowControl/>
              <w:ind w:firstLine="315" w:firstLineChars="150"/>
              <w:jc w:val="left"/>
              <w:rPr>
                <w:rFonts w:ascii="仿宋_GB2312" w:hAnsi="黑体" w:eastAsia="仿宋_GB2312" w:cs="宋体"/>
                <w:color w:val="000000"/>
                <w:szCs w:val="21"/>
              </w:rPr>
            </w:pPr>
            <w:r>
              <w:rPr>
                <w:rFonts w:hint="eastAsia" w:ascii="仿宋_GB2312" w:hAnsi="黑体" w:eastAsia="仿宋_GB2312" w:cs="宋体"/>
                <w:color w:val="000000"/>
                <w:szCs w:val="21"/>
              </w:rPr>
              <w:t xml:space="preserve">《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 </w:t>
            </w:r>
          </w:p>
          <w:p>
            <w:pPr>
              <w:ind w:firstLine="315" w:firstLineChars="150"/>
              <w:rPr>
                <w:rFonts w:ascii="仿宋_GB2312" w:hAnsi="黑体" w:eastAsia="仿宋_GB2312" w:cs="宋体"/>
                <w:color w:val="000000"/>
                <w:szCs w:val="21"/>
              </w:rPr>
            </w:pPr>
            <w:r>
              <w:rPr>
                <w:rFonts w:hint="eastAsia" w:ascii="仿宋_GB2312" w:hAnsi="黑体" w:eastAsia="仿宋_GB2312" w:cs="宋体"/>
                <w:color w:val="000000"/>
                <w:szCs w:val="21"/>
              </w:rPr>
              <w:t>《医疗机构管理条例》(国务院令第149 号)第四十四条: “违反本条例第二十四条规定,未取得《医疗机构执业许可证》擅自执业的，由县级以上人民政府卫生行政部门责令其停止执业活动,没收非法所得和药品、器械，并可以根据情节处以1万元以下的罚款。”</w:t>
            </w:r>
          </w:p>
          <w:p>
            <w:pPr>
              <w:ind w:firstLine="315" w:firstLineChars="150"/>
              <w:rPr>
                <w:rFonts w:ascii="仿宋_GB2312" w:hAnsi="仿宋_GB2312" w:eastAsia="仿宋_GB2312" w:cs="仿宋_GB2312"/>
                <w:b/>
                <w:bCs/>
                <w:szCs w:val="21"/>
              </w:rPr>
            </w:pPr>
            <w:r>
              <w:rPr>
                <w:rFonts w:hint="eastAsia" w:ascii="仿宋_GB2312" w:hAnsi="黑体" w:eastAsia="仿宋_GB2312" w:cs="宋体"/>
                <w:color w:val="000000"/>
                <w:szCs w:val="21"/>
              </w:rPr>
              <w:t>第四十七条 :“违反本条例第二十七条规定，诊疗活动超出登记范围的,由县级以上人民政府卫生行政部门予以警告、责令其改正,并可以根据情节处以3000元以下的罚款;情节严重的,吊销其《医疗机构执业许可证》。”</w:t>
            </w:r>
          </w:p>
        </w:tc>
        <w:tc>
          <w:tcPr>
            <w:tcW w:w="1522" w:type="dxa"/>
          </w:tcPr>
          <w:p>
            <w:pPr>
              <w:rPr>
                <w:rFonts w:hint="eastAsia" w:cs="Times New Roman"/>
                <w:b/>
                <w:bCs/>
                <w:sz w:val="30"/>
                <w:szCs w:val="30"/>
              </w:rPr>
            </w:pPr>
          </w:p>
        </w:tc>
        <w:tc>
          <w:tcPr>
            <w:tcW w:w="710"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985"/>
        <w:gridCol w:w="992"/>
        <w:gridCol w:w="8789"/>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985" w:type="dxa"/>
            <w:vAlign w:val="center"/>
          </w:tcPr>
          <w:p>
            <w:pPr>
              <w:jc w:val="center"/>
              <w:rPr>
                <w:rFonts w:hint="eastAsia" w:cs="Times New Roman"/>
                <w:b/>
                <w:bCs/>
                <w:sz w:val="24"/>
                <w:szCs w:val="24"/>
              </w:rPr>
            </w:pPr>
            <w:r>
              <w:rPr>
                <w:rFonts w:hint="eastAsia" w:cs="Times New Roman"/>
                <w:b/>
                <w:bCs/>
                <w:sz w:val="24"/>
                <w:szCs w:val="24"/>
              </w:rPr>
              <w:t>项目名称</w:t>
            </w:r>
          </w:p>
        </w:tc>
        <w:tc>
          <w:tcPr>
            <w:tcW w:w="992"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789"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6"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26</w:t>
            </w:r>
          </w:p>
          <w:p>
            <w:pPr>
              <w:rPr>
                <w:rFonts w:ascii="仿宋_GB2312" w:hAnsi="仿宋_GB2312" w:eastAsia="仿宋_GB2312" w:cs="仿宋_GB2312"/>
                <w:b/>
                <w:bCs/>
                <w:szCs w:val="21"/>
              </w:rPr>
            </w:pPr>
          </w:p>
        </w:tc>
        <w:tc>
          <w:tcPr>
            <w:tcW w:w="1985" w:type="dxa"/>
          </w:tcPr>
          <w:p>
            <w:pPr>
              <w:ind w:firstLine="210" w:firstLineChars="100"/>
              <w:rPr>
                <w:rFonts w:ascii="仿宋_GB2312" w:hAnsi="宋体" w:eastAsia="仿宋_GB2312" w:cs="宋体"/>
                <w:color w:val="000000"/>
                <w:kern w:val="0"/>
                <w:szCs w:val="21"/>
              </w:rPr>
            </w:pPr>
          </w:p>
          <w:p>
            <w:pPr>
              <w:ind w:firstLine="210" w:firstLineChars="100"/>
              <w:rPr>
                <w:rFonts w:ascii="仿宋_GB2312" w:hAnsi="仿宋_GB2312" w:eastAsia="仿宋_GB2312" w:cs="仿宋_GB2312"/>
                <w:b/>
                <w:bCs/>
                <w:szCs w:val="21"/>
              </w:rPr>
            </w:pPr>
            <w:r>
              <w:rPr>
                <w:rFonts w:hint="eastAsia" w:ascii="仿宋_GB2312" w:hAnsi="宋体" w:eastAsia="仿宋_GB2312" w:cs="宋体"/>
                <w:color w:val="000000"/>
                <w:kern w:val="0"/>
                <w:szCs w:val="21"/>
              </w:rPr>
              <w:t>医疗机构及非医疗机构未经批准擅自设置人类精子库,采集、提供精子的处罚</w:t>
            </w:r>
            <w:r>
              <w:rPr>
                <w:rFonts w:hint="eastAsia" w:ascii="仿宋_GB2312" w:hAnsi="Courier New" w:eastAsia="仿宋_GB2312" w:cs="Courier New"/>
                <w:w w:val="103"/>
                <w:kern w:val="0"/>
                <w:szCs w:val="21"/>
              </w:rPr>
              <w:t>。</w:t>
            </w:r>
          </w:p>
        </w:tc>
        <w:tc>
          <w:tcPr>
            <w:tcW w:w="992" w:type="dxa"/>
            <w:vAlign w:val="center"/>
          </w:tcPr>
          <w:p>
            <w:pP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89" w:type="dxa"/>
          </w:tcPr>
          <w:p>
            <w:pPr>
              <w:widowControl/>
              <w:spacing w:before="100" w:beforeAutospacing="1"/>
              <w:ind w:firstLine="270" w:firstLineChars="150"/>
              <w:jc w:val="left"/>
              <w:rPr>
                <w:rFonts w:ascii="仿宋_GB2312" w:hAnsi="黑体" w:eastAsia="仿宋_GB2312" w:cs="宋体"/>
                <w:color w:val="000000"/>
                <w:sz w:val="18"/>
                <w:szCs w:val="18"/>
              </w:rPr>
            </w:pPr>
            <w:r>
              <w:rPr>
                <w:rFonts w:hint="eastAsia" w:ascii="仿宋_GB2312" w:hAnsi="黑体" w:eastAsia="仿宋_GB2312" w:cs="宋体"/>
                <w:color w:val="000000"/>
                <w:sz w:val="18"/>
                <w:szCs w:val="18"/>
              </w:rPr>
              <w:t>《人类精子库管理办法》(卫生部令第15号)第二十三条: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p>
            <w:pPr>
              <w:ind w:firstLine="180" w:firstLineChars="100"/>
              <w:rPr>
                <w:rFonts w:ascii="仿宋_GB2312" w:hAnsi="Times New Roman" w:eastAsia="仿宋_GB2312" w:cs="Times New Roman"/>
                <w:sz w:val="18"/>
                <w:szCs w:val="18"/>
              </w:rPr>
            </w:pPr>
            <w:r>
              <w:rPr>
                <w:rFonts w:hint="eastAsia" w:ascii="仿宋_GB2312" w:hAnsi="黑体" w:eastAsia="仿宋_GB2312" w:cs="宋体"/>
                <w:color w:val="000000"/>
                <w:sz w:val="18"/>
                <w:szCs w:val="18"/>
              </w:rPr>
              <w:t>《医疗机构管理条例》</w:t>
            </w:r>
            <w:r>
              <w:rPr>
                <w:rFonts w:hint="eastAsia" w:ascii="仿宋_GB2312" w:hAnsi="Times New Roman" w:eastAsia="仿宋_GB2312" w:cs="Times New Roman"/>
                <w:sz w:val="18"/>
                <w:szCs w:val="18"/>
              </w:rPr>
              <w:t>第四十四条：违反本条例第二十四条规定，未取得《医疗机构执业许可证》擅自执业的，由县级以上人民政府卫生行政部门责令其停止执业活动，没收非法所得和药品、器械，并可以根据情节处以1</w:t>
            </w:r>
            <w:r>
              <w:rPr>
                <w:rFonts w:hint="eastAsia" w:ascii="仿宋_GB2312" w:hAnsi="宋体" w:eastAsia="仿宋_GB2312" w:cs="Times New Roman"/>
                <w:sz w:val="18"/>
                <w:szCs w:val="18"/>
              </w:rPr>
              <w:t>万元以下的罚款</w:t>
            </w:r>
          </w:p>
          <w:p>
            <w:pPr>
              <w:ind w:firstLine="180" w:firstLineChars="100"/>
              <w:rPr>
                <w:rFonts w:ascii="仿宋_GB2312" w:hAnsi="Times New Roman" w:eastAsia="仿宋_GB2312" w:cs="Times New Roman"/>
                <w:sz w:val="18"/>
                <w:szCs w:val="18"/>
              </w:rPr>
            </w:pPr>
            <w:r>
              <w:rPr>
                <w:rFonts w:hint="eastAsia" w:ascii="仿宋_GB2312" w:hAnsi="黑体" w:eastAsia="仿宋_GB2312" w:cs="宋体"/>
                <w:color w:val="000000"/>
                <w:sz w:val="18"/>
                <w:szCs w:val="18"/>
              </w:rPr>
              <w:t>《医疗机构管理条例》</w:t>
            </w:r>
            <w:r>
              <w:rPr>
                <w:rFonts w:hint="eastAsia" w:ascii="仿宋_GB2312" w:hAnsi="Times New Roman" w:eastAsia="仿宋_GB2312" w:cs="Times New Roman"/>
                <w:sz w:val="18"/>
                <w:szCs w:val="18"/>
              </w:rPr>
              <w:t>第四十七条：违反本条例第二十七条规定，诊疗活动超出登记范围的，由县级以上人民政府卫生行政部门予以警告，责令其改正，并可以根据情节处以3000</w:t>
            </w:r>
            <w:r>
              <w:rPr>
                <w:rFonts w:hint="eastAsia" w:ascii="仿宋_GB2312" w:hAnsi="宋体" w:eastAsia="仿宋_GB2312" w:cs="Times New Roman"/>
                <w:sz w:val="18"/>
                <w:szCs w:val="18"/>
              </w:rPr>
              <w:t>元以下的罚款，情节严重的，吊销其《医疗机构执业许可证》。</w:t>
            </w:r>
          </w:p>
          <w:p>
            <w:pPr>
              <w:ind w:firstLine="180" w:firstLineChars="100"/>
              <w:rPr>
                <w:rFonts w:ascii="仿宋_GB2312" w:hAnsi="仿宋_GB2312" w:eastAsia="仿宋_GB2312" w:cs="仿宋_GB2312"/>
                <w:b/>
                <w:bCs/>
                <w:szCs w:val="21"/>
              </w:rPr>
            </w:pPr>
            <w:r>
              <w:rPr>
                <w:rFonts w:hint="eastAsia" w:ascii="仿宋_GB2312" w:hAnsi="黑体" w:eastAsia="仿宋_GB2312" w:cs="宋体"/>
                <w:color w:val="000000"/>
                <w:sz w:val="18"/>
                <w:szCs w:val="18"/>
              </w:rPr>
              <w:t>《医疗机构管理条例实施细则》(卫生部令第35号)第八十条:“除急诊和急救外,医疗机构诊疗活动超出登记的诊疗科目范围,情节轻微的,处以警告;有下列情形之一的,责令其限期改正,并可处以三千元以下罚款: (一)超出登记的诊疗科目范围的诊疗活动累计收入在三千元以下; (二)给患者造成伤害。有下列情形之一的,处以三千元罚款,并吊销《医疗机构执业许可证》:(一)超出登记的诊疗科目范围的诊疗活动累计收入在三千元以上;(二)给患者造成伤害;(三)省、自治区、直辖市卫生行政部门规定的其它情形。”</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4"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27</w:t>
            </w:r>
          </w:p>
        </w:tc>
        <w:tc>
          <w:tcPr>
            <w:tcW w:w="1985" w:type="dxa"/>
          </w:tcPr>
          <w:p>
            <w:pPr>
              <w:ind w:firstLine="315" w:firstLineChars="150"/>
              <w:rPr>
                <w:rFonts w:ascii="仿宋_GB2312" w:hAnsi="仿宋_GB2312" w:eastAsia="仿宋_GB2312" w:cs="仿宋_GB2312"/>
                <w:b/>
                <w:bCs/>
                <w:szCs w:val="21"/>
              </w:rPr>
            </w:pPr>
            <w:r>
              <w:rPr>
                <w:rFonts w:hint="eastAsia" w:ascii="仿宋_GB2312" w:hAnsi="宋体" w:eastAsia="仿宋_GB2312" w:cs="宋体"/>
                <w:color w:val="000000"/>
                <w:kern w:val="0"/>
                <w:szCs w:val="21"/>
              </w:rPr>
              <w:t>医疗机构瞒报、缓报、谎报发现的传染病病人、病原携带者、疑似病人的处罚</w:t>
            </w:r>
            <w:r>
              <w:rPr>
                <w:rFonts w:hint="eastAsia" w:ascii="仿宋_GB2312" w:hAnsi="Courier New" w:eastAsia="仿宋_GB2312" w:cs="Courier New"/>
                <w:w w:val="103"/>
                <w:kern w:val="0"/>
                <w:szCs w:val="21"/>
              </w:rPr>
              <w:t>。</w:t>
            </w:r>
          </w:p>
        </w:tc>
        <w:tc>
          <w:tcPr>
            <w:tcW w:w="992"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89" w:type="dxa"/>
          </w:tcPr>
          <w:p>
            <w:pPr>
              <w:ind w:firstLine="315" w:firstLineChars="150"/>
              <w:rPr>
                <w:rFonts w:ascii="仿宋_GB2312" w:hAnsi="仿宋_GB2312" w:eastAsia="仿宋_GB2312" w:cs="仿宋_GB2312"/>
                <w:b/>
                <w:bCs/>
                <w:szCs w:val="21"/>
              </w:rPr>
            </w:pPr>
            <w:r>
              <w:rPr>
                <w:rFonts w:hint="eastAsia" w:ascii="仿宋_GB2312" w:hAnsi="黑体" w:eastAsia="仿宋_GB2312" w:cs="宋体"/>
                <w:color w:val="000000"/>
                <w:szCs w:val="21"/>
              </w:rPr>
              <w:t>《突发公共卫生事件与传染病疫情监测信息报告管理办法》(卫生部令第37号)第三十八条:“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一)未建立传染病疫情报告制度的;(二)未指定相关部门和人员负责传染病疫情报告管理工作的;(三)瞒报、缓报、谎报发现的传染病病人、病原携带者、疑似病人的。</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tbl>
      <w:tblPr>
        <w:tblStyle w:val="5"/>
        <w:tblW w:w="147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1962"/>
        <w:gridCol w:w="1066"/>
        <w:gridCol w:w="9072"/>
        <w:gridCol w:w="1381"/>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1962" w:type="dxa"/>
            <w:vAlign w:val="center"/>
          </w:tcPr>
          <w:p>
            <w:pPr>
              <w:jc w:val="center"/>
              <w:rPr>
                <w:rFonts w:hint="eastAsia" w:cs="Times New Roman"/>
                <w:b/>
                <w:bCs/>
                <w:sz w:val="24"/>
                <w:szCs w:val="24"/>
              </w:rPr>
            </w:pPr>
            <w:r>
              <w:rPr>
                <w:rFonts w:hint="eastAsia" w:cs="Times New Roman"/>
                <w:b/>
                <w:bCs/>
                <w:sz w:val="24"/>
                <w:szCs w:val="24"/>
              </w:rPr>
              <w:t>项目名称</w:t>
            </w:r>
          </w:p>
        </w:tc>
        <w:tc>
          <w:tcPr>
            <w:tcW w:w="1066"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9072" w:type="dxa"/>
            <w:vAlign w:val="center"/>
          </w:tcPr>
          <w:p>
            <w:pPr>
              <w:jc w:val="center"/>
              <w:rPr>
                <w:rFonts w:hint="eastAsia" w:cs="Times New Roman"/>
                <w:b/>
                <w:bCs/>
                <w:sz w:val="24"/>
                <w:szCs w:val="24"/>
              </w:rPr>
            </w:pPr>
            <w:r>
              <w:rPr>
                <w:rFonts w:hint="eastAsia" w:cs="Times New Roman"/>
                <w:b/>
                <w:bCs/>
                <w:sz w:val="24"/>
                <w:szCs w:val="24"/>
              </w:rPr>
              <w:t>实施依据</w:t>
            </w:r>
          </w:p>
        </w:tc>
        <w:tc>
          <w:tcPr>
            <w:tcW w:w="1381"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2"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28</w:t>
            </w:r>
          </w:p>
          <w:p>
            <w:pPr>
              <w:rPr>
                <w:rFonts w:ascii="仿宋_GB2312" w:hAnsi="仿宋_GB2312" w:eastAsia="仿宋_GB2312" w:cs="仿宋_GB2312"/>
                <w:b/>
                <w:bCs/>
                <w:szCs w:val="21"/>
              </w:rPr>
            </w:pPr>
          </w:p>
          <w:p>
            <w:pPr>
              <w:rPr>
                <w:rFonts w:ascii="仿宋_GB2312" w:hAnsi="仿宋_GB2312" w:eastAsia="仿宋_GB2312" w:cs="仿宋_GB2312"/>
                <w:b/>
                <w:bCs/>
                <w:szCs w:val="21"/>
              </w:rPr>
            </w:pPr>
          </w:p>
        </w:tc>
        <w:tc>
          <w:tcPr>
            <w:tcW w:w="1962" w:type="dxa"/>
          </w:tcPr>
          <w:p>
            <w:pPr>
              <w:rPr>
                <w:rFonts w:ascii="仿宋_GB2312" w:hAnsi="仿宋_GB2312" w:eastAsia="仿宋_GB2312" w:cs="仿宋_GB2312"/>
                <w:bCs/>
                <w:szCs w:val="21"/>
              </w:rPr>
            </w:pPr>
          </w:p>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医疗机构违反《传染病防治法》的处罚.</w:t>
            </w:r>
          </w:p>
        </w:tc>
        <w:tc>
          <w:tcPr>
            <w:tcW w:w="1066"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9072"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 (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tc>
        <w:tc>
          <w:tcPr>
            <w:tcW w:w="1381" w:type="dxa"/>
          </w:tcPr>
          <w:p>
            <w:pPr>
              <w:rPr>
                <w:rFonts w:hint="eastAsia" w:cs="Times New Roman"/>
                <w:b/>
                <w:bCs/>
                <w:sz w:val="30"/>
                <w:szCs w:val="30"/>
              </w:rPr>
            </w:pPr>
          </w:p>
        </w:tc>
        <w:tc>
          <w:tcPr>
            <w:tcW w:w="710"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8"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29</w:t>
            </w:r>
          </w:p>
        </w:tc>
        <w:tc>
          <w:tcPr>
            <w:tcW w:w="1962"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疾病预防控制机构违反《传染病防治法》的处罚。</w:t>
            </w:r>
          </w:p>
        </w:tc>
        <w:tc>
          <w:tcPr>
            <w:tcW w:w="1066"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9072" w:type="dxa"/>
          </w:tcPr>
          <w:p>
            <w:pPr>
              <w:ind w:firstLine="315" w:firstLineChars="150"/>
              <w:rPr>
                <w:rFonts w:ascii="仿宋_GB2312" w:hAnsi="仿宋_GB2312" w:eastAsia="仿宋_GB2312" w:cs="仿宋_GB2312"/>
                <w:b/>
                <w:bCs/>
                <w:szCs w:val="21"/>
              </w:rPr>
            </w:pPr>
            <w:r>
              <w:rPr>
                <w:rFonts w:hint="eastAsia" w:ascii="仿宋_GB2312" w:hAnsi="黑体" w:eastAsia="仿宋_GB2312" w:cs="宋体"/>
                <w:color w:val="000000"/>
                <w:szCs w:val="21"/>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tc>
        <w:tc>
          <w:tcPr>
            <w:tcW w:w="1381" w:type="dxa"/>
          </w:tcPr>
          <w:p>
            <w:pPr>
              <w:rPr>
                <w:rFonts w:hint="eastAsia" w:cs="Times New Roman"/>
                <w:b/>
                <w:bCs/>
                <w:sz w:val="30"/>
                <w:szCs w:val="30"/>
              </w:rPr>
            </w:pPr>
          </w:p>
        </w:tc>
        <w:tc>
          <w:tcPr>
            <w:tcW w:w="710"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769"/>
        <w:gridCol w:w="1208"/>
        <w:gridCol w:w="8930"/>
        <w:gridCol w:w="127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769" w:type="dxa"/>
            <w:vAlign w:val="center"/>
          </w:tcPr>
          <w:p>
            <w:pPr>
              <w:jc w:val="center"/>
              <w:rPr>
                <w:rFonts w:hint="eastAsia" w:cs="Times New Roman"/>
                <w:b/>
                <w:bCs/>
                <w:sz w:val="24"/>
                <w:szCs w:val="24"/>
              </w:rPr>
            </w:pPr>
            <w:r>
              <w:rPr>
                <w:rFonts w:hint="eastAsia" w:cs="Times New Roman"/>
                <w:b/>
                <w:bCs/>
                <w:sz w:val="24"/>
                <w:szCs w:val="24"/>
              </w:rPr>
              <w:t>项目名称</w:t>
            </w:r>
          </w:p>
        </w:tc>
        <w:tc>
          <w:tcPr>
            <w:tcW w:w="1208"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930" w:type="dxa"/>
            <w:vAlign w:val="center"/>
          </w:tcPr>
          <w:p>
            <w:pPr>
              <w:jc w:val="center"/>
              <w:rPr>
                <w:rFonts w:hint="eastAsia" w:cs="Times New Roman"/>
                <w:b/>
                <w:bCs/>
                <w:sz w:val="24"/>
                <w:szCs w:val="24"/>
              </w:rPr>
            </w:pPr>
            <w:r>
              <w:rPr>
                <w:rFonts w:hint="eastAsia" w:cs="Times New Roman"/>
                <w:b/>
                <w:bCs/>
                <w:sz w:val="24"/>
                <w:szCs w:val="24"/>
              </w:rPr>
              <w:t>实施依据</w:t>
            </w:r>
          </w:p>
        </w:tc>
        <w:tc>
          <w:tcPr>
            <w:tcW w:w="1276"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30</w:t>
            </w:r>
          </w:p>
          <w:p>
            <w:pPr>
              <w:rPr>
                <w:rFonts w:ascii="仿宋_GB2312" w:hAnsi="仿宋_GB2312" w:eastAsia="仿宋_GB2312" w:cs="仿宋_GB2312"/>
                <w:b/>
                <w:bCs/>
                <w:szCs w:val="21"/>
              </w:rPr>
            </w:pPr>
          </w:p>
        </w:tc>
        <w:tc>
          <w:tcPr>
            <w:tcW w:w="1769"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医疗机构提供性病诊疗服务时违反诊疗规范的处罚.</w:t>
            </w:r>
          </w:p>
        </w:tc>
        <w:tc>
          <w:tcPr>
            <w:tcW w:w="1208"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930"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《性病防治管理办法》(卫生部令第 89 号)第四十九条:“医疗机构提供性病诊疗服务时违反诊疗规范的，由县级以上卫生行政部门责令限期改正，给予警告;逾期不改的,可以根据情节轻重处以三万元以下罚款。”</w:t>
            </w: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4"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31</w:t>
            </w:r>
          </w:p>
        </w:tc>
        <w:tc>
          <w:tcPr>
            <w:tcW w:w="1769"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病原微生物实验室</w:t>
            </w:r>
            <w:r>
              <w:rPr>
                <w:rFonts w:hint="eastAsia" w:ascii="仿宋_GB2312" w:hAnsi="黑体" w:eastAsia="仿宋_GB2312" w:cs="宋体"/>
                <w:color w:val="000000"/>
                <w:szCs w:val="21"/>
              </w:rPr>
              <w:t>工作人员未遵守实验室生物安全技术规范和操作规程</w:t>
            </w:r>
            <w:r>
              <w:rPr>
                <w:rFonts w:hint="eastAsia" w:ascii="仿宋_GB2312" w:hAnsi="宋体" w:eastAsia="仿宋_GB2312" w:cs="宋体"/>
                <w:kern w:val="0"/>
                <w:szCs w:val="21"/>
              </w:rPr>
              <w:t>的处罚.</w:t>
            </w:r>
          </w:p>
        </w:tc>
        <w:tc>
          <w:tcPr>
            <w:tcW w:w="1208"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930" w:type="dxa"/>
          </w:tcPr>
          <w:p>
            <w:pPr>
              <w:widowControl/>
              <w:spacing w:before="100" w:beforeAutospacing="1"/>
              <w:ind w:firstLine="315" w:firstLineChars="150"/>
              <w:jc w:val="left"/>
              <w:rPr>
                <w:rFonts w:ascii="仿宋_GB2312" w:hAnsi="黑体" w:eastAsia="仿宋_GB2312" w:cs="宋体"/>
                <w:color w:val="000000"/>
                <w:szCs w:val="21"/>
              </w:rPr>
            </w:pPr>
            <w:r>
              <w:rPr>
                <w:rFonts w:hint="eastAsia" w:ascii="仿宋_GB2312" w:hAnsi="黑体" w:eastAsia="仿宋_GB2312" w:cs="宋体"/>
                <w:color w:val="000000"/>
                <w:szCs w:val="21"/>
              </w:rPr>
              <w:t>《病原微生物实验室生物安全管理条例》(国务院令第424号)第六十条: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 (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 (四)新建、改建或者扩建一级、二级实验室 未向设区的市级人民政府卫生主管部门或者兽医主管部门备案的; (五)未依照规定定期对工作人员进行培训,或者工作人员考核不合格允许其上岗,或者批准未采取防护措施的人员进入实验室的; (六)实验室工作人员未遵守实验室生物安全技术规范和操作规程的;(七)未依照规定建立或者保存实验档案的; (八)未依照规定制定实验室感染应急处置预案并备案的。”</w:t>
            </w:r>
          </w:p>
          <w:p>
            <w:pPr>
              <w:rPr>
                <w:rFonts w:ascii="仿宋_GB2312" w:hAnsi="仿宋_GB2312" w:eastAsia="仿宋_GB2312" w:cs="仿宋_GB2312"/>
                <w:b/>
                <w:bCs/>
                <w:szCs w:val="21"/>
              </w:rPr>
            </w:pP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769"/>
        <w:gridCol w:w="1066"/>
        <w:gridCol w:w="8789"/>
        <w:gridCol w:w="155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769" w:type="dxa"/>
            <w:vAlign w:val="center"/>
          </w:tcPr>
          <w:p>
            <w:pPr>
              <w:jc w:val="center"/>
              <w:rPr>
                <w:rFonts w:hint="eastAsia" w:cs="Times New Roman"/>
                <w:b/>
                <w:bCs/>
                <w:sz w:val="24"/>
                <w:szCs w:val="24"/>
              </w:rPr>
            </w:pPr>
            <w:r>
              <w:rPr>
                <w:rFonts w:hint="eastAsia" w:cs="Times New Roman"/>
                <w:b/>
                <w:bCs/>
                <w:sz w:val="24"/>
                <w:szCs w:val="24"/>
              </w:rPr>
              <w:t>项目名称</w:t>
            </w:r>
          </w:p>
        </w:tc>
        <w:tc>
          <w:tcPr>
            <w:tcW w:w="1066"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789" w:type="dxa"/>
            <w:vAlign w:val="center"/>
          </w:tcPr>
          <w:p>
            <w:pPr>
              <w:jc w:val="center"/>
              <w:rPr>
                <w:rFonts w:hint="eastAsia" w:cs="Times New Roman"/>
                <w:b/>
                <w:bCs/>
                <w:sz w:val="24"/>
                <w:szCs w:val="24"/>
              </w:rPr>
            </w:pPr>
            <w:r>
              <w:rPr>
                <w:rFonts w:hint="eastAsia" w:cs="Times New Roman"/>
                <w:b/>
                <w:bCs/>
                <w:sz w:val="24"/>
                <w:szCs w:val="24"/>
              </w:rPr>
              <w:t>实施依据</w:t>
            </w:r>
          </w:p>
        </w:tc>
        <w:tc>
          <w:tcPr>
            <w:tcW w:w="1559"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7"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32</w:t>
            </w:r>
          </w:p>
          <w:p>
            <w:pPr>
              <w:rPr>
                <w:rFonts w:ascii="仿宋_GB2312" w:hAnsi="仿宋_GB2312" w:eastAsia="仿宋_GB2312" w:cs="仿宋_GB2312"/>
                <w:b/>
                <w:bCs/>
                <w:szCs w:val="21"/>
              </w:rPr>
            </w:pPr>
          </w:p>
          <w:p>
            <w:pPr>
              <w:rPr>
                <w:rFonts w:ascii="仿宋_GB2312" w:hAnsi="仿宋_GB2312" w:eastAsia="仿宋_GB2312" w:cs="仿宋_GB2312"/>
                <w:b/>
                <w:bCs/>
                <w:szCs w:val="21"/>
              </w:rPr>
            </w:pPr>
          </w:p>
        </w:tc>
        <w:tc>
          <w:tcPr>
            <w:tcW w:w="1769"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与人体健康有关的实验室未按规定采集、运输、携带、使用菌(毒)种及检测标本的处罚。</w:t>
            </w:r>
          </w:p>
        </w:tc>
        <w:tc>
          <w:tcPr>
            <w:tcW w:w="1066"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89"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《中华人民共和国传染病防治法》</w:t>
            </w:r>
            <w:r>
              <w:rPr>
                <w:rFonts w:hint="eastAsia" w:ascii="仿宋_GB2312" w:hAnsi="_GB2312" w:eastAsia="仿宋_GB2312" w:cs="Calibri"/>
                <w:bCs/>
                <w:smallCaps/>
                <w:color w:val="000000"/>
                <w:szCs w:val="21"/>
              </w:rPr>
              <w:t>第七十四条：</w:t>
            </w:r>
            <w:r>
              <w:rPr>
                <w:rFonts w:hint="eastAsia" w:ascii="仿宋_GB2312" w:hAnsi=".." w:eastAsia="仿宋_GB2312" w:cs="Calibri"/>
                <w:color w:val="000000"/>
                <w:szCs w:val="21"/>
              </w:rPr>
              <w:t xml:space="preserve">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tc>
        <w:tc>
          <w:tcPr>
            <w:tcW w:w="1559"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0"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33</w:t>
            </w:r>
          </w:p>
        </w:tc>
        <w:tc>
          <w:tcPr>
            <w:tcW w:w="1769"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高致病性病原微生物菌(毒)种或者样本被盗、被抢、丢失、泄漏的处罚。</w:t>
            </w:r>
          </w:p>
        </w:tc>
        <w:tc>
          <w:tcPr>
            <w:tcW w:w="1066"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89"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《病原微生物实验室生物安全管理条例》(国务院令第424号)第六十二条: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559"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769"/>
        <w:gridCol w:w="1208"/>
        <w:gridCol w:w="8789"/>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1769" w:type="dxa"/>
            <w:vAlign w:val="center"/>
          </w:tcPr>
          <w:p>
            <w:pPr>
              <w:jc w:val="center"/>
              <w:rPr>
                <w:rFonts w:hint="eastAsia" w:cs="Times New Roman"/>
                <w:b/>
                <w:bCs/>
                <w:sz w:val="24"/>
                <w:szCs w:val="24"/>
              </w:rPr>
            </w:pPr>
            <w:r>
              <w:rPr>
                <w:rFonts w:hint="eastAsia" w:cs="Times New Roman"/>
                <w:b/>
                <w:bCs/>
                <w:sz w:val="24"/>
                <w:szCs w:val="24"/>
              </w:rPr>
              <w:t>项目名称</w:t>
            </w:r>
          </w:p>
        </w:tc>
        <w:tc>
          <w:tcPr>
            <w:tcW w:w="1208"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789"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34</w:t>
            </w:r>
          </w:p>
          <w:p>
            <w:pPr>
              <w:rPr>
                <w:rFonts w:ascii="仿宋_GB2312" w:hAnsi="仿宋_GB2312" w:eastAsia="仿宋_GB2312" w:cs="仿宋_GB2312"/>
                <w:b/>
                <w:bCs/>
                <w:szCs w:val="21"/>
              </w:rPr>
            </w:pPr>
          </w:p>
        </w:tc>
        <w:tc>
          <w:tcPr>
            <w:tcW w:w="1769"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非医疗机构及医疗机构未经批准擅自开展人类辅助生殖技术的的处罚。</w:t>
            </w:r>
          </w:p>
        </w:tc>
        <w:tc>
          <w:tcPr>
            <w:tcW w:w="1208"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89" w:type="dxa"/>
          </w:tcPr>
          <w:p>
            <w:pPr>
              <w:widowControl/>
              <w:spacing w:before="100" w:beforeAutospacing="1"/>
              <w:ind w:firstLine="315" w:firstLineChars="150"/>
              <w:jc w:val="left"/>
              <w:rPr>
                <w:rFonts w:ascii="仿宋_GB2312" w:hAnsi="黑体" w:eastAsia="仿宋_GB2312" w:cs="宋体"/>
                <w:color w:val="000000"/>
                <w:szCs w:val="21"/>
              </w:rPr>
            </w:pPr>
            <w:r>
              <w:rPr>
                <w:rFonts w:hint="eastAsia" w:ascii="仿宋_GB2312" w:hAnsi="黑体" w:eastAsia="仿宋_GB2312" w:cs="宋体"/>
                <w:color w:val="000000"/>
                <w:szCs w:val="21"/>
              </w:rPr>
              <w:t>《人类辅助生殖技术管理办法》(卫生部令第14号)第二十一条:“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pPr>
              <w:rPr>
                <w:rFonts w:ascii="仿宋_GB2312" w:hAnsi="仿宋_GB2312" w:eastAsia="仿宋_GB2312" w:cs="仿宋_GB2312"/>
                <w:b/>
                <w:bCs/>
                <w:szCs w:val="21"/>
              </w:rPr>
            </w:pPr>
            <w:r>
              <w:rPr>
                <w:rFonts w:hint="eastAsia" w:ascii="仿宋_GB2312" w:hAnsi="黑体" w:eastAsia="仿宋_GB2312" w:cs="宋体"/>
                <w:color w:val="000000"/>
                <w:szCs w:val="21"/>
              </w:rPr>
              <w:t>《医疗机构管理条例》(国务院令第149号)第四十四条: “违反本条例第二十四条规定,未取得《医疗机构执业许可证》擅自执业的,由县级以上人民政府卫生行政部门责令其停止执业活动,没收非法所得和药品、器械,并可以根据情节处以1万元以下的罚款。”第四十七条:“违反本条例第二十七条规定,诊疗活动超出登记范围的,由县级以上人民政府卫生行政部门予以警告、责令其改正, 并可以根据情节处以3000元以下的罚款;情节严重的,吊销其《医疗机构执业许可证》。”</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35</w:t>
            </w:r>
          </w:p>
        </w:tc>
        <w:tc>
          <w:tcPr>
            <w:tcW w:w="1769"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未经注册在村医疗卫生机构从事医疗活动的处罚。</w:t>
            </w:r>
          </w:p>
        </w:tc>
        <w:tc>
          <w:tcPr>
            <w:tcW w:w="1208"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89"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乡村医生从业管理条例》（国务院令第386号）第四十二条：未经注册在村医疗卫生机构从事医疗活动的，由县级以上地方人民政府卫生行政主管部门予以取缔，没收其违法所得以及药品、医疗器械，违法所得５０００元以上的，并处违法所得１倍以上３倍以下的罚款；没有违法所得或者违法所得不足５０００元的，并处１０００元以上３０００元以下的罚款；造成患者人身损害的，依法承担民事赔偿责任；构成犯罪的，依法追究刑事责任。</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552"/>
        <w:gridCol w:w="1134"/>
        <w:gridCol w:w="8080"/>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2552" w:type="dxa"/>
            <w:vAlign w:val="center"/>
          </w:tcPr>
          <w:p>
            <w:pPr>
              <w:jc w:val="center"/>
              <w:rPr>
                <w:rFonts w:hint="eastAsia" w:cs="Times New Roman"/>
                <w:b/>
                <w:bCs/>
                <w:sz w:val="24"/>
                <w:szCs w:val="24"/>
              </w:rPr>
            </w:pPr>
            <w:r>
              <w:rPr>
                <w:rFonts w:hint="eastAsia" w:cs="Times New Roman"/>
                <w:b/>
                <w:bCs/>
                <w:sz w:val="24"/>
                <w:szCs w:val="24"/>
              </w:rPr>
              <w:t>项目名称</w:t>
            </w:r>
          </w:p>
        </w:tc>
        <w:tc>
          <w:tcPr>
            <w:tcW w:w="1134"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080"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36</w:t>
            </w:r>
          </w:p>
          <w:p>
            <w:pPr>
              <w:rPr>
                <w:rFonts w:ascii="仿宋_GB2312" w:hAnsi="仿宋_GB2312" w:eastAsia="仿宋_GB2312" w:cs="仿宋_GB2312"/>
                <w:b/>
                <w:bCs/>
                <w:szCs w:val="21"/>
              </w:rPr>
            </w:pPr>
          </w:p>
        </w:tc>
        <w:tc>
          <w:tcPr>
            <w:tcW w:w="2552"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乡村医生变更执业的村医疗卫生机构，未办理变更执业注册手续的处罚。</w:t>
            </w:r>
          </w:p>
        </w:tc>
        <w:tc>
          <w:tcPr>
            <w:tcW w:w="1134"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080"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《乡村医生从业管理条例》（国务院令第386号）第四十条：乡村医生变更执业的村医疗卫生机构，未办理变更执业注册手续的，由县级人民政府卫生行政主管部门给予警告，责令限期办理变更注册手续。</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37</w:t>
            </w:r>
          </w:p>
        </w:tc>
        <w:tc>
          <w:tcPr>
            <w:tcW w:w="2552"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乡村医生在执业活动中违反规定进行实验性临床医疗活动，或者重复使用一次性医疗器械和卫生材料的处罚。</w:t>
            </w:r>
          </w:p>
        </w:tc>
        <w:tc>
          <w:tcPr>
            <w:tcW w:w="1134"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080" w:type="dxa"/>
          </w:tcPr>
          <w:p>
            <w:pPr>
              <w:rPr>
                <w:rFonts w:ascii="仿宋_GB2312" w:hAnsi="黑体" w:eastAsia="仿宋_GB2312" w:cs="宋体"/>
                <w:color w:val="000000"/>
                <w:szCs w:val="21"/>
              </w:rPr>
            </w:pPr>
          </w:p>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乡村医生从业管理条例》（国务院令第386号）第三十九条：乡村医生在执业活动中，违反规定进行实验性临床医疗活动，或者重复使用一次性医疗器械和卫生材料的，由县级人民政府卫生行政主管部门责令停止违法行为，给予警告，可以并处１０００元以下的罚款；情节严重的，由原发证部门暂扣或者吊销乡村医生执业证书。</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38</w:t>
            </w:r>
          </w:p>
        </w:tc>
        <w:tc>
          <w:tcPr>
            <w:tcW w:w="2552"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乡村医生</w:t>
            </w:r>
            <w:r>
              <w:rPr>
                <w:rFonts w:hint="eastAsia" w:ascii="仿宋_GB2312" w:hAnsi="黑体" w:eastAsia="仿宋_GB2312" w:cs="宋体"/>
                <w:color w:val="000000"/>
                <w:szCs w:val="21"/>
              </w:rPr>
              <w:t>执业活动超出规定执业范围</w:t>
            </w:r>
            <w:r>
              <w:rPr>
                <w:rFonts w:hint="eastAsia" w:ascii="仿宋_GB2312" w:hAnsi="仿宋_GB2312" w:eastAsia="仿宋_GB2312" w:cs="仿宋_GB2312"/>
                <w:bCs/>
                <w:szCs w:val="21"/>
              </w:rPr>
              <w:t>的处罚。</w:t>
            </w:r>
          </w:p>
        </w:tc>
        <w:tc>
          <w:tcPr>
            <w:tcW w:w="1134" w:type="dxa"/>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ind w:left="270"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080"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乡村医生从业管理条例》（国务院令第386号）第三十八条：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2320"/>
        <w:gridCol w:w="1275"/>
        <w:gridCol w:w="8222"/>
        <w:gridCol w:w="155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2320" w:type="dxa"/>
            <w:vAlign w:val="center"/>
          </w:tcPr>
          <w:p>
            <w:pPr>
              <w:jc w:val="center"/>
              <w:rPr>
                <w:rFonts w:hint="eastAsia" w:cs="Times New Roman"/>
                <w:b/>
                <w:bCs/>
                <w:sz w:val="24"/>
                <w:szCs w:val="24"/>
              </w:rPr>
            </w:pPr>
            <w:r>
              <w:rPr>
                <w:rFonts w:hint="eastAsia" w:cs="Times New Roman"/>
                <w:b/>
                <w:bCs/>
                <w:sz w:val="24"/>
                <w:szCs w:val="24"/>
              </w:rPr>
              <w:t>项目名称</w:t>
            </w:r>
          </w:p>
        </w:tc>
        <w:tc>
          <w:tcPr>
            <w:tcW w:w="1275"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222" w:type="dxa"/>
            <w:vAlign w:val="center"/>
          </w:tcPr>
          <w:p>
            <w:pPr>
              <w:jc w:val="center"/>
              <w:rPr>
                <w:rFonts w:hint="eastAsia" w:cs="Times New Roman"/>
                <w:b/>
                <w:bCs/>
                <w:sz w:val="24"/>
                <w:szCs w:val="24"/>
              </w:rPr>
            </w:pPr>
            <w:r>
              <w:rPr>
                <w:rFonts w:hint="eastAsia" w:cs="Times New Roman"/>
                <w:b/>
                <w:bCs/>
                <w:sz w:val="24"/>
                <w:szCs w:val="24"/>
              </w:rPr>
              <w:t>实施依据</w:t>
            </w:r>
          </w:p>
        </w:tc>
        <w:tc>
          <w:tcPr>
            <w:tcW w:w="1559"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39</w:t>
            </w:r>
          </w:p>
          <w:p>
            <w:pPr>
              <w:rPr>
                <w:rFonts w:ascii="仿宋_GB2312" w:hAnsi="仿宋_GB2312" w:eastAsia="仿宋_GB2312" w:cs="仿宋_GB2312"/>
                <w:b/>
                <w:bCs/>
                <w:szCs w:val="21"/>
              </w:rPr>
            </w:pPr>
          </w:p>
          <w:p>
            <w:pPr>
              <w:rPr>
                <w:rFonts w:ascii="仿宋_GB2312" w:hAnsi="仿宋_GB2312" w:eastAsia="仿宋_GB2312" w:cs="仿宋_GB2312"/>
                <w:b/>
                <w:bCs/>
                <w:szCs w:val="21"/>
              </w:rPr>
            </w:pPr>
          </w:p>
        </w:tc>
        <w:tc>
          <w:tcPr>
            <w:tcW w:w="2320"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医疗卫生机构</w:t>
            </w:r>
            <w:r>
              <w:rPr>
                <w:rFonts w:hint="eastAsia" w:ascii="仿宋_GB2312" w:hAnsi="仿宋_GB2312" w:eastAsia="仿宋_GB2312" w:cs="仿宋_GB2312"/>
                <w:color w:val="000000"/>
                <w:szCs w:val="21"/>
              </w:rPr>
              <w:t>使用未取得护士执业证书的人员或者允许未办理变更执业地点手续、延续执业注册有效期的护士从事护理活动的处罚。</w:t>
            </w:r>
          </w:p>
        </w:tc>
        <w:tc>
          <w:tcPr>
            <w:tcW w:w="1275"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222"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color w:val="000000"/>
                <w:szCs w:val="21"/>
              </w:rPr>
              <w:t>《护士条例》（国务院令第517号）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c>
          <w:tcPr>
            <w:tcW w:w="1559"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2"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40</w:t>
            </w:r>
          </w:p>
        </w:tc>
        <w:tc>
          <w:tcPr>
            <w:tcW w:w="2320"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护士在执业活动中违反技术操作规范以及不服从安排参加医疗救护的处罚。</w:t>
            </w:r>
          </w:p>
        </w:tc>
        <w:tc>
          <w:tcPr>
            <w:tcW w:w="1275"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222"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color w:val="000000"/>
                <w:szCs w:val="21"/>
              </w:rPr>
              <w:t>《护士条例》（国务院令第517号）第三十一条：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护士在执业活动中造成医疗事故的，依照医疗事故处理的有关规定承担法律责任。</w:t>
            </w:r>
          </w:p>
        </w:tc>
        <w:tc>
          <w:tcPr>
            <w:tcW w:w="1559"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W w:w="147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3402"/>
        <w:gridCol w:w="992"/>
        <w:gridCol w:w="7654"/>
        <w:gridCol w:w="1381"/>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8" w:type="dxa"/>
            <w:vAlign w:val="center"/>
          </w:tcPr>
          <w:p>
            <w:pPr>
              <w:jc w:val="center"/>
              <w:rPr>
                <w:rFonts w:hint="eastAsia" w:cs="Times New Roman"/>
                <w:b/>
                <w:bCs/>
                <w:sz w:val="24"/>
                <w:szCs w:val="24"/>
              </w:rPr>
            </w:pPr>
            <w:r>
              <w:rPr>
                <w:rFonts w:hint="eastAsia" w:cs="Times New Roman"/>
                <w:b/>
                <w:bCs/>
                <w:sz w:val="24"/>
                <w:szCs w:val="24"/>
              </w:rPr>
              <w:t>序号</w:t>
            </w:r>
          </w:p>
        </w:tc>
        <w:tc>
          <w:tcPr>
            <w:tcW w:w="3402" w:type="dxa"/>
            <w:vAlign w:val="center"/>
          </w:tcPr>
          <w:p>
            <w:pPr>
              <w:jc w:val="center"/>
              <w:rPr>
                <w:rFonts w:hint="eastAsia" w:cs="Times New Roman"/>
                <w:b/>
                <w:bCs/>
                <w:sz w:val="24"/>
                <w:szCs w:val="24"/>
              </w:rPr>
            </w:pPr>
            <w:r>
              <w:rPr>
                <w:rFonts w:hint="eastAsia" w:cs="Times New Roman"/>
                <w:b/>
                <w:bCs/>
                <w:sz w:val="24"/>
                <w:szCs w:val="24"/>
              </w:rPr>
              <w:t>项目名称</w:t>
            </w:r>
          </w:p>
        </w:tc>
        <w:tc>
          <w:tcPr>
            <w:tcW w:w="992"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7654" w:type="dxa"/>
            <w:vAlign w:val="center"/>
          </w:tcPr>
          <w:p>
            <w:pPr>
              <w:jc w:val="center"/>
              <w:rPr>
                <w:rFonts w:hint="eastAsia" w:cs="Times New Roman"/>
                <w:b/>
                <w:bCs/>
                <w:sz w:val="24"/>
                <w:szCs w:val="24"/>
              </w:rPr>
            </w:pPr>
            <w:r>
              <w:rPr>
                <w:rFonts w:hint="eastAsia" w:cs="Times New Roman"/>
                <w:b/>
                <w:bCs/>
                <w:sz w:val="24"/>
                <w:szCs w:val="24"/>
              </w:rPr>
              <w:t>实施依据</w:t>
            </w:r>
          </w:p>
        </w:tc>
        <w:tc>
          <w:tcPr>
            <w:tcW w:w="1381"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trPr>
        <w:tc>
          <w:tcPr>
            <w:tcW w:w="568"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41</w:t>
            </w:r>
          </w:p>
          <w:p>
            <w:pPr>
              <w:rPr>
                <w:rFonts w:ascii="仿宋_GB2312" w:hAnsi="仿宋_GB2312" w:eastAsia="仿宋_GB2312" w:cs="仿宋_GB2312"/>
                <w:b/>
                <w:bCs/>
                <w:szCs w:val="21"/>
              </w:rPr>
            </w:pPr>
          </w:p>
        </w:tc>
        <w:tc>
          <w:tcPr>
            <w:tcW w:w="3402"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医疗机构及有关医务人员发生医疗事故时的处罚。</w:t>
            </w:r>
          </w:p>
        </w:tc>
        <w:tc>
          <w:tcPr>
            <w:tcW w:w="992"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654" w:type="dxa"/>
          </w:tcPr>
          <w:p>
            <w:pPr>
              <w:ind w:firstLine="315" w:firstLineChars="150"/>
              <w:rPr>
                <w:rFonts w:ascii="仿宋_GB2312" w:hAnsi="宋体" w:eastAsia="仿宋_GB2312" w:cs="Calibri"/>
                <w:szCs w:val="21"/>
              </w:rPr>
            </w:pPr>
            <w:r>
              <w:rPr>
                <w:rFonts w:hint="eastAsia" w:ascii="仿宋_GB2312" w:hAnsi="黑体" w:eastAsia="仿宋_GB2312" w:cs="宋体"/>
                <w:szCs w:val="21"/>
              </w:rPr>
              <w:t>《</w:t>
            </w:r>
            <w:r>
              <w:rPr>
                <w:rFonts w:hint="eastAsia" w:ascii="仿宋_GB2312" w:hAnsi="宋体" w:eastAsia="仿宋_GB2312" w:cs="Calibri"/>
                <w:szCs w:val="21"/>
              </w:rPr>
              <w:t>医疗事故处理条例》（国务院令第３５１号）第五十五条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6个月以上1年以下执业活动；情节严重的，吊销其执业证书。</w:t>
            </w:r>
          </w:p>
        </w:tc>
        <w:tc>
          <w:tcPr>
            <w:tcW w:w="1381" w:type="dxa"/>
          </w:tcPr>
          <w:p>
            <w:pPr>
              <w:rPr>
                <w:rFonts w:hint="eastAsia" w:cs="Times New Roman"/>
                <w:b/>
                <w:bCs/>
                <w:sz w:val="30"/>
                <w:szCs w:val="30"/>
              </w:rPr>
            </w:pPr>
          </w:p>
        </w:tc>
        <w:tc>
          <w:tcPr>
            <w:tcW w:w="710"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trPr>
        <w:tc>
          <w:tcPr>
            <w:tcW w:w="568"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42</w:t>
            </w:r>
          </w:p>
        </w:tc>
        <w:tc>
          <w:tcPr>
            <w:tcW w:w="3402"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医疗卫生机构、医疗废物集中处置单位</w:t>
            </w:r>
            <w:r>
              <w:rPr>
                <w:rFonts w:hint="eastAsia" w:ascii="仿宋_GB2312" w:hAnsi="黑体" w:eastAsia="仿宋_GB2312" w:cs="宋体"/>
                <w:color w:val="000000"/>
                <w:szCs w:val="21"/>
              </w:rPr>
              <w:t>未建立医疗废物管理制度，违反规定进行医疗废物收集、运送、贮存、处置等工作</w:t>
            </w:r>
            <w:r>
              <w:rPr>
                <w:rFonts w:hint="eastAsia" w:ascii="仿宋_GB2312" w:hAnsi="宋体" w:eastAsia="仿宋_GB2312" w:cs="宋体"/>
                <w:kern w:val="0"/>
                <w:szCs w:val="21"/>
              </w:rPr>
              <w:t>的处罚。</w:t>
            </w:r>
          </w:p>
        </w:tc>
        <w:tc>
          <w:tcPr>
            <w:tcW w:w="992"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654"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《医疗废物管理条例》（国务院令第380号）第四十五条：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 （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1381" w:type="dxa"/>
          </w:tcPr>
          <w:p>
            <w:pPr>
              <w:rPr>
                <w:rFonts w:hint="eastAsia" w:cs="Times New Roman"/>
                <w:b/>
                <w:bCs/>
                <w:sz w:val="30"/>
                <w:szCs w:val="30"/>
              </w:rPr>
            </w:pPr>
          </w:p>
        </w:tc>
        <w:tc>
          <w:tcPr>
            <w:tcW w:w="710"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7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3595"/>
        <w:gridCol w:w="993"/>
        <w:gridCol w:w="7512"/>
        <w:gridCol w:w="1381"/>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3595" w:type="dxa"/>
            <w:vAlign w:val="center"/>
          </w:tcPr>
          <w:p>
            <w:pPr>
              <w:jc w:val="center"/>
              <w:rPr>
                <w:rFonts w:hint="eastAsia" w:cs="Times New Roman"/>
                <w:b/>
                <w:bCs/>
                <w:sz w:val="24"/>
                <w:szCs w:val="24"/>
              </w:rPr>
            </w:pPr>
            <w:r>
              <w:rPr>
                <w:rFonts w:hint="eastAsia" w:cs="Times New Roman"/>
                <w:b/>
                <w:bCs/>
                <w:sz w:val="24"/>
                <w:szCs w:val="24"/>
              </w:rPr>
              <w:t>项目名称</w:t>
            </w:r>
          </w:p>
        </w:tc>
        <w:tc>
          <w:tcPr>
            <w:tcW w:w="993"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7512" w:type="dxa"/>
            <w:vAlign w:val="center"/>
          </w:tcPr>
          <w:p>
            <w:pPr>
              <w:jc w:val="center"/>
              <w:rPr>
                <w:rFonts w:hint="eastAsia" w:cs="Times New Roman"/>
                <w:b/>
                <w:bCs/>
                <w:sz w:val="24"/>
                <w:szCs w:val="24"/>
              </w:rPr>
            </w:pPr>
            <w:r>
              <w:rPr>
                <w:rFonts w:hint="eastAsia" w:cs="Times New Roman"/>
                <w:b/>
                <w:bCs/>
                <w:sz w:val="24"/>
                <w:szCs w:val="24"/>
              </w:rPr>
              <w:t>实施依据</w:t>
            </w:r>
          </w:p>
        </w:tc>
        <w:tc>
          <w:tcPr>
            <w:tcW w:w="1381"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4"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43</w:t>
            </w:r>
          </w:p>
          <w:p>
            <w:pPr>
              <w:rPr>
                <w:rFonts w:ascii="仿宋_GB2312" w:hAnsi="仿宋_GB2312" w:eastAsia="仿宋_GB2312" w:cs="仿宋_GB2312"/>
                <w:b/>
                <w:bCs/>
                <w:szCs w:val="21"/>
              </w:rPr>
            </w:pPr>
          </w:p>
        </w:tc>
        <w:tc>
          <w:tcPr>
            <w:tcW w:w="3595"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医疗卫生机构、医疗废物集中处置单位</w:t>
            </w:r>
            <w:r>
              <w:rPr>
                <w:rFonts w:hint="eastAsia" w:ascii="仿宋_GB2312" w:hAnsi="黑体" w:eastAsia="仿宋_GB2312" w:cs="宋体"/>
                <w:color w:val="000000"/>
                <w:szCs w:val="21"/>
              </w:rPr>
              <w:t>贮存设施或者设备不符合环境保护、卫生要求的的处罚。</w:t>
            </w:r>
          </w:p>
        </w:tc>
        <w:tc>
          <w:tcPr>
            <w:tcW w:w="993"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512"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《医疗废物管理条例》（国务院令第380号）第四十六条： 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tc>
        <w:tc>
          <w:tcPr>
            <w:tcW w:w="1381" w:type="dxa"/>
          </w:tcPr>
          <w:p>
            <w:pPr>
              <w:rPr>
                <w:rFonts w:hint="eastAsia" w:cs="Times New Roman"/>
                <w:b/>
                <w:bCs/>
                <w:sz w:val="30"/>
                <w:szCs w:val="30"/>
              </w:rPr>
            </w:pPr>
          </w:p>
        </w:tc>
        <w:tc>
          <w:tcPr>
            <w:tcW w:w="710"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44</w:t>
            </w:r>
          </w:p>
        </w:tc>
        <w:tc>
          <w:tcPr>
            <w:tcW w:w="3595"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医疗卫生机构、医疗废物集中处置单位</w:t>
            </w:r>
            <w:r>
              <w:rPr>
                <w:rFonts w:hint="eastAsia" w:ascii="仿宋_GB2312" w:hAnsi="黑体" w:eastAsia="仿宋_GB2312" w:cs="宋体"/>
                <w:color w:val="000000"/>
                <w:szCs w:val="21"/>
              </w:rPr>
              <w:t>丢弃医疗废物；对收治的传染病病人或者疑似传染病病人产生的生活垃圾，未按照医疗废物进行管理和处置的处罚。</w:t>
            </w:r>
          </w:p>
        </w:tc>
        <w:tc>
          <w:tcPr>
            <w:tcW w:w="993"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512"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《医疗废物管理条例》（国务院令第380号）第四十七条：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1381" w:type="dxa"/>
          </w:tcPr>
          <w:p>
            <w:pPr>
              <w:rPr>
                <w:rFonts w:hint="eastAsia" w:cs="Times New Roman"/>
                <w:b/>
                <w:bCs/>
                <w:sz w:val="30"/>
                <w:szCs w:val="30"/>
              </w:rPr>
            </w:pPr>
          </w:p>
        </w:tc>
        <w:tc>
          <w:tcPr>
            <w:tcW w:w="710"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2320"/>
        <w:gridCol w:w="988"/>
        <w:gridCol w:w="8428"/>
        <w:gridCol w:w="164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2320" w:type="dxa"/>
            <w:vAlign w:val="center"/>
          </w:tcPr>
          <w:p>
            <w:pPr>
              <w:jc w:val="center"/>
              <w:rPr>
                <w:rFonts w:hint="eastAsia" w:cs="Times New Roman"/>
                <w:b/>
                <w:bCs/>
                <w:sz w:val="24"/>
                <w:szCs w:val="24"/>
              </w:rPr>
            </w:pPr>
            <w:r>
              <w:rPr>
                <w:rFonts w:hint="eastAsia" w:cs="Times New Roman"/>
                <w:b/>
                <w:bCs/>
                <w:sz w:val="24"/>
                <w:szCs w:val="24"/>
              </w:rPr>
              <w:t>项目名称</w:t>
            </w:r>
          </w:p>
        </w:tc>
        <w:tc>
          <w:tcPr>
            <w:tcW w:w="988"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428" w:type="dxa"/>
            <w:vAlign w:val="center"/>
          </w:tcPr>
          <w:p>
            <w:pPr>
              <w:jc w:val="center"/>
              <w:rPr>
                <w:rFonts w:hint="eastAsia" w:cs="Times New Roman"/>
                <w:b/>
                <w:bCs/>
                <w:sz w:val="24"/>
                <w:szCs w:val="24"/>
              </w:rPr>
            </w:pPr>
            <w:r>
              <w:rPr>
                <w:rFonts w:hint="eastAsia" w:cs="Times New Roman"/>
                <w:b/>
                <w:bCs/>
                <w:sz w:val="24"/>
                <w:szCs w:val="24"/>
              </w:rPr>
              <w:t>实施依据</w:t>
            </w:r>
          </w:p>
        </w:tc>
        <w:tc>
          <w:tcPr>
            <w:tcW w:w="1640"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4"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45</w:t>
            </w:r>
          </w:p>
          <w:p>
            <w:pPr>
              <w:rPr>
                <w:rFonts w:ascii="仿宋_GB2312" w:hAnsi="仿宋_GB2312" w:eastAsia="仿宋_GB2312" w:cs="仿宋_GB2312"/>
                <w:b/>
                <w:bCs/>
                <w:szCs w:val="21"/>
              </w:rPr>
            </w:pPr>
          </w:p>
        </w:tc>
        <w:tc>
          <w:tcPr>
            <w:tcW w:w="2320"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医疗卫生机构、医疗废物集中处置单位发生医疗废物流失、泄漏、扩散时，未采取紧急处理措施</w:t>
            </w:r>
            <w:r>
              <w:rPr>
                <w:rFonts w:hint="eastAsia" w:ascii="仿宋_GB2312" w:hAnsi="宋体" w:eastAsia="仿宋_GB2312" w:cs="宋体"/>
                <w:kern w:val="0"/>
                <w:szCs w:val="21"/>
              </w:rPr>
              <w:t>的处罚。</w:t>
            </w:r>
          </w:p>
        </w:tc>
        <w:tc>
          <w:tcPr>
            <w:tcW w:w="988"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428"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《医疗废物管理条例》（国务院令第380号）第四十九条：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1640"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8"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46</w:t>
            </w:r>
          </w:p>
        </w:tc>
        <w:tc>
          <w:tcPr>
            <w:tcW w:w="2320" w:type="dxa"/>
          </w:tcPr>
          <w:p>
            <w:pPr>
              <w:ind w:firstLine="210" w:firstLineChars="100"/>
              <w:rPr>
                <w:rFonts w:ascii="仿宋_GB2312" w:hAnsi="仿宋_GB2312" w:eastAsia="仿宋_GB2312" w:cs="仿宋_GB2312"/>
                <w:b/>
                <w:bCs/>
                <w:szCs w:val="21"/>
              </w:rPr>
            </w:pPr>
            <w:r>
              <w:rPr>
                <w:rFonts w:hint="eastAsia" w:ascii="仿宋_GB2312" w:eastAsia="仿宋_GB2312" w:cs="Calibri"/>
                <w:szCs w:val="21"/>
              </w:rPr>
              <w:t>不具备集中处置医疗废物条件的农村医疗卫生机构违规处置医疗废物的以及造成传染病传播或者环境污染事故的</w:t>
            </w:r>
            <w:r>
              <w:rPr>
                <w:rFonts w:hint="eastAsia" w:ascii="仿宋_GB2312" w:hAnsi="宋体" w:eastAsia="仿宋_GB2312" w:cs="宋体"/>
                <w:kern w:val="0"/>
                <w:szCs w:val="21"/>
              </w:rPr>
              <w:t>处罚。</w:t>
            </w:r>
          </w:p>
        </w:tc>
        <w:tc>
          <w:tcPr>
            <w:tcW w:w="988"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428" w:type="dxa"/>
          </w:tcPr>
          <w:p>
            <w:pPr>
              <w:ind w:firstLine="210" w:firstLineChars="100"/>
              <w:rPr>
                <w:rFonts w:ascii="仿宋_GB2312" w:hAnsi="仿宋_GB2312" w:eastAsia="仿宋_GB2312" w:cs="仿宋_GB2312"/>
                <w:b/>
                <w:bCs/>
                <w:szCs w:val="21"/>
              </w:rPr>
            </w:pPr>
            <w:r>
              <w:rPr>
                <w:rFonts w:hint="eastAsia" w:ascii="仿宋_GB2312" w:eastAsia="仿宋_GB2312" w:cs="Calibri"/>
                <w:szCs w:val="21"/>
              </w:rPr>
              <w:t>《医疗废物管理条例》（国务院令第380号）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５０００元以下的罚款；造成传染病传播或者环境污染事故的，由原发证部门暂扣或者吊销执业许可证件；构成犯罪的，依法追究刑事责任。</w:t>
            </w:r>
          </w:p>
        </w:tc>
        <w:tc>
          <w:tcPr>
            <w:tcW w:w="1640"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2266"/>
        <w:gridCol w:w="992"/>
        <w:gridCol w:w="8790"/>
        <w:gridCol w:w="127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8" w:type="dxa"/>
            <w:vAlign w:val="center"/>
          </w:tcPr>
          <w:p>
            <w:pPr>
              <w:jc w:val="center"/>
              <w:rPr>
                <w:rFonts w:hint="eastAsia" w:cs="Times New Roman"/>
                <w:b/>
                <w:bCs/>
                <w:sz w:val="24"/>
                <w:szCs w:val="24"/>
              </w:rPr>
            </w:pPr>
            <w:r>
              <w:rPr>
                <w:rFonts w:hint="eastAsia" w:cs="Times New Roman"/>
                <w:b/>
                <w:bCs/>
                <w:sz w:val="24"/>
                <w:szCs w:val="24"/>
              </w:rPr>
              <w:t>序号</w:t>
            </w:r>
          </w:p>
        </w:tc>
        <w:tc>
          <w:tcPr>
            <w:tcW w:w="2266" w:type="dxa"/>
            <w:vAlign w:val="center"/>
          </w:tcPr>
          <w:p>
            <w:pPr>
              <w:jc w:val="center"/>
              <w:rPr>
                <w:rFonts w:hint="eastAsia" w:cs="Times New Roman"/>
                <w:b/>
                <w:bCs/>
                <w:sz w:val="24"/>
                <w:szCs w:val="24"/>
              </w:rPr>
            </w:pPr>
            <w:r>
              <w:rPr>
                <w:rFonts w:hint="eastAsia" w:cs="Times New Roman"/>
                <w:b/>
                <w:bCs/>
                <w:sz w:val="24"/>
                <w:szCs w:val="24"/>
              </w:rPr>
              <w:t>项目名称</w:t>
            </w:r>
          </w:p>
        </w:tc>
        <w:tc>
          <w:tcPr>
            <w:tcW w:w="992"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790" w:type="dxa"/>
            <w:vAlign w:val="center"/>
          </w:tcPr>
          <w:p>
            <w:pPr>
              <w:jc w:val="center"/>
              <w:rPr>
                <w:rFonts w:hint="eastAsia" w:cs="Times New Roman"/>
                <w:b/>
                <w:bCs/>
                <w:sz w:val="24"/>
                <w:szCs w:val="24"/>
              </w:rPr>
            </w:pPr>
            <w:r>
              <w:rPr>
                <w:rFonts w:hint="eastAsia" w:cs="Times New Roman"/>
                <w:b/>
                <w:bCs/>
                <w:sz w:val="24"/>
                <w:szCs w:val="24"/>
              </w:rPr>
              <w:t>实施依据</w:t>
            </w:r>
          </w:p>
        </w:tc>
        <w:tc>
          <w:tcPr>
            <w:tcW w:w="1276"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568"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47</w:t>
            </w:r>
          </w:p>
          <w:p>
            <w:pPr>
              <w:jc w:val="center"/>
              <w:rPr>
                <w:rFonts w:ascii="仿宋_GB2312" w:hAnsi="仿宋_GB2312" w:eastAsia="仿宋_GB2312" w:cs="仿宋_GB2312"/>
                <w:b/>
                <w:bCs/>
                <w:szCs w:val="21"/>
              </w:rPr>
            </w:pPr>
          </w:p>
        </w:tc>
        <w:tc>
          <w:tcPr>
            <w:tcW w:w="2266"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执行职务的医疗卫生人员瞒报、缓报、谎报传染病疫情的处罚。</w:t>
            </w:r>
          </w:p>
        </w:tc>
        <w:tc>
          <w:tcPr>
            <w:tcW w:w="992"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90"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突发公共卫生事件与传染病疫情监测信息报告管理办法》（卫生部令第37号）第四十条：执行职务的医疗卫生人员瞒报、缓报、谎报传染病疫情的，由县级以上卫生行政部门给予警告，情节严重的，责令暂停六个月以上一年以下执业活动，或者吊销其执业证书。</w:t>
            </w: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trPr>
        <w:tc>
          <w:tcPr>
            <w:tcW w:w="568"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48</w:t>
            </w:r>
          </w:p>
        </w:tc>
        <w:tc>
          <w:tcPr>
            <w:tcW w:w="2266"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个体或私营医疗保健机构瞒报、缓报、谎报传染病疫情或突发公共卫生事件的处罚。</w:t>
            </w:r>
          </w:p>
        </w:tc>
        <w:tc>
          <w:tcPr>
            <w:tcW w:w="992"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90" w:type="dxa"/>
          </w:tcPr>
          <w:p>
            <w:pPr>
              <w:ind w:firstLine="210" w:firstLineChars="100"/>
              <w:rPr>
                <w:rFonts w:ascii="仿宋_GB2312" w:hAnsi="仿宋_GB2312" w:eastAsia="仿宋_GB2312" w:cs="仿宋_GB2312"/>
                <w:b/>
                <w:bCs/>
                <w:szCs w:val="21"/>
              </w:rPr>
            </w:pPr>
            <w:r>
              <w:rPr>
                <w:rFonts w:hint="eastAsia" w:ascii="仿宋_GB2312" w:hAnsi="黑体" w:eastAsia="仿宋_GB2312" w:cs="宋体"/>
                <w:color w:val="000000"/>
                <w:szCs w:val="21"/>
              </w:rPr>
              <w:t>《突发公共卫生事件与传染病疫情监测信息报告管理办法》(卫生部令第37号)第四十一条:“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 元以上2000 元以下罚款,触犯刑律的,对其经营者、主管人员和直接责任人移交司法机关追究刑事责任。”</w:t>
            </w: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trPr>
        <w:tc>
          <w:tcPr>
            <w:tcW w:w="568"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49</w:t>
            </w:r>
          </w:p>
          <w:p>
            <w:pPr>
              <w:jc w:val="center"/>
              <w:rPr>
                <w:rFonts w:ascii="仿宋_GB2312" w:hAnsi="仿宋_GB2312" w:eastAsia="仿宋_GB2312" w:cs="仿宋_GB2312"/>
                <w:b/>
                <w:bCs/>
                <w:szCs w:val="21"/>
              </w:rPr>
            </w:pPr>
          </w:p>
        </w:tc>
        <w:tc>
          <w:tcPr>
            <w:tcW w:w="2266" w:type="dxa"/>
          </w:tcPr>
          <w:p>
            <w:pPr>
              <w:widowControl/>
              <w:ind w:firstLine="315" w:firstLineChars="150"/>
              <w:jc w:val="left"/>
              <w:rPr>
                <w:rFonts w:ascii="仿宋_GB2312" w:hAnsi="仿宋_GB2312" w:eastAsia="仿宋_GB2312" w:cs="仿宋_GB2312"/>
                <w:b/>
                <w:bCs/>
                <w:szCs w:val="21"/>
              </w:rPr>
            </w:pPr>
            <w:r>
              <w:rPr>
                <w:rFonts w:hint="eastAsia" w:ascii="仿宋_GB2312" w:hAnsi="仿宋_GB2312" w:eastAsia="仿宋_GB2312" w:cs="仿宋_GB2312"/>
                <w:kern w:val="0"/>
                <w:szCs w:val="21"/>
              </w:rPr>
              <w:t>疾病预防控制机构违规购进、分发、供应第一类及二类疫苗的处罚。</w:t>
            </w:r>
          </w:p>
        </w:tc>
        <w:tc>
          <w:tcPr>
            <w:tcW w:w="992" w:type="dxa"/>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90" w:type="dxa"/>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疫苗流通和预防接种管理条例》（国务院令第434号）第五十六条：疾病预防控制机构有下列情形之一的，由县级以上人民政府卫生主管部门责令改正，通报批评，给予警告；有违法所得的，没收违法所得；拒不改正的，对主要负责人、直接负责的主管人员和其他直接责任人员依法给予警告、降级的处分：（一）未按照使用计划将第一类疫苗分发到下级疾病预防控制机构、接种单位、乡级医疗卫生机构的；（二）设区的市级以上疾病预防控制机构违反本条例规定，直接向接种单位供应第二类疫苗的；（三）未依照规定建立并保存疫苗购进、分发、供应记录的。乡级医疗卫生机构未依照本条例规定将第一类疫苗分发到承担预防接种工作的村医疗卫生机构的，依照前款的规定给予处罚。</w:t>
            </w: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694"/>
        <w:gridCol w:w="1275"/>
        <w:gridCol w:w="7938"/>
        <w:gridCol w:w="127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Align w:val="center"/>
          </w:tcPr>
          <w:p>
            <w:pPr>
              <w:jc w:val="center"/>
              <w:rPr>
                <w:rFonts w:hint="eastAsia" w:cs="Times New Roman"/>
                <w:b/>
                <w:bCs/>
                <w:sz w:val="24"/>
                <w:szCs w:val="24"/>
              </w:rPr>
            </w:pPr>
            <w:r>
              <w:rPr>
                <w:rFonts w:hint="eastAsia" w:cs="Times New Roman"/>
                <w:b/>
                <w:bCs/>
                <w:sz w:val="24"/>
                <w:szCs w:val="24"/>
              </w:rPr>
              <w:t>序号</w:t>
            </w:r>
          </w:p>
        </w:tc>
        <w:tc>
          <w:tcPr>
            <w:tcW w:w="2694" w:type="dxa"/>
            <w:vAlign w:val="center"/>
          </w:tcPr>
          <w:p>
            <w:pPr>
              <w:jc w:val="center"/>
              <w:rPr>
                <w:rFonts w:hint="eastAsia" w:cs="Times New Roman"/>
                <w:b/>
                <w:bCs/>
                <w:sz w:val="24"/>
                <w:szCs w:val="24"/>
              </w:rPr>
            </w:pPr>
            <w:r>
              <w:rPr>
                <w:rFonts w:hint="eastAsia" w:cs="Times New Roman"/>
                <w:b/>
                <w:bCs/>
                <w:sz w:val="24"/>
                <w:szCs w:val="24"/>
              </w:rPr>
              <w:t>项目名称</w:t>
            </w:r>
          </w:p>
        </w:tc>
        <w:tc>
          <w:tcPr>
            <w:tcW w:w="1275"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7938" w:type="dxa"/>
            <w:vAlign w:val="center"/>
          </w:tcPr>
          <w:p>
            <w:pPr>
              <w:jc w:val="center"/>
              <w:rPr>
                <w:rFonts w:hint="eastAsia" w:cs="Times New Roman"/>
                <w:b/>
                <w:bCs/>
                <w:sz w:val="24"/>
                <w:szCs w:val="24"/>
              </w:rPr>
            </w:pPr>
            <w:r>
              <w:rPr>
                <w:rFonts w:hint="eastAsia" w:cs="Times New Roman"/>
                <w:b/>
                <w:bCs/>
                <w:sz w:val="24"/>
                <w:szCs w:val="24"/>
              </w:rPr>
              <w:t>实施依据</w:t>
            </w:r>
          </w:p>
        </w:tc>
        <w:tc>
          <w:tcPr>
            <w:tcW w:w="1276"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50</w:t>
            </w:r>
          </w:p>
          <w:p>
            <w:pPr>
              <w:rPr>
                <w:rFonts w:ascii="仿宋_GB2312" w:hAnsi="仿宋_GB2312" w:eastAsia="仿宋_GB2312" w:cs="仿宋_GB2312"/>
                <w:b/>
                <w:bCs/>
                <w:szCs w:val="21"/>
              </w:rPr>
            </w:pPr>
          </w:p>
        </w:tc>
        <w:tc>
          <w:tcPr>
            <w:tcW w:w="2694"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违反规定发布接种第二类疫苗的建议信息的处罚。</w:t>
            </w:r>
          </w:p>
        </w:tc>
        <w:tc>
          <w:tcPr>
            <w:tcW w:w="1275"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938"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szCs w:val="21"/>
              </w:rPr>
              <w:t>《疫苗流通和预防接种管理条例》（国务院令第434号）第六十五条：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5" w:hRule="atLeast"/>
        </w:trPr>
        <w:tc>
          <w:tcPr>
            <w:tcW w:w="567"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51</w:t>
            </w:r>
          </w:p>
        </w:tc>
        <w:tc>
          <w:tcPr>
            <w:tcW w:w="2694"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接种单位违规进行疫苗接种操作、管理的处罚。</w:t>
            </w:r>
          </w:p>
        </w:tc>
        <w:tc>
          <w:tcPr>
            <w:tcW w:w="1275"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938"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szCs w:val="21"/>
              </w:rPr>
              <w:t>《疫苗流通和预防接种管理条例》（国务院令第434号）第五十七条　接种单位有下列情形之一的，由所在地的县级人民政府卫生主管部门责令改正，给予警告；拒不改正的，对主要负责人、直接负责的主管人员依法给予警告、降级的处分，对负有责任的医疗卫生人员责令暂停3个月以上6个月以下的执业活动：（一）未依照规定建立并保存真实、完整的疫苗接收或者购进记录的；（二）未在其接种场所的显著位置公示第一类疫苗的品种和接种方法的；（三）医疗卫生人员在接种前，未依照本条例规定告知、询问受种者或者其监护人有关情况的；（四）实施预防接种的医疗卫生人员未依照规定填写并保存接种记录的：</w:t>
            </w:r>
            <w:r>
              <w:rPr>
                <w:rFonts w:hint="eastAsia" w:ascii="仿宋_GB2312" w:hAnsi="仿宋_GB2312" w:eastAsia="仿宋_GB2312" w:cs="仿宋_GB2312"/>
                <w:color w:val="000000"/>
                <w:kern w:val="0"/>
                <w:szCs w:val="21"/>
              </w:rPr>
              <w:t>（五）未依照规定对接种疫苗的情况进行登记并报告的。</w:t>
            </w: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2835"/>
        <w:gridCol w:w="1273"/>
        <w:gridCol w:w="7940"/>
        <w:gridCol w:w="127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8" w:type="dxa"/>
            <w:vAlign w:val="center"/>
          </w:tcPr>
          <w:p>
            <w:pPr>
              <w:jc w:val="center"/>
              <w:rPr>
                <w:rFonts w:hint="eastAsia" w:cs="Times New Roman"/>
                <w:b/>
                <w:bCs/>
                <w:sz w:val="24"/>
                <w:szCs w:val="24"/>
              </w:rPr>
            </w:pPr>
            <w:r>
              <w:rPr>
                <w:rFonts w:hint="eastAsia" w:cs="Times New Roman"/>
                <w:b/>
                <w:bCs/>
                <w:sz w:val="24"/>
                <w:szCs w:val="24"/>
              </w:rPr>
              <w:t>序号</w:t>
            </w:r>
          </w:p>
        </w:tc>
        <w:tc>
          <w:tcPr>
            <w:tcW w:w="2835" w:type="dxa"/>
            <w:vAlign w:val="center"/>
          </w:tcPr>
          <w:p>
            <w:pPr>
              <w:jc w:val="center"/>
              <w:rPr>
                <w:rFonts w:hint="eastAsia" w:cs="Times New Roman"/>
                <w:b/>
                <w:bCs/>
                <w:sz w:val="24"/>
                <w:szCs w:val="24"/>
              </w:rPr>
            </w:pPr>
            <w:r>
              <w:rPr>
                <w:rFonts w:hint="eastAsia" w:cs="Times New Roman"/>
                <w:b/>
                <w:bCs/>
                <w:sz w:val="24"/>
                <w:szCs w:val="24"/>
              </w:rPr>
              <w:t>项目名称</w:t>
            </w:r>
          </w:p>
        </w:tc>
        <w:tc>
          <w:tcPr>
            <w:tcW w:w="1273"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7940" w:type="dxa"/>
            <w:vAlign w:val="center"/>
          </w:tcPr>
          <w:p>
            <w:pPr>
              <w:jc w:val="center"/>
              <w:rPr>
                <w:rFonts w:hint="eastAsia" w:cs="Times New Roman"/>
                <w:b/>
                <w:bCs/>
                <w:sz w:val="24"/>
                <w:szCs w:val="24"/>
              </w:rPr>
            </w:pPr>
            <w:r>
              <w:rPr>
                <w:rFonts w:hint="eastAsia" w:cs="Times New Roman"/>
                <w:b/>
                <w:bCs/>
                <w:sz w:val="24"/>
                <w:szCs w:val="24"/>
              </w:rPr>
              <w:t>实施依据</w:t>
            </w:r>
          </w:p>
        </w:tc>
        <w:tc>
          <w:tcPr>
            <w:tcW w:w="1276"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9" w:hRule="atLeast"/>
        </w:trPr>
        <w:tc>
          <w:tcPr>
            <w:tcW w:w="568"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52</w:t>
            </w:r>
          </w:p>
          <w:p>
            <w:pPr>
              <w:rPr>
                <w:rFonts w:ascii="仿宋_GB2312" w:hAnsi="仿宋_GB2312" w:eastAsia="仿宋_GB2312" w:cs="仿宋_GB2312"/>
                <w:b/>
                <w:bCs/>
                <w:szCs w:val="21"/>
              </w:rPr>
            </w:pPr>
          </w:p>
        </w:tc>
        <w:tc>
          <w:tcPr>
            <w:tcW w:w="2835"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kern w:val="0"/>
                <w:szCs w:val="21"/>
              </w:rPr>
              <w:t>疾病预防控制机构、接种单位</w:t>
            </w:r>
            <w:r>
              <w:rPr>
                <w:rFonts w:hint="eastAsia" w:ascii="仿宋_GB2312" w:hAnsi="仿宋_GB2312" w:eastAsia="仿宋_GB2312" w:cs="仿宋_GB2312"/>
                <w:szCs w:val="21"/>
              </w:rPr>
              <w:t>违规接种；未依照规定及时处理或者报告接种异常反应；擅自进行群体性预防接种</w:t>
            </w:r>
            <w:r>
              <w:rPr>
                <w:rFonts w:hint="eastAsia" w:ascii="仿宋_GB2312" w:hAnsi="仿宋_GB2312" w:eastAsia="仿宋_GB2312" w:cs="仿宋_GB2312"/>
                <w:kern w:val="0"/>
                <w:szCs w:val="21"/>
              </w:rPr>
              <w:t>的处罚。</w:t>
            </w:r>
          </w:p>
        </w:tc>
        <w:tc>
          <w:tcPr>
            <w:tcW w:w="1273" w:type="dxa"/>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ind w:left="373" w:leftChars="49"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940" w:type="dxa"/>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疫苗流通和预防接种管理条例》（国务院令第434号）第五十八条：疾病预防控制机构、接种单位有下列情形之一的，由县级以上地方人民政府卫生主管部门责令改正，给予警告；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部门吊销负有责任的医疗卫生人员的执业证书：（一）从不具有疫苗经营资格的单位或者个人购进第二类疫苗的；（二）接种疫苗未遵守预防接种工作规范、免疫程序、疫苗使用指导原则、接种方案的；（三）发现预防接种异常反应或者疑似预防接种异常反应，未依照规定及时处理或者报告的；（四）擅自进行群体性预防接种的。</w:t>
            </w: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trPr>
        <w:tc>
          <w:tcPr>
            <w:tcW w:w="568" w:type="dxa"/>
            <w:tcBorders>
              <w:bottom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53</w:t>
            </w:r>
          </w:p>
          <w:p>
            <w:pPr>
              <w:rPr>
                <w:rFonts w:ascii="仿宋_GB2312" w:hAnsi="仿宋_GB2312" w:eastAsia="仿宋_GB2312" w:cs="仿宋_GB2312"/>
                <w:b/>
                <w:bCs/>
                <w:szCs w:val="21"/>
              </w:rPr>
            </w:pPr>
          </w:p>
        </w:tc>
        <w:tc>
          <w:tcPr>
            <w:tcW w:w="2835" w:type="dxa"/>
            <w:tcBorders>
              <w:bottom w:val="single" w:color="auto" w:sz="4" w:space="0"/>
            </w:tcBorders>
          </w:tcPr>
          <w:p>
            <w:pPr>
              <w:ind w:firstLine="315" w:firstLineChars="150"/>
              <w:rPr>
                <w:rFonts w:ascii="仿宋_GB2312" w:hAnsi="仿宋_GB2312" w:eastAsia="仿宋_GB2312" w:cs="仿宋_GB2312"/>
                <w:bCs/>
                <w:szCs w:val="21"/>
              </w:rPr>
            </w:pPr>
            <w:r>
              <w:rPr>
                <w:rFonts w:hint="eastAsia" w:ascii="仿宋_GB2312" w:hAnsi="仿宋_GB2312" w:eastAsia="仿宋_GB2312" w:cs="仿宋_GB2312"/>
                <w:bCs/>
                <w:szCs w:val="21"/>
              </w:rPr>
              <w:t>未经卫生主管部门依法指定擅自从事接种工作的处罚.</w:t>
            </w:r>
          </w:p>
        </w:tc>
        <w:tc>
          <w:tcPr>
            <w:tcW w:w="1273" w:type="dxa"/>
            <w:tcBorders>
              <w:bottom w:val="single" w:color="auto" w:sz="4" w:space="0"/>
            </w:tcBorders>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940" w:type="dxa"/>
            <w:tcBorders>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疫苗流通和预防接种管理条例》（国务院令第434号）第六十六条：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直接责任人员依法给予警告、降级的处分。</w:t>
            </w:r>
          </w:p>
          <w:p>
            <w:pPr>
              <w:rPr>
                <w:rFonts w:ascii="仿宋_GB2312" w:hAnsi="仿宋_GB2312" w:eastAsia="仿宋_GB2312" w:cs="仿宋_GB2312"/>
                <w:b/>
                <w:bCs/>
                <w:szCs w:val="21"/>
              </w:rPr>
            </w:pPr>
          </w:p>
        </w:tc>
        <w:tc>
          <w:tcPr>
            <w:tcW w:w="1276" w:type="dxa"/>
            <w:tcBorders>
              <w:bottom w:val="single" w:color="auto" w:sz="4" w:space="0"/>
            </w:tcBorders>
          </w:tcPr>
          <w:p>
            <w:pPr>
              <w:rPr>
                <w:rFonts w:hint="eastAsia" w:cs="Times New Roman"/>
                <w:b/>
                <w:bCs/>
                <w:sz w:val="30"/>
                <w:szCs w:val="30"/>
              </w:rPr>
            </w:pPr>
          </w:p>
        </w:tc>
        <w:tc>
          <w:tcPr>
            <w:tcW w:w="709" w:type="dxa"/>
            <w:tcBorders>
              <w:bottom w:val="single" w:color="auto" w:sz="4" w:space="0"/>
            </w:tcBorders>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9" w:hRule="atLeast"/>
        </w:trPr>
        <w:tc>
          <w:tcPr>
            <w:tcW w:w="568" w:type="dxa"/>
            <w:tcBorders>
              <w:top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54</w:t>
            </w:r>
          </w:p>
        </w:tc>
        <w:tc>
          <w:tcPr>
            <w:tcW w:w="2835" w:type="dxa"/>
            <w:tcBorders>
              <w:top w:val="single" w:color="auto" w:sz="4" w:space="0"/>
            </w:tcBorders>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卫生主管部门、疾病预防控制机构、接种单位以外的单位或者个人违反本条例规定进行群体性预防接种的处罚。</w:t>
            </w:r>
          </w:p>
        </w:tc>
        <w:tc>
          <w:tcPr>
            <w:tcW w:w="1273" w:type="dxa"/>
            <w:tcBorders>
              <w:top w:val="single" w:color="auto" w:sz="4" w:space="0"/>
            </w:tcBorders>
            <w:vAlign w:val="center"/>
          </w:tcPr>
          <w:p>
            <w:pPr>
              <w:ind w:left="270"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940" w:type="dxa"/>
            <w:tcBorders>
              <w:top w:val="single" w:color="auto" w:sz="4" w:space="0"/>
            </w:tcBorders>
          </w:tcPr>
          <w:p>
            <w:pPr>
              <w:widowControl/>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疫苗流通和预防接种管理条例》（国务院令第434号）第六十九条：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p>
            <w:pPr>
              <w:rPr>
                <w:rFonts w:ascii="仿宋_GB2312" w:hAnsi="仿宋_GB2312" w:eastAsia="仿宋_GB2312" w:cs="仿宋_GB2312"/>
                <w:b/>
                <w:bCs/>
                <w:szCs w:val="21"/>
              </w:rPr>
            </w:pPr>
          </w:p>
        </w:tc>
        <w:tc>
          <w:tcPr>
            <w:tcW w:w="1276" w:type="dxa"/>
            <w:tcBorders>
              <w:top w:val="single" w:color="auto" w:sz="4" w:space="0"/>
            </w:tcBorders>
          </w:tcPr>
          <w:p>
            <w:pPr>
              <w:rPr>
                <w:rFonts w:hint="eastAsia" w:cs="Times New Roman"/>
                <w:b/>
                <w:bCs/>
                <w:sz w:val="30"/>
                <w:szCs w:val="30"/>
              </w:rPr>
            </w:pPr>
          </w:p>
        </w:tc>
        <w:tc>
          <w:tcPr>
            <w:tcW w:w="709" w:type="dxa"/>
            <w:tcBorders>
              <w:top w:val="single" w:color="auto" w:sz="4" w:space="0"/>
            </w:tcBorders>
          </w:tcPr>
          <w:p>
            <w:pPr>
              <w:rPr>
                <w:rFonts w:hint="eastAsia" w:cs="Times New Roman"/>
                <w:b/>
                <w:bCs/>
                <w:sz w:val="30"/>
                <w:szCs w:val="30"/>
              </w:rPr>
            </w:pPr>
          </w:p>
        </w:tc>
      </w:tr>
    </w:tbl>
    <w:p>
      <w:pPr>
        <w:rPr>
          <w:rFonts w:hint="eastAsia"/>
        </w:rPr>
      </w:pPr>
    </w:p>
    <w:p>
      <w:pPr>
        <w:rPr>
          <w:rFonts w:hint="eastAsia"/>
        </w:rPr>
      </w:pPr>
    </w:p>
    <w:p>
      <w:pPr>
        <w:rPr>
          <w:rFonts w:hint="eastAsia"/>
        </w:rPr>
      </w:pPr>
    </w:p>
    <w:tbl>
      <w:tblPr>
        <w:tblStyle w:val="5"/>
        <w:tblW w:w="147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4304"/>
        <w:gridCol w:w="992"/>
        <w:gridCol w:w="6804"/>
        <w:gridCol w:w="1381"/>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4304" w:type="dxa"/>
            <w:vAlign w:val="center"/>
          </w:tcPr>
          <w:p>
            <w:pPr>
              <w:jc w:val="center"/>
              <w:rPr>
                <w:rFonts w:hint="eastAsia" w:cs="Times New Roman"/>
                <w:b/>
                <w:bCs/>
                <w:sz w:val="24"/>
                <w:szCs w:val="24"/>
              </w:rPr>
            </w:pPr>
            <w:r>
              <w:rPr>
                <w:rFonts w:hint="eastAsia" w:cs="Times New Roman"/>
                <w:b/>
                <w:bCs/>
                <w:sz w:val="24"/>
                <w:szCs w:val="24"/>
              </w:rPr>
              <w:t>项目名称</w:t>
            </w:r>
          </w:p>
        </w:tc>
        <w:tc>
          <w:tcPr>
            <w:tcW w:w="992"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6804" w:type="dxa"/>
            <w:vAlign w:val="center"/>
          </w:tcPr>
          <w:p>
            <w:pPr>
              <w:jc w:val="center"/>
              <w:rPr>
                <w:rFonts w:hint="eastAsia" w:cs="Times New Roman"/>
                <w:b/>
                <w:bCs/>
                <w:sz w:val="24"/>
                <w:szCs w:val="24"/>
              </w:rPr>
            </w:pPr>
            <w:r>
              <w:rPr>
                <w:rFonts w:hint="eastAsia" w:cs="Times New Roman"/>
                <w:b/>
                <w:bCs/>
                <w:sz w:val="24"/>
                <w:szCs w:val="24"/>
              </w:rPr>
              <w:t>实施依据</w:t>
            </w:r>
          </w:p>
        </w:tc>
        <w:tc>
          <w:tcPr>
            <w:tcW w:w="1381"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4" w:hRule="atLeast"/>
        </w:trPr>
        <w:tc>
          <w:tcPr>
            <w:tcW w:w="516" w:type="dxa"/>
            <w:tcBorders>
              <w:bottom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55</w:t>
            </w:r>
          </w:p>
          <w:p>
            <w:pPr>
              <w:rPr>
                <w:rFonts w:ascii="仿宋_GB2312" w:hAnsi="仿宋_GB2312" w:eastAsia="仿宋_GB2312" w:cs="仿宋_GB2312"/>
                <w:b/>
                <w:bCs/>
                <w:szCs w:val="21"/>
              </w:rPr>
            </w:pPr>
          </w:p>
        </w:tc>
        <w:tc>
          <w:tcPr>
            <w:tcW w:w="4304" w:type="dxa"/>
            <w:tcBorders>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kern w:val="0"/>
                <w:szCs w:val="21"/>
              </w:rPr>
              <w:t>医疗卫生机构</w:t>
            </w:r>
            <w:r>
              <w:rPr>
                <w:rFonts w:hint="eastAsia" w:ascii="仿宋_GB2312" w:hAnsi="仿宋_GB2312" w:eastAsia="仿宋_GB2312" w:cs="仿宋_GB2312"/>
                <w:szCs w:val="21"/>
              </w:rPr>
              <w:t>未建立消毒管理组织，制定消毒管理制度，执行国家有关规范、标准和规定，定期开展消毒与灭菌效果检测工作的处罚。</w:t>
            </w:r>
          </w:p>
        </w:tc>
        <w:tc>
          <w:tcPr>
            <w:tcW w:w="992" w:type="dxa"/>
            <w:tcBorders>
              <w:bottom w:val="single" w:color="auto" w:sz="4" w:space="0"/>
            </w:tcBorders>
            <w:vAlign w:val="center"/>
          </w:tcPr>
          <w:p>
            <w:pPr>
              <w:jc w:val="center"/>
              <w:rPr>
                <w:rFonts w:hint="eastAsia" w:ascii="仿宋_GB2312" w:hAnsi="仿宋_GB2312" w:eastAsia="仿宋_GB2312" w:cs="仿宋_GB2312"/>
                <w:b/>
                <w:bCs/>
                <w:i/>
                <w:szCs w:val="21"/>
                <w:lang w:eastAsia="zh-CN"/>
              </w:rPr>
            </w:pPr>
            <w:r>
              <w:rPr>
                <w:rFonts w:hint="eastAsia" w:ascii="仿宋_GB2312" w:hAnsi="宋体" w:eastAsia="仿宋_GB2312"/>
                <w:sz w:val="18"/>
                <w:szCs w:val="18"/>
                <w:lang w:eastAsia="zh-CN"/>
              </w:rPr>
              <w:t>卫生监督执法所</w:t>
            </w:r>
          </w:p>
        </w:tc>
        <w:tc>
          <w:tcPr>
            <w:tcW w:w="6804" w:type="dxa"/>
            <w:tcBorders>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四十五条：医疗卫生机构违反本办法第四、五、六、七、八、九条规定的，由县级以上地方卫生行政部门责令限期改正，可以处5000元以下罚款；造成感染性疾病暴发的，可以处5000元以上20000元以下罚款。</w:t>
            </w:r>
          </w:p>
          <w:p>
            <w:pPr>
              <w:ind w:firstLine="315" w:firstLineChars="150"/>
              <w:jc w:val="left"/>
              <w:rPr>
                <w:rFonts w:ascii="仿宋_GB2312" w:hAnsi="仿宋_GB2312" w:eastAsia="仿宋_GB2312" w:cs="仿宋_GB2312"/>
                <w:b/>
                <w:bCs/>
                <w:szCs w:val="21"/>
              </w:rPr>
            </w:pPr>
            <w:r>
              <w:rPr>
                <w:rFonts w:hint="eastAsia" w:ascii="仿宋_GB2312" w:hAnsi="仿宋_GB2312" w:eastAsia="仿宋_GB2312" w:cs="仿宋_GB2312"/>
                <w:szCs w:val="21"/>
              </w:rPr>
              <w:t>《消毒管理办法》（中华人民共和国卫生部第27号令）第四条：医疗卫生机构应当建立消毒管理组织，制定消毒管理制度，执行国家有关规范、标准和规定，定期开展消毒与灭菌效果检测工作。</w:t>
            </w:r>
          </w:p>
        </w:tc>
        <w:tc>
          <w:tcPr>
            <w:tcW w:w="1381" w:type="dxa"/>
            <w:tcBorders>
              <w:bottom w:val="single" w:color="auto" w:sz="4" w:space="0"/>
            </w:tcBorders>
          </w:tcPr>
          <w:p>
            <w:pPr>
              <w:rPr>
                <w:rFonts w:hint="eastAsia" w:cs="Times New Roman"/>
                <w:b/>
                <w:bCs/>
                <w:sz w:val="30"/>
                <w:szCs w:val="30"/>
              </w:rPr>
            </w:pPr>
          </w:p>
        </w:tc>
        <w:tc>
          <w:tcPr>
            <w:tcW w:w="710" w:type="dxa"/>
            <w:tcBorders>
              <w:bottom w:val="single" w:color="auto" w:sz="4" w:space="0"/>
            </w:tcBorders>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7" w:hRule="atLeast"/>
        </w:trPr>
        <w:tc>
          <w:tcPr>
            <w:tcW w:w="516" w:type="dxa"/>
            <w:tcBorders>
              <w:top w:val="single" w:color="auto" w:sz="4" w:space="0"/>
              <w:bottom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56</w:t>
            </w:r>
          </w:p>
        </w:tc>
        <w:tc>
          <w:tcPr>
            <w:tcW w:w="4304" w:type="dxa"/>
            <w:tcBorders>
              <w:top w:val="single" w:color="auto" w:sz="4" w:space="0"/>
              <w:bottom w:val="single" w:color="auto" w:sz="4" w:space="0"/>
            </w:tcBorders>
          </w:tcPr>
          <w:p>
            <w:pPr>
              <w:ind w:firstLine="315" w:firstLineChars="15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医疗卫生机构</w:t>
            </w:r>
            <w:r>
              <w:rPr>
                <w:rFonts w:hint="eastAsia" w:ascii="仿宋_GB2312" w:hAnsi="仿宋_GB2312" w:eastAsia="仿宋_GB2312" w:cs="仿宋_GB2312"/>
                <w:szCs w:val="21"/>
              </w:rPr>
              <w:t>工作人员未接受消毒技术培训、掌握消毒知识，并按规定严格执行消毒隔离制度的处罚。</w:t>
            </w:r>
          </w:p>
        </w:tc>
        <w:tc>
          <w:tcPr>
            <w:tcW w:w="992" w:type="dxa"/>
            <w:tcBorders>
              <w:top w:val="single" w:color="auto" w:sz="4" w:space="0"/>
              <w:bottom w:val="single" w:color="auto" w:sz="4" w:space="0"/>
            </w:tcBorders>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804" w:type="dxa"/>
            <w:tcBorders>
              <w:top w:val="single" w:color="auto" w:sz="4" w:space="0"/>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四十五条：医疗卫生机构违反本办法第四、五、六、七、八、九条规定的，由县级以上地方卫生行政部门责令限期改正，可以处5000元以下罚款；造成感染性疾病暴发的，可以处5000元以上20000元以下罚款。</w:t>
            </w:r>
          </w:p>
          <w:p>
            <w:pPr>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《消毒管理办法》（中华人民共和国卫生部第27号令）第五条:医疗卫生机构工作人员应当接受消毒技术培训、掌握消毒知识，并按规定严格执行消毒隔离制度。</w:t>
            </w:r>
          </w:p>
        </w:tc>
        <w:tc>
          <w:tcPr>
            <w:tcW w:w="1381" w:type="dxa"/>
            <w:tcBorders>
              <w:top w:val="single" w:color="auto" w:sz="4" w:space="0"/>
              <w:bottom w:val="single" w:color="auto" w:sz="4" w:space="0"/>
            </w:tcBorders>
          </w:tcPr>
          <w:p>
            <w:pPr>
              <w:rPr>
                <w:rFonts w:hint="eastAsia" w:cs="Times New Roman"/>
                <w:b/>
                <w:bCs/>
                <w:sz w:val="30"/>
                <w:szCs w:val="30"/>
              </w:rPr>
            </w:pPr>
          </w:p>
        </w:tc>
        <w:tc>
          <w:tcPr>
            <w:tcW w:w="710" w:type="dxa"/>
            <w:tcBorders>
              <w:top w:val="single" w:color="auto" w:sz="4" w:space="0"/>
              <w:bottom w:val="single" w:color="auto" w:sz="4" w:space="0"/>
            </w:tcBorders>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9" w:hRule="atLeast"/>
        </w:trPr>
        <w:tc>
          <w:tcPr>
            <w:tcW w:w="516" w:type="dxa"/>
            <w:tcBorders>
              <w:top w:val="single" w:color="auto" w:sz="4" w:space="0"/>
              <w:bottom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57</w:t>
            </w:r>
          </w:p>
        </w:tc>
        <w:tc>
          <w:tcPr>
            <w:tcW w:w="4304" w:type="dxa"/>
            <w:tcBorders>
              <w:top w:val="single" w:color="auto" w:sz="4" w:space="0"/>
              <w:bottom w:val="single" w:color="auto" w:sz="4" w:space="0"/>
            </w:tcBorders>
          </w:tcPr>
          <w:p>
            <w:pPr>
              <w:ind w:firstLine="315" w:firstLineChars="150"/>
              <w:jc w:val="left"/>
              <w:rPr>
                <w:rFonts w:ascii="仿宋_GB2312" w:hAnsi="仿宋_GB2312" w:eastAsia="仿宋_GB2312" w:cs="仿宋_GB2312"/>
                <w:kern w:val="0"/>
                <w:szCs w:val="21"/>
              </w:rPr>
            </w:pPr>
            <w:r>
              <w:rPr>
                <w:rFonts w:hint="eastAsia" w:ascii="仿宋_GB2312" w:hAnsi="仿宋_GB2312" w:eastAsia="仿宋_GB2312" w:cs="仿宋_GB2312"/>
                <w:szCs w:val="21"/>
              </w:rPr>
              <w:t>医疗卫生机构使用一次性医疗用品后未及时进行无害化处理的处罚。</w:t>
            </w:r>
          </w:p>
        </w:tc>
        <w:tc>
          <w:tcPr>
            <w:tcW w:w="992" w:type="dxa"/>
            <w:tcBorders>
              <w:top w:val="single" w:color="auto" w:sz="4" w:space="0"/>
              <w:bottom w:val="single" w:color="auto" w:sz="4" w:space="0"/>
            </w:tcBorders>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804" w:type="dxa"/>
            <w:tcBorders>
              <w:top w:val="single" w:color="auto" w:sz="4" w:space="0"/>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四十五条：医疗卫生机构违反本办法第四、五、六、七、八、九条规定的，由县级以上地方卫生行政部门责令限期改正，可以处5000元以下罚款；造成感染性疾病暴发的，可以处5000元以上20000元以下罚款。</w:t>
            </w:r>
          </w:p>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六条: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w:t>
            </w:r>
          </w:p>
          <w:p>
            <w:pPr>
              <w:ind w:firstLine="315" w:firstLineChars="150"/>
              <w:jc w:val="left"/>
              <w:rPr>
                <w:rFonts w:ascii="仿宋_GB2312" w:hAnsi="仿宋_GB2312" w:eastAsia="仿宋_GB2312" w:cs="仿宋_GB2312"/>
                <w:szCs w:val="21"/>
              </w:rPr>
            </w:pPr>
          </w:p>
        </w:tc>
        <w:tc>
          <w:tcPr>
            <w:tcW w:w="1381" w:type="dxa"/>
            <w:tcBorders>
              <w:top w:val="single" w:color="auto" w:sz="4" w:space="0"/>
              <w:bottom w:val="single" w:color="auto" w:sz="4" w:space="0"/>
            </w:tcBorders>
          </w:tcPr>
          <w:p>
            <w:pPr>
              <w:rPr>
                <w:rFonts w:hint="eastAsia" w:cs="Times New Roman"/>
                <w:b/>
                <w:bCs/>
                <w:sz w:val="30"/>
                <w:szCs w:val="30"/>
              </w:rPr>
            </w:pPr>
          </w:p>
        </w:tc>
        <w:tc>
          <w:tcPr>
            <w:tcW w:w="710" w:type="dxa"/>
            <w:tcBorders>
              <w:top w:val="single" w:color="auto" w:sz="4" w:space="0"/>
              <w:bottom w:val="single" w:color="auto" w:sz="4" w:space="0"/>
            </w:tcBorders>
          </w:tcPr>
          <w:p>
            <w:pPr>
              <w:rPr>
                <w:rFonts w:hint="eastAsia" w:cs="Times New Roman"/>
                <w:b/>
                <w:bCs/>
                <w:sz w:val="30"/>
                <w:szCs w:val="30"/>
              </w:rPr>
            </w:pPr>
          </w:p>
        </w:tc>
      </w:tr>
    </w:tbl>
    <w:p>
      <w:pPr>
        <w:rPr>
          <w:rFonts w:hint="eastAsia"/>
        </w:rPr>
      </w:pPr>
    </w:p>
    <w:p>
      <w:pPr>
        <w:rPr>
          <w:rFonts w:hint="eastAsia"/>
        </w:rPr>
      </w:pPr>
    </w:p>
    <w:p>
      <w:pPr>
        <w:rPr>
          <w:rFonts w:hint="eastAsia"/>
        </w:rPr>
      </w:pPr>
    </w:p>
    <w:tbl>
      <w:tblPr>
        <w:tblStyle w:val="5"/>
        <w:tblW w:w="147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4304"/>
        <w:gridCol w:w="992"/>
        <w:gridCol w:w="6804"/>
        <w:gridCol w:w="1381"/>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4304" w:type="dxa"/>
            <w:vAlign w:val="center"/>
          </w:tcPr>
          <w:p>
            <w:pPr>
              <w:jc w:val="center"/>
              <w:rPr>
                <w:rFonts w:hint="eastAsia" w:cs="Times New Roman"/>
                <w:b/>
                <w:bCs/>
                <w:sz w:val="24"/>
                <w:szCs w:val="24"/>
              </w:rPr>
            </w:pPr>
            <w:r>
              <w:rPr>
                <w:rFonts w:hint="eastAsia" w:cs="Times New Roman"/>
                <w:b/>
                <w:bCs/>
                <w:sz w:val="24"/>
                <w:szCs w:val="24"/>
              </w:rPr>
              <w:t>项目名称</w:t>
            </w:r>
          </w:p>
        </w:tc>
        <w:tc>
          <w:tcPr>
            <w:tcW w:w="992"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6804" w:type="dxa"/>
            <w:vAlign w:val="center"/>
          </w:tcPr>
          <w:p>
            <w:pPr>
              <w:jc w:val="center"/>
              <w:rPr>
                <w:rFonts w:hint="eastAsia" w:cs="Times New Roman"/>
                <w:b/>
                <w:bCs/>
                <w:sz w:val="24"/>
                <w:szCs w:val="24"/>
              </w:rPr>
            </w:pPr>
            <w:r>
              <w:rPr>
                <w:rFonts w:hint="eastAsia" w:cs="Times New Roman"/>
                <w:b/>
                <w:bCs/>
                <w:sz w:val="24"/>
                <w:szCs w:val="24"/>
              </w:rPr>
              <w:t>实施依据</w:t>
            </w:r>
          </w:p>
        </w:tc>
        <w:tc>
          <w:tcPr>
            <w:tcW w:w="1381"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4" w:hRule="atLeast"/>
        </w:trPr>
        <w:tc>
          <w:tcPr>
            <w:tcW w:w="516" w:type="dxa"/>
            <w:tcBorders>
              <w:bottom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58</w:t>
            </w:r>
          </w:p>
        </w:tc>
        <w:tc>
          <w:tcPr>
            <w:tcW w:w="4304" w:type="dxa"/>
            <w:tcBorders>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医疗卫生机构购进消毒产品未建立并执行进货检查验收制度的处罚</w:t>
            </w:r>
          </w:p>
        </w:tc>
        <w:tc>
          <w:tcPr>
            <w:tcW w:w="992" w:type="dxa"/>
            <w:tcBorders>
              <w:bottom w:val="single" w:color="auto" w:sz="4" w:space="0"/>
            </w:tcBorders>
            <w:vAlign w:val="center"/>
          </w:tcPr>
          <w:p>
            <w:pPr>
              <w:jc w:val="center"/>
              <w:rPr>
                <w:rFonts w:hint="eastAsia" w:ascii="仿宋_GB2312" w:hAnsi="仿宋_GB2312" w:eastAsia="仿宋_GB2312" w:cs="仿宋_GB2312"/>
                <w:b/>
                <w:bCs/>
                <w:i/>
                <w:szCs w:val="21"/>
                <w:lang w:eastAsia="zh-CN"/>
              </w:rPr>
            </w:pPr>
            <w:r>
              <w:rPr>
                <w:rFonts w:hint="eastAsia" w:ascii="仿宋_GB2312" w:hAnsi="宋体" w:eastAsia="仿宋_GB2312"/>
                <w:sz w:val="18"/>
                <w:szCs w:val="18"/>
                <w:lang w:eastAsia="zh-CN"/>
              </w:rPr>
              <w:t>卫生监督执法所</w:t>
            </w:r>
          </w:p>
        </w:tc>
        <w:tc>
          <w:tcPr>
            <w:tcW w:w="6804" w:type="dxa"/>
            <w:tcBorders>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四十五条：医疗卫生机构违反本办法第四、五、六、七、八、九条规定的，由县级以上地方卫生行政部门责令限期改正，可以处5000元以下罚款；造成感染性疾病暴发的，可以处5000元以上20000元以下罚款。</w:t>
            </w:r>
          </w:p>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《消毒管理办法》（中华人民共和国卫生部第27号令）第七条：医疗卫生机构购进消毒产品必须建立并执行进货检查验收制度。</w:t>
            </w:r>
          </w:p>
        </w:tc>
        <w:tc>
          <w:tcPr>
            <w:tcW w:w="1381" w:type="dxa"/>
            <w:tcBorders>
              <w:bottom w:val="single" w:color="auto" w:sz="4" w:space="0"/>
            </w:tcBorders>
          </w:tcPr>
          <w:p>
            <w:pPr>
              <w:rPr>
                <w:rFonts w:hint="eastAsia" w:cs="Times New Roman"/>
                <w:b/>
                <w:bCs/>
                <w:sz w:val="30"/>
                <w:szCs w:val="30"/>
              </w:rPr>
            </w:pPr>
          </w:p>
        </w:tc>
        <w:tc>
          <w:tcPr>
            <w:tcW w:w="710" w:type="dxa"/>
            <w:tcBorders>
              <w:bottom w:val="single" w:color="auto" w:sz="4" w:space="0"/>
            </w:tcBorders>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6" w:hRule="atLeast"/>
        </w:trPr>
        <w:tc>
          <w:tcPr>
            <w:tcW w:w="516" w:type="dxa"/>
            <w:tcBorders>
              <w:top w:val="single" w:color="auto" w:sz="4" w:space="0"/>
              <w:bottom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59</w:t>
            </w:r>
          </w:p>
        </w:tc>
        <w:tc>
          <w:tcPr>
            <w:tcW w:w="4304" w:type="dxa"/>
            <w:tcBorders>
              <w:top w:val="single" w:color="auto" w:sz="4" w:space="0"/>
              <w:bottom w:val="single" w:color="auto" w:sz="4" w:space="0"/>
            </w:tcBorders>
          </w:tcPr>
          <w:p>
            <w:pPr>
              <w:ind w:firstLine="315" w:firstLineChars="150"/>
              <w:jc w:val="left"/>
              <w:rPr>
                <w:rFonts w:ascii="仿宋_GB2312" w:hAnsi="仿宋_GB2312" w:eastAsia="仿宋_GB2312" w:cs="仿宋_GB2312"/>
                <w:kern w:val="0"/>
                <w:szCs w:val="21"/>
              </w:rPr>
            </w:pPr>
            <w:r>
              <w:rPr>
                <w:rFonts w:hint="eastAsia" w:ascii="仿宋_GB2312" w:hAnsi="仿宋_GB2312" w:eastAsia="仿宋_GB2312" w:cs="仿宋_GB2312"/>
                <w:szCs w:val="21"/>
              </w:rPr>
              <w:t>医疗卫生机构的环境、物品不符合国家有关规范、标准和规定。运送传染病病人及其污染物品的车辆、工具未随时进行消毒处理的处罚。</w:t>
            </w:r>
          </w:p>
        </w:tc>
        <w:tc>
          <w:tcPr>
            <w:tcW w:w="992" w:type="dxa"/>
            <w:tcBorders>
              <w:top w:val="single" w:color="auto" w:sz="4" w:space="0"/>
              <w:bottom w:val="single" w:color="auto" w:sz="4" w:space="0"/>
            </w:tcBorders>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804" w:type="dxa"/>
            <w:tcBorders>
              <w:top w:val="single" w:color="auto" w:sz="4" w:space="0"/>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四十五条：医疗卫生机构违反本办法第四、五、六、七、八、九条规定的，由县级以上地方卫生行政部门责令限期改正，可以处5000元以下罚款；造成感染性疾病暴发的，可以处5000元以上20000元以下罚款。</w:t>
            </w:r>
          </w:p>
          <w:p>
            <w:pPr>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八条：医疗卫生机构的环境、物品应当符合国家有关规范、标准和规定。排放废弃的污水、污物应当按照国家有关规定进行无害化处理。运送传染病病人及其污染物品的车辆、工具必须随时进行消毒处理。</w:t>
            </w:r>
          </w:p>
        </w:tc>
        <w:tc>
          <w:tcPr>
            <w:tcW w:w="1381" w:type="dxa"/>
            <w:tcBorders>
              <w:top w:val="single" w:color="auto" w:sz="4" w:space="0"/>
              <w:bottom w:val="single" w:color="auto" w:sz="4" w:space="0"/>
            </w:tcBorders>
          </w:tcPr>
          <w:p>
            <w:pPr>
              <w:rPr>
                <w:rFonts w:hint="eastAsia" w:cs="Times New Roman"/>
                <w:b/>
                <w:bCs/>
                <w:sz w:val="30"/>
                <w:szCs w:val="30"/>
              </w:rPr>
            </w:pPr>
          </w:p>
        </w:tc>
        <w:tc>
          <w:tcPr>
            <w:tcW w:w="710" w:type="dxa"/>
            <w:tcBorders>
              <w:top w:val="single" w:color="auto" w:sz="4" w:space="0"/>
              <w:bottom w:val="single" w:color="auto" w:sz="4" w:space="0"/>
            </w:tcBorders>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516" w:type="dxa"/>
            <w:tcBorders>
              <w:top w:val="single" w:color="auto" w:sz="4" w:space="0"/>
              <w:bottom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60</w:t>
            </w:r>
          </w:p>
        </w:tc>
        <w:tc>
          <w:tcPr>
            <w:tcW w:w="4304" w:type="dxa"/>
            <w:tcBorders>
              <w:top w:val="single" w:color="auto" w:sz="4" w:space="0"/>
              <w:bottom w:val="single" w:color="auto" w:sz="4" w:space="0"/>
            </w:tcBorders>
          </w:tcPr>
          <w:p>
            <w:pPr>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医疗卫生机构发生感染性疾病暴发、流行时未及时报告当地卫生行政部门，并采取有效消毒措施的处罚。</w:t>
            </w:r>
          </w:p>
        </w:tc>
        <w:tc>
          <w:tcPr>
            <w:tcW w:w="992" w:type="dxa"/>
            <w:tcBorders>
              <w:top w:val="single" w:color="auto" w:sz="4" w:space="0"/>
              <w:bottom w:val="single" w:color="auto" w:sz="4" w:space="0"/>
            </w:tcBorders>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804" w:type="dxa"/>
            <w:tcBorders>
              <w:top w:val="single" w:color="auto" w:sz="4" w:space="0"/>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四十五条：医疗卫生机构违反本办法第四、五、六、七、八、九条规定的，由县级以上地方卫生行政部门责令限期改正，可以处5000元以下罚款；造成感染性疾病暴发的，可以处5000元以上20000元以下罚款。</w:t>
            </w:r>
          </w:p>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《消毒管理办法》（中华人民共和国卫生部第27号令）第九条：医疗卫生机构发生感染性疾病暴发、流行时，应当及时报告当地卫生行政部门，并采取有效消毒措施。</w:t>
            </w:r>
          </w:p>
          <w:p>
            <w:pPr>
              <w:ind w:firstLine="315" w:firstLineChars="150"/>
              <w:jc w:val="left"/>
              <w:rPr>
                <w:rFonts w:ascii="仿宋_GB2312" w:hAnsi="仿宋_GB2312" w:eastAsia="仿宋_GB2312" w:cs="仿宋_GB2312"/>
                <w:szCs w:val="21"/>
              </w:rPr>
            </w:pPr>
          </w:p>
        </w:tc>
        <w:tc>
          <w:tcPr>
            <w:tcW w:w="1381" w:type="dxa"/>
            <w:tcBorders>
              <w:top w:val="single" w:color="auto" w:sz="4" w:space="0"/>
              <w:bottom w:val="single" w:color="auto" w:sz="4" w:space="0"/>
            </w:tcBorders>
          </w:tcPr>
          <w:p>
            <w:pPr>
              <w:rPr>
                <w:rFonts w:hint="eastAsia" w:cs="Times New Roman"/>
                <w:b/>
                <w:bCs/>
                <w:sz w:val="30"/>
                <w:szCs w:val="30"/>
              </w:rPr>
            </w:pPr>
          </w:p>
        </w:tc>
        <w:tc>
          <w:tcPr>
            <w:tcW w:w="710" w:type="dxa"/>
            <w:tcBorders>
              <w:top w:val="single" w:color="auto" w:sz="4" w:space="0"/>
              <w:bottom w:val="single" w:color="auto" w:sz="4" w:space="0"/>
            </w:tcBorders>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4021"/>
        <w:gridCol w:w="1134"/>
        <w:gridCol w:w="6945"/>
        <w:gridCol w:w="127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4021" w:type="dxa"/>
            <w:vAlign w:val="center"/>
          </w:tcPr>
          <w:p>
            <w:pPr>
              <w:jc w:val="center"/>
              <w:rPr>
                <w:rFonts w:hint="eastAsia" w:cs="Times New Roman"/>
                <w:b/>
                <w:bCs/>
                <w:sz w:val="24"/>
                <w:szCs w:val="24"/>
              </w:rPr>
            </w:pPr>
            <w:r>
              <w:rPr>
                <w:rFonts w:hint="eastAsia" w:cs="Times New Roman"/>
                <w:b/>
                <w:bCs/>
                <w:sz w:val="24"/>
                <w:szCs w:val="24"/>
              </w:rPr>
              <w:t>项目名称</w:t>
            </w:r>
          </w:p>
        </w:tc>
        <w:tc>
          <w:tcPr>
            <w:tcW w:w="1134"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6945" w:type="dxa"/>
            <w:vAlign w:val="center"/>
          </w:tcPr>
          <w:p>
            <w:pPr>
              <w:jc w:val="center"/>
              <w:rPr>
                <w:rFonts w:hint="eastAsia" w:cs="Times New Roman"/>
                <w:b/>
                <w:bCs/>
                <w:sz w:val="24"/>
                <w:szCs w:val="24"/>
              </w:rPr>
            </w:pPr>
            <w:r>
              <w:rPr>
                <w:rFonts w:hint="eastAsia" w:cs="Times New Roman"/>
                <w:b/>
                <w:bCs/>
                <w:sz w:val="24"/>
                <w:szCs w:val="24"/>
              </w:rPr>
              <w:t>实施依据</w:t>
            </w:r>
          </w:p>
        </w:tc>
        <w:tc>
          <w:tcPr>
            <w:tcW w:w="1276"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trPr>
        <w:tc>
          <w:tcPr>
            <w:tcW w:w="516" w:type="dxa"/>
            <w:tcBorders>
              <w:bottom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61</w:t>
            </w:r>
          </w:p>
          <w:p>
            <w:pPr>
              <w:rPr>
                <w:rFonts w:ascii="仿宋_GB2312" w:hAnsi="仿宋_GB2312" w:eastAsia="仿宋_GB2312" w:cs="仿宋_GB2312"/>
                <w:b/>
                <w:bCs/>
                <w:szCs w:val="21"/>
              </w:rPr>
            </w:pPr>
          </w:p>
          <w:p>
            <w:pPr>
              <w:rPr>
                <w:rFonts w:ascii="仿宋_GB2312" w:hAnsi="仿宋_GB2312" w:eastAsia="仿宋_GB2312" w:cs="仿宋_GB2312"/>
                <w:b/>
                <w:bCs/>
                <w:szCs w:val="21"/>
              </w:rPr>
            </w:pPr>
          </w:p>
        </w:tc>
        <w:tc>
          <w:tcPr>
            <w:tcW w:w="4021" w:type="dxa"/>
            <w:tcBorders>
              <w:bottom w:val="single" w:color="auto" w:sz="4" w:space="0"/>
            </w:tcBorders>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szCs w:val="21"/>
              </w:rPr>
              <w:t>消毒产品生产经营单位消毒产品的命名、标签（含说明书）不符合规定的处罚。</w:t>
            </w:r>
          </w:p>
        </w:tc>
        <w:tc>
          <w:tcPr>
            <w:tcW w:w="1134" w:type="dxa"/>
            <w:tcBorders>
              <w:bottom w:val="single" w:color="auto" w:sz="4" w:space="0"/>
            </w:tcBorders>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945" w:type="dxa"/>
            <w:tcBorders>
              <w:bottom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卫生部第27号令）第四十七条：消毒产品生产经营单位违反本办法第三十三、三十四条规定的，由县级以上地方卫生行政部门责令其限期改正，可以处5000元以下罚款；造成感染性疾病暴发的，可以处5000元以上20000元以下的罚款。</w:t>
            </w:r>
          </w:p>
          <w:p>
            <w:pPr>
              <w:widowControl/>
              <w:ind w:firstLine="315" w:firstLineChars="150"/>
              <w:jc w:val="left"/>
              <w:rPr>
                <w:rFonts w:ascii="仿宋_GB2312" w:hAnsi="仿宋_GB2312" w:eastAsia="仿宋_GB2312" w:cs="仿宋_GB2312"/>
                <w:b/>
                <w:bCs/>
                <w:szCs w:val="21"/>
              </w:rPr>
            </w:pPr>
            <w:r>
              <w:rPr>
                <w:rFonts w:hint="eastAsia" w:ascii="仿宋_GB2312" w:hAnsi="仿宋_GB2312" w:eastAsia="仿宋_GB2312" w:cs="仿宋_GB2312"/>
                <w:szCs w:val="21"/>
              </w:rPr>
              <w:t>《消毒管理办法》（卫生部第27号令）第三十三条：消毒产品的命名、标签（含说明书）应当符合卫生部的有关规定。消毒产品的标签（含说明书）和宣传内容必须真实，不得出现或暗示对疾病的治疗效果。</w:t>
            </w:r>
          </w:p>
        </w:tc>
        <w:tc>
          <w:tcPr>
            <w:tcW w:w="1276" w:type="dxa"/>
            <w:tcBorders>
              <w:bottom w:val="single" w:color="auto" w:sz="4" w:space="0"/>
            </w:tcBorders>
          </w:tcPr>
          <w:p>
            <w:pPr>
              <w:rPr>
                <w:rFonts w:hint="eastAsia" w:cs="Times New Roman"/>
                <w:b/>
                <w:bCs/>
                <w:sz w:val="30"/>
                <w:szCs w:val="30"/>
              </w:rPr>
            </w:pPr>
          </w:p>
        </w:tc>
        <w:tc>
          <w:tcPr>
            <w:tcW w:w="709" w:type="dxa"/>
            <w:tcBorders>
              <w:bottom w:val="single" w:color="auto" w:sz="4" w:space="0"/>
            </w:tcBorders>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0" w:hRule="atLeast"/>
        </w:trPr>
        <w:tc>
          <w:tcPr>
            <w:tcW w:w="516" w:type="dxa"/>
            <w:tcBorders>
              <w:top w:val="single" w:color="auto" w:sz="4" w:space="0"/>
            </w:tcBorders>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62</w:t>
            </w:r>
          </w:p>
        </w:tc>
        <w:tc>
          <w:tcPr>
            <w:tcW w:w="4021" w:type="dxa"/>
            <w:tcBorders>
              <w:top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消毒产品生产经营单位生产经营无生产企业卫生许可证、产品备案凭证或卫生许可批件的消毒产品的处罚。</w:t>
            </w:r>
          </w:p>
        </w:tc>
        <w:tc>
          <w:tcPr>
            <w:tcW w:w="1134" w:type="dxa"/>
            <w:tcBorders>
              <w:top w:val="single" w:color="auto" w:sz="4" w:space="0"/>
            </w:tcBorders>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945" w:type="dxa"/>
            <w:tcBorders>
              <w:top w:val="single" w:color="auto" w:sz="4" w:space="0"/>
            </w:tcBorders>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卫生部第27号令）第四十七条：消毒产品生产经营单位违反本办法第三十三、三十四条规定的，由县级以上地方卫生行政部门责令其限期改正，可以处5000元以下罚款；造成感染性疾病暴发的，可以处5000元以上20000元以下的罚款。</w:t>
            </w:r>
          </w:p>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《消毒管理办法》（卫生部第27号令）第三十四条：禁止生产经营下列消毒产品：（一）无生产企业卫生许可证、产品备案凭证或卫生许可批件的；（二）产品卫生质量不符合要求的。</w:t>
            </w:r>
          </w:p>
        </w:tc>
        <w:tc>
          <w:tcPr>
            <w:tcW w:w="1276" w:type="dxa"/>
            <w:tcBorders>
              <w:top w:val="single" w:color="auto" w:sz="4" w:space="0"/>
            </w:tcBorders>
          </w:tcPr>
          <w:p>
            <w:pPr>
              <w:rPr>
                <w:rFonts w:hint="eastAsia" w:cs="Times New Roman"/>
                <w:b/>
                <w:bCs/>
                <w:sz w:val="30"/>
                <w:szCs w:val="30"/>
              </w:rPr>
            </w:pPr>
          </w:p>
        </w:tc>
        <w:tc>
          <w:tcPr>
            <w:tcW w:w="709" w:type="dxa"/>
            <w:tcBorders>
              <w:top w:val="single" w:color="auto" w:sz="4" w:space="0"/>
            </w:tcBorders>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63</w:t>
            </w:r>
          </w:p>
          <w:p>
            <w:pPr>
              <w:rPr>
                <w:rFonts w:ascii="仿宋_GB2312" w:hAnsi="仿宋_GB2312" w:eastAsia="仿宋_GB2312" w:cs="仿宋_GB2312"/>
                <w:b/>
                <w:bCs/>
                <w:szCs w:val="21"/>
              </w:rPr>
            </w:pPr>
          </w:p>
        </w:tc>
        <w:tc>
          <w:tcPr>
            <w:tcW w:w="4021"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kern w:val="0"/>
                <w:szCs w:val="21"/>
              </w:rPr>
              <w:t>消毒服务机构</w:t>
            </w:r>
            <w:r>
              <w:rPr>
                <w:rFonts w:hint="eastAsia" w:ascii="仿宋_GB2312" w:hAnsi="仿宋_GB2312" w:eastAsia="仿宋_GB2312" w:cs="仿宋_GB2312"/>
                <w:szCs w:val="21"/>
              </w:rPr>
              <w:t>未取得卫生许可证从事消毒服务业务；消毒后的物品未达到卫生标准和要求</w:t>
            </w:r>
            <w:r>
              <w:rPr>
                <w:rFonts w:hint="eastAsia" w:ascii="仿宋_GB2312" w:hAnsi="仿宋_GB2312" w:eastAsia="仿宋_GB2312" w:cs="仿宋_GB2312"/>
                <w:kern w:val="0"/>
                <w:szCs w:val="21"/>
              </w:rPr>
              <w:t>的处罚。</w:t>
            </w:r>
          </w:p>
        </w:tc>
        <w:tc>
          <w:tcPr>
            <w:tcW w:w="1134"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6945" w:type="dxa"/>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消毒管理办法》（卫生部第27号令）第四十八条：消毒服务机构违反本办法规定，有下列情形之一的，由县级以上卫生行政部门责令其限期改正，可以处5000元以下的罚款；造成感染性疾病发生的，可以处5000元以上20000元以下的罚款：</w:t>
            </w:r>
          </w:p>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（一）消毒后的物品未达到卫生标准和要求的；（二）未取得卫生许可证从事消毒服务业务的。</w:t>
            </w:r>
          </w:p>
          <w:p>
            <w:pPr>
              <w:rPr>
                <w:rFonts w:ascii="仿宋_GB2312" w:hAnsi="仿宋_GB2312" w:eastAsia="仿宋_GB2312" w:cs="仿宋_GB2312"/>
                <w:b/>
                <w:bCs/>
                <w:szCs w:val="21"/>
              </w:rPr>
            </w:pP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tbl>
      <w:tblPr>
        <w:tblStyle w:val="5"/>
        <w:tblW w:w="147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2320"/>
        <w:gridCol w:w="988"/>
        <w:gridCol w:w="8792"/>
        <w:gridCol w:w="1381"/>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2320" w:type="dxa"/>
            <w:vAlign w:val="center"/>
          </w:tcPr>
          <w:p>
            <w:pPr>
              <w:jc w:val="center"/>
              <w:rPr>
                <w:rFonts w:hint="eastAsia" w:cs="Times New Roman"/>
                <w:b/>
                <w:bCs/>
                <w:sz w:val="24"/>
                <w:szCs w:val="24"/>
              </w:rPr>
            </w:pPr>
            <w:r>
              <w:rPr>
                <w:rFonts w:hint="eastAsia" w:cs="Times New Roman"/>
                <w:b/>
                <w:bCs/>
                <w:sz w:val="24"/>
                <w:szCs w:val="24"/>
              </w:rPr>
              <w:t>项目名称</w:t>
            </w:r>
          </w:p>
        </w:tc>
        <w:tc>
          <w:tcPr>
            <w:tcW w:w="988"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792" w:type="dxa"/>
            <w:vAlign w:val="center"/>
          </w:tcPr>
          <w:p>
            <w:pPr>
              <w:jc w:val="center"/>
              <w:rPr>
                <w:rFonts w:hint="eastAsia" w:cs="Times New Roman"/>
                <w:b/>
                <w:bCs/>
                <w:sz w:val="24"/>
                <w:szCs w:val="24"/>
              </w:rPr>
            </w:pPr>
            <w:r>
              <w:rPr>
                <w:rFonts w:hint="eastAsia" w:cs="Times New Roman"/>
                <w:b/>
                <w:bCs/>
                <w:sz w:val="24"/>
                <w:szCs w:val="24"/>
              </w:rPr>
              <w:t>实施依据</w:t>
            </w:r>
          </w:p>
        </w:tc>
        <w:tc>
          <w:tcPr>
            <w:tcW w:w="1381"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3"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64</w:t>
            </w:r>
          </w:p>
          <w:p>
            <w:pPr>
              <w:rPr>
                <w:rFonts w:ascii="仿宋_GB2312" w:hAnsi="仿宋_GB2312" w:eastAsia="仿宋_GB2312" w:cs="仿宋_GB2312"/>
                <w:b/>
                <w:bCs/>
                <w:szCs w:val="21"/>
              </w:rPr>
            </w:pPr>
          </w:p>
        </w:tc>
        <w:tc>
          <w:tcPr>
            <w:tcW w:w="2320"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kern w:val="0"/>
                <w:szCs w:val="21"/>
              </w:rPr>
              <w:t>医疗机构</w:t>
            </w:r>
            <w:r>
              <w:rPr>
                <w:rFonts w:hint="eastAsia" w:ascii="仿宋_GB2312" w:hAnsi="仿宋_GB2312" w:eastAsia="仿宋_GB2312" w:cs="仿宋_GB2312"/>
                <w:szCs w:val="21"/>
              </w:rPr>
              <w:t>使用未授权、无资质人员开具处方的以及从事处方调剂工作的</w:t>
            </w:r>
            <w:r>
              <w:rPr>
                <w:rFonts w:hint="eastAsia" w:ascii="仿宋_GB2312" w:hAnsi="仿宋_GB2312" w:eastAsia="仿宋_GB2312" w:cs="仿宋_GB2312"/>
                <w:kern w:val="0"/>
                <w:szCs w:val="21"/>
              </w:rPr>
              <w:t>处罚。</w:t>
            </w:r>
          </w:p>
        </w:tc>
        <w:tc>
          <w:tcPr>
            <w:tcW w:w="988"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92" w:type="dxa"/>
          </w:tcPr>
          <w:p>
            <w:pPr>
              <w:ind w:firstLine="315" w:firstLineChars="150"/>
              <w:rPr>
                <w:rFonts w:ascii="仿宋_GB2312" w:hAnsi="仿宋_GB2312" w:eastAsia="仿宋_GB2312" w:cs="仿宋_GB2312"/>
                <w:szCs w:val="21"/>
              </w:rPr>
            </w:pPr>
            <w:r>
              <w:rPr>
                <w:rFonts w:hint="eastAsia" w:ascii="仿宋_GB2312" w:hAnsi="仿宋_GB2312" w:eastAsia="仿宋_GB2312" w:cs="仿宋_GB2312"/>
                <w:szCs w:val="21"/>
              </w:rPr>
              <w:t>《处方管理办法》（中华人民共和国卫生部第53号令）第五十四条：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szCs w:val="21"/>
              </w:rPr>
              <w:t>《医疗机构管理条例》</w:t>
            </w:r>
            <w:r>
              <w:rPr>
                <w:rFonts w:hint="eastAsia" w:ascii="仿宋_GB2312" w:eastAsia="仿宋_GB2312"/>
                <w:szCs w:val="21"/>
              </w:rPr>
              <w:t>第四十八条：违反本条例第二十八条规定，使用非卫生技术人员从事医疗卫生技术工作的，由县级以上人民政府卫生行政部门责令其限期改正，并可以处以5000元以下的罚款，情节严重的，吊销其《医疗机构执业证可证》。</w:t>
            </w:r>
            <w:r>
              <w:rPr>
                <w:sz w:val="18"/>
                <w:szCs w:val="18"/>
              </w:rPr>
              <w:br w:type="textWrapping"/>
            </w:r>
          </w:p>
        </w:tc>
        <w:tc>
          <w:tcPr>
            <w:tcW w:w="1381" w:type="dxa"/>
          </w:tcPr>
          <w:p>
            <w:pPr>
              <w:rPr>
                <w:rFonts w:hint="eastAsia" w:cs="Times New Roman"/>
                <w:b/>
                <w:bCs/>
                <w:sz w:val="30"/>
                <w:szCs w:val="30"/>
              </w:rPr>
            </w:pPr>
          </w:p>
        </w:tc>
        <w:tc>
          <w:tcPr>
            <w:tcW w:w="710"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6"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65</w:t>
            </w:r>
          </w:p>
        </w:tc>
        <w:tc>
          <w:tcPr>
            <w:tcW w:w="2320"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医师未经授权开具处方的处罚。</w:t>
            </w:r>
          </w:p>
        </w:tc>
        <w:tc>
          <w:tcPr>
            <w:tcW w:w="988"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92"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szCs w:val="21"/>
              </w:rPr>
              <w:t>《处方管理办法》（中华人民共和国卫生部第53号令）第五十七条：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tc>
        <w:tc>
          <w:tcPr>
            <w:tcW w:w="1381" w:type="dxa"/>
          </w:tcPr>
          <w:p>
            <w:pPr>
              <w:rPr>
                <w:rFonts w:hint="eastAsia" w:cs="Times New Roman"/>
                <w:b/>
                <w:bCs/>
                <w:sz w:val="30"/>
                <w:szCs w:val="30"/>
              </w:rPr>
            </w:pPr>
          </w:p>
        </w:tc>
        <w:tc>
          <w:tcPr>
            <w:tcW w:w="710"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66</w:t>
            </w:r>
          </w:p>
        </w:tc>
        <w:tc>
          <w:tcPr>
            <w:tcW w:w="2320"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医疗机构未取得放射诊疗许可、未按时校验、擅自变更诊疗项目及超出批准范围从事放射诊疗工作的处罚。</w:t>
            </w:r>
          </w:p>
        </w:tc>
        <w:tc>
          <w:tcPr>
            <w:tcW w:w="988" w:type="dxa"/>
          </w:tcPr>
          <w:p>
            <w:pPr>
              <w:jc w:val="center"/>
              <w:rPr>
                <w:rFonts w:ascii="仿宋_GB2312" w:hAnsi="仿宋_GB2312" w:eastAsia="仿宋_GB2312" w:cs="仿宋_GB2312"/>
                <w:b/>
                <w:bCs/>
                <w:szCs w:val="21"/>
              </w:rPr>
            </w:pPr>
          </w:p>
          <w:p>
            <w:pP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92"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szCs w:val="21"/>
              </w:rPr>
              <w:t>《放射诊疗管理规定》(中华人民共和国卫生部令第46号)第三十八条：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w:t>
            </w:r>
          </w:p>
        </w:tc>
        <w:tc>
          <w:tcPr>
            <w:tcW w:w="1381" w:type="dxa"/>
          </w:tcPr>
          <w:p>
            <w:pPr>
              <w:rPr>
                <w:rFonts w:hint="eastAsia" w:cs="Times New Roman"/>
                <w:b/>
                <w:bCs/>
                <w:sz w:val="30"/>
                <w:szCs w:val="30"/>
              </w:rPr>
            </w:pPr>
          </w:p>
        </w:tc>
        <w:tc>
          <w:tcPr>
            <w:tcW w:w="710"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3595"/>
        <w:gridCol w:w="1134"/>
        <w:gridCol w:w="7371"/>
        <w:gridCol w:w="127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3595" w:type="dxa"/>
            <w:vAlign w:val="center"/>
          </w:tcPr>
          <w:p>
            <w:pPr>
              <w:jc w:val="center"/>
              <w:rPr>
                <w:rFonts w:hint="eastAsia" w:cs="Times New Roman"/>
                <w:b/>
                <w:bCs/>
                <w:sz w:val="24"/>
                <w:szCs w:val="24"/>
              </w:rPr>
            </w:pPr>
            <w:r>
              <w:rPr>
                <w:rFonts w:hint="eastAsia" w:cs="Times New Roman"/>
                <w:b/>
                <w:bCs/>
                <w:sz w:val="24"/>
                <w:szCs w:val="24"/>
              </w:rPr>
              <w:t>项目</w:t>
            </w:r>
          </w:p>
          <w:p>
            <w:pPr>
              <w:jc w:val="center"/>
              <w:rPr>
                <w:rFonts w:hint="eastAsia" w:cs="Times New Roman"/>
                <w:b/>
                <w:bCs/>
                <w:sz w:val="24"/>
                <w:szCs w:val="24"/>
              </w:rPr>
            </w:pPr>
            <w:r>
              <w:rPr>
                <w:rFonts w:hint="eastAsia" w:cs="Times New Roman"/>
                <w:b/>
                <w:bCs/>
                <w:sz w:val="24"/>
                <w:szCs w:val="24"/>
              </w:rPr>
              <w:t>名称</w:t>
            </w:r>
          </w:p>
        </w:tc>
        <w:tc>
          <w:tcPr>
            <w:tcW w:w="1134"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7371" w:type="dxa"/>
            <w:vAlign w:val="center"/>
          </w:tcPr>
          <w:p>
            <w:pPr>
              <w:jc w:val="center"/>
              <w:rPr>
                <w:rFonts w:hint="eastAsia" w:cs="Times New Roman"/>
                <w:b/>
                <w:bCs/>
                <w:sz w:val="24"/>
                <w:szCs w:val="24"/>
              </w:rPr>
            </w:pPr>
            <w:r>
              <w:rPr>
                <w:rFonts w:hint="eastAsia" w:cs="Times New Roman"/>
                <w:b/>
                <w:bCs/>
                <w:sz w:val="24"/>
                <w:szCs w:val="24"/>
              </w:rPr>
              <w:t>实施依据</w:t>
            </w:r>
          </w:p>
        </w:tc>
        <w:tc>
          <w:tcPr>
            <w:tcW w:w="1276"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67</w:t>
            </w:r>
          </w:p>
          <w:p>
            <w:pPr>
              <w:rPr>
                <w:rFonts w:ascii="仿宋_GB2312" w:hAnsi="仿宋_GB2312" w:eastAsia="仿宋_GB2312" w:cs="仿宋_GB2312"/>
                <w:b/>
                <w:bCs/>
                <w:szCs w:val="21"/>
              </w:rPr>
            </w:pPr>
          </w:p>
          <w:p>
            <w:pPr>
              <w:rPr>
                <w:rFonts w:ascii="仿宋_GB2312" w:hAnsi="仿宋_GB2312" w:eastAsia="仿宋_GB2312" w:cs="仿宋_GB2312"/>
                <w:b/>
                <w:bCs/>
                <w:szCs w:val="21"/>
              </w:rPr>
            </w:pPr>
          </w:p>
        </w:tc>
        <w:tc>
          <w:tcPr>
            <w:tcW w:w="3595"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医疗机构使用不具备相应资质的人员从事放射诊疗工作的处罚。</w:t>
            </w:r>
          </w:p>
        </w:tc>
        <w:tc>
          <w:tcPr>
            <w:tcW w:w="1134"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371" w:type="dxa"/>
          </w:tcPr>
          <w:p>
            <w:pPr>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放射诊疗管理规定》(中华人民共和国卫生部令第46号)第三十九条：医疗机构使用不具备相应资质的人员从事放射诊疗工作的，由县级以上卫生行政部门责令限期改正，并可以处以5000元以下的罚款；情节严重的，吊销其《医疗机构执业许可证》。</w:t>
            </w:r>
          </w:p>
          <w:p>
            <w:pPr>
              <w:rPr>
                <w:rFonts w:ascii="仿宋_GB2312" w:hAnsi="仿宋_GB2312" w:eastAsia="仿宋_GB2312" w:cs="仿宋_GB2312"/>
                <w:b/>
                <w:bCs/>
                <w:szCs w:val="21"/>
              </w:rPr>
            </w:pP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7"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68</w:t>
            </w:r>
          </w:p>
        </w:tc>
        <w:tc>
          <w:tcPr>
            <w:tcW w:w="3595" w:type="dxa"/>
          </w:tcPr>
          <w:p>
            <w:pPr>
              <w:ind w:firstLine="315" w:firstLineChars="150"/>
              <w:rPr>
                <w:rFonts w:ascii="仿宋_GB2312" w:hAnsi="仿宋_GB2312" w:eastAsia="仿宋_GB2312" w:cs="仿宋_GB2312"/>
                <w:b/>
                <w:bCs/>
                <w:sz w:val="15"/>
                <w:szCs w:val="15"/>
              </w:rPr>
            </w:pPr>
            <w:r>
              <w:rPr>
                <w:rFonts w:hint="eastAsia" w:ascii="仿宋_GB2312" w:hAnsi="仿宋_GB2312" w:eastAsia="仿宋_GB2312" w:cs="仿宋_GB2312"/>
                <w:kern w:val="0"/>
                <w:szCs w:val="21"/>
              </w:rPr>
              <w:t>医疗机构</w:t>
            </w:r>
            <w:r>
              <w:rPr>
                <w:rFonts w:hint="eastAsia" w:ascii="仿宋_GB2312" w:hAnsi="仿宋_GB2312" w:eastAsia="仿宋_GB2312" w:cs="仿宋_GB2312"/>
                <w:szCs w:val="21"/>
              </w:rPr>
              <w:t>未按照规定使用安全防护装置和个人防护用品；未对放射诊疗工作人员进行个人剂量监测、健康检查、建立个人剂量和健康档案的处罚。</w:t>
            </w:r>
          </w:p>
        </w:tc>
        <w:tc>
          <w:tcPr>
            <w:tcW w:w="1134"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7371" w:type="dxa"/>
          </w:tcPr>
          <w:p>
            <w:pPr>
              <w:rPr>
                <w:rFonts w:ascii="仿宋_GB2312" w:hAnsi="仿宋_GB2312" w:eastAsia="仿宋_GB2312" w:cs="仿宋_GB2312"/>
                <w:szCs w:val="21"/>
              </w:rPr>
            </w:pPr>
          </w:p>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szCs w:val="21"/>
              </w:rPr>
              <w:t>《放射诊疗管理规定》(中华人民共和国卫生部令第46号令)</w:t>
            </w:r>
            <w:r>
              <w:rPr>
                <w:rFonts w:hint="eastAsia" w:ascii="仿宋_GB2312" w:hAnsi="仿宋_GB2312" w:eastAsia="仿宋_GB2312" w:cs="仿宋_GB2312"/>
                <w:kern w:val="0"/>
                <w:szCs w:val="21"/>
              </w:rPr>
              <w:t>第四十一条：</w:t>
            </w:r>
            <w:r>
              <w:rPr>
                <w:rFonts w:hint="eastAsia" w:ascii="仿宋_GB2312" w:hAnsi="仿宋_GB2312" w:eastAsia="仿宋_GB2312" w:cs="仿宋_GB2312"/>
                <w:szCs w:val="21"/>
              </w:rPr>
              <w:t>医疗机构违反本规定，有下列行为之一的，由县级以上卫生行政部门给予警告，责令限期改正；并可处一万元以下的罚款：（一） 购置、使用不合格或国家有关部门规定淘汰的放射诊疗设备的；（二） 未按照规定使用安全防护装置和个人防护用品的；（三） 未按照规定对放射诊疗设备、工作场所及防护设施进行检测和检查的；（四） 未按照规定对放射诊疗工作人员进行个人剂量监测、健康检查、建立个人剂量和健康档案的；（五） 发生放射事件并造成人员健康严重损害的；（六） 发生放射事件未立即采取应急救援和控制措施或者未按照规定及时报告的；（七） 违反本规定的其他情形。</w:t>
            </w:r>
          </w:p>
        </w:tc>
        <w:tc>
          <w:tcPr>
            <w:tcW w:w="1276"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7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1962"/>
        <w:gridCol w:w="1346"/>
        <w:gridCol w:w="8651"/>
        <w:gridCol w:w="1522"/>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1962" w:type="dxa"/>
            <w:vAlign w:val="center"/>
          </w:tcPr>
          <w:p>
            <w:pPr>
              <w:jc w:val="center"/>
              <w:rPr>
                <w:rFonts w:hint="eastAsia" w:cs="Times New Roman"/>
                <w:b/>
                <w:bCs/>
                <w:sz w:val="24"/>
                <w:szCs w:val="24"/>
              </w:rPr>
            </w:pPr>
            <w:r>
              <w:rPr>
                <w:rFonts w:hint="eastAsia" w:cs="Times New Roman"/>
                <w:b/>
                <w:bCs/>
                <w:sz w:val="24"/>
                <w:szCs w:val="24"/>
              </w:rPr>
              <w:t>项目名称</w:t>
            </w:r>
          </w:p>
        </w:tc>
        <w:tc>
          <w:tcPr>
            <w:tcW w:w="1346"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522"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69</w:t>
            </w:r>
          </w:p>
          <w:p>
            <w:pPr>
              <w:rPr>
                <w:rFonts w:ascii="仿宋_GB2312" w:hAnsi="仿宋_GB2312" w:eastAsia="仿宋_GB2312" w:cs="仿宋_GB2312"/>
                <w:b/>
                <w:bCs/>
                <w:szCs w:val="21"/>
              </w:rPr>
            </w:pPr>
          </w:p>
        </w:tc>
        <w:tc>
          <w:tcPr>
            <w:tcW w:w="1962"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不符合规定条件的医疗机构擅自从事精神障碍诊断、治疗的处罚。</w:t>
            </w:r>
          </w:p>
        </w:tc>
        <w:tc>
          <w:tcPr>
            <w:tcW w:w="1346" w:type="dxa"/>
            <w:vAlign w:val="center"/>
          </w:tcPr>
          <w:p>
            <w:pPr>
              <w:jc w:val="center"/>
              <w:rPr>
                <w:rFonts w:ascii="仿宋_GB2312" w:hAnsi="宋体" w:eastAsia="仿宋_GB2312"/>
                <w:sz w:val="18"/>
                <w:szCs w:val="18"/>
              </w:rPr>
            </w:pPr>
            <w:r>
              <w:rPr>
                <w:rFonts w:hint="eastAsia" w:ascii="仿宋_GB2312" w:hAnsi="宋体" w:eastAsia="仿宋_GB2312"/>
                <w:sz w:val="18"/>
                <w:szCs w:val="18"/>
              </w:rPr>
              <w:t>卫生监</w:t>
            </w:r>
          </w:p>
          <w:p>
            <w:pPr>
              <w:jc w:val="center"/>
              <w:rPr>
                <w:rFonts w:ascii="仿宋_GB2312" w:hAnsi="仿宋_GB2312" w:eastAsia="仿宋_GB2312" w:cs="仿宋_GB2312"/>
                <w:b/>
                <w:bCs/>
                <w:szCs w:val="21"/>
              </w:rPr>
            </w:pPr>
            <w:r>
              <w:rPr>
                <w:rFonts w:hint="eastAsia" w:ascii="仿宋_GB2312" w:hAnsi="宋体" w:eastAsia="仿宋_GB2312"/>
                <w:sz w:val="18"/>
                <w:szCs w:val="18"/>
              </w:rPr>
              <w:t>督</w:t>
            </w:r>
            <w:r>
              <w:rPr>
                <w:rFonts w:hint="eastAsia" w:ascii="仿宋_GB2312" w:hAnsi="宋体" w:eastAsia="仿宋_GB2312"/>
                <w:sz w:val="18"/>
                <w:szCs w:val="18"/>
                <w:lang w:eastAsia="zh-CN"/>
              </w:rPr>
              <w:t>执法</w:t>
            </w:r>
            <w:r>
              <w:rPr>
                <w:rFonts w:hint="eastAsia" w:ascii="仿宋_GB2312" w:hAnsi="宋体" w:eastAsia="仿宋_GB2312"/>
                <w:sz w:val="18"/>
                <w:szCs w:val="18"/>
              </w:rPr>
              <w:t>所</w:t>
            </w:r>
          </w:p>
        </w:tc>
        <w:tc>
          <w:tcPr>
            <w:tcW w:w="8651"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szCs w:val="21"/>
              </w:rPr>
              <w:t xml:space="preserve">《中华人民共和国精神卫生法》（主席令第六十二号）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 </w:t>
            </w:r>
          </w:p>
        </w:tc>
        <w:tc>
          <w:tcPr>
            <w:tcW w:w="1522" w:type="dxa"/>
          </w:tcPr>
          <w:p>
            <w:pPr>
              <w:rPr>
                <w:rFonts w:hint="eastAsia" w:cs="Times New Roman"/>
                <w:b/>
                <w:bCs/>
                <w:sz w:val="30"/>
                <w:szCs w:val="30"/>
              </w:rPr>
            </w:pPr>
          </w:p>
        </w:tc>
        <w:tc>
          <w:tcPr>
            <w:tcW w:w="710"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70</w:t>
            </w:r>
          </w:p>
        </w:tc>
        <w:tc>
          <w:tcPr>
            <w:tcW w:w="1962" w:type="dxa"/>
          </w:tcPr>
          <w:p>
            <w:pPr>
              <w:widowControl/>
              <w:ind w:firstLine="315" w:firstLineChars="150"/>
              <w:jc w:val="left"/>
              <w:rPr>
                <w:rFonts w:ascii="仿宋_GB2312" w:hAnsi="仿宋_GB2312" w:eastAsia="仿宋_GB2312" w:cs="仿宋_GB2312"/>
                <w:szCs w:val="21"/>
              </w:rPr>
            </w:pPr>
            <w:r>
              <w:rPr>
                <w:rFonts w:hint="eastAsia" w:ascii="仿宋_GB2312" w:hAnsi="宋体" w:eastAsia="仿宋_GB2312" w:cs="宋体"/>
                <w:kern w:val="0"/>
                <w:szCs w:val="21"/>
              </w:rPr>
              <w:t>医疗机构</w:t>
            </w:r>
            <w:r>
              <w:rPr>
                <w:rFonts w:hint="eastAsia" w:ascii="仿宋_GB2312" w:hAnsi="仿宋_GB2312" w:eastAsia="仿宋_GB2312" w:cs="仿宋_GB2312"/>
                <w:szCs w:val="21"/>
              </w:rPr>
              <w:t>拒绝对送诊的疑似精神障碍患者作出诊断和及时进行检查评估处理</w:t>
            </w:r>
            <w:r>
              <w:rPr>
                <w:rFonts w:hint="eastAsia" w:ascii="仿宋_GB2312" w:hAnsi="宋体" w:eastAsia="仿宋_GB2312" w:cs="宋体"/>
                <w:kern w:val="0"/>
                <w:szCs w:val="21"/>
              </w:rPr>
              <w:t>的处罚。</w:t>
            </w:r>
          </w:p>
        </w:tc>
        <w:tc>
          <w:tcPr>
            <w:tcW w:w="1346" w:type="dxa"/>
            <w:vAlign w:val="center"/>
          </w:tcPr>
          <w:p>
            <w:pPr>
              <w:jc w:val="center"/>
              <w:rPr>
                <w:rFonts w:ascii="仿宋_GB2312" w:hAnsi="宋体" w:eastAsia="仿宋_GB2312"/>
                <w:sz w:val="18"/>
                <w:szCs w:val="18"/>
              </w:rPr>
            </w:pPr>
            <w:r>
              <w:rPr>
                <w:rFonts w:hint="eastAsia" w:ascii="仿宋_GB2312" w:hAnsi="宋体" w:eastAsia="仿宋_GB2312"/>
                <w:sz w:val="18"/>
                <w:szCs w:val="18"/>
              </w:rPr>
              <w:t>卫生监</w:t>
            </w:r>
          </w:p>
          <w:p>
            <w:pPr>
              <w:jc w:val="center"/>
              <w:rPr>
                <w:rFonts w:ascii="仿宋_GB2312" w:hAnsi="仿宋_GB2312" w:eastAsia="仿宋_GB2312" w:cs="仿宋_GB2312"/>
                <w:b/>
                <w:bCs/>
                <w:szCs w:val="21"/>
              </w:rPr>
            </w:pPr>
            <w:r>
              <w:rPr>
                <w:rFonts w:hint="eastAsia" w:ascii="仿宋_GB2312" w:hAnsi="宋体" w:eastAsia="仿宋_GB2312"/>
                <w:sz w:val="18"/>
                <w:szCs w:val="18"/>
              </w:rPr>
              <w:t>督</w:t>
            </w:r>
            <w:r>
              <w:rPr>
                <w:rFonts w:hint="eastAsia" w:ascii="仿宋_GB2312" w:hAnsi="宋体" w:eastAsia="仿宋_GB2312"/>
                <w:sz w:val="18"/>
                <w:szCs w:val="18"/>
                <w:lang w:eastAsia="zh-CN"/>
              </w:rPr>
              <w:t>执法</w:t>
            </w:r>
            <w:r>
              <w:rPr>
                <w:rFonts w:hint="eastAsia" w:ascii="仿宋_GB2312" w:hAnsi="宋体" w:eastAsia="仿宋_GB2312"/>
                <w:sz w:val="18"/>
                <w:szCs w:val="18"/>
              </w:rPr>
              <w:t>所</w:t>
            </w:r>
          </w:p>
        </w:tc>
        <w:tc>
          <w:tcPr>
            <w:tcW w:w="8651" w:type="dxa"/>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中华人民共和国精神卫生法》（主席令第六十二号）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p>
            <w:pPr>
              <w:rPr>
                <w:rFonts w:ascii="仿宋_GB2312" w:hAnsi="仿宋_GB2312" w:eastAsia="仿宋_GB2312" w:cs="仿宋_GB2312"/>
                <w:b/>
                <w:bCs/>
                <w:szCs w:val="21"/>
              </w:rPr>
            </w:pPr>
          </w:p>
        </w:tc>
        <w:tc>
          <w:tcPr>
            <w:tcW w:w="1522" w:type="dxa"/>
          </w:tcPr>
          <w:p>
            <w:pPr>
              <w:rPr>
                <w:rFonts w:hint="eastAsia" w:cs="Times New Roman"/>
                <w:b/>
                <w:bCs/>
                <w:sz w:val="30"/>
                <w:szCs w:val="30"/>
              </w:rPr>
            </w:pPr>
          </w:p>
        </w:tc>
        <w:tc>
          <w:tcPr>
            <w:tcW w:w="710"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71</w:t>
            </w:r>
          </w:p>
        </w:tc>
        <w:tc>
          <w:tcPr>
            <w:tcW w:w="1962" w:type="dxa"/>
          </w:tcPr>
          <w:p>
            <w:pPr>
              <w:ind w:firstLine="315" w:firstLineChars="150"/>
              <w:rPr>
                <w:rFonts w:ascii="仿宋_GB2312" w:hAnsi="仿宋_GB2312" w:eastAsia="仿宋_GB2312" w:cs="仿宋_GB2312"/>
                <w:b/>
                <w:bCs/>
                <w:szCs w:val="21"/>
              </w:rPr>
            </w:pPr>
            <w:r>
              <w:rPr>
                <w:rFonts w:hint="eastAsia" w:ascii="仿宋_GB2312" w:hAnsi="宋体" w:eastAsia="仿宋_GB2312" w:cs="宋体"/>
                <w:kern w:val="0"/>
                <w:szCs w:val="21"/>
              </w:rPr>
              <w:t>医疗机构及其工作人员侵犯精神病当事人权利的处罚.</w:t>
            </w:r>
          </w:p>
        </w:tc>
        <w:tc>
          <w:tcPr>
            <w:tcW w:w="1346" w:type="dxa"/>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ind w:left="476" w:leftChars="98"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ind w:firstLine="315" w:firstLineChars="150"/>
              <w:rPr>
                <w:rFonts w:ascii="仿宋_GB2312" w:hAnsi="仿宋_GB2312" w:eastAsia="仿宋_GB2312" w:cs="仿宋_GB2312"/>
                <w:bCs/>
                <w:szCs w:val="21"/>
              </w:rPr>
            </w:pPr>
            <w:r>
              <w:rPr>
                <w:rFonts w:hint="eastAsia" w:ascii="仿宋_GB2312" w:hAnsi="仿宋_GB2312" w:eastAsia="仿宋_GB2312" w:cs="仿宋_GB2312"/>
                <w:bCs/>
                <w:szCs w:val="21"/>
              </w:rPr>
              <w:t>《中华人民共和国精神卫生法》（主席令第六十二号）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tc>
        <w:tc>
          <w:tcPr>
            <w:tcW w:w="1522" w:type="dxa"/>
          </w:tcPr>
          <w:p>
            <w:pPr>
              <w:rPr>
                <w:rFonts w:hint="eastAsia" w:cs="Times New Roman"/>
                <w:b/>
                <w:bCs/>
                <w:sz w:val="30"/>
                <w:szCs w:val="30"/>
              </w:rPr>
            </w:pPr>
          </w:p>
        </w:tc>
        <w:tc>
          <w:tcPr>
            <w:tcW w:w="710"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1962"/>
        <w:gridCol w:w="1066"/>
        <w:gridCol w:w="8789"/>
        <w:gridCol w:w="155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1962" w:type="dxa"/>
            <w:vAlign w:val="center"/>
          </w:tcPr>
          <w:p>
            <w:pPr>
              <w:jc w:val="center"/>
              <w:rPr>
                <w:rFonts w:hint="eastAsia" w:cs="Times New Roman"/>
                <w:b/>
                <w:bCs/>
                <w:sz w:val="24"/>
                <w:szCs w:val="24"/>
              </w:rPr>
            </w:pPr>
            <w:r>
              <w:rPr>
                <w:rFonts w:hint="eastAsia" w:cs="Times New Roman"/>
                <w:b/>
                <w:bCs/>
                <w:sz w:val="24"/>
                <w:szCs w:val="24"/>
              </w:rPr>
              <w:t>项目名称</w:t>
            </w:r>
          </w:p>
        </w:tc>
        <w:tc>
          <w:tcPr>
            <w:tcW w:w="1066"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789" w:type="dxa"/>
            <w:vAlign w:val="center"/>
          </w:tcPr>
          <w:p>
            <w:pPr>
              <w:jc w:val="center"/>
              <w:rPr>
                <w:rFonts w:hint="eastAsia" w:cs="Times New Roman"/>
                <w:b/>
                <w:bCs/>
                <w:sz w:val="24"/>
                <w:szCs w:val="24"/>
              </w:rPr>
            </w:pPr>
            <w:r>
              <w:rPr>
                <w:rFonts w:hint="eastAsia" w:cs="Times New Roman"/>
                <w:b/>
                <w:bCs/>
                <w:sz w:val="24"/>
                <w:szCs w:val="24"/>
              </w:rPr>
              <w:t>实施依据</w:t>
            </w:r>
          </w:p>
        </w:tc>
        <w:tc>
          <w:tcPr>
            <w:tcW w:w="1559"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2"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72</w:t>
            </w:r>
          </w:p>
          <w:p>
            <w:pPr>
              <w:rPr>
                <w:rFonts w:ascii="仿宋_GB2312" w:hAnsi="仿宋_GB2312" w:eastAsia="仿宋_GB2312" w:cs="仿宋_GB2312"/>
                <w:b/>
                <w:bCs/>
                <w:szCs w:val="21"/>
              </w:rPr>
            </w:pPr>
          </w:p>
        </w:tc>
        <w:tc>
          <w:tcPr>
            <w:tcW w:w="1962" w:type="dxa"/>
          </w:tcPr>
          <w:p>
            <w:pPr>
              <w:ind w:firstLine="315" w:firstLineChars="150"/>
              <w:rPr>
                <w:rFonts w:ascii="仿宋_GB2312" w:hAnsi="仿宋_GB2312" w:eastAsia="仿宋_GB2312" w:cs="仿宋_GB2312"/>
                <w:bCs/>
                <w:szCs w:val="21"/>
              </w:rPr>
            </w:pPr>
            <w:r>
              <w:rPr>
                <w:rFonts w:hint="eastAsia" w:ascii="仿宋_GB2312" w:hAnsi="仿宋_GB2312" w:eastAsia="仿宋_GB2312" w:cs="仿宋_GB2312"/>
                <w:bCs/>
                <w:szCs w:val="21"/>
              </w:rPr>
              <w:t>未取得麻醉药品和第一类精神药品处方资格的执业医师擅自开具麻醉药品和第一类精神药品处方处罚。</w:t>
            </w:r>
          </w:p>
        </w:tc>
        <w:tc>
          <w:tcPr>
            <w:tcW w:w="1066"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89"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szCs w:val="21"/>
              </w:rPr>
              <w:t>《麻醉药品和精神药品管理条例》（中华人民共和国国务院令第442号）第七十三条：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处方的调配人、核对人违反本条例的规定未对麻醉药品和第一类精神药品处方进行核对，造成严重后果的，由原发证部门吊销其执业证书。</w:t>
            </w:r>
          </w:p>
        </w:tc>
        <w:tc>
          <w:tcPr>
            <w:tcW w:w="1559"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73</w:t>
            </w:r>
          </w:p>
        </w:tc>
        <w:tc>
          <w:tcPr>
            <w:tcW w:w="1962"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发生麻醉药品和精神药品被盗、被抢、丢失案件的单位未采取必要的控制措施和报告的处罚。</w:t>
            </w:r>
          </w:p>
        </w:tc>
        <w:tc>
          <w:tcPr>
            <w:tcW w:w="1066"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789" w:type="dxa"/>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麻醉药品和精神药品管理条例》（中华人民共和国国务院令第442号）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pPr>
              <w:rPr>
                <w:rFonts w:ascii="仿宋_GB2312" w:hAnsi="仿宋_GB2312" w:eastAsia="仿宋_GB2312" w:cs="仿宋_GB2312"/>
                <w:b/>
                <w:bCs/>
                <w:szCs w:val="21"/>
              </w:rPr>
            </w:pPr>
          </w:p>
        </w:tc>
        <w:tc>
          <w:tcPr>
            <w:tcW w:w="1559"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2178"/>
        <w:gridCol w:w="1130"/>
        <w:gridCol w:w="8651"/>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2178" w:type="dxa"/>
            <w:vAlign w:val="center"/>
          </w:tcPr>
          <w:p>
            <w:pPr>
              <w:jc w:val="center"/>
              <w:rPr>
                <w:rFonts w:hint="eastAsia" w:cs="Times New Roman"/>
                <w:b/>
                <w:bCs/>
                <w:sz w:val="24"/>
                <w:szCs w:val="24"/>
              </w:rPr>
            </w:pPr>
            <w:r>
              <w:rPr>
                <w:rFonts w:hint="eastAsia" w:cs="Times New Roman"/>
                <w:b/>
                <w:bCs/>
                <w:sz w:val="24"/>
                <w:szCs w:val="24"/>
              </w:rPr>
              <w:t>项目名称</w:t>
            </w:r>
          </w:p>
        </w:tc>
        <w:tc>
          <w:tcPr>
            <w:tcW w:w="1130"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2"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74</w:t>
            </w:r>
          </w:p>
          <w:p>
            <w:pPr>
              <w:rPr>
                <w:rFonts w:ascii="仿宋_GB2312" w:hAnsi="仿宋_GB2312" w:eastAsia="仿宋_GB2312" w:cs="仿宋_GB2312"/>
                <w:b/>
                <w:bCs/>
                <w:szCs w:val="21"/>
              </w:rPr>
            </w:pPr>
          </w:p>
        </w:tc>
        <w:tc>
          <w:tcPr>
            <w:tcW w:w="2178"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医疗卫生机构未按照规定报告职业病、疑似职业病的处罚。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szCs w:val="21"/>
              </w:rPr>
              <w:t>《中华人民共和国职业病防治法》（中华人民共和国主席令第五十二号）第七十五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2"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75</w:t>
            </w:r>
          </w:p>
        </w:tc>
        <w:tc>
          <w:tcPr>
            <w:tcW w:w="2178"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kern w:val="0"/>
                <w:szCs w:val="21"/>
              </w:rPr>
              <w:t>医疗卫生机构未经批准擅自从事职业健康检查、职业病诊断的处罚。</w:t>
            </w:r>
          </w:p>
        </w:tc>
        <w:tc>
          <w:tcPr>
            <w:tcW w:w="1130"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中华人民共和国职业病防治法》（中华人民共和国主席令第五十二号）第八十条：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rPr>
                <w:rFonts w:ascii="仿宋_GB2312" w:hAnsi="仿宋_GB2312" w:eastAsia="仿宋_GB2312" w:cs="仿宋_GB2312"/>
                <w:b/>
                <w:bCs/>
                <w:szCs w:val="21"/>
              </w:rPr>
            </w:pP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2036"/>
        <w:gridCol w:w="992"/>
        <w:gridCol w:w="8931"/>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2036" w:type="dxa"/>
            <w:vAlign w:val="center"/>
          </w:tcPr>
          <w:p>
            <w:pPr>
              <w:jc w:val="center"/>
              <w:rPr>
                <w:rFonts w:hint="eastAsia" w:cs="Times New Roman"/>
                <w:b/>
                <w:bCs/>
                <w:sz w:val="24"/>
                <w:szCs w:val="24"/>
              </w:rPr>
            </w:pPr>
            <w:r>
              <w:rPr>
                <w:rFonts w:hint="eastAsia" w:cs="Times New Roman"/>
                <w:b/>
                <w:bCs/>
                <w:sz w:val="24"/>
                <w:szCs w:val="24"/>
              </w:rPr>
              <w:t>项目名称</w:t>
            </w:r>
          </w:p>
        </w:tc>
        <w:tc>
          <w:tcPr>
            <w:tcW w:w="992"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931"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7"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76</w:t>
            </w:r>
          </w:p>
          <w:p>
            <w:pPr>
              <w:rPr>
                <w:rFonts w:ascii="仿宋_GB2312" w:hAnsi="仿宋_GB2312" w:eastAsia="仿宋_GB2312" w:cs="仿宋_GB2312"/>
                <w:b/>
                <w:bCs/>
                <w:szCs w:val="21"/>
              </w:rPr>
            </w:pPr>
          </w:p>
        </w:tc>
        <w:tc>
          <w:tcPr>
            <w:tcW w:w="2036"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学校有关设施、设备、器械、场地、环境不符合要求的处罚。</w:t>
            </w:r>
          </w:p>
        </w:tc>
        <w:tc>
          <w:tcPr>
            <w:tcW w:w="992"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931" w:type="dxa"/>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《学校卫生工作条例》 (卫生部第1号令)第三十三条：违反本条例第六条第一款、第七条和第十条规定的,由卫生行政部门对直接责任单位或者个人给予警告并责令限期改进。情节严重的,可以同时建议教育行政部门给予行政处分。</w:t>
            </w:r>
          </w:p>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第六条第一款：学校教学建筑、环境噪声、室内微小气候、采光、照明等环境质量以及黑板、课桌椅的设置应当符合国家有关标准。</w:t>
            </w:r>
          </w:p>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第七条:学校应当按照有关规定为学生设置厕所和洗手设施。寄宿制学校应当为学生提供相应的洗漱、 洗澡等卫生设施。学校应当为学生提供充足的符合卫生标准的饮用水。</w:t>
            </w:r>
          </w:p>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第十条:学校体育场地和器材应当符合卫生和安全要求。运动项目和运动强度应当适合学生的生理承受能力和体质健康状况,防止发生伤害事故。</w:t>
            </w:r>
          </w:p>
          <w:p>
            <w:pPr>
              <w:rPr>
                <w:rFonts w:ascii="仿宋_GB2312" w:hAnsi="仿宋_GB2312" w:eastAsia="仿宋_GB2312" w:cs="仿宋_GB2312"/>
                <w:b/>
                <w:bCs/>
                <w:szCs w:val="21"/>
              </w:rPr>
            </w:pP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0" w:hRule="atLeast"/>
        </w:trPr>
        <w:tc>
          <w:tcPr>
            <w:tcW w:w="516"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77</w:t>
            </w:r>
          </w:p>
        </w:tc>
        <w:tc>
          <w:tcPr>
            <w:tcW w:w="2036"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学校组织学生参加适当的劳动时因未进行安全教育和提供必要的安全和卫生防护措施致使学生健康受到损害的处罚。</w:t>
            </w:r>
          </w:p>
        </w:tc>
        <w:tc>
          <w:tcPr>
            <w:tcW w:w="992"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931" w:type="dxa"/>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《学校卫生工作条例》(卫生部令第1号)第三十四条:违反本条例第十一条规定,致使学生健康受到损害的,由卫生行政部门对直接责任单位或者个人给予警告,责令限期改进。</w:t>
            </w:r>
          </w:p>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szCs w:val="21"/>
              </w:rPr>
              <w:t>第十一条:学校应当根据学生的年龄,组织学生参加适当的劳动,并对参加劳动的学生,进行安全教育,提供必要的安全和卫生防护 措施。普通中小学校组织学生参加劳动,不得让学生接触有毒有害物质或者从事不安全工种的作业,不得让学生参加夜班劳动。普通高等学校、中等专业学校、技工学校、农业中学、职业中学组织学生参加生产劳动,接触有毒有害物质的,按照国家有关规定,提供保健待遇。学校应当定期对他们进行体格检查,加强卫生防护。</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1962"/>
        <w:gridCol w:w="1346"/>
        <w:gridCol w:w="8651"/>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1962" w:type="dxa"/>
            <w:vAlign w:val="center"/>
          </w:tcPr>
          <w:p>
            <w:pPr>
              <w:jc w:val="center"/>
              <w:rPr>
                <w:rFonts w:hint="eastAsia" w:cs="Times New Roman"/>
                <w:b/>
                <w:bCs/>
                <w:sz w:val="24"/>
                <w:szCs w:val="24"/>
              </w:rPr>
            </w:pPr>
            <w:r>
              <w:rPr>
                <w:rFonts w:hint="eastAsia" w:cs="Times New Roman"/>
                <w:b/>
                <w:bCs/>
                <w:sz w:val="24"/>
                <w:szCs w:val="24"/>
              </w:rPr>
              <w:t>项目名称</w:t>
            </w:r>
          </w:p>
        </w:tc>
        <w:tc>
          <w:tcPr>
            <w:tcW w:w="1346"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trPr>
        <w:tc>
          <w:tcPr>
            <w:tcW w:w="516"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78</w:t>
            </w:r>
          </w:p>
        </w:tc>
        <w:tc>
          <w:tcPr>
            <w:tcW w:w="1962" w:type="dxa"/>
          </w:tcPr>
          <w:p>
            <w:pPr>
              <w:ind w:firstLine="210" w:firstLineChars="100"/>
              <w:rPr>
                <w:rFonts w:ascii="仿宋_GB2312" w:hAnsi="仿宋_GB2312" w:eastAsia="仿宋_GB2312" w:cs="仿宋_GB2312"/>
                <w:b/>
                <w:bCs/>
                <w:szCs w:val="21"/>
              </w:rPr>
            </w:pPr>
            <w:r>
              <w:rPr>
                <w:rFonts w:hint="eastAsia" w:ascii="仿宋_GB2312" w:hAnsi="宋体" w:eastAsia="仿宋_GB2312" w:cs="宋体"/>
                <w:kern w:val="0"/>
                <w:szCs w:val="21"/>
              </w:rPr>
              <w:t>供学生使用的文具、娱乐器具、保健用品不符合国家有关卫生标准的处罚。</w:t>
            </w:r>
          </w:p>
        </w:tc>
        <w:tc>
          <w:tcPr>
            <w:tcW w:w="1346" w:type="dxa"/>
            <w:vAlign w:val="center"/>
          </w:tcPr>
          <w:p>
            <w:pPr>
              <w:ind w:left="476" w:leftChars="98"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widowControl/>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学校卫生工作条例》(卫生部令第1号)第三十五条:违反本条例第二十七条规定的，由卫生行政部门对直接责任单位或者个人给予警告。情节严重的,可以会同工商行政部门没收其不符合国家有关卫生标准的物品,并处以非法所得两倍以下的罚款。</w:t>
            </w:r>
          </w:p>
          <w:p>
            <w:pPr>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第二十七条:供学生使用的文具、娱乐器具、保健用品,必须符合国家有关卫生标准。</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7" w:hRule="atLeast"/>
        </w:trPr>
        <w:tc>
          <w:tcPr>
            <w:tcW w:w="516"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79</w:t>
            </w:r>
          </w:p>
        </w:tc>
        <w:tc>
          <w:tcPr>
            <w:tcW w:w="1962" w:type="dxa"/>
          </w:tcPr>
          <w:p>
            <w:pPr>
              <w:ind w:firstLine="210" w:firstLineChars="1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计划生育技术服务机构或者医疗、保健机构以外的机构或者人员违反规定擅自从事计划生育技术服务的处罚。</w:t>
            </w:r>
          </w:p>
          <w:p>
            <w:pPr>
              <w:ind w:firstLine="210" w:firstLineChars="100"/>
              <w:rPr>
                <w:rFonts w:ascii="仿宋_GB2312" w:hAnsi="仿宋_GB2312" w:eastAsia="仿宋_GB2312" w:cs="仿宋_GB2312"/>
                <w:color w:val="000000"/>
                <w:kern w:val="0"/>
                <w:szCs w:val="21"/>
              </w:rPr>
            </w:pPr>
          </w:p>
          <w:p>
            <w:pPr>
              <w:ind w:firstLine="210" w:firstLineChars="100"/>
              <w:rPr>
                <w:rFonts w:ascii="仿宋_GB2312" w:hAnsi="仿宋_GB2312" w:eastAsia="仿宋_GB2312" w:cs="仿宋_GB2312"/>
                <w:color w:val="000000"/>
                <w:kern w:val="0"/>
                <w:szCs w:val="21"/>
              </w:rPr>
            </w:pPr>
          </w:p>
          <w:p>
            <w:pPr>
              <w:ind w:firstLine="210" w:firstLineChars="100"/>
              <w:rPr>
                <w:rFonts w:ascii="仿宋_GB2312" w:hAnsi="仿宋_GB2312" w:eastAsia="仿宋_GB2312" w:cs="仿宋_GB2312"/>
                <w:color w:val="000000"/>
                <w:kern w:val="0"/>
                <w:szCs w:val="21"/>
              </w:rPr>
            </w:pPr>
          </w:p>
          <w:p>
            <w:pPr>
              <w:ind w:firstLine="210" w:firstLineChars="100"/>
              <w:rPr>
                <w:rFonts w:ascii="仿宋_GB2312" w:hAnsi="仿宋_GB2312" w:eastAsia="仿宋_GB2312" w:cs="仿宋_GB2312"/>
                <w:color w:val="000000"/>
                <w:kern w:val="0"/>
                <w:szCs w:val="21"/>
              </w:rPr>
            </w:pPr>
          </w:p>
          <w:p>
            <w:pPr>
              <w:ind w:firstLine="210" w:firstLineChars="100"/>
              <w:rPr>
                <w:rFonts w:ascii="仿宋_GB2312" w:hAnsi="仿宋_GB2312" w:eastAsia="仿宋_GB2312" w:cs="仿宋_GB2312"/>
                <w:color w:val="000000"/>
                <w:kern w:val="0"/>
                <w:szCs w:val="21"/>
              </w:rPr>
            </w:pPr>
          </w:p>
          <w:p>
            <w:pPr>
              <w:ind w:firstLine="211" w:firstLineChars="100"/>
              <w:rPr>
                <w:rFonts w:ascii="仿宋_GB2312" w:hAnsi="仿宋_GB2312" w:eastAsia="仿宋_GB2312" w:cs="仿宋_GB2312"/>
                <w:b/>
                <w:bCs/>
                <w:szCs w:val="21"/>
              </w:rPr>
            </w:pPr>
          </w:p>
        </w:tc>
        <w:tc>
          <w:tcPr>
            <w:tcW w:w="1346" w:type="dxa"/>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ind w:left="476" w:leftChars="98"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651"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szCs w:val="21"/>
              </w:rPr>
              <w:t>《计划生育技术服务管理条例》(国务院令第309号)第三十四条:“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1962"/>
        <w:gridCol w:w="1346"/>
        <w:gridCol w:w="8651"/>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1962" w:type="dxa"/>
            <w:vAlign w:val="center"/>
          </w:tcPr>
          <w:p>
            <w:pPr>
              <w:jc w:val="center"/>
              <w:rPr>
                <w:rFonts w:hint="eastAsia" w:cs="Times New Roman"/>
                <w:b/>
                <w:bCs/>
                <w:sz w:val="24"/>
                <w:szCs w:val="24"/>
              </w:rPr>
            </w:pPr>
            <w:r>
              <w:rPr>
                <w:rFonts w:hint="eastAsia" w:cs="Times New Roman"/>
                <w:b/>
                <w:bCs/>
                <w:sz w:val="24"/>
                <w:szCs w:val="24"/>
              </w:rPr>
              <w:t>项目名称</w:t>
            </w:r>
          </w:p>
        </w:tc>
        <w:tc>
          <w:tcPr>
            <w:tcW w:w="1346"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417"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9" w:hRule="atLeast"/>
        </w:trPr>
        <w:tc>
          <w:tcPr>
            <w:tcW w:w="516"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80</w:t>
            </w:r>
          </w:p>
        </w:tc>
        <w:tc>
          <w:tcPr>
            <w:tcW w:w="1962" w:type="dxa"/>
          </w:tcPr>
          <w:p>
            <w:pPr>
              <w:ind w:firstLine="210" w:firstLineChars="100"/>
              <w:rPr>
                <w:rFonts w:ascii="仿宋_GB2312" w:hAnsi="仿宋_GB2312" w:eastAsia="仿宋_GB2312" w:cs="仿宋_GB2312"/>
                <w:b/>
                <w:bCs/>
                <w:szCs w:val="21"/>
              </w:rPr>
            </w:pPr>
            <w:r>
              <w:rPr>
                <w:rFonts w:hint="eastAsia" w:ascii="仿宋_GB2312" w:hAnsi="仿宋_GB2312" w:eastAsia="仿宋_GB2312" w:cs="仿宋_GB2312"/>
                <w:color w:val="000000"/>
                <w:kern w:val="0"/>
                <w:szCs w:val="21"/>
              </w:rPr>
              <w:t>计划生育技术服务机构未经批准擅自从事产前诊断和使用辅助生育技术治疗不育症的处罚</w:t>
            </w:r>
          </w:p>
        </w:tc>
        <w:tc>
          <w:tcPr>
            <w:tcW w:w="1346" w:type="dxa"/>
            <w:vAlign w:val="center"/>
          </w:tcPr>
          <w:p>
            <w:pPr>
              <w:jc w:val="center"/>
              <w:rPr>
                <w:rFonts w:ascii="仿宋_GB2312" w:hAnsi="宋体" w:eastAsia="仿宋_GB2312"/>
                <w:sz w:val="18"/>
                <w:szCs w:val="18"/>
              </w:rPr>
            </w:pPr>
            <w:r>
              <w:rPr>
                <w:rFonts w:hint="eastAsia" w:ascii="仿宋_GB2312" w:hAnsi="宋体" w:eastAsia="仿宋_GB2312"/>
                <w:sz w:val="18"/>
                <w:szCs w:val="18"/>
              </w:rPr>
              <w:t>卫生计生监</w:t>
            </w:r>
          </w:p>
          <w:p>
            <w:pPr>
              <w:jc w:val="center"/>
              <w:rPr>
                <w:rFonts w:ascii="仿宋_GB2312" w:hAnsi="仿宋_GB2312" w:eastAsia="仿宋_GB2312" w:cs="仿宋_GB2312"/>
                <w:b/>
                <w:bCs/>
                <w:szCs w:val="21"/>
              </w:rPr>
            </w:pPr>
            <w:r>
              <w:rPr>
                <w:rFonts w:hint="eastAsia" w:ascii="仿宋_GB2312" w:hAnsi="宋体" w:eastAsia="仿宋_GB2312"/>
                <w:sz w:val="18"/>
                <w:szCs w:val="18"/>
              </w:rPr>
              <w:t>督所</w:t>
            </w:r>
          </w:p>
        </w:tc>
        <w:tc>
          <w:tcPr>
            <w:tcW w:w="8651" w:type="dxa"/>
          </w:tcPr>
          <w:p>
            <w:pPr>
              <w:rPr>
                <w:rFonts w:ascii="仿宋_GB2312" w:hAnsi="仿宋_GB2312" w:eastAsia="仿宋_GB2312" w:cs="仿宋_GB2312"/>
                <w:b/>
                <w:bCs/>
                <w:szCs w:val="21"/>
              </w:rPr>
            </w:pPr>
            <w:r>
              <w:rPr>
                <w:rFonts w:hint="eastAsia" w:ascii="仿宋_GB2312" w:hAnsi="仿宋_GB2312" w:eastAsia="仿宋_GB2312" w:cs="仿宋_GB2312"/>
                <w:color w:val="000000"/>
                <w:kern w:val="0"/>
                <w:szCs w:val="21"/>
              </w:rPr>
              <w:t xml:space="preserve">  《计划生育技术服务管理条例》(国务院令第309号)第三十五条:“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 。”</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trPr>
        <w:tc>
          <w:tcPr>
            <w:tcW w:w="516" w:type="dxa"/>
            <w:vAlign w:val="center"/>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81</w:t>
            </w:r>
          </w:p>
        </w:tc>
        <w:tc>
          <w:tcPr>
            <w:tcW w:w="1962"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kern w:val="0"/>
                <w:szCs w:val="21"/>
              </w:rPr>
              <w:t>组织、介绍妊娠十四周以上的妇女非法进行胎儿性别鉴定或者施行选择性别人工终止妊娠手术的处罚。</w:t>
            </w:r>
          </w:p>
        </w:tc>
        <w:tc>
          <w:tcPr>
            <w:tcW w:w="1346" w:type="dxa"/>
            <w:vAlign w:val="center"/>
          </w:tcPr>
          <w:p>
            <w:pPr>
              <w:jc w:val="center"/>
              <w:rPr>
                <w:rFonts w:ascii="仿宋_GB2312" w:hAnsi="宋体" w:eastAsia="仿宋_GB2312"/>
                <w:sz w:val="18"/>
                <w:szCs w:val="18"/>
              </w:rPr>
            </w:pPr>
            <w:r>
              <w:rPr>
                <w:rFonts w:hint="eastAsia" w:ascii="仿宋_GB2312" w:hAnsi="宋体" w:eastAsia="仿宋_GB2312"/>
                <w:sz w:val="18"/>
                <w:szCs w:val="18"/>
              </w:rPr>
              <w:t>卫生计生监</w:t>
            </w:r>
          </w:p>
          <w:p>
            <w:pPr>
              <w:jc w:val="center"/>
              <w:rPr>
                <w:rFonts w:ascii="仿宋_GB2312" w:hAnsi="仿宋_GB2312" w:eastAsia="仿宋_GB2312" w:cs="仿宋_GB2312"/>
                <w:b/>
                <w:bCs/>
                <w:szCs w:val="21"/>
              </w:rPr>
            </w:pPr>
            <w:r>
              <w:rPr>
                <w:rFonts w:hint="eastAsia" w:ascii="仿宋_GB2312" w:hAnsi="宋体" w:eastAsia="仿宋_GB2312"/>
                <w:sz w:val="18"/>
                <w:szCs w:val="18"/>
              </w:rPr>
              <w:t>督所</w:t>
            </w:r>
          </w:p>
        </w:tc>
        <w:tc>
          <w:tcPr>
            <w:tcW w:w="8651" w:type="dxa"/>
          </w:tcPr>
          <w:p>
            <w:pPr>
              <w:ind w:firstLine="315" w:firstLineChars="150"/>
              <w:rPr>
                <w:rFonts w:ascii="仿宋_GB2312" w:hAnsi="仿宋_GB2312" w:eastAsia="仿宋_GB2312" w:cs="仿宋_GB2312"/>
                <w:b/>
                <w:bCs/>
                <w:szCs w:val="21"/>
              </w:rPr>
            </w:pPr>
            <w:r>
              <w:rPr>
                <w:rFonts w:hint="eastAsia" w:ascii="仿宋_GB2312" w:hAnsi="仿宋_GB2312" w:eastAsia="仿宋_GB2312" w:cs="仿宋_GB2312"/>
                <w:kern w:val="0"/>
                <w:szCs w:val="21"/>
              </w:rPr>
              <w:t>《河南省禁止非医学需要胎儿性别鉴定和选择性别人工终止妊娠条例》第二十条：违反本条例规定，组织、介绍妊娠十四周以上的妇女非法进行胎儿性别鉴定或者施行选择性别人工终止妊娠手术的，由县级以上人口和计划生育行政部门处以五千元以上一万元以下罚款，有违法所得的，没收违法所得；行为人属国家工作人员的，由行政监察机关或者其所在单位给予行政处分。</w:t>
            </w:r>
          </w:p>
        </w:tc>
        <w:tc>
          <w:tcPr>
            <w:tcW w:w="1417"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rPr>
      </w:pPr>
    </w:p>
    <w:p>
      <w:pPr>
        <w:rPr>
          <w:rFonts w:hint="eastAsia"/>
        </w:rPr>
      </w:pPr>
    </w:p>
    <w:p>
      <w:pPr>
        <w:rPr>
          <w:rFonts w:hint="eastAsia"/>
        </w:rPr>
      </w:pPr>
    </w:p>
    <w:p>
      <w:pPr>
        <w:rPr>
          <w:rFonts w:hint="eastAsia"/>
        </w:rPr>
      </w:pPr>
    </w:p>
    <w:tbl>
      <w:tblPr>
        <w:tblStyle w:val="5"/>
        <w:tblW w:w="146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2178"/>
        <w:gridCol w:w="1130"/>
        <w:gridCol w:w="8509"/>
        <w:gridCol w:w="155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2178" w:type="dxa"/>
            <w:vAlign w:val="center"/>
          </w:tcPr>
          <w:p>
            <w:pPr>
              <w:jc w:val="center"/>
              <w:rPr>
                <w:rFonts w:hint="eastAsia" w:cs="Times New Roman"/>
                <w:b/>
                <w:bCs/>
                <w:sz w:val="24"/>
                <w:szCs w:val="24"/>
              </w:rPr>
            </w:pPr>
            <w:r>
              <w:rPr>
                <w:rFonts w:hint="eastAsia" w:cs="Times New Roman"/>
                <w:b/>
                <w:bCs/>
                <w:sz w:val="24"/>
                <w:szCs w:val="24"/>
              </w:rPr>
              <w:t>项目名称</w:t>
            </w:r>
          </w:p>
        </w:tc>
        <w:tc>
          <w:tcPr>
            <w:tcW w:w="1130"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509" w:type="dxa"/>
            <w:vAlign w:val="center"/>
          </w:tcPr>
          <w:p>
            <w:pPr>
              <w:jc w:val="center"/>
              <w:rPr>
                <w:rFonts w:hint="eastAsia" w:cs="Times New Roman"/>
                <w:b/>
                <w:bCs/>
                <w:sz w:val="24"/>
                <w:szCs w:val="24"/>
              </w:rPr>
            </w:pPr>
            <w:r>
              <w:rPr>
                <w:rFonts w:hint="eastAsia" w:cs="Times New Roman"/>
                <w:b/>
                <w:bCs/>
                <w:sz w:val="24"/>
                <w:szCs w:val="24"/>
              </w:rPr>
              <w:t>实施依据</w:t>
            </w:r>
          </w:p>
        </w:tc>
        <w:tc>
          <w:tcPr>
            <w:tcW w:w="1559"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09"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9" w:hRule="atLeast"/>
        </w:trPr>
        <w:tc>
          <w:tcPr>
            <w:tcW w:w="516"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82</w:t>
            </w:r>
          </w:p>
        </w:tc>
        <w:tc>
          <w:tcPr>
            <w:tcW w:w="2178" w:type="dxa"/>
          </w:tcPr>
          <w:p>
            <w:pPr>
              <w:ind w:firstLine="210" w:firstLineChars="100"/>
              <w:rPr>
                <w:rFonts w:ascii="仿宋_GB2312" w:hAnsi="仿宋_GB2312" w:eastAsia="仿宋_GB2312" w:cs="仿宋_GB2312"/>
                <w:bCs/>
                <w:szCs w:val="21"/>
              </w:rPr>
            </w:pPr>
            <w:r>
              <w:rPr>
                <w:rFonts w:hint="eastAsia" w:ascii="仿宋_GB2312" w:hAnsi="仿宋_GB2312" w:eastAsia="仿宋_GB2312" w:cs="仿宋_GB2312"/>
                <w:bCs/>
                <w:szCs w:val="21"/>
              </w:rPr>
              <w:t>非法为他人施行计划生育手术的处罚。</w:t>
            </w:r>
          </w:p>
        </w:tc>
        <w:tc>
          <w:tcPr>
            <w:tcW w:w="1130" w:type="dxa"/>
            <w:vAlign w:val="center"/>
          </w:tcPr>
          <w:p>
            <w:pPr>
              <w:ind w:left="270" w:hanging="270" w:hangingChars="150"/>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卫生监督执法所</w:t>
            </w:r>
          </w:p>
        </w:tc>
        <w:tc>
          <w:tcPr>
            <w:tcW w:w="8509" w:type="dxa"/>
          </w:tcPr>
          <w:p>
            <w:pPr>
              <w:widowControl/>
              <w:ind w:firstLine="270" w:firstLine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《中华人民共和国人口与计划生育法 》（主席令第六十三号）第三十六条: “违反本法规定,有下列行为之一的,由计划生育行政部门或者卫生行政部门依据职权责令改正,给予警告,没收违法所得;违法所得一万元以上的 ,处违法所得二倍以上六倍以下的罚 款 ;没有违法所得或者违法所得不足一万元的,处一万元以上三万元以下的罚款;构成犯罪的,依法追究刑事责任: (一)非法为他人施行计划生育手术的… …”</w:t>
            </w:r>
          </w:p>
          <w:p>
            <w:pPr>
              <w:rPr>
                <w:rFonts w:ascii="仿宋_GB2312" w:hAnsi="仿宋_GB2312" w:eastAsia="仿宋_GB2312" w:cs="仿宋_GB2312"/>
                <w:b/>
                <w:bCs/>
                <w:szCs w:val="21"/>
              </w:rPr>
            </w:pPr>
            <w:r>
              <w:rPr>
                <w:rFonts w:hint="eastAsia" w:ascii="仿宋_GB2312" w:hAnsi="仿宋_GB2312" w:eastAsia="仿宋_GB2312" w:cs="仿宋_GB2312"/>
                <w:sz w:val="18"/>
                <w:szCs w:val="18"/>
              </w:rPr>
              <w:t xml:space="preserve"> 《河南省人口与计划生育条例》(2016年5月27日河南省第十二届人民代表大会常务委员会第二十二次会议修改审议通过)第四十条: “违反本条例规定,有下列行为之一的 ,由卫生和计划生育行政部门依据职权责令改正,给予警告,没收违法所得;违法所得一万元以上的,处违法所得二倍以上六倍以下的罚款;没有违法所得或者违法所得不足一万元的,处一万元以上三万元以下的罚款;是国家工作人员的,并给予记大过以上行政处分;构成犯罪的,依法追究刑事责任:(一) 非法为他人施行计划生育手术的 … …”</w:t>
            </w:r>
          </w:p>
        </w:tc>
        <w:tc>
          <w:tcPr>
            <w:tcW w:w="1559" w:type="dxa"/>
          </w:tcPr>
          <w:p>
            <w:pPr>
              <w:rPr>
                <w:rFonts w:hint="eastAsia" w:cs="Times New Roman"/>
                <w:b/>
                <w:bCs/>
                <w:sz w:val="30"/>
                <w:szCs w:val="30"/>
              </w:rPr>
            </w:pPr>
          </w:p>
        </w:tc>
        <w:tc>
          <w:tcPr>
            <w:tcW w:w="709" w:type="dxa"/>
          </w:tcPr>
          <w:p>
            <w:pPr>
              <w:rPr>
                <w:rFonts w:hint="eastAsia" w:cs="Times New Roman"/>
                <w:b/>
                <w:bCs/>
                <w:sz w:val="30"/>
                <w:szCs w:val="30"/>
              </w:rPr>
            </w:pPr>
          </w:p>
        </w:tc>
      </w:tr>
    </w:tbl>
    <w:p>
      <w:pPr>
        <w:rPr>
          <w:rFonts w:hint="eastAsia" w:cs="Times New Roman"/>
          <w:b/>
          <w:bCs/>
          <w:sz w:val="30"/>
          <w:szCs w:val="30"/>
          <w:lang w:eastAsia="zh-CN"/>
        </w:rPr>
      </w:pPr>
    </w:p>
    <w:p>
      <w:pPr>
        <w:ind w:firstLine="4506" w:firstLineChars="1496"/>
        <w:rPr>
          <w:rFonts w:hint="eastAsia" w:cs="Times New Roman"/>
          <w:b/>
          <w:bCs/>
          <w:sz w:val="30"/>
          <w:szCs w:val="30"/>
        </w:rPr>
      </w:pPr>
    </w:p>
    <w:p>
      <w:pPr>
        <w:rPr>
          <w:rFonts w:hint="eastAsia"/>
        </w:rPr>
      </w:pPr>
    </w:p>
    <w:tbl>
      <w:tblPr>
        <w:tblStyle w:val="5"/>
        <w:tblW w:w="147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1962"/>
        <w:gridCol w:w="1346"/>
        <w:gridCol w:w="8651"/>
        <w:gridCol w:w="1522"/>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16" w:type="dxa"/>
            <w:vAlign w:val="center"/>
          </w:tcPr>
          <w:p>
            <w:pPr>
              <w:jc w:val="center"/>
              <w:rPr>
                <w:rFonts w:hint="eastAsia" w:cs="Times New Roman"/>
                <w:b/>
                <w:bCs/>
                <w:sz w:val="24"/>
                <w:szCs w:val="24"/>
              </w:rPr>
            </w:pPr>
            <w:r>
              <w:rPr>
                <w:rFonts w:hint="eastAsia" w:cs="Times New Roman"/>
                <w:b/>
                <w:bCs/>
                <w:sz w:val="24"/>
                <w:szCs w:val="24"/>
              </w:rPr>
              <w:t>序号</w:t>
            </w:r>
          </w:p>
        </w:tc>
        <w:tc>
          <w:tcPr>
            <w:tcW w:w="1962" w:type="dxa"/>
            <w:vAlign w:val="center"/>
          </w:tcPr>
          <w:p>
            <w:pPr>
              <w:jc w:val="center"/>
              <w:rPr>
                <w:rFonts w:hint="eastAsia" w:cs="Times New Roman"/>
                <w:b/>
                <w:bCs/>
                <w:sz w:val="24"/>
                <w:szCs w:val="24"/>
              </w:rPr>
            </w:pPr>
            <w:r>
              <w:rPr>
                <w:rFonts w:hint="eastAsia" w:cs="Times New Roman"/>
                <w:b/>
                <w:bCs/>
                <w:sz w:val="24"/>
                <w:szCs w:val="24"/>
              </w:rPr>
              <w:t>项目名称</w:t>
            </w:r>
          </w:p>
        </w:tc>
        <w:tc>
          <w:tcPr>
            <w:tcW w:w="1346" w:type="dxa"/>
            <w:vAlign w:val="center"/>
          </w:tcPr>
          <w:p>
            <w:pPr>
              <w:jc w:val="center"/>
              <w:rPr>
                <w:rFonts w:hint="eastAsia" w:cs="Times New Roman"/>
                <w:b/>
                <w:bCs/>
                <w:sz w:val="24"/>
                <w:szCs w:val="24"/>
              </w:rPr>
            </w:pPr>
            <w:r>
              <w:rPr>
                <w:rFonts w:hint="eastAsia" w:cs="Times New Roman"/>
                <w:b/>
                <w:bCs/>
                <w:sz w:val="24"/>
                <w:szCs w:val="24"/>
              </w:rPr>
              <w:t>实施</w:t>
            </w:r>
          </w:p>
          <w:p>
            <w:pPr>
              <w:jc w:val="center"/>
              <w:rPr>
                <w:rFonts w:hint="eastAsia" w:cs="Times New Roman"/>
                <w:b/>
                <w:bCs/>
                <w:sz w:val="24"/>
                <w:szCs w:val="24"/>
              </w:rPr>
            </w:pPr>
            <w:r>
              <w:rPr>
                <w:rFonts w:hint="eastAsia" w:cs="Times New Roman"/>
                <w:b/>
                <w:bCs/>
                <w:sz w:val="24"/>
                <w:szCs w:val="24"/>
              </w:rPr>
              <w:t>机构</w:t>
            </w:r>
          </w:p>
        </w:tc>
        <w:tc>
          <w:tcPr>
            <w:tcW w:w="8651" w:type="dxa"/>
            <w:vAlign w:val="center"/>
          </w:tcPr>
          <w:p>
            <w:pPr>
              <w:jc w:val="center"/>
              <w:rPr>
                <w:rFonts w:hint="eastAsia" w:cs="Times New Roman"/>
                <w:b/>
                <w:bCs/>
                <w:sz w:val="24"/>
                <w:szCs w:val="24"/>
              </w:rPr>
            </w:pPr>
            <w:r>
              <w:rPr>
                <w:rFonts w:hint="eastAsia" w:cs="Times New Roman"/>
                <w:b/>
                <w:bCs/>
                <w:sz w:val="24"/>
                <w:szCs w:val="24"/>
              </w:rPr>
              <w:t>实施依据</w:t>
            </w:r>
          </w:p>
        </w:tc>
        <w:tc>
          <w:tcPr>
            <w:tcW w:w="1522" w:type="dxa"/>
            <w:vAlign w:val="center"/>
          </w:tcPr>
          <w:p>
            <w:pPr>
              <w:jc w:val="center"/>
              <w:rPr>
                <w:rFonts w:hint="eastAsia" w:cs="Times New Roman"/>
                <w:b/>
                <w:bCs/>
                <w:sz w:val="24"/>
                <w:szCs w:val="24"/>
              </w:rPr>
            </w:pPr>
            <w:r>
              <w:rPr>
                <w:rFonts w:hint="eastAsia" w:cs="Times New Roman"/>
                <w:b/>
                <w:bCs/>
                <w:sz w:val="24"/>
                <w:szCs w:val="24"/>
              </w:rPr>
              <w:t>调整意</w:t>
            </w:r>
          </w:p>
          <w:p>
            <w:pPr>
              <w:jc w:val="center"/>
              <w:rPr>
                <w:rFonts w:hint="eastAsia" w:cs="Times New Roman"/>
                <w:b/>
                <w:bCs/>
                <w:sz w:val="24"/>
                <w:szCs w:val="24"/>
              </w:rPr>
            </w:pPr>
            <w:r>
              <w:rPr>
                <w:rFonts w:hint="eastAsia" w:cs="Times New Roman"/>
                <w:b/>
                <w:bCs/>
                <w:sz w:val="24"/>
                <w:szCs w:val="24"/>
              </w:rPr>
              <w:t>见及理由</w:t>
            </w:r>
          </w:p>
        </w:tc>
        <w:tc>
          <w:tcPr>
            <w:tcW w:w="710" w:type="dxa"/>
            <w:vAlign w:val="center"/>
          </w:tcPr>
          <w:p>
            <w:pPr>
              <w:jc w:val="center"/>
              <w:rPr>
                <w:rFonts w:hint="eastAsia" w:cs="Times New Roman"/>
                <w:b/>
                <w:bCs/>
                <w:sz w:val="24"/>
                <w:szCs w:val="24"/>
              </w:rPr>
            </w:pPr>
            <w:r>
              <w:rPr>
                <w:rFonts w:hint="eastAsia" w:cs="Times New Roman"/>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3" w:hRule="atLeast"/>
        </w:trPr>
        <w:tc>
          <w:tcPr>
            <w:tcW w:w="516"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962" w:type="dxa"/>
          </w:tcPr>
          <w:p>
            <w:pPr>
              <w:rPr>
                <w:rFonts w:ascii="仿宋_GB2312" w:hAnsi="仿宋_GB2312" w:eastAsia="仿宋_GB2312" w:cs="仿宋_GB2312"/>
                <w:color w:val="000000"/>
                <w:kern w:val="0"/>
                <w:szCs w:val="21"/>
              </w:rPr>
            </w:pPr>
          </w:p>
          <w:p>
            <w:pPr>
              <w:rPr>
                <w:rFonts w:ascii="仿宋_GB2312" w:hAnsi="仿宋_GB2312" w:eastAsia="仿宋_GB2312" w:cs="仿宋_GB2312"/>
                <w:b/>
                <w:bCs/>
                <w:szCs w:val="21"/>
              </w:rPr>
            </w:pPr>
            <w:r>
              <w:rPr>
                <w:rFonts w:hint="eastAsia" w:ascii="仿宋_GB2312" w:hAnsi="仿宋_GB2312" w:eastAsia="仿宋_GB2312" w:cs="仿宋_GB2312"/>
                <w:color w:val="000000"/>
                <w:kern w:val="0"/>
                <w:szCs w:val="21"/>
              </w:rPr>
              <w:t xml:space="preserve">   计划生育手术并发症鉴定</w:t>
            </w:r>
          </w:p>
        </w:tc>
        <w:tc>
          <w:tcPr>
            <w:tcW w:w="1346" w:type="dxa"/>
            <w:vAlign w:val="center"/>
          </w:tcPr>
          <w:p>
            <w:pPr>
              <w:jc w:val="center"/>
              <w:rPr>
                <w:rFonts w:hint="eastAsia" w:ascii="仿宋_GB2312" w:hAnsi="仿宋_GB2312" w:eastAsia="仿宋_GB2312" w:cs="仿宋_GB2312"/>
                <w:b/>
                <w:bCs/>
                <w:szCs w:val="21"/>
                <w:lang w:eastAsia="zh-CN"/>
              </w:rPr>
            </w:pPr>
            <w:r>
              <w:rPr>
                <w:rFonts w:hint="eastAsia" w:ascii="仿宋_GB2312" w:hAnsi="宋体" w:eastAsia="仿宋_GB2312"/>
                <w:sz w:val="18"/>
                <w:szCs w:val="18"/>
                <w:lang w:eastAsia="zh-CN"/>
              </w:rPr>
              <w:t>妇幼保健院</w:t>
            </w:r>
          </w:p>
        </w:tc>
        <w:tc>
          <w:tcPr>
            <w:tcW w:w="8651" w:type="dxa"/>
          </w:tcPr>
          <w:p>
            <w:pPr>
              <w:widowControl/>
              <w:shd w:val="clear" w:color="auto" w:fill="FFFFFF"/>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计划生育手术并发症鉴定管理办法》（试行）（人口科技【2011】67号）第五条：“县级以上地方人口和计划生育行政部门（以下简称人口计生部门）负责并发症的鉴定管理工作。”第十六条：“并发症鉴定实行县、设区的市、省逐级鉴定制度。省级为终极鉴定。”</w:t>
            </w:r>
          </w:p>
          <w:p>
            <w:pPr>
              <w:widowControl/>
              <w:shd w:val="clear" w:color="auto" w:fill="FFFFFF"/>
              <w:jc w:val="left"/>
              <w:rPr>
                <w:rFonts w:ascii="仿宋_GB2312" w:hAnsi="仿宋_GB2312" w:eastAsia="仿宋_GB2312" w:cs="仿宋_GB2312"/>
                <w:color w:val="333333"/>
                <w:szCs w:val="21"/>
              </w:rPr>
            </w:pPr>
          </w:p>
          <w:p>
            <w:pPr>
              <w:rPr>
                <w:rFonts w:ascii="仿宋_GB2312" w:hAnsi="仿宋_GB2312" w:eastAsia="仿宋_GB2312" w:cs="仿宋_GB2312"/>
                <w:b/>
                <w:bCs/>
                <w:szCs w:val="21"/>
              </w:rPr>
            </w:pPr>
          </w:p>
        </w:tc>
        <w:tc>
          <w:tcPr>
            <w:tcW w:w="1522" w:type="dxa"/>
          </w:tcPr>
          <w:p>
            <w:pPr>
              <w:rPr>
                <w:rFonts w:hint="eastAsia" w:cs="Times New Roman"/>
                <w:b/>
                <w:bCs/>
                <w:sz w:val="30"/>
                <w:szCs w:val="30"/>
              </w:rPr>
            </w:pPr>
          </w:p>
        </w:tc>
        <w:tc>
          <w:tcPr>
            <w:tcW w:w="710" w:type="dxa"/>
          </w:tcPr>
          <w:p>
            <w:pPr>
              <w:rPr>
                <w:rFonts w:hint="eastAsia" w:cs="Times New Roman"/>
                <w:b/>
                <w:bCs/>
                <w:sz w:val="30"/>
                <w:szCs w:val="30"/>
              </w:rPr>
            </w:pPr>
          </w:p>
        </w:tc>
      </w:tr>
    </w:tbl>
    <w:p>
      <w:pPr>
        <w:rPr>
          <w:rFonts w:hint="eastAsia" w:cs="Times New Roman"/>
          <w:b/>
          <w:bCs/>
          <w:sz w:val="30"/>
          <w:szCs w:val="30"/>
        </w:rPr>
      </w:pPr>
    </w:p>
    <w:p>
      <w:pPr>
        <w:rPr>
          <w:rFonts w:hint="eastAsia" w:cs="Times New Roman"/>
          <w:b/>
          <w:bCs/>
          <w:sz w:val="30"/>
          <w:szCs w:val="30"/>
        </w:rPr>
      </w:pPr>
    </w:p>
    <w:tbl>
      <w:tblPr>
        <w:tblStyle w:val="5"/>
        <w:tblW w:w="14339" w:type="dxa"/>
        <w:tblInd w:w="135" w:type="dxa"/>
        <w:tblLayout w:type="fixed"/>
        <w:tblCellMar>
          <w:top w:w="15" w:type="dxa"/>
          <w:left w:w="15" w:type="dxa"/>
          <w:bottom w:w="15" w:type="dxa"/>
          <w:right w:w="15" w:type="dxa"/>
        </w:tblCellMar>
      </w:tblPr>
      <w:tblGrid>
        <w:gridCol w:w="582"/>
        <w:gridCol w:w="851"/>
        <w:gridCol w:w="456"/>
        <w:gridCol w:w="500"/>
        <w:gridCol w:w="3870"/>
        <w:gridCol w:w="844"/>
        <w:gridCol w:w="709"/>
        <w:gridCol w:w="992"/>
        <w:gridCol w:w="1134"/>
        <w:gridCol w:w="850"/>
        <w:gridCol w:w="769"/>
        <w:gridCol w:w="740"/>
        <w:gridCol w:w="618"/>
        <w:gridCol w:w="850"/>
        <w:gridCol w:w="574"/>
      </w:tblGrid>
      <w:tr>
        <w:tblPrEx>
          <w:tblCellMar>
            <w:top w:w="15" w:type="dxa"/>
            <w:left w:w="15" w:type="dxa"/>
            <w:bottom w:w="15" w:type="dxa"/>
            <w:right w:w="15" w:type="dxa"/>
          </w:tblCellMar>
        </w:tblPrEx>
        <w:trPr>
          <w:trHeight w:val="632"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序号</w:t>
            </w:r>
          </w:p>
        </w:tc>
        <w:tc>
          <w:tcPr>
            <w:tcW w:w="85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项目</w:t>
            </w:r>
          </w:p>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名称</w:t>
            </w:r>
          </w:p>
        </w:tc>
        <w:tc>
          <w:tcPr>
            <w:tcW w:w="95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子项</w:t>
            </w:r>
          </w:p>
        </w:tc>
        <w:tc>
          <w:tcPr>
            <w:tcW w:w="387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实施依据</w:t>
            </w:r>
          </w:p>
        </w:tc>
        <w:tc>
          <w:tcPr>
            <w:tcW w:w="844"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实施</w:t>
            </w:r>
          </w:p>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对象</w:t>
            </w:r>
          </w:p>
        </w:tc>
        <w:tc>
          <w:tcPr>
            <w:tcW w:w="70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实施</w:t>
            </w:r>
          </w:p>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机构</w:t>
            </w:r>
          </w:p>
        </w:tc>
        <w:tc>
          <w:tcPr>
            <w:tcW w:w="992"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18"/>
                <w:szCs w:val="18"/>
              </w:rPr>
            </w:pPr>
            <w:r>
              <w:rPr>
                <w:rFonts w:hint="eastAsia" w:ascii="宋体" w:hAnsi="宋体" w:cs="Times New Roman"/>
                <w:b/>
                <w:bCs/>
                <w:color w:val="000000"/>
                <w:kern w:val="0"/>
                <w:sz w:val="18"/>
                <w:szCs w:val="18"/>
              </w:rPr>
              <w:t>其他共同</w:t>
            </w:r>
          </w:p>
          <w:p>
            <w:pPr>
              <w:widowControl/>
              <w:jc w:val="left"/>
              <w:rPr>
                <w:rFonts w:ascii="宋体" w:hAnsi="宋体" w:cs="Times New Roman"/>
                <w:b/>
                <w:bCs/>
                <w:color w:val="000000"/>
                <w:kern w:val="0"/>
                <w:sz w:val="18"/>
                <w:szCs w:val="18"/>
              </w:rPr>
            </w:pPr>
            <w:r>
              <w:rPr>
                <w:rFonts w:hint="eastAsia" w:ascii="宋体" w:hAnsi="宋体" w:cs="Times New Roman"/>
                <w:b/>
                <w:bCs/>
                <w:color w:val="000000"/>
                <w:kern w:val="0"/>
                <w:sz w:val="18"/>
                <w:szCs w:val="18"/>
              </w:rPr>
              <w:t>实施部门</w:t>
            </w:r>
          </w:p>
        </w:tc>
        <w:tc>
          <w:tcPr>
            <w:tcW w:w="1134"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18"/>
                <w:szCs w:val="18"/>
              </w:rPr>
            </w:pPr>
            <w:r>
              <w:rPr>
                <w:rFonts w:hint="eastAsia" w:ascii="宋体" w:hAnsi="宋体" w:cs="Times New Roman"/>
                <w:b/>
                <w:bCs/>
                <w:color w:val="000000"/>
                <w:kern w:val="0"/>
                <w:sz w:val="18"/>
                <w:szCs w:val="18"/>
              </w:rPr>
              <w:t>审批证件名</w:t>
            </w:r>
          </w:p>
          <w:p>
            <w:pPr>
              <w:widowControl/>
              <w:jc w:val="left"/>
              <w:rPr>
                <w:rFonts w:ascii="宋体" w:hAnsi="宋体" w:cs="Times New Roman"/>
                <w:b/>
                <w:bCs/>
                <w:color w:val="000000"/>
                <w:kern w:val="0"/>
                <w:sz w:val="18"/>
                <w:szCs w:val="18"/>
              </w:rPr>
            </w:pPr>
            <w:r>
              <w:rPr>
                <w:rFonts w:hint="eastAsia" w:ascii="宋体" w:hAnsi="宋体" w:cs="Times New Roman"/>
                <w:b/>
                <w:bCs/>
                <w:color w:val="000000"/>
                <w:kern w:val="0"/>
                <w:sz w:val="18"/>
                <w:szCs w:val="18"/>
              </w:rPr>
              <w:t>称及有效期</w:t>
            </w:r>
          </w:p>
        </w:tc>
        <w:tc>
          <w:tcPr>
            <w:tcW w:w="1619" w:type="dxa"/>
            <w:gridSpan w:val="2"/>
            <w:tcBorders>
              <w:top w:val="single" w:color="000000" w:sz="4" w:space="0"/>
              <w:left w:val="nil"/>
              <w:bottom w:val="nil"/>
              <w:right w:val="single" w:color="000000" w:sz="4" w:space="0"/>
            </w:tcBorders>
            <w:vAlign w:val="center"/>
          </w:tcPr>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时限要求</w:t>
            </w:r>
          </w:p>
        </w:tc>
        <w:tc>
          <w:tcPr>
            <w:tcW w:w="1358" w:type="dxa"/>
            <w:gridSpan w:val="2"/>
            <w:tcBorders>
              <w:top w:val="single" w:color="000000" w:sz="4" w:space="0"/>
              <w:left w:val="nil"/>
              <w:bottom w:val="single" w:color="000000" w:sz="4" w:space="0"/>
              <w:right w:val="single" w:color="000000" w:sz="4" w:space="0"/>
            </w:tcBorders>
            <w:vAlign w:val="center"/>
          </w:tcPr>
          <w:p>
            <w:pPr>
              <w:widowControl/>
              <w:ind w:firstLine="177" w:firstLineChars="98"/>
              <w:jc w:val="left"/>
              <w:rPr>
                <w:rFonts w:ascii="宋体" w:hAnsi="宋体" w:cs="Times New Roman"/>
                <w:b/>
                <w:bCs/>
                <w:color w:val="000000"/>
                <w:kern w:val="0"/>
                <w:sz w:val="18"/>
                <w:szCs w:val="18"/>
              </w:rPr>
            </w:pPr>
            <w:r>
              <w:rPr>
                <w:rFonts w:hint="eastAsia" w:ascii="宋体" w:hAnsi="宋体" w:cs="Times New Roman"/>
                <w:b/>
                <w:bCs/>
                <w:color w:val="000000"/>
                <w:kern w:val="0"/>
                <w:sz w:val="18"/>
                <w:szCs w:val="18"/>
              </w:rPr>
              <w:t>收费情况</w:t>
            </w:r>
          </w:p>
        </w:tc>
        <w:tc>
          <w:tcPr>
            <w:tcW w:w="850" w:type="dxa"/>
            <w:vMerge w:val="restart"/>
            <w:tcBorders>
              <w:top w:val="single" w:color="000000" w:sz="4" w:space="0"/>
              <w:left w:val="nil"/>
              <w:bottom w:val="single" w:color="000000" w:sz="4" w:space="0"/>
              <w:right w:val="single" w:color="000000" w:sz="4" w:space="0"/>
            </w:tcBorders>
            <w:vAlign w:val="center"/>
          </w:tcPr>
          <w:p>
            <w:pPr>
              <w:widowControl/>
              <w:ind w:firstLine="89" w:firstLineChars="49"/>
              <w:jc w:val="left"/>
              <w:rPr>
                <w:rFonts w:ascii="宋体" w:hAnsi="宋体" w:cs="Times New Roman"/>
                <w:b/>
                <w:bCs/>
                <w:color w:val="000000"/>
                <w:kern w:val="0"/>
                <w:sz w:val="18"/>
                <w:szCs w:val="18"/>
              </w:rPr>
            </w:pPr>
            <w:r>
              <w:rPr>
                <w:rFonts w:hint="eastAsia" w:ascii="宋体" w:hAnsi="宋体" w:cs="Times New Roman"/>
                <w:b/>
                <w:bCs/>
                <w:color w:val="000000"/>
                <w:kern w:val="0"/>
                <w:sz w:val="18"/>
                <w:szCs w:val="18"/>
              </w:rPr>
              <w:t>调整意</w:t>
            </w:r>
          </w:p>
          <w:p>
            <w:pPr>
              <w:widowControl/>
              <w:jc w:val="left"/>
              <w:rPr>
                <w:rFonts w:ascii="宋体" w:hAnsi="宋体" w:cs="Times New Roman"/>
                <w:b/>
                <w:bCs/>
                <w:color w:val="000000"/>
                <w:kern w:val="0"/>
                <w:sz w:val="18"/>
                <w:szCs w:val="18"/>
              </w:rPr>
            </w:pPr>
            <w:r>
              <w:rPr>
                <w:rFonts w:hint="eastAsia" w:ascii="宋体" w:hAnsi="宋体" w:cs="Times New Roman"/>
                <w:b/>
                <w:bCs/>
                <w:color w:val="000000"/>
                <w:kern w:val="0"/>
                <w:sz w:val="18"/>
                <w:szCs w:val="18"/>
              </w:rPr>
              <w:t>见及理由</w:t>
            </w:r>
          </w:p>
        </w:tc>
        <w:tc>
          <w:tcPr>
            <w:tcW w:w="574"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18"/>
                <w:szCs w:val="18"/>
              </w:rPr>
            </w:pPr>
            <w:r>
              <w:rPr>
                <w:rFonts w:hint="eastAsia" w:ascii="宋体" w:hAnsi="宋体" w:cs="Times New Roman"/>
                <w:b/>
                <w:bCs/>
                <w:color w:val="000000"/>
                <w:kern w:val="0"/>
                <w:sz w:val="18"/>
                <w:szCs w:val="18"/>
              </w:rPr>
              <w:t>备注</w:t>
            </w:r>
          </w:p>
        </w:tc>
      </w:tr>
      <w:tr>
        <w:tblPrEx>
          <w:tblCellMar>
            <w:top w:w="15" w:type="dxa"/>
            <w:left w:w="15" w:type="dxa"/>
            <w:bottom w:w="15" w:type="dxa"/>
            <w:right w:w="15" w:type="dxa"/>
          </w:tblCellMar>
        </w:tblPrEx>
        <w:trPr>
          <w:trHeight w:val="106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18"/>
                <w:szCs w:val="18"/>
              </w:rPr>
            </w:pPr>
          </w:p>
        </w:tc>
        <w:tc>
          <w:tcPr>
            <w:tcW w:w="45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序号</w:t>
            </w:r>
          </w:p>
        </w:tc>
        <w:tc>
          <w:tcPr>
            <w:tcW w:w="50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 w:val="18"/>
                <w:szCs w:val="18"/>
              </w:rPr>
            </w:pPr>
            <w:r>
              <w:rPr>
                <w:rFonts w:hint="eastAsia" w:ascii="宋体" w:hAnsi="宋体" w:cs="Times New Roman"/>
                <w:b/>
                <w:bCs/>
                <w:color w:val="000000"/>
                <w:kern w:val="0"/>
                <w:sz w:val="18"/>
                <w:szCs w:val="18"/>
              </w:rPr>
              <w:t>名称</w:t>
            </w:r>
          </w:p>
        </w:tc>
        <w:tc>
          <w:tcPr>
            <w:tcW w:w="38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4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18"/>
                <w:szCs w:val="18"/>
              </w:rPr>
            </w:pPr>
          </w:p>
        </w:tc>
        <w:tc>
          <w:tcPr>
            <w:tcW w:w="850"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 w:val="18"/>
                <w:szCs w:val="18"/>
              </w:rPr>
            </w:pPr>
            <w:r>
              <w:rPr>
                <w:rFonts w:hint="eastAsia" w:ascii="宋体" w:hAnsi="宋体" w:cs="Times New Roman"/>
                <w:b/>
                <w:bCs/>
                <w:color w:val="000000"/>
                <w:kern w:val="0"/>
                <w:sz w:val="18"/>
                <w:szCs w:val="18"/>
              </w:rPr>
              <w:t>法定时限（天）</w:t>
            </w:r>
          </w:p>
        </w:tc>
        <w:tc>
          <w:tcPr>
            <w:tcW w:w="769"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 w:val="18"/>
                <w:szCs w:val="18"/>
              </w:rPr>
            </w:pPr>
            <w:r>
              <w:rPr>
                <w:rFonts w:hint="eastAsia" w:ascii="宋体" w:hAnsi="宋体" w:cs="Times New Roman"/>
                <w:b/>
                <w:bCs/>
                <w:color w:val="000000"/>
                <w:kern w:val="0"/>
                <w:sz w:val="18"/>
                <w:szCs w:val="18"/>
              </w:rPr>
              <w:t>承诺时限（天）</w:t>
            </w:r>
          </w:p>
        </w:tc>
        <w:tc>
          <w:tcPr>
            <w:tcW w:w="740" w:type="dxa"/>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标准</w:t>
            </w:r>
          </w:p>
        </w:tc>
        <w:tc>
          <w:tcPr>
            <w:tcW w:w="61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依据</w:t>
            </w:r>
          </w:p>
        </w:tc>
        <w:tc>
          <w:tcPr>
            <w:tcW w:w="8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57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r>
      <w:tr>
        <w:tblPrEx>
          <w:tblCellMar>
            <w:top w:w="15" w:type="dxa"/>
            <w:left w:w="15" w:type="dxa"/>
            <w:bottom w:w="15" w:type="dxa"/>
            <w:right w:w="15" w:type="dxa"/>
          </w:tblCellMar>
        </w:tblPrEx>
        <w:trPr>
          <w:trHeight w:val="5280" w:hRule="atLeast"/>
        </w:trPr>
        <w:tc>
          <w:tcPr>
            <w:tcW w:w="58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851" w:type="dxa"/>
            <w:tcBorders>
              <w:top w:val="single" w:color="000000" w:sz="4" w:space="0"/>
              <w:left w:val="nil"/>
              <w:bottom w:val="single" w:color="auto" w:sz="4" w:space="0"/>
              <w:right w:val="single" w:color="000000" w:sz="4" w:space="0"/>
            </w:tcBorders>
            <w:vAlign w:val="center"/>
          </w:tcPr>
          <w:p>
            <w:pPr>
              <w:widowControl/>
              <w:rPr>
                <w:rFonts w:ascii="宋体" w:hAnsi="宋体" w:cs="Times New Roman"/>
                <w:color w:val="000000"/>
                <w:kern w:val="0"/>
                <w:sz w:val="22"/>
              </w:rPr>
            </w:pPr>
            <w:r>
              <w:rPr>
                <w:rFonts w:hint="eastAsia" w:ascii="仿宋_GB2312" w:hAnsi="宋体" w:eastAsia="仿宋_GB2312" w:cs="宋体"/>
                <w:color w:val="000000"/>
                <w:kern w:val="0"/>
                <w:szCs w:val="21"/>
              </w:rPr>
              <w:t>医疗卫生机构放射诊疗建设项目职业病危害防护设施卫生审查及竣工验收</w:t>
            </w:r>
          </w:p>
        </w:tc>
        <w:tc>
          <w:tcPr>
            <w:tcW w:w="456" w:type="dxa"/>
            <w:tcBorders>
              <w:top w:val="single" w:color="000000" w:sz="4" w:space="0"/>
              <w:left w:val="nil"/>
              <w:bottom w:val="single" w:color="auto" w:sz="4" w:space="0"/>
              <w:right w:val="single" w:color="000000" w:sz="4" w:space="0"/>
            </w:tcBorders>
            <w:vAlign w:val="center"/>
          </w:tcPr>
          <w:p>
            <w:pPr>
              <w:jc w:val="center"/>
              <w:rPr>
                <w:rFonts w:ascii="宋体" w:hAnsi="宋体" w:cs="Times New Roman"/>
                <w:color w:val="000000"/>
                <w:kern w:val="0"/>
                <w:sz w:val="22"/>
              </w:rPr>
            </w:pPr>
          </w:p>
        </w:tc>
        <w:tc>
          <w:tcPr>
            <w:tcW w:w="500"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 w:val="22"/>
              </w:rPr>
            </w:pPr>
          </w:p>
        </w:tc>
        <w:tc>
          <w:tcPr>
            <w:tcW w:w="3870" w:type="dxa"/>
            <w:tcBorders>
              <w:top w:val="single" w:color="000000" w:sz="4" w:space="0"/>
              <w:left w:val="nil"/>
              <w:bottom w:val="single" w:color="auto" w:sz="4" w:space="0"/>
              <w:right w:val="single" w:color="000000" w:sz="4" w:space="0"/>
            </w:tcBorders>
            <w:vAlign w:val="center"/>
          </w:tcPr>
          <w:p>
            <w:pPr>
              <w:ind w:firstLine="270" w:firstLineChars="150"/>
              <w:rPr>
                <w:rFonts w:ascii="仿宋_GB2312" w:hAnsi="宋体" w:eastAsia="仿宋_GB2312"/>
                <w:sz w:val="18"/>
                <w:szCs w:val="18"/>
              </w:rPr>
            </w:pPr>
            <w:r>
              <w:rPr>
                <w:rFonts w:hint="eastAsia" w:ascii="仿宋_GB2312" w:hAnsi="仿宋_GB2312" w:eastAsia="仿宋_GB2312" w:cs="仿宋_GB2312"/>
                <w:sz w:val="18"/>
                <w:szCs w:val="18"/>
              </w:rPr>
              <w:t>《中华人民共和国职业病防治法》（中华人民共和国主席令第五十二号）</w:t>
            </w:r>
            <w:r>
              <w:rPr>
                <w:rFonts w:hint="eastAsia" w:ascii="仿宋_GB2312" w:hAnsi="宋体" w:eastAsia="仿宋_GB2312"/>
                <w:sz w:val="18"/>
                <w:szCs w:val="18"/>
              </w:rPr>
              <w:t xml:space="preserve">第八十九条：对医疗机构放射性职业病危害控制的监督管理,由卫生行政部门依照本法的规定实施。 </w:t>
            </w:r>
            <w:r>
              <w:rPr>
                <w:rFonts w:hint="eastAsia" w:ascii="仿宋_GB2312" w:hAnsi="宋体" w:eastAsia="仿宋_GB2312"/>
                <w:sz w:val="18"/>
                <w:szCs w:val="18"/>
              </w:rPr>
              <w:tab/>
            </w:r>
          </w:p>
          <w:p>
            <w:pPr>
              <w:ind w:firstLine="270" w:firstLineChars="150"/>
              <w:rPr>
                <w:rFonts w:ascii="仿宋_GB2312" w:hAnsi="宋体" w:eastAsia="仿宋_GB2312"/>
                <w:sz w:val="18"/>
                <w:szCs w:val="18"/>
              </w:rPr>
            </w:pPr>
            <w:r>
              <w:rPr>
                <w:rFonts w:hint="eastAsia" w:ascii="仿宋_GB2312" w:hAnsi="宋体" w:eastAsia="仿宋_GB2312"/>
                <w:sz w:val="18"/>
                <w:szCs w:val="18"/>
              </w:rPr>
              <w:t>《放射诊疗管理规定 》 (卫生部令第46号)第十二条：“新建、扩建、改建放射诊疗建设项目,医疗机构应当在建设项目施工前向相应的卫生行政部门提交职业病危害放射防护预评价报告,申请进行建设项目卫生审查 。 … … 卫生行政部门应当自收到预评价报告之日起三十日内 ,作出审核决定 。经审核符合国家相关卫生标准和要求的,方可施工。</w:t>
            </w:r>
          </w:p>
          <w:p>
            <w:pPr>
              <w:widowControl/>
              <w:jc w:val="left"/>
              <w:rPr>
                <w:rFonts w:ascii="宋体" w:hAnsi="宋体" w:cs="Times New Roman"/>
                <w:color w:val="000000"/>
                <w:kern w:val="0"/>
                <w:sz w:val="22"/>
              </w:rPr>
            </w:pPr>
            <w:r>
              <w:rPr>
                <w:rFonts w:hint="eastAsia" w:ascii="仿宋_GB2312" w:hAnsi="宋体" w:eastAsia="仿宋_GB2312"/>
                <w:sz w:val="18"/>
                <w:szCs w:val="18"/>
              </w:rPr>
              <w:t>第十三条：医疗机构在放射诊疗建设项目竣工验收前；应当进行职业病危害控制效果评价；并向相应的卫生行政部门提交下列资料,申请进行卫生验收 … …”</w:t>
            </w:r>
          </w:p>
        </w:tc>
        <w:tc>
          <w:tcPr>
            <w:tcW w:w="844"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Cs w:val="21"/>
              </w:rPr>
            </w:pPr>
            <w:r>
              <w:rPr>
                <w:rFonts w:hint="eastAsia" w:ascii="仿宋_GB2312" w:eastAsia="仿宋_GB2312" w:cs="Times New Roman"/>
                <w:color w:val="000000"/>
                <w:kern w:val="0"/>
                <w:szCs w:val="21"/>
              </w:rPr>
              <w:t>公民、法人和其他组织</w:t>
            </w:r>
          </w:p>
          <w:p>
            <w:pPr>
              <w:widowControl/>
              <w:jc w:val="left"/>
              <w:rPr>
                <w:rFonts w:hint="eastAsia" w:ascii="仿宋_GB2312" w:eastAsia="仿宋_GB2312" w:cs="Times New Roman"/>
                <w:color w:val="000000"/>
                <w:kern w:val="0"/>
                <w:szCs w:val="21"/>
              </w:rPr>
            </w:pPr>
          </w:p>
        </w:tc>
        <w:tc>
          <w:tcPr>
            <w:tcW w:w="709" w:type="dxa"/>
            <w:tcBorders>
              <w:top w:val="single" w:color="000000" w:sz="4" w:space="0"/>
              <w:left w:val="nil"/>
              <w:bottom w:val="single" w:color="auto" w:sz="4" w:space="0"/>
              <w:right w:val="single" w:color="000000" w:sz="4" w:space="0"/>
            </w:tcBorders>
            <w:vAlign w:val="center"/>
          </w:tcPr>
          <w:p>
            <w:pPr>
              <w:widowControl/>
              <w:ind w:firstLine="180" w:firstLineChars="100"/>
              <w:jc w:val="left"/>
              <w:rPr>
                <w:rFonts w:hint="eastAsia" w:ascii="仿宋_GB2312" w:eastAsia="仿宋_GB2312" w:cs="Times New Roman"/>
                <w:color w:val="000000"/>
                <w:kern w:val="0"/>
                <w:szCs w:val="21"/>
                <w:lang w:eastAsia="zh-CN"/>
              </w:rPr>
            </w:pPr>
            <w:r>
              <w:rPr>
                <w:rFonts w:hint="eastAsia" w:ascii="仿宋_GB2312" w:hAnsi="宋体" w:eastAsia="仿宋_GB2312"/>
                <w:sz w:val="18"/>
                <w:szCs w:val="18"/>
                <w:lang w:eastAsia="zh-CN"/>
              </w:rPr>
              <w:t>卫健委</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p>
        </w:tc>
        <w:tc>
          <w:tcPr>
            <w:tcW w:w="1134"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r>
              <w:rPr>
                <w:rFonts w:hint="eastAsia" w:ascii="仿宋_GB2312" w:hAnsi="宋体" w:eastAsia="仿宋_GB2312"/>
                <w:szCs w:val="21"/>
              </w:rPr>
              <w:t>《建设项目竣工卫生验收认可书》</w:t>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default" w:ascii="仿宋_GB2312" w:eastAsia="仿宋_GB2312" w:cs="Times New Roman"/>
                <w:color w:val="000000"/>
                <w:kern w:val="0"/>
                <w:szCs w:val="21"/>
                <w:lang w:val="en-US" w:eastAsia="zh-CN"/>
              </w:rPr>
            </w:pPr>
            <w:r>
              <w:rPr>
                <w:rFonts w:hint="eastAsia" w:ascii="仿宋_GB2312" w:eastAsia="仿宋_GB2312" w:cs="Times New Roman"/>
                <w:color w:val="000000"/>
                <w:kern w:val="0"/>
                <w:szCs w:val="21"/>
                <w:lang w:val="en-US" w:eastAsia="zh-CN"/>
              </w:rPr>
              <w:t>30</w:t>
            </w:r>
          </w:p>
        </w:tc>
        <w:tc>
          <w:tcPr>
            <w:tcW w:w="769"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Cs w:val="21"/>
                <w:lang w:val="en-US" w:eastAsia="zh-CN"/>
              </w:rPr>
            </w:pPr>
            <w:r>
              <w:rPr>
                <w:rFonts w:hint="eastAsia" w:ascii="仿宋_GB2312" w:eastAsia="仿宋_GB2312" w:cs="Times New Roman"/>
                <w:color w:val="000000"/>
                <w:kern w:val="0"/>
                <w:szCs w:val="21"/>
                <w:lang w:val="en-US" w:eastAsia="zh-CN"/>
              </w:rPr>
              <w:t>7</w:t>
            </w:r>
          </w:p>
        </w:tc>
        <w:tc>
          <w:tcPr>
            <w:tcW w:w="740"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r>
              <w:rPr>
                <w:rFonts w:hint="eastAsia" w:ascii="仿宋_GB2312" w:eastAsia="仿宋_GB2312" w:cs="Times New Roman"/>
                <w:color w:val="000000"/>
                <w:kern w:val="0"/>
                <w:szCs w:val="21"/>
              </w:rPr>
              <w:t>不收费</w:t>
            </w:r>
          </w:p>
        </w:tc>
        <w:tc>
          <w:tcPr>
            <w:tcW w:w="618"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p>
        </w:tc>
        <w:tc>
          <w:tcPr>
            <w:tcW w:w="850" w:type="dxa"/>
            <w:tcBorders>
              <w:top w:val="single" w:color="000000" w:sz="4" w:space="0"/>
              <w:left w:val="nil"/>
              <w:bottom w:val="single" w:color="auto" w:sz="4" w:space="0"/>
              <w:right w:val="single" w:color="000000" w:sz="4" w:space="0"/>
            </w:tcBorders>
            <w:vAlign w:val="center"/>
          </w:tcPr>
          <w:p>
            <w:pPr>
              <w:widowControl/>
              <w:jc w:val="left"/>
              <w:rPr>
                <w:rFonts w:ascii="宋体" w:hAnsi="宋体" w:cs="Times New Roman"/>
                <w:color w:val="000000"/>
                <w:kern w:val="0"/>
                <w:sz w:val="22"/>
              </w:rPr>
            </w:pPr>
          </w:p>
        </w:tc>
        <w:tc>
          <w:tcPr>
            <w:tcW w:w="574"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2"/>
              </w:rPr>
            </w:pPr>
          </w:p>
        </w:tc>
      </w:tr>
    </w:tbl>
    <w:p>
      <w:pPr>
        <w:ind w:firstLine="5108" w:firstLineChars="1696"/>
        <w:rPr>
          <w:rFonts w:hint="eastAsia" w:cs="Times New Roman"/>
          <w:b/>
          <w:bCs/>
          <w:sz w:val="30"/>
          <w:szCs w:val="30"/>
        </w:rPr>
      </w:pPr>
    </w:p>
    <w:p>
      <w:pPr>
        <w:ind w:firstLine="5108" w:firstLineChars="1696"/>
        <w:rPr>
          <w:rFonts w:hint="eastAsia" w:cs="Times New Roman"/>
          <w:b/>
          <w:bCs/>
          <w:sz w:val="30"/>
          <w:szCs w:val="30"/>
        </w:rPr>
      </w:pPr>
    </w:p>
    <w:p>
      <w:pPr>
        <w:ind w:firstLine="5108" w:firstLineChars="1696"/>
        <w:rPr>
          <w:rFonts w:hint="eastAsia" w:cs="Times New Roman"/>
          <w:b/>
          <w:bCs/>
          <w:sz w:val="30"/>
          <w:szCs w:val="30"/>
        </w:rPr>
      </w:pPr>
    </w:p>
    <w:tbl>
      <w:tblPr>
        <w:tblStyle w:val="5"/>
        <w:tblW w:w="14481" w:type="dxa"/>
        <w:tblInd w:w="135" w:type="dxa"/>
        <w:tblLayout w:type="fixed"/>
        <w:tblCellMar>
          <w:top w:w="15" w:type="dxa"/>
          <w:left w:w="15" w:type="dxa"/>
          <w:bottom w:w="15" w:type="dxa"/>
          <w:right w:w="15" w:type="dxa"/>
        </w:tblCellMar>
      </w:tblPr>
      <w:tblGrid>
        <w:gridCol w:w="582"/>
        <w:gridCol w:w="851"/>
        <w:gridCol w:w="709"/>
        <w:gridCol w:w="567"/>
        <w:gridCol w:w="3778"/>
        <w:gridCol w:w="616"/>
        <w:gridCol w:w="709"/>
        <w:gridCol w:w="992"/>
        <w:gridCol w:w="1134"/>
        <w:gridCol w:w="850"/>
        <w:gridCol w:w="769"/>
        <w:gridCol w:w="740"/>
        <w:gridCol w:w="618"/>
        <w:gridCol w:w="999"/>
        <w:gridCol w:w="567"/>
      </w:tblGrid>
      <w:tr>
        <w:tblPrEx>
          <w:tblCellMar>
            <w:top w:w="15" w:type="dxa"/>
            <w:left w:w="15" w:type="dxa"/>
            <w:bottom w:w="15" w:type="dxa"/>
            <w:right w:w="15" w:type="dxa"/>
          </w:tblCellMar>
        </w:tblPrEx>
        <w:trPr>
          <w:trHeight w:val="552"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序号</w:t>
            </w:r>
          </w:p>
        </w:tc>
        <w:tc>
          <w:tcPr>
            <w:tcW w:w="85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项目</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子项</w:t>
            </w:r>
          </w:p>
        </w:tc>
        <w:tc>
          <w:tcPr>
            <w:tcW w:w="3778"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实施依据</w:t>
            </w:r>
          </w:p>
        </w:tc>
        <w:tc>
          <w:tcPr>
            <w:tcW w:w="616"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对象</w:t>
            </w:r>
          </w:p>
        </w:tc>
        <w:tc>
          <w:tcPr>
            <w:tcW w:w="70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机构</w:t>
            </w:r>
          </w:p>
        </w:tc>
        <w:tc>
          <w:tcPr>
            <w:tcW w:w="992"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其他共同实施部门</w:t>
            </w:r>
          </w:p>
        </w:tc>
        <w:tc>
          <w:tcPr>
            <w:tcW w:w="1134"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审批证件名称及有效期</w:t>
            </w:r>
          </w:p>
        </w:tc>
        <w:tc>
          <w:tcPr>
            <w:tcW w:w="1619" w:type="dxa"/>
            <w:gridSpan w:val="2"/>
            <w:tcBorders>
              <w:top w:val="single" w:color="000000" w:sz="4" w:space="0"/>
              <w:left w:val="nil"/>
              <w:bottom w:val="nil"/>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时限要求</w:t>
            </w:r>
          </w:p>
        </w:tc>
        <w:tc>
          <w:tcPr>
            <w:tcW w:w="1358"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收费情况</w:t>
            </w:r>
          </w:p>
        </w:tc>
        <w:tc>
          <w:tcPr>
            <w:tcW w:w="999" w:type="dxa"/>
            <w:vMerge w:val="restart"/>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调整意</w:t>
            </w:r>
          </w:p>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见及理由</w:t>
            </w:r>
          </w:p>
        </w:tc>
        <w:tc>
          <w:tcPr>
            <w:tcW w:w="567"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备注</w:t>
            </w:r>
          </w:p>
        </w:tc>
      </w:tr>
      <w:tr>
        <w:tblPrEx>
          <w:tblCellMar>
            <w:top w:w="15" w:type="dxa"/>
            <w:left w:w="15" w:type="dxa"/>
            <w:bottom w:w="15" w:type="dxa"/>
            <w:right w:w="15" w:type="dxa"/>
          </w:tblCellMar>
        </w:tblPrEx>
        <w:trPr>
          <w:trHeight w:val="66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序号</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名称</w:t>
            </w:r>
          </w:p>
        </w:tc>
        <w:tc>
          <w:tcPr>
            <w:tcW w:w="37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6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50"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Cs w:val="21"/>
              </w:rPr>
            </w:pPr>
            <w:r>
              <w:rPr>
                <w:rFonts w:hint="eastAsia" w:ascii="宋体" w:hAnsi="宋体" w:cs="Times New Roman"/>
                <w:b/>
                <w:bCs/>
                <w:color w:val="000000"/>
                <w:kern w:val="0"/>
                <w:szCs w:val="21"/>
              </w:rPr>
              <w:t>法定时限（天）</w:t>
            </w:r>
          </w:p>
        </w:tc>
        <w:tc>
          <w:tcPr>
            <w:tcW w:w="769"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Cs w:val="21"/>
              </w:rPr>
            </w:pPr>
            <w:r>
              <w:rPr>
                <w:rFonts w:hint="eastAsia" w:ascii="宋体" w:hAnsi="宋体" w:cs="Times New Roman"/>
                <w:b/>
                <w:bCs/>
                <w:color w:val="000000"/>
                <w:kern w:val="0"/>
                <w:szCs w:val="21"/>
              </w:rPr>
              <w:t>承诺时限（天）</w:t>
            </w:r>
          </w:p>
        </w:tc>
        <w:tc>
          <w:tcPr>
            <w:tcW w:w="740" w:type="dxa"/>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标准</w:t>
            </w:r>
          </w:p>
        </w:tc>
        <w:tc>
          <w:tcPr>
            <w:tcW w:w="61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依据</w:t>
            </w:r>
          </w:p>
        </w:tc>
        <w:tc>
          <w:tcPr>
            <w:tcW w:w="99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5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r>
      <w:tr>
        <w:tblPrEx>
          <w:tblCellMar>
            <w:top w:w="15" w:type="dxa"/>
            <w:left w:w="15" w:type="dxa"/>
            <w:bottom w:w="15" w:type="dxa"/>
            <w:right w:w="15" w:type="dxa"/>
          </w:tblCellMar>
        </w:tblPrEx>
        <w:trPr>
          <w:trHeight w:val="5280" w:hRule="atLeast"/>
        </w:trPr>
        <w:tc>
          <w:tcPr>
            <w:tcW w:w="58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851" w:type="dxa"/>
            <w:tcBorders>
              <w:top w:val="single" w:color="000000" w:sz="4" w:space="0"/>
              <w:left w:val="nil"/>
              <w:bottom w:val="single" w:color="auto" w:sz="4" w:space="0"/>
              <w:right w:val="single" w:color="000000" w:sz="4" w:space="0"/>
            </w:tcBorders>
            <w:vAlign w:val="center"/>
          </w:tcPr>
          <w:p>
            <w:pPr>
              <w:rPr>
                <w:rFonts w:ascii="仿宋_GB2312" w:hAnsi="宋体" w:eastAsia="仿宋_GB2312" w:cs="宋体"/>
                <w:color w:val="000000"/>
                <w:kern w:val="0"/>
                <w:sz w:val="18"/>
                <w:szCs w:val="18"/>
              </w:rPr>
            </w:pPr>
          </w:p>
          <w:p>
            <w:pPr>
              <w:widowControl/>
              <w:rPr>
                <w:rFonts w:ascii="仿宋_GB2312" w:hAnsi="宋体" w:eastAsia="仿宋_GB2312" w:cs="Times New Roman"/>
                <w:color w:val="000000"/>
                <w:kern w:val="0"/>
                <w:sz w:val="18"/>
                <w:szCs w:val="18"/>
              </w:rPr>
            </w:pPr>
            <w:r>
              <w:rPr>
                <w:rFonts w:hint="eastAsia" w:ascii="仿宋_GB2312" w:hAnsi="宋体" w:eastAsia="仿宋_GB2312" w:cs="宋体"/>
                <w:color w:val="000000"/>
                <w:kern w:val="0"/>
                <w:sz w:val="18"/>
                <w:szCs w:val="18"/>
              </w:rPr>
              <w:t>建设项目卫生审查、验收（仅限公共场所、学校新建、改扩建）</w:t>
            </w:r>
          </w:p>
        </w:tc>
        <w:tc>
          <w:tcPr>
            <w:tcW w:w="709" w:type="dxa"/>
            <w:tcBorders>
              <w:top w:val="single" w:color="000000" w:sz="4" w:space="0"/>
              <w:left w:val="nil"/>
              <w:bottom w:val="single" w:color="auto" w:sz="4" w:space="0"/>
              <w:right w:val="single" w:color="000000" w:sz="4" w:space="0"/>
            </w:tcBorders>
            <w:vAlign w:val="center"/>
          </w:tcPr>
          <w:p>
            <w:pPr>
              <w:jc w:val="center"/>
              <w:rPr>
                <w:rFonts w:ascii="仿宋_GB2312" w:hAnsi="宋体" w:eastAsia="仿宋_GB2312" w:cs="Times New Roman"/>
                <w:color w:val="000000"/>
                <w:kern w:val="0"/>
                <w:sz w:val="18"/>
                <w:szCs w:val="18"/>
              </w:rPr>
            </w:pPr>
          </w:p>
        </w:tc>
        <w:tc>
          <w:tcPr>
            <w:tcW w:w="567" w:type="dxa"/>
            <w:tcBorders>
              <w:top w:val="single" w:color="000000" w:sz="4" w:space="0"/>
              <w:left w:val="nil"/>
              <w:bottom w:val="single" w:color="auto" w:sz="4" w:space="0"/>
              <w:right w:val="single" w:color="000000" w:sz="4" w:space="0"/>
            </w:tcBorders>
            <w:vAlign w:val="center"/>
          </w:tcPr>
          <w:p>
            <w:pPr>
              <w:widowControl/>
              <w:jc w:val="center"/>
              <w:rPr>
                <w:rFonts w:ascii="仿宋_GB2312" w:hAnsi="宋体" w:eastAsia="仿宋_GB2312" w:cs="Times New Roman"/>
                <w:color w:val="000000"/>
                <w:kern w:val="0"/>
                <w:sz w:val="18"/>
                <w:szCs w:val="18"/>
              </w:rPr>
            </w:pPr>
          </w:p>
        </w:tc>
        <w:tc>
          <w:tcPr>
            <w:tcW w:w="3778" w:type="dxa"/>
            <w:tcBorders>
              <w:top w:val="single" w:color="000000" w:sz="4" w:space="0"/>
              <w:left w:val="nil"/>
              <w:bottom w:val="single" w:color="auto" w:sz="4" w:space="0"/>
              <w:right w:val="single" w:color="000000" w:sz="4" w:space="0"/>
            </w:tcBorders>
            <w:vAlign w:val="center"/>
          </w:tcPr>
          <w:p>
            <w:pPr>
              <w:ind w:firstLine="270" w:firstLineChars="150"/>
              <w:rPr>
                <w:rFonts w:ascii="仿宋_GB2312" w:hAnsi="仿宋_GB2312" w:eastAsia="仿宋_GB2312" w:cs="仿宋_GB2312"/>
                <w:sz w:val="18"/>
                <w:szCs w:val="18"/>
              </w:rPr>
            </w:pPr>
            <w:r>
              <w:rPr>
                <w:rFonts w:hint="eastAsia" w:ascii="仿宋_GB2312" w:hAnsi="仿宋_GB2312" w:eastAsia="仿宋_GB2312" w:cs="仿宋_GB2312"/>
                <w:sz w:val="18"/>
                <w:szCs w:val="18"/>
              </w:rPr>
              <w:t>《公共场所卫生管理条例》国发[1987]24号第四条：国家对公共场所以及新建、改建、扩建的公共场所的选址和设计实行“卫生许可证”制度。</w:t>
            </w:r>
          </w:p>
          <w:p>
            <w:pPr>
              <w:ind w:firstLine="270" w:firstLineChars="150"/>
              <w:rPr>
                <w:rFonts w:ascii="仿宋_GB2312" w:hAnsi="仿宋_GB2312" w:eastAsia="仿宋_GB2312" w:cs="仿宋_GB2312"/>
                <w:sz w:val="18"/>
                <w:szCs w:val="18"/>
              </w:rPr>
            </w:pPr>
            <w:r>
              <w:rPr>
                <w:rFonts w:hint="eastAsia" w:ascii="仿宋_GB2312" w:hAnsi="仿宋_GB2312" w:eastAsia="仿宋_GB2312" w:cs="仿宋_GB2312"/>
                <w:sz w:val="18"/>
                <w:szCs w:val="18"/>
              </w:rPr>
              <w:t>《公共场所卫生管理条例实施细则》中华人民共和国卫生部令第80号令第二十六条：公共场所进行新建、改建、扩建的，应当符合有关卫生标准和要求，经营者应当按照有关规定办理预防性卫生审查手续。</w:t>
            </w:r>
          </w:p>
          <w:p>
            <w:pPr>
              <w:widowControl/>
              <w:ind w:firstLine="180" w:firstLineChars="100"/>
              <w:jc w:val="left"/>
              <w:rPr>
                <w:rFonts w:ascii="仿宋_GB2312" w:hAnsi="宋体" w:eastAsia="仿宋_GB2312" w:cs="Times New Roman"/>
                <w:color w:val="000000"/>
                <w:kern w:val="0"/>
                <w:sz w:val="18"/>
                <w:szCs w:val="18"/>
              </w:rPr>
            </w:pPr>
            <w:r>
              <w:rPr>
                <w:rFonts w:hint="eastAsia" w:ascii="仿宋_GB2312" w:hAnsi="仿宋_GB2312" w:eastAsia="仿宋_GB2312" w:cs="仿宋_GB2312"/>
                <w:sz w:val="18"/>
                <w:szCs w:val="18"/>
              </w:rPr>
              <w:t>《学校卫生工作条例》</w:t>
            </w:r>
            <w:r>
              <w:rPr>
                <w:rFonts w:hint="eastAsia" w:ascii="仿宋_GB2312" w:hAnsi="仿宋_GB2312" w:eastAsia="仿宋_GB2312" w:cs="仿宋_GB2312"/>
                <w:kern w:val="0"/>
                <w:sz w:val="18"/>
                <w:szCs w:val="18"/>
              </w:rPr>
              <w:t>(1990年4月25日国务院批准，1990年6月4日</w:t>
            </w:r>
            <w:r>
              <w:fldChar w:fldCharType="begin"/>
            </w:r>
            <w:r>
              <w:instrText xml:space="preserve"> HYPERLINK "http://baike.baidu.com/view/3615901.htm" \t "_blank" </w:instrText>
            </w:r>
            <w:r>
              <w:fldChar w:fldCharType="separate"/>
            </w:r>
            <w:r>
              <w:rPr>
                <w:rFonts w:hint="eastAsia" w:ascii="仿宋_GB2312" w:hAnsi="仿宋_GB2312" w:eastAsia="仿宋_GB2312" w:cs="仿宋_GB2312"/>
                <w:kern w:val="0"/>
                <w:sz w:val="18"/>
                <w:szCs w:val="18"/>
              </w:rPr>
              <w:t>国家教育委员会</w:t>
            </w:r>
            <w:r>
              <w:rPr>
                <w:rFonts w:hint="eastAsia" w:ascii="仿宋_GB2312" w:hAnsi="仿宋_GB2312" w:eastAsia="仿宋_GB2312" w:cs="仿宋_GB2312"/>
                <w:kern w:val="0"/>
                <w:sz w:val="18"/>
                <w:szCs w:val="18"/>
              </w:rPr>
              <w:fldChar w:fldCharType="end"/>
            </w:r>
            <w:r>
              <w:rPr>
                <w:rFonts w:hint="eastAsia" w:ascii="仿宋_GB2312" w:hAnsi="仿宋_GB2312" w:eastAsia="仿宋_GB2312" w:cs="仿宋_GB2312"/>
                <w:kern w:val="0"/>
                <w:sz w:val="18"/>
                <w:szCs w:val="18"/>
              </w:rPr>
              <w:t>令第10号、卫生部令第1号发布)</w:t>
            </w:r>
            <w:r>
              <w:rPr>
                <w:rFonts w:hint="eastAsia" w:ascii="仿宋_GB2312" w:hAnsi="仿宋_GB2312" w:eastAsia="仿宋_GB2312" w:cs="仿宋_GB2312"/>
                <w:sz w:val="18"/>
                <w:szCs w:val="18"/>
              </w:rPr>
              <w:t>第六条：....新建、改建、扩建校舍，其选址、设计应当符合国家的卫生标准，并取得当地卫生行政部门的许可。竣工验收应当有当地卫生行政部门参加。</w:t>
            </w:r>
          </w:p>
        </w:tc>
        <w:tc>
          <w:tcPr>
            <w:tcW w:w="616"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 w:val="18"/>
                <w:szCs w:val="18"/>
              </w:rPr>
            </w:pPr>
            <w:r>
              <w:rPr>
                <w:rFonts w:hint="eastAsia" w:ascii="仿宋_GB2312" w:eastAsia="仿宋_GB2312" w:cs="Times New Roman"/>
                <w:color w:val="000000"/>
                <w:kern w:val="0"/>
                <w:sz w:val="18"/>
                <w:szCs w:val="18"/>
              </w:rPr>
              <w:t>公民、法人和其他组织</w:t>
            </w:r>
          </w:p>
          <w:p>
            <w:pPr>
              <w:widowControl/>
              <w:jc w:val="left"/>
              <w:rPr>
                <w:rFonts w:hint="eastAsia" w:ascii="仿宋_GB2312" w:eastAsia="仿宋_GB2312" w:cs="Times New Roman"/>
                <w:color w:val="000000"/>
                <w:kern w:val="0"/>
                <w:sz w:val="18"/>
                <w:szCs w:val="18"/>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lang w:eastAsia="zh-CN"/>
              </w:rPr>
            </w:pPr>
            <w:r>
              <w:rPr>
                <w:rFonts w:hint="eastAsia" w:ascii="仿宋_GB2312" w:hAnsi="宋体" w:eastAsia="仿宋_GB2312"/>
                <w:sz w:val="18"/>
                <w:szCs w:val="18"/>
                <w:lang w:eastAsia="zh-CN"/>
              </w:rPr>
              <w:t>卫健委</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1134"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hAnsi="宋体" w:eastAsia="仿宋_GB2312"/>
                <w:sz w:val="18"/>
                <w:szCs w:val="18"/>
              </w:rPr>
              <w:t>《建设项目竣工卫生验收认可书》</w:t>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20</w:t>
            </w:r>
          </w:p>
        </w:tc>
        <w:tc>
          <w:tcPr>
            <w:tcW w:w="769"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20</w:t>
            </w:r>
          </w:p>
        </w:tc>
        <w:tc>
          <w:tcPr>
            <w:tcW w:w="740"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r>
              <w:rPr>
                <w:rFonts w:hint="eastAsia" w:ascii="仿宋_GB2312" w:eastAsia="仿宋_GB2312" w:cs="Times New Roman"/>
                <w:color w:val="000000"/>
                <w:kern w:val="0"/>
                <w:sz w:val="18"/>
                <w:szCs w:val="18"/>
              </w:rPr>
              <w:t>不收费</w:t>
            </w:r>
          </w:p>
        </w:tc>
        <w:tc>
          <w:tcPr>
            <w:tcW w:w="618"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 w:val="18"/>
                <w:szCs w:val="18"/>
              </w:rPr>
            </w:pPr>
          </w:p>
        </w:tc>
        <w:tc>
          <w:tcPr>
            <w:tcW w:w="999"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Times New Roman"/>
                <w:color w:val="000000"/>
                <w:kern w:val="0"/>
                <w:sz w:val="18"/>
                <w:szCs w:val="18"/>
              </w:rPr>
            </w:pPr>
          </w:p>
        </w:tc>
        <w:tc>
          <w:tcPr>
            <w:tcW w:w="567"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2"/>
              </w:rPr>
            </w:pPr>
          </w:p>
        </w:tc>
      </w:tr>
    </w:tbl>
    <w:p>
      <w:pPr>
        <w:rPr>
          <w:rFonts w:hint="eastAsia" w:cs="Times New Roman"/>
          <w:b/>
          <w:bCs/>
          <w:sz w:val="30"/>
          <w:szCs w:val="30"/>
        </w:rPr>
      </w:pPr>
    </w:p>
    <w:p>
      <w:pPr>
        <w:rPr>
          <w:rFonts w:hint="eastAsia" w:cs="Times New Roman"/>
          <w:b/>
          <w:bCs/>
          <w:sz w:val="30"/>
          <w:szCs w:val="30"/>
        </w:rPr>
      </w:pPr>
    </w:p>
    <w:p>
      <w:pPr>
        <w:rPr>
          <w:rFonts w:hint="eastAsia" w:cs="Times New Roman"/>
          <w:b/>
          <w:bCs/>
          <w:sz w:val="30"/>
          <w:szCs w:val="30"/>
        </w:rPr>
      </w:pPr>
    </w:p>
    <w:p>
      <w:pPr>
        <w:rPr>
          <w:rFonts w:hint="eastAsia" w:cs="Times New Roman"/>
          <w:b/>
          <w:bCs/>
          <w:sz w:val="30"/>
          <w:szCs w:val="30"/>
        </w:rPr>
      </w:pPr>
      <w:bookmarkStart w:id="0" w:name="_GoBack"/>
      <w:bookmarkEnd w:id="0"/>
    </w:p>
    <w:tbl>
      <w:tblPr>
        <w:tblStyle w:val="5"/>
        <w:tblpPr w:leftFromText="180" w:rightFromText="180" w:vertAnchor="text" w:horzAnchor="page" w:tblpX="1117" w:tblpY="596"/>
        <w:tblOverlap w:val="never"/>
        <w:tblW w:w="14458" w:type="dxa"/>
        <w:tblInd w:w="0" w:type="dxa"/>
        <w:tblLayout w:type="fixed"/>
        <w:tblCellMar>
          <w:top w:w="15" w:type="dxa"/>
          <w:left w:w="15" w:type="dxa"/>
          <w:bottom w:w="15" w:type="dxa"/>
          <w:right w:w="15" w:type="dxa"/>
        </w:tblCellMar>
      </w:tblPr>
      <w:tblGrid>
        <w:gridCol w:w="441"/>
        <w:gridCol w:w="850"/>
        <w:gridCol w:w="552"/>
        <w:gridCol w:w="567"/>
        <w:gridCol w:w="3559"/>
        <w:gridCol w:w="835"/>
        <w:gridCol w:w="709"/>
        <w:gridCol w:w="992"/>
        <w:gridCol w:w="1134"/>
        <w:gridCol w:w="850"/>
        <w:gridCol w:w="769"/>
        <w:gridCol w:w="740"/>
        <w:gridCol w:w="618"/>
        <w:gridCol w:w="992"/>
        <w:gridCol w:w="850"/>
      </w:tblGrid>
      <w:tr>
        <w:tblPrEx>
          <w:tblCellMar>
            <w:top w:w="15" w:type="dxa"/>
            <w:left w:w="15" w:type="dxa"/>
            <w:bottom w:w="15" w:type="dxa"/>
            <w:right w:w="15" w:type="dxa"/>
          </w:tblCellMar>
        </w:tblPrEx>
        <w:trPr>
          <w:trHeight w:val="549"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序号</w:t>
            </w:r>
          </w:p>
        </w:tc>
        <w:tc>
          <w:tcPr>
            <w:tcW w:w="85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项目</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名称</w:t>
            </w:r>
          </w:p>
        </w:tc>
        <w:tc>
          <w:tcPr>
            <w:tcW w:w="111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子项</w:t>
            </w:r>
          </w:p>
        </w:tc>
        <w:tc>
          <w:tcPr>
            <w:tcW w:w="355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实施依据</w:t>
            </w:r>
          </w:p>
        </w:tc>
        <w:tc>
          <w:tcPr>
            <w:tcW w:w="83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对象</w:t>
            </w:r>
          </w:p>
        </w:tc>
        <w:tc>
          <w:tcPr>
            <w:tcW w:w="70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机构</w:t>
            </w:r>
          </w:p>
        </w:tc>
        <w:tc>
          <w:tcPr>
            <w:tcW w:w="992"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其他共同实施部门</w:t>
            </w:r>
          </w:p>
        </w:tc>
        <w:tc>
          <w:tcPr>
            <w:tcW w:w="1134"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审批证件名称及有效期</w:t>
            </w:r>
          </w:p>
        </w:tc>
        <w:tc>
          <w:tcPr>
            <w:tcW w:w="1619" w:type="dxa"/>
            <w:gridSpan w:val="2"/>
            <w:tcBorders>
              <w:top w:val="single" w:color="000000" w:sz="4" w:space="0"/>
              <w:left w:val="nil"/>
              <w:bottom w:val="nil"/>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时限要求</w:t>
            </w:r>
          </w:p>
        </w:tc>
        <w:tc>
          <w:tcPr>
            <w:tcW w:w="1358"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收费情况</w:t>
            </w:r>
          </w:p>
        </w:tc>
        <w:tc>
          <w:tcPr>
            <w:tcW w:w="992" w:type="dxa"/>
            <w:vMerge w:val="restart"/>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调整意</w:t>
            </w:r>
          </w:p>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见及理由</w:t>
            </w:r>
          </w:p>
        </w:tc>
        <w:tc>
          <w:tcPr>
            <w:tcW w:w="850" w:type="dxa"/>
            <w:vMerge w:val="restart"/>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备注</w:t>
            </w:r>
          </w:p>
        </w:tc>
      </w:tr>
      <w:tr>
        <w:tblPrEx>
          <w:tblCellMar>
            <w:top w:w="15" w:type="dxa"/>
            <w:left w:w="15" w:type="dxa"/>
            <w:bottom w:w="15" w:type="dxa"/>
            <w:right w:w="15" w:type="dxa"/>
          </w:tblCellMar>
        </w:tblPrEx>
        <w:trPr>
          <w:trHeight w:val="941"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55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序号</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名称</w:t>
            </w:r>
          </w:p>
        </w:tc>
        <w:tc>
          <w:tcPr>
            <w:tcW w:w="3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50"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Cs w:val="21"/>
              </w:rPr>
            </w:pPr>
            <w:r>
              <w:rPr>
                <w:rFonts w:hint="eastAsia" w:ascii="宋体" w:hAnsi="宋体" w:cs="Times New Roman"/>
                <w:b/>
                <w:bCs/>
                <w:color w:val="000000"/>
                <w:kern w:val="0"/>
                <w:szCs w:val="21"/>
              </w:rPr>
              <w:t>法定时限（天）</w:t>
            </w:r>
          </w:p>
        </w:tc>
        <w:tc>
          <w:tcPr>
            <w:tcW w:w="769"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Cs w:val="21"/>
              </w:rPr>
            </w:pPr>
            <w:r>
              <w:rPr>
                <w:rFonts w:hint="eastAsia" w:ascii="宋体" w:hAnsi="宋体" w:cs="Times New Roman"/>
                <w:b/>
                <w:bCs/>
                <w:color w:val="000000"/>
                <w:kern w:val="0"/>
                <w:szCs w:val="21"/>
              </w:rPr>
              <w:t>承诺时限（天）</w:t>
            </w:r>
          </w:p>
        </w:tc>
        <w:tc>
          <w:tcPr>
            <w:tcW w:w="74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标准</w:t>
            </w:r>
          </w:p>
        </w:tc>
        <w:tc>
          <w:tcPr>
            <w:tcW w:w="61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依据</w:t>
            </w: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r>
      <w:tr>
        <w:tblPrEx>
          <w:tblCellMar>
            <w:top w:w="15" w:type="dxa"/>
            <w:left w:w="15" w:type="dxa"/>
            <w:bottom w:w="15" w:type="dxa"/>
            <w:right w:w="15" w:type="dxa"/>
          </w:tblCellMar>
        </w:tblPrEx>
        <w:trPr>
          <w:trHeight w:val="5902" w:hRule="atLeast"/>
        </w:trPr>
        <w:tc>
          <w:tcPr>
            <w:tcW w:w="441"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850" w:type="dxa"/>
            <w:tcBorders>
              <w:top w:val="single" w:color="000000" w:sz="4" w:space="0"/>
              <w:left w:val="nil"/>
              <w:bottom w:val="single" w:color="auto" w:sz="4" w:space="0"/>
              <w:right w:val="single" w:color="000000" w:sz="4" w:space="0"/>
            </w:tcBorders>
            <w:vAlign w:val="center"/>
          </w:tcPr>
          <w:p>
            <w:pPr>
              <w:widowControl/>
              <w:rPr>
                <w:rFonts w:ascii="宋体" w:hAnsi="宋体" w:cs="Times New Roman"/>
                <w:color w:val="000000"/>
                <w:kern w:val="0"/>
                <w:szCs w:val="21"/>
              </w:rPr>
            </w:pPr>
            <w:r>
              <w:rPr>
                <w:rFonts w:hint="eastAsia" w:ascii="仿宋_GB2312" w:hAnsi="宋体" w:eastAsia="仿宋_GB2312" w:cs="宋体"/>
                <w:kern w:val="0"/>
                <w:szCs w:val="21"/>
              </w:rPr>
              <w:t>组织义诊活动备案</w:t>
            </w:r>
          </w:p>
        </w:tc>
        <w:tc>
          <w:tcPr>
            <w:tcW w:w="552" w:type="dxa"/>
            <w:tcBorders>
              <w:top w:val="single" w:color="000000" w:sz="4" w:space="0"/>
              <w:left w:val="nil"/>
              <w:bottom w:val="single" w:color="auto" w:sz="4" w:space="0"/>
              <w:right w:val="single" w:color="000000" w:sz="4" w:space="0"/>
            </w:tcBorders>
            <w:vAlign w:val="center"/>
          </w:tcPr>
          <w:p>
            <w:pPr>
              <w:jc w:val="center"/>
              <w:rPr>
                <w:rFonts w:ascii="宋体" w:hAnsi="宋体" w:cs="Times New Roman"/>
                <w:color w:val="000000"/>
                <w:kern w:val="0"/>
                <w:szCs w:val="21"/>
              </w:rPr>
            </w:pPr>
          </w:p>
        </w:tc>
        <w:tc>
          <w:tcPr>
            <w:tcW w:w="567"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Cs w:val="21"/>
              </w:rPr>
            </w:pPr>
          </w:p>
        </w:tc>
        <w:tc>
          <w:tcPr>
            <w:tcW w:w="3559" w:type="dxa"/>
            <w:tcBorders>
              <w:top w:val="single" w:color="000000" w:sz="4" w:space="0"/>
              <w:left w:val="nil"/>
              <w:bottom w:val="single" w:color="auto" w:sz="4" w:space="0"/>
              <w:right w:val="single" w:color="000000" w:sz="4" w:space="0"/>
            </w:tcBorders>
            <w:vAlign w:val="center"/>
          </w:tcPr>
          <w:p>
            <w:pPr>
              <w:ind w:firstLine="315" w:firstLineChars="1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《河南省义诊活动备案管理暂行办法》（豫卫医[2006]63号）第五条：县级以上卫生行政部门负责义诊活动的备案、审查、监督和管理。</w:t>
            </w:r>
          </w:p>
          <w:p>
            <w:pPr>
              <w:widowControl/>
              <w:ind w:firstLine="210" w:firstLineChars="100"/>
              <w:jc w:val="left"/>
              <w:rPr>
                <w:rFonts w:ascii="宋体" w:hAnsi="宋体" w:cs="Times New Roman"/>
                <w:color w:val="000000"/>
                <w:kern w:val="0"/>
                <w:szCs w:val="21"/>
              </w:rPr>
            </w:pPr>
            <w:r>
              <w:rPr>
                <w:rFonts w:hint="eastAsia" w:ascii="仿宋_GB2312" w:hAnsi="仿宋_GB2312" w:eastAsia="仿宋_GB2312" w:cs="仿宋_GB2312"/>
                <w:color w:val="000000"/>
                <w:szCs w:val="21"/>
              </w:rPr>
              <w:t>《信阳市人民政府关于取消下放调整合并行政审批项目的决定》（信政〔2015〕14号）附件2：市政府决定下放的行政审批项目（44项）第十五项。</w:t>
            </w:r>
          </w:p>
        </w:tc>
        <w:tc>
          <w:tcPr>
            <w:tcW w:w="835"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Cs w:val="21"/>
              </w:rPr>
            </w:pPr>
            <w:r>
              <w:rPr>
                <w:rFonts w:hint="eastAsia" w:ascii="仿宋_GB2312" w:eastAsia="仿宋_GB2312" w:cs="Times New Roman"/>
                <w:color w:val="000000"/>
                <w:kern w:val="0"/>
                <w:szCs w:val="21"/>
              </w:rPr>
              <w:t>公民、法人和其他组织</w:t>
            </w:r>
          </w:p>
          <w:p>
            <w:pPr>
              <w:widowControl/>
              <w:jc w:val="left"/>
              <w:rPr>
                <w:rFonts w:hint="eastAsia" w:ascii="仿宋_GB2312" w:eastAsia="仿宋_GB2312" w:cs="Times New Roman"/>
                <w:color w:val="000000"/>
                <w:kern w:val="0"/>
                <w:szCs w:val="21"/>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r>
              <w:rPr>
                <w:rFonts w:hint="eastAsia" w:ascii="仿宋_GB2312" w:hAnsi="仿宋_GB2312" w:eastAsia="仿宋_GB2312" w:cs="仿宋_GB2312"/>
                <w:szCs w:val="21"/>
                <w:lang w:eastAsia="zh-CN"/>
              </w:rPr>
              <w:t>卫健委</w:t>
            </w:r>
            <w:r>
              <w:rPr>
                <w:rFonts w:hint="eastAsia" w:ascii="仿宋_GB2312" w:hAnsi="宋体" w:eastAsia="仿宋_GB2312"/>
                <w:szCs w:val="21"/>
              </w:rPr>
              <w:t>医政医管股</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p>
        </w:tc>
        <w:tc>
          <w:tcPr>
            <w:tcW w:w="1134"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r>
              <w:rPr>
                <w:rFonts w:hint="eastAsia" w:ascii="仿宋_GB2312" w:hAnsi="仿宋_GB2312" w:eastAsia="仿宋_GB2312" w:cs="仿宋_GB2312"/>
                <w:szCs w:val="21"/>
              </w:rPr>
              <w:t>《义诊活动备案书》</w:t>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Cs w:val="21"/>
              </w:rPr>
            </w:pPr>
            <w:r>
              <w:rPr>
                <w:rFonts w:hint="eastAsia" w:ascii="仿宋_GB2312" w:eastAsia="仿宋_GB2312" w:cs="Times New Roman"/>
                <w:color w:val="000000"/>
                <w:kern w:val="0"/>
                <w:szCs w:val="21"/>
              </w:rPr>
              <w:t>20</w:t>
            </w:r>
          </w:p>
        </w:tc>
        <w:tc>
          <w:tcPr>
            <w:tcW w:w="769"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Cs w:val="21"/>
                <w:lang w:eastAsia="zh-CN"/>
              </w:rPr>
            </w:pPr>
            <w:r>
              <w:rPr>
                <w:rFonts w:hint="eastAsia" w:ascii="仿宋_GB2312" w:eastAsia="仿宋_GB2312" w:cs="Times New Roman"/>
                <w:color w:val="000000"/>
                <w:kern w:val="0"/>
                <w:szCs w:val="21"/>
                <w:lang w:val="en-US" w:eastAsia="zh-CN"/>
              </w:rPr>
              <w:t>1</w:t>
            </w:r>
          </w:p>
        </w:tc>
        <w:tc>
          <w:tcPr>
            <w:tcW w:w="740"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r>
              <w:rPr>
                <w:rFonts w:hint="eastAsia" w:ascii="仿宋_GB2312" w:eastAsia="仿宋_GB2312" w:cs="Times New Roman"/>
                <w:color w:val="000000"/>
                <w:kern w:val="0"/>
                <w:szCs w:val="21"/>
              </w:rPr>
              <w:t>不收费</w:t>
            </w:r>
          </w:p>
        </w:tc>
        <w:tc>
          <w:tcPr>
            <w:tcW w:w="618"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p>
        </w:tc>
        <w:tc>
          <w:tcPr>
            <w:tcW w:w="992" w:type="dxa"/>
            <w:tcBorders>
              <w:top w:val="single" w:color="000000" w:sz="4" w:space="0"/>
              <w:left w:val="nil"/>
              <w:bottom w:val="single" w:color="auto" w:sz="4" w:space="0"/>
              <w:right w:val="single" w:color="000000" w:sz="4" w:space="0"/>
            </w:tcBorders>
            <w:vAlign w:val="center"/>
          </w:tcPr>
          <w:p>
            <w:pPr>
              <w:widowControl/>
              <w:jc w:val="left"/>
              <w:rPr>
                <w:rFonts w:ascii="宋体" w:hAnsi="宋体" w:cs="Times New Roman"/>
                <w:color w:val="000000"/>
                <w:kern w:val="0"/>
                <w:szCs w:val="21"/>
              </w:rPr>
            </w:pPr>
          </w:p>
        </w:tc>
        <w:tc>
          <w:tcPr>
            <w:tcW w:w="850"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市级</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下放</w:t>
            </w:r>
          </w:p>
        </w:tc>
      </w:tr>
    </w:tbl>
    <w:p>
      <w:pPr>
        <w:rPr>
          <w:rFonts w:hint="eastAsia" w:cs="Times New Roman"/>
          <w:b/>
          <w:bCs/>
          <w:sz w:val="30"/>
          <w:szCs w:val="30"/>
        </w:rPr>
      </w:pPr>
    </w:p>
    <w:p>
      <w:pPr>
        <w:rPr>
          <w:rFonts w:hint="eastAsia" w:cs="Times New Roman"/>
          <w:b/>
          <w:bCs/>
          <w:sz w:val="30"/>
          <w:szCs w:val="30"/>
        </w:rPr>
      </w:pPr>
    </w:p>
    <w:tbl>
      <w:tblPr>
        <w:tblStyle w:val="5"/>
        <w:tblpPr w:leftFromText="180" w:rightFromText="180" w:vertAnchor="text" w:horzAnchor="page" w:tblpX="1117" w:tblpY="596"/>
        <w:tblOverlap w:val="never"/>
        <w:tblW w:w="14458" w:type="dxa"/>
        <w:tblInd w:w="0" w:type="dxa"/>
        <w:tblLayout w:type="fixed"/>
        <w:tblCellMar>
          <w:top w:w="15" w:type="dxa"/>
          <w:left w:w="15" w:type="dxa"/>
          <w:bottom w:w="15" w:type="dxa"/>
          <w:right w:w="15" w:type="dxa"/>
        </w:tblCellMar>
      </w:tblPr>
      <w:tblGrid>
        <w:gridCol w:w="441"/>
        <w:gridCol w:w="850"/>
        <w:gridCol w:w="552"/>
        <w:gridCol w:w="567"/>
        <w:gridCol w:w="3559"/>
        <w:gridCol w:w="835"/>
        <w:gridCol w:w="709"/>
        <w:gridCol w:w="992"/>
        <w:gridCol w:w="1134"/>
        <w:gridCol w:w="850"/>
        <w:gridCol w:w="769"/>
        <w:gridCol w:w="740"/>
        <w:gridCol w:w="618"/>
        <w:gridCol w:w="992"/>
        <w:gridCol w:w="850"/>
      </w:tblGrid>
      <w:tr>
        <w:tblPrEx>
          <w:tblCellMar>
            <w:top w:w="15" w:type="dxa"/>
            <w:left w:w="15" w:type="dxa"/>
            <w:bottom w:w="15" w:type="dxa"/>
            <w:right w:w="15" w:type="dxa"/>
          </w:tblCellMar>
        </w:tblPrEx>
        <w:trPr>
          <w:trHeight w:val="549"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序号</w:t>
            </w:r>
          </w:p>
        </w:tc>
        <w:tc>
          <w:tcPr>
            <w:tcW w:w="85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项目</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名称</w:t>
            </w:r>
          </w:p>
        </w:tc>
        <w:tc>
          <w:tcPr>
            <w:tcW w:w="111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子项</w:t>
            </w:r>
          </w:p>
        </w:tc>
        <w:tc>
          <w:tcPr>
            <w:tcW w:w="355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实施依据</w:t>
            </w:r>
          </w:p>
        </w:tc>
        <w:tc>
          <w:tcPr>
            <w:tcW w:w="83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对象</w:t>
            </w:r>
          </w:p>
        </w:tc>
        <w:tc>
          <w:tcPr>
            <w:tcW w:w="70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实施</w:t>
            </w:r>
          </w:p>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机构</w:t>
            </w:r>
          </w:p>
        </w:tc>
        <w:tc>
          <w:tcPr>
            <w:tcW w:w="992"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其他共同实施部门</w:t>
            </w:r>
          </w:p>
        </w:tc>
        <w:tc>
          <w:tcPr>
            <w:tcW w:w="1134" w:type="dxa"/>
            <w:vMerge w:val="restart"/>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审批证件名称及有效期</w:t>
            </w:r>
          </w:p>
        </w:tc>
        <w:tc>
          <w:tcPr>
            <w:tcW w:w="1619" w:type="dxa"/>
            <w:gridSpan w:val="2"/>
            <w:tcBorders>
              <w:top w:val="single" w:color="000000" w:sz="4" w:space="0"/>
              <w:left w:val="nil"/>
              <w:bottom w:val="nil"/>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时限要求</w:t>
            </w:r>
          </w:p>
        </w:tc>
        <w:tc>
          <w:tcPr>
            <w:tcW w:w="1358"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收费情况</w:t>
            </w:r>
          </w:p>
        </w:tc>
        <w:tc>
          <w:tcPr>
            <w:tcW w:w="992" w:type="dxa"/>
            <w:vMerge w:val="restart"/>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调整意</w:t>
            </w:r>
          </w:p>
          <w:p>
            <w:pPr>
              <w:widowControl/>
              <w:jc w:val="left"/>
              <w:rPr>
                <w:rFonts w:ascii="宋体" w:hAnsi="宋体" w:cs="Times New Roman"/>
                <w:b/>
                <w:bCs/>
                <w:color w:val="000000"/>
                <w:kern w:val="0"/>
                <w:szCs w:val="21"/>
              </w:rPr>
            </w:pPr>
            <w:r>
              <w:rPr>
                <w:rFonts w:hint="eastAsia" w:ascii="宋体" w:hAnsi="宋体" w:cs="Times New Roman"/>
                <w:b/>
                <w:bCs/>
                <w:color w:val="000000"/>
                <w:kern w:val="0"/>
                <w:szCs w:val="21"/>
              </w:rPr>
              <w:t>见及理由</w:t>
            </w:r>
          </w:p>
        </w:tc>
        <w:tc>
          <w:tcPr>
            <w:tcW w:w="850" w:type="dxa"/>
            <w:vMerge w:val="restart"/>
            <w:tcBorders>
              <w:top w:val="single" w:color="000000" w:sz="4" w:space="0"/>
              <w:left w:val="nil"/>
              <w:bottom w:val="single" w:color="000000" w:sz="4" w:space="0"/>
              <w:right w:val="single" w:color="000000" w:sz="4" w:space="0"/>
            </w:tcBorders>
            <w:vAlign w:val="center"/>
          </w:tcPr>
          <w:p>
            <w:pPr>
              <w:widowControl/>
              <w:ind w:firstLine="103" w:firstLineChars="49"/>
              <w:jc w:val="left"/>
              <w:rPr>
                <w:rFonts w:ascii="宋体" w:hAnsi="宋体" w:cs="Times New Roman"/>
                <w:b/>
                <w:bCs/>
                <w:color w:val="000000"/>
                <w:kern w:val="0"/>
                <w:szCs w:val="21"/>
              </w:rPr>
            </w:pPr>
            <w:r>
              <w:rPr>
                <w:rFonts w:hint="eastAsia" w:ascii="宋体" w:hAnsi="宋体" w:cs="Times New Roman"/>
                <w:b/>
                <w:bCs/>
                <w:color w:val="000000"/>
                <w:kern w:val="0"/>
                <w:szCs w:val="21"/>
              </w:rPr>
              <w:t>备注</w:t>
            </w:r>
          </w:p>
        </w:tc>
      </w:tr>
      <w:tr>
        <w:tblPrEx>
          <w:tblCellMar>
            <w:top w:w="15" w:type="dxa"/>
            <w:left w:w="15" w:type="dxa"/>
            <w:bottom w:w="15" w:type="dxa"/>
            <w:right w:w="15" w:type="dxa"/>
          </w:tblCellMar>
        </w:tblPrEx>
        <w:trPr>
          <w:trHeight w:val="941"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55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序号</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名称</w:t>
            </w:r>
          </w:p>
        </w:tc>
        <w:tc>
          <w:tcPr>
            <w:tcW w:w="3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50"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Cs w:val="21"/>
              </w:rPr>
            </w:pPr>
            <w:r>
              <w:rPr>
                <w:rFonts w:hint="eastAsia" w:ascii="宋体" w:hAnsi="宋体" w:cs="Times New Roman"/>
                <w:b/>
                <w:bCs/>
                <w:color w:val="000000"/>
                <w:kern w:val="0"/>
                <w:szCs w:val="21"/>
              </w:rPr>
              <w:t>法定时限（天）</w:t>
            </w:r>
          </w:p>
        </w:tc>
        <w:tc>
          <w:tcPr>
            <w:tcW w:w="769" w:type="dxa"/>
            <w:tcBorders>
              <w:top w:val="single" w:color="000000" w:sz="4" w:space="0"/>
              <w:left w:val="nil"/>
              <w:bottom w:val="single" w:color="000000" w:sz="4" w:space="0"/>
              <w:right w:val="single" w:color="000000" w:sz="4" w:space="0"/>
            </w:tcBorders>
            <w:vAlign w:val="center"/>
          </w:tcPr>
          <w:p>
            <w:pPr>
              <w:widowControl/>
              <w:rPr>
                <w:rFonts w:ascii="宋体" w:hAnsi="宋体" w:cs="Times New Roman"/>
                <w:b/>
                <w:bCs/>
                <w:color w:val="000000"/>
                <w:kern w:val="0"/>
                <w:szCs w:val="21"/>
              </w:rPr>
            </w:pPr>
            <w:r>
              <w:rPr>
                <w:rFonts w:hint="eastAsia" w:ascii="宋体" w:hAnsi="宋体" w:cs="Times New Roman"/>
                <w:b/>
                <w:bCs/>
                <w:color w:val="000000"/>
                <w:kern w:val="0"/>
                <w:szCs w:val="21"/>
              </w:rPr>
              <w:t>承诺时限（天）</w:t>
            </w:r>
          </w:p>
        </w:tc>
        <w:tc>
          <w:tcPr>
            <w:tcW w:w="74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标准</w:t>
            </w:r>
          </w:p>
        </w:tc>
        <w:tc>
          <w:tcPr>
            <w:tcW w:w="61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Times New Roman"/>
                <w:b/>
                <w:bCs/>
                <w:color w:val="000000"/>
                <w:kern w:val="0"/>
                <w:szCs w:val="21"/>
              </w:rPr>
            </w:pPr>
            <w:r>
              <w:rPr>
                <w:rFonts w:hint="eastAsia" w:ascii="宋体" w:hAnsi="宋体" w:cs="Times New Roman"/>
                <w:b/>
                <w:bCs/>
                <w:color w:val="000000"/>
                <w:kern w:val="0"/>
                <w:szCs w:val="21"/>
              </w:rPr>
              <w:t>依据</w:t>
            </w: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c>
          <w:tcPr>
            <w:tcW w:w="8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Times New Roman"/>
                <w:b/>
                <w:bCs/>
                <w:color w:val="000000"/>
                <w:kern w:val="0"/>
                <w:sz w:val="22"/>
              </w:rPr>
            </w:pPr>
          </w:p>
        </w:tc>
      </w:tr>
      <w:tr>
        <w:tblPrEx>
          <w:tblCellMar>
            <w:top w:w="15" w:type="dxa"/>
            <w:left w:w="15" w:type="dxa"/>
            <w:bottom w:w="15" w:type="dxa"/>
            <w:right w:w="15" w:type="dxa"/>
          </w:tblCellMar>
        </w:tblPrEx>
        <w:trPr>
          <w:trHeight w:val="5902" w:hRule="atLeast"/>
        </w:trPr>
        <w:tc>
          <w:tcPr>
            <w:tcW w:w="441"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850" w:type="dxa"/>
            <w:tcBorders>
              <w:top w:val="single" w:color="000000" w:sz="4" w:space="0"/>
              <w:left w:val="nil"/>
              <w:bottom w:val="single" w:color="auto" w:sz="4" w:space="0"/>
              <w:right w:val="single" w:color="000000" w:sz="4" w:space="0"/>
            </w:tcBorders>
            <w:vAlign w:val="center"/>
          </w:tcPr>
          <w:p>
            <w:pPr>
              <w:widowControl/>
              <w:rPr>
                <w:rFonts w:ascii="宋体" w:hAnsi="宋体" w:cs="Times New Roman"/>
                <w:color w:val="000000"/>
                <w:kern w:val="0"/>
                <w:szCs w:val="21"/>
              </w:rPr>
            </w:pPr>
            <w:r>
              <w:rPr>
                <w:rFonts w:hint="eastAsia" w:ascii="仿宋_GB2312" w:hAnsi="宋体" w:eastAsia="仿宋_GB2312" w:cs="宋体"/>
                <w:kern w:val="0"/>
                <w:szCs w:val="21"/>
              </w:rPr>
              <w:t>病残儿医学鉴定</w:t>
            </w:r>
          </w:p>
        </w:tc>
        <w:tc>
          <w:tcPr>
            <w:tcW w:w="552" w:type="dxa"/>
            <w:tcBorders>
              <w:top w:val="single" w:color="000000" w:sz="4" w:space="0"/>
              <w:left w:val="nil"/>
              <w:bottom w:val="single" w:color="auto" w:sz="4" w:space="0"/>
              <w:right w:val="single" w:color="000000" w:sz="4" w:space="0"/>
            </w:tcBorders>
            <w:vAlign w:val="center"/>
          </w:tcPr>
          <w:p>
            <w:pPr>
              <w:jc w:val="center"/>
              <w:rPr>
                <w:rFonts w:ascii="宋体" w:hAnsi="宋体" w:cs="Times New Roman"/>
                <w:color w:val="000000"/>
                <w:kern w:val="0"/>
                <w:szCs w:val="21"/>
              </w:rPr>
            </w:pPr>
          </w:p>
        </w:tc>
        <w:tc>
          <w:tcPr>
            <w:tcW w:w="567" w:type="dxa"/>
            <w:tcBorders>
              <w:top w:val="single" w:color="000000" w:sz="4" w:space="0"/>
              <w:left w:val="nil"/>
              <w:bottom w:val="single" w:color="auto" w:sz="4" w:space="0"/>
              <w:right w:val="single" w:color="000000" w:sz="4" w:space="0"/>
            </w:tcBorders>
            <w:vAlign w:val="center"/>
          </w:tcPr>
          <w:p>
            <w:pPr>
              <w:widowControl/>
              <w:jc w:val="center"/>
              <w:rPr>
                <w:rFonts w:ascii="宋体" w:hAnsi="宋体" w:cs="Times New Roman"/>
                <w:color w:val="000000"/>
                <w:kern w:val="0"/>
                <w:szCs w:val="21"/>
              </w:rPr>
            </w:pPr>
          </w:p>
        </w:tc>
        <w:tc>
          <w:tcPr>
            <w:tcW w:w="3559" w:type="dxa"/>
            <w:tcBorders>
              <w:top w:val="single" w:color="000000" w:sz="4" w:space="0"/>
              <w:left w:val="nil"/>
              <w:bottom w:val="single" w:color="auto" w:sz="4" w:space="0"/>
              <w:right w:val="single" w:color="000000" w:sz="4" w:space="0"/>
            </w:tcBorders>
            <w:vAlign w:val="center"/>
          </w:tcPr>
          <w:p>
            <w:pPr>
              <w:ind w:firstLine="225" w:firstLineChars="150"/>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中华人民共和国国务院令</w:t>
            </w:r>
          </w:p>
          <w:p>
            <w:pPr>
              <w:ind w:firstLine="225" w:firstLineChars="150"/>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第３０９号《计划生育技术服务管理条例》第九条： 因生育病残儿要求再生育的，应当向县级人民政府计划生育行政部门申请医学鉴定，经县级人民政府计划生育行政部门初审同意后，由设区的市级人民政府计划生育行政部门组织医学专家进行医学鉴定；当事人对医学鉴定有异议的，可以向省、自治区、直辖市人民政府计划生育行政部门申请再鉴定。省、自治区、直辖市人民政府计划生育行政部门组织的医学鉴定为终局鉴定。具体办法由国务院计划生育行政部门会同国务院卫生行政部门制定。</w:t>
            </w:r>
          </w:p>
          <w:p>
            <w:pPr>
              <w:ind w:firstLine="225" w:firstLineChars="150"/>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《病残儿医学鉴定管理办法》中华人民共和国国家计划生育委员会令 第7号第二条：凡居住在中华人民共和国境内的中华人民共和国公民，其生育的子女因各种原因致病、致残，要求再生育而申请病残儿医学鉴定的，均适用本办法。第五条：国家计划生育委员会负责全国病残儿医学鉴定管理工作。省、设区的市级计划生育行政部门负责辖区内病残儿医学鉴定的组织实施、管理和监督工作。</w:t>
            </w:r>
          </w:p>
          <w:p>
            <w:pPr>
              <w:widowControl/>
              <w:ind w:firstLine="150" w:firstLineChars="100"/>
              <w:jc w:val="left"/>
              <w:rPr>
                <w:rFonts w:ascii="宋体" w:hAnsi="宋体" w:cs="Times New Roman"/>
                <w:color w:val="000000"/>
                <w:kern w:val="0"/>
                <w:szCs w:val="21"/>
              </w:rPr>
            </w:pPr>
            <w:r>
              <w:rPr>
                <w:rFonts w:hint="eastAsia" w:ascii="仿宋_GB2312" w:hAnsi="仿宋_GB2312" w:eastAsia="仿宋_GB2312" w:cs="仿宋_GB2312"/>
                <w:color w:val="000000"/>
                <w:sz w:val="15"/>
                <w:szCs w:val="15"/>
              </w:rPr>
              <w:t xml:space="preserve">  《信阳市人民政府关于调整一批市级行政权力事项和明确进驻市行政服务中心项目的通知》信政文（2016）171号</w:t>
            </w:r>
          </w:p>
        </w:tc>
        <w:tc>
          <w:tcPr>
            <w:tcW w:w="835" w:type="dxa"/>
            <w:tcBorders>
              <w:top w:val="single" w:color="000000" w:sz="4" w:space="0"/>
              <w:left w:val="nil"/>
              <w:bottom w:val="single" w:color="auto" w:sz="4" w:space="0"/>
              <w:right w:val="single" w:color="000000" w:sz="4" w:space="0"/>
            </w:tcBorders>
            <w:vAlign w:val="center"/>
          </w:tcPr>
          <w:p>
            <w:pPr>
              <w:rPr>
                <w:rFonts w:hint="eastAsia" w:ascii="仿宋_GB2312" w:eastAsia="仿宋_GB2312" w:cs="Times New Roman"/>
                <w:szCs w:val="21"/>
              </w:rPr>
            </w:pPr>
            <w:r>
              <w:rPr>
                <w:rFonts w:hint="eastAsia" w:ascii="仿宋_GB2312" w:eastAsia="仿宋_GB2312" w:cs="Times New Roman"/>
                <w:color w:val="000000"/>
                <w:kern w:val="0"/>
                <w:szCs w:val="21"/>
              </w:rPr>
              <w:t>公民、法人和其他组织</w:t>
            </w:r>
          </w:p>
          <w:p>
            <w:pPr>
              <w:widowControl/>
              <w:jc w:val="left"/>
              <w:rPr>
                <w:rFonts w:hint="eastAsia" w:ascii="仿宋_GB2312" w:eastAsia="仿宋_GB2312" w:cs="Times New Roman"/>
                <w:color w:val="000000"/>
                <w:kern w:val="0"/>
                <w:szCs w:val="21"/>
              </w:rPr>
            </w:pPr>
          </w:p>
        </w:tc>
        <w:tc>
          <w:tcPr>
            <w:tcW w:w="709"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lang w:eastAsia="zh-CN"/>
              </w:rPr>
            </w:pPr>
            <w:r>
              <w:rPr>
                <w:rFonts w:hint="eastAsia" w:ascii="仿宋_GB2312" w:hAnsi="仿宋_GB2312" w:eastAsia="仿宋_GB2312" w:cs="仿宋_GB2312"/>
                <w:szCs w:val="21"/>
              </w:rPr>
              <w:t>妇幼</w:t>
            </w:r>
            <w:r>
              <w:rPr>
                <w:rFonts w:hint="eastAsia" w:ascii="仿宋_GB2312" w:hAnsi="仿宋_GB2312" w:eastAsia="仿宋_GB2312" w:cs="仿宋_GB2312"/>
                <w:szCs w:val="21"/>
                <w:lang w:eastAsia="zh-CN"/>
              </w:rPr>
              <w:t>保健院</w:t>
            </w:r>
          </w:p>
        </w:tc>
        <w:tc>
          <w:tcPr>
            <w:tcW w:w="992"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p>
        </w:tc>
        <w:tc>
          <w:tcPr>
            <w:tcW w:w="1134"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r>
              <w:rPr>
                <w:rFonts w:hint="eastAsia" w:ascii="仿宋_GB2312" w:hAnsi="仿宋_GB2312" w:eastAsia="仿宋_GB2312" w:cs="仿宋_GB2312"/>
                <w:szCs w:val="21"/>
              </w:rPr>
              <w:t>《</w:t>
            </w:r>
            <w:r>
              <w:rPr>
                <w:rFonts w:hint="eastAsia" w:ascii="仿宋_GB2312" w:hAnsi="Arial" w:eastAsia="仿宋_GB2312" w:cs="Arial"/>
                <w:color w:val="333333"/>
                <w:kern w:val="0"/>
                <w:szCs w:val="21"/>
              </w:rPr>
              <w:t>鉴定结论通知书</w:t>
            </w:r>
            <w:r>
              <w:rPr>
                <w:rFonts w:hint="eastAsia" w:ascii="仿宋_GB2312" w:hAnsi="仿宋_GB2312" w:eastAsia="仿宋_GB2312" w:cs="仿宋_GB2312"/>
                <w:szCs w:val="21"/>
              </w:rPr>
              <w:t>》</w:t>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Cs w:val="21"/>
              </w:rPr>
            </w:pPr>
            <w:r>
              <w:rPr>
                <w:rFonts w:hint="eastAsia" w:ascii="仿宋_GB2312" w:eastAsia="仿宋_GB2312" w:cs="Times New Roman"/>
                <w:color w:val="000000"/>
                <w:kern w:val="0"/>
                <w:szCs w:val="21"/>
              </w:rPr>
              <w:t>一年</w:t>
            </w:r>
          </w:p>
        </w:tc>
        <w:tc>
          <w:tcPr>
            <w:tcW w:w="769" w:type="dxa"/>
            <w:tcBorders>
              <w:top w:val="single" w:color="000000" w:sz="4" w:space="0"/>
              <w:left w:val="nil"/>
              <w:bottom w:val="single" w:color="auto" w:sz="4" w:space="0"/>
              <w:right w:val="single" w:color="000000" w:sz="4" w:space="0"/>
            </w:tcBorders>
            <w:vAlign w:val="center"/>
          </w:tcPr>
          <w:p>
            <w:pPr>
              <w:widowControl/>
              <w:jc w:val="center"/>
              <w:rPr>
                <w:rFonts w:hint="eastAsia" w:ascii="仿宋_GB2312" w:eastAsia="仿宋_GB2312" w:cs="Times New Roman"/>
                <w:color w:val="000000"/>
                <w:kern w:val="0"/>
                <w:szCs w:val="21"/>
              </w:rPr>
            </w:pPr>
            <w:r>
              <w:rPr>
                <w:rFonts w:hint="eastAsia" w:ascii="仿宋_GB2312" w:eastAsia="仿宋_GB2312" w:cs="Times New Roman"/>
                <w:color w:val="000000"/>
                <w:kern w:val="0"/>
                <w:szCs w:val="21"/>
              </w:rPr>
              <w:t>一年</w:t>
            </w:r>
          </w:p>
        </w:tc>
        <w:tc>
          <w:tcPr>
            <w:tcW w:w="740"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p>
        </w:tc>
        <w:tc>
          <w:tcPr>
            <w:tcW w:w="618" w:type="dxa"/>
            <w:tcBorders>
              <w:top w:val="single" w:color="000000" w:sz="4" w:space="0"/>
              <w:left w:val="nil"/>
              <w:bottom w:val="single" w:color="auto" w:sz="4" w:space="0"/>
              <w:right w:val="single" w:color="000000" w:sz="4" w:space="0"/>
            </w:tcBorders>
            <w:vAlign w:val="center"/>
          </w:tcPr>
          <w:p>
            <w:pPr>
              <w:widowControl/>
              <w:jc w:val="left"/>
              <w:rPr>
                <w:rFonts w:hint="eastAsia" w:ascii="仿宋_GB2312" w:eastAsia="仿宋_GB2312" w:cs="Times New Roman"/>
                <w:color w:val="000000"/>
                <w:kern w:val="0"/>
                <w:szCs w:val="21"/>
              </w:rPr>
            </w:pPr>
          </w:p>
        </w:tc>
        <w:tc>
          <w:tcPr>
            <w:tcW w:w="992" w:type="dxa"/>
            <w:tcBorders>
              <w:top w:val="single" w:color="000000" w:sz="4" w:space="0"/>
              <w:left w:val="nil"/>
              <w:bottom w:val="single" w:color="auto" w:sz="4" w:space="0"/>
              <w:right w:val="single" w:color="000000" w:sz="4" w:space="0"/>
            </w:tcBorders>
            <w:vAlign w:val="center"/>
          </w:tcPr>
          <w:p>
            <w:pPr>
              <w:widowControl/>
              <w:jc w:val="left"/>
              <w:rPr>
                <w:rFonts w:ascii="宋体" w:hAnsi="宋体" w:cs="Times New Roman"/>
                <w:color w:val="000000"/>
                <w:kern w:val="0"/>
                <w:szCs w:val="21"/>
              </w:rPr>
            </w:pPr>
          </w:p>
        </w:tc>
        <w:tc>
          <w:tcPr>
            <w:tcW w:w="850" w:type="dxa"/>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市级</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下放</w:t>
            </w:r>
          </w:p>
        </w:tc>
      </w:tr>
    </w:tbl>
    <w:p>
      <w:pPr>
        <w:rPr>
          <w:rFonts w:hint="eastAsia" w:cs="Times New Roman"/>
          <w:b/>
          <w:bCs/>
          <w:sz w:val="30"/>
          <w:szCs w:val="30"/>
        </w:rPr>
      </w:pPr>
    </w:p>
    <w:p>
      <w:pPr>
        <w:rPr>
          <w:rFonts w:hint="eastAsia"/>
        </w:rPr>
      </w:pPr>
    </w:p>
    <w:sectPr>
      <w:footerReference r:id="rId3" w:type="default"/>
      <w:pgSz w:w="16838" w:h="11906" w:orient="landscape"/>
      <w:pgMar w:top="1304" w:right="1134" w:bottom="130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300" w:firstLineChars="350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52</w:t>
                          </w:r>
                          <w:r>
                            <w:rPr>
                              <w:rFonts w:hint="eastAsia"/>
                              <w:sz w:val="18"/>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QINMgBAACY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92V2&#10;pw9QY9N9wLY0vPND7pzygMkselDR5jfKIVhHb89Xb+WQiMgfrVfrdYUlgbX5gDjs4fMQIb2X3pIc&#10;NDTi5RVP+ekjpLF1bsnTnL/TxmCe18b9k0DMnGGZ+8gxR2nYDxPxvW/PqKfHe2+owzWnxHxwaGte&#10;kTmIc7Cfg2OI+tAhtWXhBeH2mJBE4ZYnjLDTYLywom5arrwRj8+l6+GH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BUCDT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ZWJhYTA1NjcxZTIxYmNhOGE4OTBiMzdiZmM0ZjEifQ=="/>
  </w:docVars>
  <w:rsids>
    <w:rsidRoot w:val="00C72B2B"/>
    <w:rsid w:val="000C4A02"/>
    <w:rsid w:val="000F4A5B"/>
    <w:rsid w:val="00111A80"/>
    <w:rsid w:val="001469E3"/>
    <w:rsid w:val="00151001"/>
    <w:rsid w:val="00177413"/>
    <w:rsid w:val="001B4EE0"/>
    <w:rsid w:val="001F47CD"/>
    <w:rsid w:val="002D02DE"/>
    <w:rsid w:val="00311391"/>
    <w:rsid w:val="00325199"/>
    <w:rsid w:val="00334AD4"/>
    <w:rsid w:val="003F536D"/>
    <w:rsid w:val="00412D75"/>
    <w:rsid w:val="00422463"/>
    <w:rsid w:val="00460547"/>
    <w:rsid w:val="004C5794"/>
    <w:rsid w:val="00523E53"/>
    <w:rsid w:val="0058122A"/>
    <w:rsid w:val="005F5A76"/>
    <w:rsid w:val="00633538"/>
    <w:rsid w:val="006345FE"/>
    <w:rsid w:val="0064294B"/>
    <w:rsid w:val="00680BB0"/>
    <w:rsid w:val="006A6F59"/>
    <w:rsid w:val="007417A1"/>
    <w:rsid w:val="00746A84"/>
    <w:rsid w:val="007E42C1"/>
    <w:rsid w:val="007F3479"/>
    <w:rsid w:val="00861E22"/>
    <w:rsid w:val="00897832"/>
    <w:rsid w:val="008E7774"/>
    <w:rsid w:val="00942C5A"/>
    <w:rsid w:val="0098388D"/>
    <w:rsid w:val="009B3AE9"/>
    <w:rsid w:val="009F61B2"/>
    <w:rsid w:val="00A6508A"/>
    <w:rsid w:val="00A7135A"/>
    <w:rsid w:val="00A87694"/>
    <w:rsid w:val="00A90F82"/>
    <w:rsid w:val="00AE29BD"/>
    <w:rsid w:val="00B435C2"/>
    <w:rsid w:val="00B44125"/>
    <w:rsid w:val="00BA528A"/>
    <w:rsid w:val="00BD6CA9"/>
    <w:rsid w:val="00C72B2B"/>
    <w:rsid w:val="00D40BB6"/>
    <w:rsid w:val="00DF4FCE"/>
    <w:rsid w:val="00E0210F"/>
    <w:rsid w:val="00E02B05"/>
    <w:rsid w:val="00EA620B"/>
    <w:rsid w:val="00ED0E2C"/>
    <w:rsid w:val="00EE4F4A"/>
    <w:rsid w:val="00F53BAA"/>
    <w:rsid w:val="00FA1CBC"/>
    <w:rsid w:val="02510443"/>
    <w:rsid w:val="033E3817"/>
    <w:rsid w:val="04204A7F"/>
    <w:rsid w:val="04EC6F67"/>
    <w:rsid w:val="05A56808"/>
    <w:rsid w:val="09B453A6"/>
    <w:rsid w:val="1279795D"/>
    <w:rsid w:val="157E0E4B"/>
    <w:rsid w:val="210F3D49"/>
    <w:rsid w:val="24703456"/>
    <w:rsid w:val="24BB1774"/>
    <w:rsid w:val="2F8F5CD7"/>
    <w:rsid w:val="2FE778C1"/>
    <w:rsid w:val="3088782E"/>
    <w:rsid w:val="35441312"/>
    <w:rsid w:val="4159124B"/>
    <w:rsid w:val="41A35612"/>
    <w:rsid w:val="4BA73844"/>
    <w:rsid w:val="554625DF"/>
    <w:rsid w:val="5C8F6A67"/>
    <w:rsid w:val="643A375C"/>
    <w:rsid w:val="66E005EB"/>
    <w:rsid w:val="685427BA"/>
    <w:rsid w:val="795E0FD9"/>
    <w:rsid w:val="799B6897"/>
    <w:rsid w:val="7B29210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Title"/>
    <w:qFormat/>
    <w:uiPriority w:val="0"/>
    <w:pPr>
      <w:spacing w:before="240" w:after="60"/>
      <w:jc w:val="center"/>
      <w:outlineLvl w:val="0"/>
    </w:pPr>
    <w:rPr>
      <w:rFonts w:ascii="Cambria" w:hAnsi="Cambria" w:eastAsia="宋体" w:cs="Times New Roman"/>
      <w:b/>
      <w:bCs/>
      <w:sz w:val="32"/>
      <w:szCs w:val="32"/>
      <w:lang w:val="en-US" w:eastAsia="zh-CN" w:bidi="ar-SA"/>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customStyle="1" w:styleId="9">
    <w:name w:val="页脚 Char"/>
    <w:basedOn w:val="6"/>
    <w:link w:val="2"/>
    <w:semiHidden/>
    <w:qFormat/>
    <w:uiPriority w:val="0"/>
    <w:rPr>
      <w:rFonts w:ascii="Calibri" w:hAnsi="Calibri" w:cs="黑体"/>
      <w:kern w:val="2"/>
      <w:sz w:val="18"/>
      <w:szCs w:val="18"/>
    </w:rPr>
  </w:style>
  <w:style w:type="character" w:customStyle="1" w:styleId="10">
    <w:name w:val="页眉 Char"/>
    <w:basedOn w:val="6"/>
    <w:link w:val="3"/>
    <w:semiHidden/>
    <w:qFormat/>
    <w:uiPriority w:val="0"/>
    <w:rPr>
      <w:rFonts w:ascii="Calibri" w:hAnsi="Calibri" w:cs="黑体"/>
      <w:kern w:val="2"/>
      <w:sz w:val="18"/>
      <w:szCs w:val="18"/>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29886</Words>
  <Characters>30414</Characters>
  <Lines>237</Lines>
  <Paragraphs>66</Paragraphs>
  <TotalTime>12</TotalTime>
  <ScaleCrop>false</ScaleCrop>
  <LinksUpToDate>false</LinksUpToDate>
  <CharactersWithSpaces>30674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2015-11-02T10:55:00Z</dcterms:created>
  <dc:creator>Administrator</dc:creator>
  <cp:lastModifiedBy>王旭</cp:lastModifiedBy>
  <cp:lastPrinted>2021-11-06T08:10:00Z</cp:lastPrinted>
  <dcterms:modified xsi:type="dcterms:W3CDTF">2023-08-01T01:19:38Z</dcterms:modified>
  <dc:title>序号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0B49DD63282F4C54A32637605F51C742_13</vt:lpwstr>
  </property>
</Properties>
</file>