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息县司法局</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w:t>
      </w:r>
      <w:r>
        <w:rPr>
          <w:rFonts w:hint="eastAsia" w:ascii="黑体" w:hAnsi="黑体" w:eastAsia="黑体" w:cs="黑体"/>
          <w:sz w:val="32"/>
          <w:szCs w:val="32"/>
          <w:lang w:eastAsia="zh-CN"/>
        </w:rPr>
        <w:t>十</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息县司法局</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息县司法局</w:t>
      </w:r>
      <w:r>
        <w:rPr>
          <w:rFonts w:hint="eastAsia" w:ascii="黑体" w:hAnsi="黑体" w:eastAsia="黑体" w:cs="黑体"/>
          <w:sz w:val="48"/>
          <w:szCs w:val="48"/>
        </w:rPr>
        <w:t>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黑体" w:hAnsi="黑体" w:eastAsia="黑体" w:cs="黑体"/>
          <w:kern w:val="0"/>
          <w:sz w:val="32"/>
          <w:szCs w:val="32"/>
        </w:rPr>
      </w:pPr>
      <w:r>
        <w:rPr>
          <w:rFonts w:hint="eastAsia" w:ascii="仿宋" w:hAnsi="仿宋" w:eastAsia="仿宋"/>
          <w:sz w:val="32"/>
          <w:szCs w:val="32"/>
        </w:rPr>
        <w:t>息县司法局位于</w:t>
      </w:r>
      <w:r>
        <w:rPr>
          <w:rStyle w:val="10"/>
          <w:rFonts w:hint="eastAsia" w:ascii="仿宋" w:hAnsi="仿宋" w:eastAsia="仿宋" w:cs="Arial"/>
          <w:sz w:val="32"/>
          <w:szCs w:val="32"/>
        </w:rPr>
        <w:t>息县五一中路东</w:t>
      </w:r>
      <w:r>
        <w:rPr>
          <w:rStyle w:val="10"/>
          <w:rFonts w:ascii="仿宋" w:hAnsi="仿宋" w:eastAsia="仿宋" w:cs="Arial"/>
          <w:sz w:val="32"/>
          <w:szCs w:val="32"/>
        </w:rPr>
        <w:t>150</w:t>
      </w:r>
      <w:r>
        <w:rPr>
          <w:rStyle w:val="10"/>
          <w:rFonts w:hint="eastAsia" w:ascii="仿宋" w:hAnsi="仿宋" w:eastAsia="仿宋" w:cs="Arial"/>
          <w:sz w:val="32"/>
          <w:szCs w:val="32"/>
        </w:rPr>
        <w:t>米，</w:t>
      </w:r>
      <w:r>
        <w:rPr>
          <w:rFonts w:hint="eastAsia" w:ascii="仿宋" w:hAnsi="仿宋" w:eastAsia="仿宋" w:cs="Arial"/>
          <w:sz w:val="32"/>
          <w:szCs w:val="32"/>
          <w:shd w:val="clear" w:color="auto" w:fill="FFFFFF"/>
        </w:rPr>
        <w:t>负责全县的法制宣传教育，主持县依法治县办公室工作；参与制订全县普及法律常识规划，并组织实施；培训普法骨干，处理普法日常工作，负责基层人民调解组织的组织、业务建设、指导和检查落实民间纠纷调解工作，预防激化，减少和避免民转刑案件。指导刑满释放人员和解除劳动教养人员安置帮教工作。领导和管理社区矫正工作，组织开展社区矫正工作。管理和指导法律援助机构和法律援助业务工作；管理、指导和监督全县的律师、法律顾问工作和社会法律服务机构的工作。管理和指导全县公证机构和公证业务工作。领导和管理乡镇司法所（法律服务所）的工作。管理和监督本县面向社会服务的司法鉴定和法律援助工作。除局机关外下设</w:t>
      </w:r>
      <w:r>
        <w:rPr>
          <w:rFonts w:ascii="仿宋" w:hAnsi="仿宋" w:eastAsia="仿宋" w:cs="Arial"/>
          <w:sz w:val="32"/>
          <w:szCs w:val="32"/>
          <w:shd w:val="clear" w:color="auto" w:fill="FFFFFF"/>
        </w:rPr>
        <w:t>23</w:t>
      </w:r>
      <w:r>
        <w:rPr>
          <w:rFonts w:hint="eastAsia" w:ascii="仿宋" w:hAnsi="仿宋" w:eastAsia="仿宋" w:cs="Arial"/>
          <w:sz w:val="32"/>
          <w:szCs w:val="32"/>
          <w:shd w:val="clear" w:color="auto" w:fill="FFFFFF"/>
        </w:rPr>
        <w:t>个司法所。</w:t>
      </w: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息县司法局</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个，包括：</w:t>
      </w:r>
      <w:r>
        <w:rPr>
          <w:rFonts w:hint="eastAsia" w:ascii="仿宋" w:hAnsi="仿宋" w:eastAsia="仿宋" w:cs="Arial"/>
          <w:sz w:val="32"/>
          <w:szCs w:val="32"/>
          <w:shd w:val="clear" w:color="auto" w:fill="FFFFFF"/>
        </w:rPr>
        <w:t>办公室、律管股、公证处、基层股、行财装备股、法律援助中心、政治工作部、宣教股、社区矫正中心</w:t>
      </w:r>
      <w:r>
        <w:rPr>
          <w:rFonts w:hint="eastAsia" w:ascii="仿宋" w:hAnsi="仿宋" w:eastAsia="仿宋" w:cs="Arial"/>
          <w:sz w:val="32"/>
          <w:szCs w:val="32"/>
          <w:shd w:val="clear" w:color="auto" w:fill="FFFFFF"/>
          <w:lang w:eastAsia="zh-CN"/>
        </w:rPr>
        <w:t>、</w:t>
      </w:r>
      <w:r>
        <w:rPr>
          <w:rFonts w:hint="eastAsia" w:ascii="仿宋" w:hAnsi="仿宋" w:eastAsia="仿宋" w:cs="Arial"/>
          <w:sz w:val="32"/>
          <w:szCs w:val="32"/>
          <w:shd w:val="clear" w:color="auto" w:fill="FFFFFF"/>
        </w:rPr>
        <w:t>法治综合股</w:t>
      </w:r>
      <w:r>
        <w:rPr>
          <w:rFonts w:hint="eastAsia" w:ascii="仿宋_GB2312" w:hAnsi="仿宋_GB2312" w:eastAsia="仿宋_GB2312" w:cs="仿宋_GB2312"/>
          <w:kern w:val="0"/>
          <w:sz w:val="32"/>
          <w:szCs w:val="32"/>
        </w:rPr>
        <w:t>。另设有</w:t>
      </w:r>
      <w:r>
        <w:rPr>
          <w:rFonts w:hint="eastAsia" w:ascii="仿宋" w:hAnsi="仿宋" w:eastAsia="仿宋" w:cs="Arial"/>
          <w:sz w:val="32"/>
          <w:szCs w:val="32"/>
          <w:shd w:val="clear" w:color="auto" w:fill="FFFFFF"/>
        </w:rPr>
        <w:t>规范性文件审核股</w:t>
      </w:r>
      <w:r>
        <w:rPr>
          <w:rFonts w:hint="eastAsia" w:ascii="仿宋_GB2312" w:hAnsi="仿宋_GB2312" w:eastAsia="仿宋_GB2312" w:cs="仿宋_GB2312"/>
          <w:kern w:val="0"/>
          <w:sz w:val="32"/>
          <w:szCs w:val="32"/>
        </w:rPr>
        <w:t>和</w:t>
      </w:r>
      <w:r>
        <w:rPr>
          <w:rFonts w:hint="eastAsia" w:ascii="仿宋" w:hAnsi="仿宋" w:eastAsia="仿宋" w:cs="Arial"/>
          <w:sz w:val="32"/>
          <w:szCs w:val="32"/>
          <w:shd w:val="clear" w:color="auto" w:fill="FFFFFF"/>
        </w:rPr>
        <w:t>行政执法监督股</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息县司法局</w:t>
      </w:r>
      <w:r>
        <w:rPr>
          <w:rFonts w:hint="eastAsia" w:ascii="仿宋_GB2312" w:hAnsi="仿宋_GB2312" w:eastAsia="仿宋_GB2312" w:cs="仿宋_GB2312"/>
          <w:kern w:val="0"/>
          <w:sz w:val="32"/>
          <w:szCs w:val="32"/>
        </w:rPr>
        <w:t>决算包括：本级决算。</w:t>
      </w:r>
    </w:p>
    <w:p>
      <w:pPr>
        <w:widowControl/>
        <w:ind w:firstLine="640" w:firstLineChars="200"/>
        <w:jc w:val="left"/>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val="en-US" w:eastAsia="zh-CN"/>
        </w:rPr>
        <w:t>息县司法局</w:t>
      </w:r>
      <w:r>
        <w:rPr>
          <w:rFonts w:hint="eastAsia" w:ascii="仿宋_GB2312" w:hAnsi="仿宋_GB2312" w:eastAsia="仿宋_GB2312" w:cs="仿宋_GB2312"/>
          <w:kern w:val="0"/>
          <w:sz w:val="32"/>
          <w:szCs w:val="32"/>
        </w:rPr>
        <w:t>纳入本部门2021年度部门决算编制范围的单位共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个，其中二级预算单位包括：</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息县司法局</w:t>
      </w:r>
      <w:r>
        <w:rPr>
          <w:rFonts w:hint="eastAsia" w:ascii="仿宋_GB2312" w:hAnsi="仿宋_GB2312" w:eastAsia="仿宋_GB2312" w:cs="仿宋_GB2312"/>
          <w:kern w:val="0"/>
          <w:sz w:val="32"/>
          <w:szCs w:val="32"/>
        </w:rPr>
        <w:t>本级</w:t>
      </w: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息县司法局</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513"/>
              </w:tabs>
              <w:jc w:val="righ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ab/>
            </w:r>
            <w:r>
              <w:rPr>
                <w:rFonts w:hint="eastAsia" w:ascii="宋体" w:hAnsi="宋体" w:cs="宋体"/>
                <w:color w:val="000000"/>
                <w:sz w:val="20"/>
                <w:szCs w:val="20"/>
                <w:lang w:eastAsia="zh-CN"/>
              </w:rPr>
              <w:t>1087.97</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r>
              <w:rPr>
                <w:rFonts w:hint="eastAsia" w:ascii="宋体" w:hAnsi="宋体" w:cs="宋体"/>
                <w:color w:val="000000"/>
                <w:sz w:val="20"/>
                <w:szCs w:val="20"/>
                <w:lang w:eastAsia="zh-CN"/>
              </w:rPr>
              <w:t>978.94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七、社会保障和就业支出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r>
              <w:rPr>
                <w:rFonts w:hint="eastAsia" w:ascii="宋体" w:hAnsi="宋体" w:cs="宋体"/>
                <w:color w:val="000000"/>
                <w:sz w:val="20"/>
                <w:szCs w:val="20"/>
                <w:lang w:eastAsia="zh-CN"/>
              </w:rPr>
              <w:t>46.48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八、卫生健康支出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r>
              <w:rPr>
                <w:rFonts w:hint="eastAsia" w:ascii="宋体" w:hAnsi="宋体" w:cs="宋体"/>
                <w:color w:val="000000"/>
                <w:sz w:val="20"/>
                <w:szCs w:val="20"/>
                <w:lang w:eastAsia="zh-CN"/>
              </w:rPr>
              <w:t>24.76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九、</w:t>
            </w:r>
            <w:r>
              <w:rPr>
                <w:rFonts w:hint="eastAsia" w:ascii="宋体" w:hAnsi="宋体" w:cs="宋体"/>
                <w:color w:val="000000"/>
                <w:kern w:val="0"/>
                <w:sz w:val="20"/>
                <w:szCs w:val="20"/>
                <w:lang w:bidi="ar"/>
              </w:rPr>
              <w:t>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r>
              <w:rPr>
                <w:rFonts w:hint="eastAsia" w:ascii="宋体" w:hAnsi="宋体" w:cs="宋体"/>
                <w:color w:val="000000"/>
                <w:sz w:val="20"/>
                <w:szCs w:val="20"/>
                <w:lang w:eastAsia="zh-CN"/>
              </w:rPr>
              <w:t>37.8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r>
              <w:rPr>
                <w:rFonts w:hint="eastAsia" w:ascii="宋体" w:hAnsi="宋体" w:cs="宋体"/>
                <w:color w:val="000000"/>
                <w:sz w:val="20"/>
                <w:szCs w:val="20"/>
                <w:lang w:eastAsia="zh-CN"/>
              </w:rPr>
              <w:t>1087.97</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tabs>
                <w:tab w:val="left" w:pos="513"/>
              </w:tabs>
              <w:jc w:val="right"/>
              <w:rPr>
                <w:rFonts w:hint="eastAsia" w:ascii="宋体" w:hAnsi="宋体" w:cs="宋体"/>
                <w:color w:val="000000"/>
                <w:sz w:val="20"/>
                <w:szCs w:val="20"/>
                <w:lang w:eastAsia="zh-CN"/>
              </w:rPr>
            </w:pPr>
            <w:r>
              <w:rPr>
                <w:rFonts w:hint="eastAsia" w:ascii="宋体" w:hAnsi="宋体" w:cs="宋体"/>
                <w:color w:val="000000"/>
                <w:sz w:val="20"/>
                <w:szCs w:val="20"/>
                <w:lang w:eastAsia="zh-CN"/>
              </w:rPr>
              <w:t>1087.97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513"/>
              </w:tabs>
              <w:jc w:val="left"/>
              <w:rPr>
                <w:rFonts w:hint="eastAsia" w:ascii="宋体" w:hAnsi="宋体" w:cs="宋体"/>
                <w:color w:val="000000"/>
                <w:sz w:val="20"/>
                <w:szCs w:val="20"/>
                <w:lang w:eastAsia="zh-CN"/>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tabs>
                <w:tab w:val="left" w:pos="513"/>
              </w:tabs>
              <w:jc w:val="left"/>
              <w:rPr>
                <w:rFonts w:hint="eastAsia" w:ascii="宋体" w:hAnsi="宋体" w:cs="宋体"/>
                <w:color w:val="000000"/>
                <w:sz w:val="20"/>
                <w:szCs w:val="20"/>
                <w:lang w:eastAsia="zh-CN"/>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eastAsia="zh-CN"/>
              </w:rPr>
              <w:t>1087.97</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b/>
                <w:color w:val="000000"/>
                <w:sz w:val="20"/>
                <w:szCs w:val="20"/>
              </w:rPr>
            </w:pPr>
            <w:r>
              <w:rPr>
                <w:rFonts w:hint="eastAsia" w:ascii="宋体" w:hAnsi="宋体" w:cs="宋体"/>
                <w:color w:val="000000"/>
                <w:sz w:val="20"/>
                <w:szCs w:val="20"/>
                <w:lang w:eastAsia="zh-CN"/>
              </w:rPr>
              <w:t>1087.97</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single" w:color="000000" w:sz="8" w:space="0"/>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single" w:color="000000" w:sz="8" w:space="0"/>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90"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息县司法局</w:t>
            </w: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1,087.97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1,087.97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公共安全支出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20406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司法</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2040601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978.94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978.94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43.95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43.95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24.76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24.76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21011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24.76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24.76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37.80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37.80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22102</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37.80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37.80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息县司法局</w:t>
            </w: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1,087.97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1,087.97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204</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公共安全支出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20406</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司法</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2040601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978.94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978.94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43.95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43.95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210</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21011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37.80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37.80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22102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37.80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37.80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single" w:color="000000" w:sz="8" w:space="0"/>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3417"/>
        <w:gridCol w:w="1297"/>
        <w:gridCol w:w="1210"/>
        <w:gridCol w:w="2596"/>
        <w:gridCol w:w="993"/>
        <w:gridCol w:w="854"/>
        <w:gridCol w:w="988"/>
        <w:gridCol w:w="61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58"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5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05"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息县司法局</w:t>
            </w: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5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05"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1,087.97</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9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9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8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9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8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978.94</w:t>
            </w:r>
          </w:p>
        </w:tc>
        <w:tc>
          <w:tcPr>
            <w:tcW w:w="9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978.94</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i w:val="0"/>
                <w:iCs w:val="0"/>
                <w:color w:val="000000"/>
                <w:kern w:val="0"/>
                <w:sz w:val="20"/>
                <w:szCs w:val="20"/>
                <w:u w:val="none"/>
                <w:lang w:val="en-US" w:eastAsia="zh-CN" w:bidi="ar"/>
              </w:rPr>
              <w:t>五</w:t>
            </w:r>
            <w:r>
              <w:rPr>
                <w:rFonts w:hint="eastAsia" w:ascii="宋体" w:hAnsi="宋体" w:eastAsia="宋体" w:cs="宋体"/>
                <w:i w:val="0"/>
                <w:iCs w:val="0"/>
                <w:color w:val="000000"/>
                <w:kern w:val="0"/>
                <w:sz w:val="20"/>
                <w:szCs w:val="20"/>
                <w:u w:val="none"/>
                <w:lang w:val="en-US" w:eastAsia="zh-CN" w:bidi="ar"/>
              </w:rPr>
              <w:t>、社会保障和就业支出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0"/>
                <w:szCs w:val="20"/>
                <w:lang w:val="en-US"/>
              </w:rPr>
            </w:pPr>
            <w:r>
              <w:rPr>
                <w:rFonts w:hint="eastAsia" w:ascii="宋体" w:hAnsi="宋体" w:cs="宋体"/>
                <w:i w:val="0"/>
                <w:iCs w:val="0"/>
                <w:color w:val="000000"/>
                <w:kern w:val="0"/>
                <w:sz w:val="20"/>
                <w:szCs w:val="20"/>
                <w:u w:val="none"/>
                <w:lang w:val="en-US" w:eastAsia="zh-CN" w:bidi="ar"/>
              </w:rPr>
              <w:t>19</w:t>
            </w:r>
          </w:p>
        </w:tc>
        <w:tc>
          <w:tcPr>
            <w:tcW w:w="8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46.48</w:t>
            </w:r>
          </w:p>
        </w:tc>
        <w:tc>
          <w:tcPr>
            <w:tcW w:w="9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46.48</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i w:val="0"/>
                <w:iCs w:val="0"/>
                <w:color w:val="000000"/>
                <w:kern w:val="0"/>
                <w:sz w:val="20"/>
                <w:szCs w:val="20"/>
                <w:u w:val="none"/>
                <w:lang w:val="en-US" w:eastAsia="zh-CN" w:bidi="ar"/>
              </w:rPr>
              <w:t>六</w:t>
            </w:r>
            <w:r>
              <w:rPr>
                <w:rFonts w:hint="eastAsia" w:ascii="宋体" w:hAnsi="宋体" w:eastAsia="宋体" w:cs="宋体"/>
                <w:i w:val="0"/>
                <w:iCs w:val="0"/>
                <w:color w:val="000000"/>
                <w:kern w:val="0"/>
                <w:sz w:val="20"/>
                <w:szCs w:val="20"/>
                <w:u w:val="none"/>
                <w:lang w:val="en-US" w:eastAsia="zh-CN" w:bidi="ar"/>
              </w:rPr>
              <w:t>、卫生健康支出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0"/>
                <w:szCs w:val="20"/>
                <w:lang w:val="en-US"/>
              </w:rPr>
            </w:pPr>
            <w:r>
              <w:rPr>
                <w:rFonts w:hint="eastAsia" w:ascii="宋体" w:hAnsi="宋体" w:cs="宋体"/>
                <w:i w:val="0"/>
                <w:iCs w:val="0"/>
                <w:color w:val="000000"/>
                <w:kern w:val="0"/>
                <w:sz w:val="20"/>
                <w:szCs w:val="20"/>
                <w:u w:val="none"/>
                <w:lang w:val="en-US" w:eastAsia="zh-CN" w:bidi="ar"/>
              </w:rPr>
              <w:t>20</w:t>
            </w:r>
          </w:p>
        </w:tc>
        <w:tc>
          <w:tcPr>
            <w:tcW w:w="8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24.76</w:t>
            </w:r>
          </w:p>
        </w:tc>
        <w:tc>
          <w:tcPr>
            <w:tcW w:w="9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24.76</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i w:val="0"/>
                <w:iCs w:val="0"/>
                <w:color w:val="000000"/>
                <w:kern w:val="0"/>
                <w:sz w:val="20"/>
                <w:szCs w:val="20"/>
                <w:u w:val="none"/>
                <w:lang w:val="en-US" w:eastAsia="zh-CN" w:bidi="ar"/>
              </w:rPr>
              <w:t>七</w:t>
            </w:r>
            <w:r>
              <w:rPr>
                <w:rFonts w:hint="eastAsia" w:ascii="宋体" w:hAnsi="宋体" w:eastAsia="宋体" w:cs="宋体"/>
                <w:i w:val="0"/>
                <w:iCs w:val="0"/>
                <w:color w:val="000000"/>
                <w:kern w:val="0"/>
                <w:sz w:val="20"/>
                <w:szCs w:val="20"/>
                <w:u w:val="none"/>
                <w:lang w:val="en-US" w:eastAsia="zh-CN" w:bidi="ar"/>
              </w:rPr>
              <w:t>、住房保障支出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0"/>
                <w:szCs w:val="20"/>
                <w:lang w:val="en-US"/>
              </w:rPr>
            </w:pPr>
            <w:r>
              <w:rPr>
                <w:rFonts w:hint="eastAsia" w:ascii="宋体" w:hAnsi="宋体" w:cs="宋体"/>
                <w:i w:val="0"/>
                <w:iCs w:val="0"/>
                <w:color w:val="000000"/>
                <w:kern w:val="0"/>
                <w:sz w:val="20"/>
                <w:szCs w:val="20"/>
                <w:u w:val="none"/>
                <w:lang w:val="en-US" w:eastAsia="zh-CN" w:bidi="ar"/>
              </w:rPr>
              <w:t>21</w:t>
            </w:r>
          </w:p>
        </w:tc>
        <w:tc>
          <w:tcPr>
            <w:tcW w:w="8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37.80</w:t>
            </w:r>
          </w:p>
        </w:tc>
        <w:tc>
          <w:tcPr>
            <w:tcW w:w="98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37.80</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058"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854"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1,087.97</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854"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1,087.97</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1,087.97</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058" w:type="dxa"/>
            <w:tcBorders>
              <w:top w:val="single" w:color="000000" w:sz="4" w:space="0"/>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854"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058" w:type="dxa"/>
            <w:tcBorders>
              <w:top w:val="single" w:color="000000" w:sz="4" w:space="0"/>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54"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854"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854"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1,087.97</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854" w:type="dxa"/>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1,087.97</w:t>
            </w:r>
          </w:p>
        </w:tc>
        <w:tc>
          <w:tcPr>
            <w:tcW w:w="98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1,087.97</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058" w:type="dxa"/>
            <w:tcBorders>
              <w:top w:val="single" w:color="000000" w:sz="4" w:space="0"/>
              <w:left w:val="nil"/>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594"/>
        <w:gridCol w:w="132"/>
        <w:gridCol w:w="688"/>
        <w:gridCol w:w="217"/>
        <w:gridCol w:w="2008"/>
        <w:gridCol w:w="3449"/>
        <w:gridCol w:w="3449"/>
        <w:gridCol w:w="3451"/>
      </w:tblGrid>
      <w:tr>
        <w:tblPrEx>
          <w:tblCellMar>
            <w:top w:w="0" w:type="dxa"/>
            <w:left w:w="0" w:type="dxa"/>
            <w:bottom w:w="0" w:type="dxa"/>
            <w:right w:w="0" w:type="dxa"/>
          </w:tblCellMar>
        </w:tblPrEx>
        <w:trPr>
          <w:trHeight w:val="600" w:hRule="atLeast"/>
        </w:trPr>
        <w:tc>
          <w:tcPr>
            <w:tcW w:w="13988" w:type="dxa"/>
            <w:gridSpan w:val="8"/>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05"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6"/>
                <w:rFonts w:hint="default"/>
                <w:lang w:bidi="ar"/>
              </w:rPr>
              <w:t>5表</w:t>
            </w:r>
          </w:p>
        </w:tc>
      </w:tr>
      <w:tr>
        <w:tblPrEx>
          <w:tblCellMar>
            <w:top w:w="0" w:type="dxa"/>
            <w:left w:w="0" w:type="dxa"/>
            <w:bottom w:w="0" w:type="dxa"/>
            <w:right w:w="0" w:type="dxa"/>
          </w:tblCellMar>
        </w:tblPrEx>
        <w:trPr>
          <w:trHeight w:val="300" w:hRule="atLeast"/>
        </w:trPr>
        <w:tc>
          <w:tcPr>
            <w:tcW w:w="5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部门：</w:t>
            </w:r>
          </w:p>
        </w:tc>
        <w:tc>
          <w:tcPr>
            <w:tcW w:w="1037" w:type="dxa"/>
            <w:gridSpan w:val="3"/>
            <w:tcBorders>
              <w:top w:val="nil"/>
              <w:left w:val="nil"/>
              <w:bottom w:val="nil"/>
              <w:right w:val="nil"/>
            </w:tcBorders>
            <w:shd w:val="clear" w:color="auto" w:fill="FFFFFF"/>
            <w:noWrap w:val="0"/>
            <w:tcMar>
              <w:top w:w="15" w:type="dxa"/>
              <w:left w:w="15" w:type="dxa"/>
              <w:right w:w="15" w:type="dxa"/>
            </w:tcMar>
            <w:vAlign w:val="center"/>
          </w:tcPr>
          <w:p>
            <w:pPr>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息县司法局</w:t>
            </w:r>
          </w:p>
        </w:tc>
        <w:tc>
          <w:tcPr>
            <w:tcW w:w="2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5"/>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7"/>
                <w:rFonts w:hint="default"/>
                <w:sz w:val="20"/>
                <w:szCs w:val="20"/>
                <w:lang w:bidi="ar"/>
              </w:rPr>
              <w:t xml:space="preserve">   </w:t>
            </w:r>
            <w:r>
              <w:rPr>
                <w:rStyle w:val="8"/>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631" w:type="dxa"/>
            <w:gridSpan w:val="4"/>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631" w:type="dxa"/>
            <w:gridSpan w:val="4"/>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631" w:type="dxa"/>
            <w:gridSpan w:val="4"/>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639"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1,087.97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1,087.97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631"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204</w:t>
            </w:r>
          </w:p>
        </w:tc>
        <w:tc>
          <w:tcPr>
            <w:tcW w:w="2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公共安全支出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631"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20406</w:t>
            </w:r>
          </w:p>
        </w:tc>
        <w:tc>
          <w:tcPr>
            <w:tcW w:w="2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司法</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978.94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631"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2040601</w:t>
            </w:r>
          </w:p>
        </w:tc>
        <w:tc>
          <w:tcPr>
            <w:tcW w:w="2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978.94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978.94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631"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2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631"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2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46.48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631"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2080501</w:t>
            </w:r>
          </w:p>
        </w:tc>
        <w:tc>
          <w:tcPr>
            <w:tcW w:w="2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631"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2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43.95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43.95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24.76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24.76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24.76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24.76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24.76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24.76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37.80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37.80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37.80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37.80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37.80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37.80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645" w:hRule="atLeast"/>
        </w:trPr>
        <w:tc>
          <w:tcPr>
            <w:tcW w:w="13988"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1008"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p>
        </w:tc>
        <w:tc>
          <w:tcPr>
            <w:tcW w:w="2785"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息县司法局</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677.96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399.26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288.65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115.49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43.95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7.59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17.57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39.87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52.18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30.54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189.24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15.84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688.71</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399.26</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1149"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息县司法局</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9"/>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4018" w:type="dxa"/>
        <w:tblInd w:w="0" w:type="dxa"/>
        <w:tblLayout w:type="fixed"/>
        <w:tblCellMar>
          <w:top w:w="0" w:type="dxa"/>
          <w:left w:w="0" w:type="dxa"/>
          <w:bottom w:w="0" w:type="dxa"/>
          <w:right w:w="0" w:type="dxa"/>
        </w:tblCellMar>
      </w:tblPr>
      <w:tblGrid>
        <w:gridCol w:w="612"/>
        <w:gridCol w:w="516"/>
        <w:gridCol w:w="20"/>
        <w:gridCol w:w="30"/>
        <w:gridCol w:w="1246"/>
        <w:gridCol w:w="30"/>
        <w:gridCol w:w="1896"/>
        <w:gridCol w:w="30"/>
        <w:gridCol w:w="189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7"/>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息县司法局</w:t>
            </w: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30" w:type="dxa"/>
          <w:trHeight w:val="405" w:hRule="atLeast"/>
        </w:trPr>
        <w:tc>
          <w:tcPr>
            <w:tcW w:w="2424" w:type="dxa"/>
            <w:gridSpan w:val="5"/>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gridSpan w:val="2"/>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gridAfter w:val="1"/>
          <w:wAfter w:w="30" w:type="dxa"/>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2424"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30" w:type="dxa"/>
          <w:trHeight w:val="450" w:hRule="atLeast"/>
        </w:trPr>
        <w:tc>
          <w:tcPr>
            <w:tcW w:w="2424" w:type="dxa"/>
            <w:gridSpan w:val="5"/>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645" w:hRule="atLeast"/>
        </w:trPr>
        <w:tc>
          <w:tcPr>
            <w:tcW w:w="13988" w:type="dxa"/>
            <w:gridSpan w:val="17"/>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万元。与上年度相比，收、支总计各减少</w:t>
      </w:r>
      <w:r>
        <w:rPr>
          <w:rFonts w:hint="eastAsia" w:ascii="仿宋_GB2312" w:hAnsi="仿宋_GB2312" w:eastAsia="仿宋_GB2312" w:cs="仿宋_GB2312"/>
          <w:sz w:val="32"/>
          <w:szCs w:val="32"/>
          <w:lang w:val="en-US" w:eastAsia="zh-CN"/>
        </w:rPr>
        <w:t>118.84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%。主要原因是</w:t>
      </w:r>
      <w:r>
        <w:rPr>
          <w:rFonts w:hint="eastAsia" w:ascii="仿宋_GB2312" w:eastAsia="仿宋_GB2312"/>
          <w:sz w:val="32"/>
          <w:szCs w:val="32"/>
        </w:rPr>
        <w:t>全面落实上级减少开支的方针</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%；经营收入万元，占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万元。与上年度相比，财政拨款收、支总计各减少</w:t>
      </w:r>
      <w:r>
        <w:rPr>
          <w:rFonts w:hint="eastAsia" w:ascii="仿宋_GB2312" w:hAnsi="仿宋_GB2312" w:eastAsia="仿宋_GB2312" w:cs="仿宋_GB2312"/>
          <w:sz w:val="32"/>
          <w:szCs w:val="32"/>
          <w:lang w:val="en-US" w:eastAsia="zh-CN"/>
        </w:rPr>
        <w:t>118.84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%。主要原因是</w:t>
      </w:r>
      <w:r>
        <w:rPr>
          <w:rFonts w:hint="eastAsia" w:ascii="仿宋_GB2312" w:eastAsia="仿宋_GB2312"/>
          <w:sz w:val="32"/>
          <w:szCs w:val="32"/>
        </w:rPr>
        <w:t>全面落实上级减少开支的方针</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%。与上年度相比，一般公共预算财政拨款支出减少</w:t>
      </w:r>
      <w:r>
        <w:rPr>
          <w:rFonts w:hint="eastAsia" w:ascii="仿宋_GB2312" w:hAnsi="仿宋_GB2312" w:eastAsia="仿宋_GB2312" w:cs="仿宋_GB2312"/>
          <w:sz w:val="32"/>
          <w:szCs w:val="32"/>
          <w:lang w:val="en-US" w:eastAsia="zh-CN"/>
        </w:rPr>
        <w:t>118.84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%。主要原因是</w:t>
      </w:r>
      <w:r>
        <w:rPr>
          <w:rFonts w:hint="eastAsia" w:ascii="仿宋_GB2312" w:eastAsia="仿宋_GB2312"/>
          <w:sz w:val="32"/>
          <w:szCs w:val="32"/>
        </w:rPr>
        <w:t>全面落实上级减少开支的方针</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default" w:ascii="仿宋_GB2312" w:hAnsi="仿宋_GB2312" w:eastAsia="仿宋_GB2312" w:cs="仿宋_GB2312"/>
          <w:sz w:val="32"/>
          <w:szCs w:val="32"/>
          <w:lang w:val="en-US"/>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万元，主要用于以下方面：公共安全支出</w:t>
      </w:r>
      <w:r>
        <w:rPr>
          <w:rFonts w:hint="eastAsia" w:ascii="仿宋_GB2312" w:hAnsi="仿宋_GB2312" w:eastAsia="仿宋_GB2312" w:cs="仿宋_GB2312"/>
          <w:sz w:val="32"/>
          <w:szCs w:val="32"/>
          <w:lang w:val="en-US" w:eastAsia="zh-CN"/>
        </w:rPr>
        <w:t>978.94万元，占89.98%；社会保障和就业支出46.48万元，占4.27%；卫生健康支出24.76万元，占2.28%；住房保障支出37.80万元，占3.47%。</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公共安全支出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司法</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行政运行</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978.94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978.94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不存在差异</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行政事业单位养老支出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行政单位离退休</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不存在差异</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行政事业单位养老支出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机关事业单位基本养老保险缴费支出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43.95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43.95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不存在差异</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行政单位医疗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24.76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24.76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不存在差异</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住房保障支出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住房改革支出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住房公积金</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不存在差异</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1087.97</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688.71</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399.26</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年度“三公”经费支出决算数与预算数</w:t>
      </w:r>
      <w:r>
        <w:rPr>
          <w:rFonts w:hint="eastAsia" w:ascii="仿宋_GB2312" w:hAnsi="仿宋_GB2312" w:eastAsia="仿宋_GB2312" w:cs="仿宋_GB2312"/>
          <w:sz w:val="32"/>
          <w:szCs w:val="32"/>
          <w:lang w:val="en-US" w:eastAsia="zh-CN"/>
        </w:rPr>
        <w:t>不存在差异。</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不存在</w:t>
      </w:r>
      <w:r>
        <w:rPr>
          <w:rFonts w:hint="eastAsia" w:ascii="仿宋_GB2312" w:hAnsi="仿宋_GB2312" w:eastAsia="仿宋_GB2312" w:cs="仿宋_GB2312"/>
          <w:sz w:val="32"/>
          <w:szCs w:val="32"/>
        </w:rPr>
        <w:t>差异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开支内容包括：</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rPr>
        <w:t>因公出国（境）团组数</w:t>
      </w:r>
      <w:r>
        <w:rPr>
          <w:rFonts w:ascii="仿宋_GB2312" w:eastAsia="仿宋_GB2312"/>
          <w:sz w:val="32"/>
          <w:szCs w:val="32"/>
        </w:rPr>
        <w:t>0</w:t>
      </w:r>
      <w:r>
        <w:rPr>
          <w:rFonts w:hint="eastAsia" w:ascii="仿宋_GB2312" w:eastAsia="仿宋_GB2312"/>
          <w:sz w:val="32"/>
          <w:szCs w:val="32"/>
        </w:rPr>
        <w:t>个，因公出国（境）人次数</w:t>
      </w:r>
      <w:r>
        <w:rPr>
          <w:rFonts w:ascii="仿宋_GB2312" w:eastAsia="仿宋_GB2312"/>
          <w:sz w:val="32"/>
          <w:szCs w:val="32"/>
        </w:rPr>
        <w:t>0</w:t>
      </w:r>
      <w:r>
        <w:rPr>
          <w:rFonts w:hint="eastAsia" w:ascii="仿宋_GB2312" w:eastAsia="仿宋_GB2312"/>
          <w:sz w:val="32"/>
          <w:szCs w:val="32"/>
        </w:rPr>
        <w:t>人。</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r>
        <w:rPr>
          <w:rFonts w:hint="eastAsia" w:ascii="仿宋_GB2312" w:eastAsia="仿宋_GB2312"/>
          <w:sz w:val="32"/>
          <w:szCs w:val="32"/>
        </w:rPr>
        <w:t>主要用于日常车辆维护。</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年期末，单位开支财政拨款的公务用车保有量为</w:t>
      </w:r>
      <w:r>
        <w:rPr>
          <w:rFonts w:ascii="仿宋_GB2312" w:eastAsia="仿宋_GB2312"/>
          <w:sz w:val="32"/>
          <w:szCs w:val="32"/>
        </w:rPr>
        <w:t>5</w:t>
      </w:r>
      <w:r>
        <w:rPr>
          <w:rFonts w:hint="eastAsia" w:ascii="仿宋_GB2312" w:eastAsia="仿宋_GB2312"/>
          <w:sz w:val="32"/>
          <w:szCs w:val="32"/>
        </w:rPr>
        <w:t>辆</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主要用于无</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项目年末结转和结余资金数额较大，主要原因：</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年度机关运行经费年初预算为</w:t>
      </w:r>
      <w:r>
        <w:rPr>
          <w:rFonts w:hint="eastAsia" w:ascii="仿宋_GB2312" w:hAnsi="仿宋_GB2312" w:eastAsia="仿宋_GB2312" w:cs="仿宋_GB2312"/>
          <w:sz w:val="32"/>
          <w:szCs w:val="32"/>
          <w:lang w:val="en-US" w:eastAsia="zh-CN"/>
        </w:rPr>
        <w:t>399.26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399.26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为做好预算绩效管理工作，本单位按照县财政局要求，积极开展预算绩效管理评价工作。在评价中主要遵循适用性原则、可操作性原则、产出与效果相结合原则。在绩效评价指标评价中主要采用的指标包括:社会效益指标、资金使用指标和资金管理指标。通过设定产出指标和效果指标，分别根据自评项目填写实际确定的各项具体指标。</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141" w:leftChars="67" w:firstLine="480" w:firstLineChars="1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从评价情况来看，我单位项目立项符合相关规定，绩效目标合理，绩效指标体系比较清晰，评价标准较为科学，项目绩效运行跟踪监控机制初步建立，项目管理、财务管理制度较为健全，任务质量完成较高，经济社会效益明显，群众满意度较好。</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根据财政预算管理要求，</w:t>
      </w:r>
      <w:r>
        <w:rPr>
          <w:rFonts w:hint="eastAsia" w:ascii="仿宋_GB2312" w:hAnsi="仿宋_GB2312" w:eastAsia="仿宋_GB2312" w:cs="仿宋_GB2312"/>
          <w:sz w:val="32"/>
          <w:szCs w:val="32"/>
          <w:lang w:eastAsia="zh-CN"/>
        </w:rPr>
        <w:t>息县司法局</w:t>
      </w:r>
      <w:r>
        <w:rPr>
          <w:rFonts w:hint="eastAsia" w:ascii="仿宋_GB2312" w:hAnsi="仿宋_GB2312" w:eastAsia="仿宋_GB2312" w:cs="仿宋_GB2312"/>
          <w:sz w:val="32"/>
          <w:szCs w:val="32"/>
        </w:rPr>
        <w:t>没有开展安排预算项目支出，没有开展预算项目绩效自评。</w:t>
      </w:r>
    </w:p>
    <w:p>
      <w:pPr>
        <w:widowControl/>
        <w:numPr>
          <w:ilvl w:val="0"/>
          <w:numId w:val="2"/>
        </w:numPr>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重点项目绩效评价结</w:t>
      </w:r>
      <w:r>
        <w:rPr>
          <w:rFonts w:hint="eastAsia" w:ascii="楷体_GB2312" w:hAnsi="楷体_GB2312" w:eastAsia="楷体_GB2312" w:cs="楷体_GB2312"/>
          <w:b/>
          <w:bCs/>
          <w:sz w:val="32"/>
          <w:szCs w:val="32"/>
        </w:rPr>
        <w:t>果</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根据财政预算管理要求，2021年度</w:t>
      </w:r>
      <w:r>
        <w:rPr>
          <w:rFonts w:hint="eastAsia" w:ascii="仿宋_GB2312" w:hAnsi="仿宋_GB2312" w:eastAsia="仿宋_GB2312" w:cs="仿宋_GB2312"/>
          <w:sz w:val="32"/>
          <w:szCs w:val="32"/>
          <w:lang w:eastAsia="zh-CN"/>
        </w:rPr>
        <w:t>息县司法</w:t>
      </w:r>
      <w:bookmarkStart w:id="0" w:name="_GoBack"/>
      <w:bookmarkEnd w:id="0"/>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没有开展重点绩效自评工作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77D7574D"/>
    <w:multiLevelType w:val="singleLevel"/>
    <w:tmpl w:val="77D7574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GZmYzNiZWU5NDA4MzY3MDAwZWZhYTYxMmM1M2UifQ=="/>
  </w:docVars>
  <w:rsids>
    <w:rsidRoot w:val="00000000"/>
    <w:rsid w:val="01793FF0"/>
    <w:rsid w:val="07F41BCF"/>
    <w:rsid w:val="0D18404B"/>
    <w:rsid w:val="142B7643"/>
    <w:rsid w:val="14627F6A"/>
    <w:rsid w:val="1A2C7EE9"/>
    <w:rsid w:val="1D1C75A9"/>
    <w:rsid w:val="229939F1"/>
    <w:rsid w:val="236F70FA"/>
    <w:rsid w:val="2A842608"/>
    <w:rsid w:val="2C4948C8"/>
    <w:rsid w:val="35402DD7"/>
    <w:rsid w:val="37BD085D"/>
    <w:rsid w:val="38237ACC"/>
    <w:rsid w:val="43C42B16"/>
    <w:rsid w:val="459E2CCE"/>
    <w:rsid w:val="77DA7275"/>
    <w:rsid w:val="7DE5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pPr>
  </w:style>
  <w:style w:type="character" w:customStyle="1" w:styleId="6">
    <w:name w:val="font11"/>
    <w:qFormat/>
    <w:uiPriority w:val="0"/>
    <w:rPr>
      <w:rFonts w:hint="eastAsia" w:ascii="宋体" w:hAnsi="宋体" w:eastAsia="宋体" w:cs="宋体"/>
      <w:color w:val="000000"/>
      <w:sz w:val="20"/>
      <w:szCs w:val="20"/>
      <w:u w:val="none"/>
    </w:rPr>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51"/>
    <w:qFormat/>
    <w:uiPriority w:val="0"/>
    <w:rPr>
      <w:rFonts w:hint="eastAsia" w:ascii="宋体" w:hAnsi="宋体" w:eastAsia="宋体" w:cs="宋体"/>
      <w:color w:val="000000"/>
      <w:sz w:val="24"/>
      <w:szCs w:val="24"/>
      <w:u w:val="none"/>
    </w:rPr>
  </w:style>
  <w:style w:type="character" w:customStyle="1" w:styleId="9">
    <w:name w:val="font41"/>
    <w:qFormat/>
    <w:uiPriority w:val="0"/>
    <w:rPr>
      <w:rFonts w:hint="eastAsia" w:ascii="宋体" w:hAnsi="宋体" w:eastAsia="宋体" w:cs="宋体"/>
      <w:color w:val="000000"/>
      <w:sz w:val="24"/>
      <w:szCs w:val="24"/>
      <w:u w:val="none"/>
    </w:rPr>
  </w:style>
  <w:style w:type="character" w:customStyle="1" w:styleId="10">
    <w:name w:val="op-map-singlepoint-info-right1"/>
    <w:basedOn w:val="5"/>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7427</Words>
  <Characters>9813</Characters>
  <Lines>0</Lines>
  <Paragraphs>0</Paragraphs>
  <TotalTime>0</TotalTime>
  <ScaleCrop>false</ScaleCrop>
  <LinksUpToDate>false</LinksUpToDate>
  <CharactersWithSpaces>10150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2021-08-21T01:55:00Z</dcterms:created>
  <dc:creator>86155</dc:creator>
  <cp:lastModifiedBy>doge  wanna 1.8</cp:lastModifiedBy>
  <dcterms:modified xsi:type="dcterms:W3CDTF">2023-08-14T02:10:54Z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4E318083956B4E428DECA57AD81D2C44</vt:lpwstr>
  </property>
</Properties>
</file>