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ind w:firstLine="316" w:firstLineChars="100"/>
        <w:rPr>
          <w:rFonts w:ascii="Times New Roman" w:hAnsi="Times New Roman"/>
          <w:b/>
          <w:szCs w:val="32"/>
        </w:rPr>
      </w:pPr>
      <w:r>
        <w:rPr>
          <w:rFonts w:ascii="黑体" w:hAnsi="黑体" w:eastAsia="黑体"/>
          <w:bCs/>
          <w:szCs w:val="32"/>
        </w:rPr>
        <w:t>附件2</w:t>
      </w:r>
      <w:r>
        <w:rPr>
          <w:rFonts w:ascii="Times New Roman" w:hAnsi="Times New Roman"/>
          <w:b/>
          <w:szCs w:val="32"/>
        </w:rPr>
        <w:t xml:space="preserve"> </w:t>
      </w:r>
    </w:p>
    <w:p>
      <w:pPr>
        <w:spacing w:line="640" w:lineRule="exact"/>
        <w:ind w:firstLine="436" w:firstLineChars="100"/>
        <w:jc w:val="center"/>
        <w:rPr>
          <w:rFonts w:ascii="Times New Roman" w:hAnsi="Times New Roman"/>
          <w:b/>
          <w:sz w:val="44"/>
          <w:szCs w:val="44"/>
        </w:rPr>
      </w:pPr>
      <w:bookmarkStart w:id="0" w:name="_GoBack"/>
      <w:r>
        <w:rPr>
          <w:rFonts w:ascii="Times New Roman" w:hAnsi="Times New Roman" w:eastAsia="方正小标宋简体"/>
          <w:bCs/>
          <w:sz w:val="44"/>
          <w:szCs w:val="44"/>
        </w:rPr>
        <w:t>基准地价说明</w:t>
      </w:r>
      <w:bookmarkEnd w:id="0"/>
    </w:p>
    <w:p>
      <w:pPr>
        <w:spacing w:line="560" w:lineRule="exact"/>
        <w:ind w:firstLine="632" w:firstLineChars="200"/>
        <w:rPr>
          <w:rFonts w:ascii="仿宋_GB2312" w:hAnsi="Times New Roman"/>
          <w:bCs/>
          <w:szCs w:val="32"/>
        </w:rPr>
      </w:pPr>
      <w:r>
        <w:rPr>
          <w:rFonts w:hint="eastAsia" w:ascii="仿宋_GB2312" w:hAnsi="Times New Roman"/>
          <w:bCs/>
          <w:szCs w:val="32"/>
        </w:rPr>
        <w:t>一、本基准地价适用于郑州航空港经济综合实验区基准地价范围内的国有土地。</w:t>
      </w:r>
    </w:p>
    <w:p>
      <w:pPr>
        <w:spacing w:line="560" w:lineRule="exact"/>
        <w:ind w:firstLine="632" w:firstLineChars="200"/>
        <w:rPr>
          <w:rFonts w:ascii="仿宋_GB2312" w:hAnsi="Times New Roman"/>
          <w:bCs/>
          <w:szCs w:val="32"/>
        </w:rPr>
      </w:pPr>
      <w:r>
        <w:rPr>
          <w:rFonts w:hint="eastAsia" w:ascii="仿宋_GB2312" w:hAnsi="Times New Roman"/>
          <w:bCs/>
          <w:szCs w:val="32"/>
        </w:rPr>
        <w:t>二、基准地价内涵为正常市场条件下，各用途各土地级别区域内，设定土地开发程度、容积率等条件下的国有出让土地使用权平均价格。</w:t>
      </w:r>
    </w:p>
    <w:p>
      <w:pPr>
        <w:spacing w:line="560" w:lineRule="exact"/>
        <w:ind w:firstLine="632" w:firstLineChars="200"/>
        <w:rPr>
          <w:rFonts w:ascii="仿宋_GB2312" w:hAnsi="Times New Roman"/>
          <w:bCs/>
          <w:szCs w:val="32"/>
        </w:rPr>
      </w:pPr>
      <w:r>
        <w:rPr>
          <w:rFonts w:hint="eastAsia" w:ascii="仿宋_GB2312" w:hAnsi="Times New Roman"/>
          <w:bCs/>
          <w:szCs w:val="32"/>
        </w:rPr>
        <w:t>三、用途分为商服用地、住宅用地、工业用地、仓储用地、公共管理与公共服务用地、交通运输用地、特殊用地、水域及水利设施用地等用途。</w:t>
      </w:r>
    </w:p>
    <w:p>
      <w:pPr>
        <w:spacing w:line="560" w:lineRule="exact"/>
        <w:ind w:firstLine="632" w:firstLineChars="200"/>
        <w:rPr>
          <w:rFonts w:ascii="仿宋_GB2312" w:hAnsi="Times New Roman"/>
          <w:bCs/>
          <w:szCs w:val="32"/>
        </w:rPr>
      </w:pPr>
      <w:r>
        <w:rPr>
          <w:rFonts w:hint="eastAsia" w:ascii="仿宋_GB2312" w:hAnsi="Times New Roman"/>
          <w:bCs/>
          <w:szCs w:val="32"/>
        </w:rPr>
        <w:t>四、基准日：2023年1月1日。</w:t>
      </w:r>
    </w:p>
    <w:p>
      <w:pPr>
        <w:spacing w:line="560" w:lineRule="exact"/>
        <w:ind w:firstLine="632" w:firstLineChars="200"/>
        <w:rPr>
          <w:rFonts w:ascii="仿宋_GB2312" w:hAnsi="Times New Roman"/>
          <w:bCs/>
          <w:szCs w:val="32"/>
        </w:rPr>
      </w:pPr>
      <w:r>
        <w:rPr>
          <w:rFonts w:hint="eastAsia" w:ascii="仿宋_GB2312" w:hAnsi="Times New Roman"/>
          <w:bCs/>
          <w:szCs w:val="32"/>
        </w:rPr>
        <w:t>五、平均容积率：商服用地2.5、住宅用地2.5、工业用地1.6，仓储用地1.6、公共管理与公共服务用地1.8、交通运输用地1.0、特殊用地1.0、水域及水利设施用地不设定。</w:t>
      </w:r>
    </w:p>
    <w:p>
      <w:pPr>
        <w:spacing w:line="560" w:lineRule="exact"/>
        <w:ind w:firstLine="632" w:firstLineChars="200"/>
        <w:rPr>
          <w:rFonts w:ascii="仿宋_GB2312" w:hAnsi="Times New Roman"/>
          <w:szCs w:val="32"/>
        </w:rPr>
      </w:pPr>
      <w:r>
        <w:rPr>
          <w:rFonts w:hint="eastAsia" w:ascii="仿宋_GB2312" w:hAnsi="Times New Roman"/>
          <w:bCs/>
          <w:szCs w:val="32"/>
        </w:rPr>
        <w:t>六、开发程度为五通一平（通路、通上水、通下水、通电、通讯和土地平整）。</w:t>
      </w:r>
    </w:p>
    <w:p>
      <w:pPr>
        <w:spacing w:line="560" w:lineRule="exact"/>
        <w:ind w:firstLine="632" w:firstLineChars="200"/>
        <w:rPr>
          <w:rFonts w:ascii="仿宋_GB2312" w:hAnsi="Times New Roman"/>
          <w:bCs/>
          <w:szCs w:val="32"/>
        </w:rPr>
      </w:pPr>
      <w:r>
        <w:rPr>
          <w:rFonts w:hint="eastAsia" w:ascii="仿宋_GB2312" w:hAnsi="Times New Roman"/>
          <w:bCs/>
          <w:szCs w:val="32"/>
        </w:rPr>
        <w:t>七、年期：均为法定最高出让年限，即商服用地40年、住宅用地70年、工业用地50年、仓储用地50年、公共管理与公共服务用地50年、交通运输用地50年、特殊用地50年、水域及水利设施用地50年。</w:t>
      </w:r>
    </w:p>
    <w:p>
      <w:pPr>
        <w:rPr>
          <w:rFonts w:ascii="Times New Roman" w:hAnsi="Times New Roman"/>
        </w:rPr>
      </w:pPr>
    </w:p>
    <w:p/>
    <w:sectPr>
      <w:headerReference r:id="rId3" w:type="default"/>
      <w:footerReference r:id="rId5" w:type="default"/>
      <w:headerReference r:id="rId4" w:type="even"/>
      <w:footerReference r:id="rId6" w:type="even"/>
      <w:pgSz w:w="11906" w:h="16838"/>
      <w:pgMar w:top="2098" w:right="1474" w:bottom="1985" w:left="1588" w:header="567" w:footer="1417" w:gutter="0"/>
      <w:pgNumType w:start="1"/>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20" w:rightChars="10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ind w:right="320" w:rightChars="100"/>
                            <w:jc w:val="right"/>
                          </w:pPr>
                          <w:r>
                            <w:rPr>
                              <w:rFonts w:hint="eastAsia" w:ascii="宋体" w:hAnsi="宋体"/>
                              <w:sz w:val="28"/>
                              <w:szCs w:val="28"/>
                              <w:lang w:val="zh-CN"/>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lang w:val="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joinstyle="miter"/>
              <v:imagedata o:title=""/>
              <o:lock v:ext="edit"/>
              <v:textbox inset="0mm,0mm,0mm,0mm" style="mso-fit-shape-to-text:t;">
                <w:txbxContent>
                  <w:p>
                    <w:pPr>
                      <w:pStyle w:val="5"/>
                      <w:ind w:right="320" w:rightChars="100"/>
                      <w:jc w:val="right"/>
                    </w:pPr>
                    <w:r>
                      <w:rPr>
                        <w:rFonts w:hint="eastAsia" w:ascii="宋体" w:hAnsi="宋体"/>
                        <w:sz w:val="28"/>
                        <w:szCs w:val="28"/>
                        <w:lang w:val="zh-CN"/>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lang w:val="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320" w:leftChars="100"/>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6</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xZWFlZDVlZWE0YzI5MjNlYmY1YTM3MzBhOWMwNTYifQ=="/>
  </w:docVars>
  <w:rsids>
    <w:rsidRoot w:val="20CB7DCD"/>
    <w:rsid w:val="17C648E5"/>
    <w:rsid w:val="20CB7DCD"/>
    <w:rsid w:val="269057B8"/>
    <w:rsid w:val="293D30DB"/>
    <w:rsid w:val="36C86824"/>
    <w:rsid w:val="46A7739E"/>
    <w:rsid w:val="531D0B9D"/>
    <w:rsid w:val="75623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2"/>
      <w:lang w:val="en-US" w:eastAsia="zh-CN" w:bidi="ar-SA"/>
    </w:rPr>
  </w:style>
  <w:style w:type="paragraph" w:styleId="4">
    <w:name w:val="heading 1"/>
    <w:basedOn w:val="1"/>
    <w:next w:val="1"/>
    <w:qFormat/>
    <w:uiPriority w:val="0"/>
    <w:pPr>
      <w:keepNext/>
      <w:keepLines/>
      <w:spacing w:beforeLines="0" w:beforeAutospacing="0" w:afterLines="0" w:afterAutospacing="0" w:line="560" w:lineRule="exact"/>
      <w:outlineLvl w:val="0"/>
    </w:pPr>
    <w:rPr>
      <w:rFonts w:eastAsia="方正小标宋简体" w:asciiTheme="minorAscii" w:hAnsiTheme="minorAscii"/>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uiPriority w:val="0"/>
    <w:pPr>
      <w:ind w:firstLine="420" w:firstLineChars="200"/>
    </w:pPr>
  </w:style>
  <w:style w:type="paragraph" w:styleId="3">
    <w:name w:val="Body Text Indent"/>
    <w:basedOn w:val="1"/>
    <w:qFormat/>
    <w:uiPriority w:val="0"/>
    <w:pPr>
      <w:adjustRightInd w:val="0"/>
      <w:snapToGrid w:val="0"/>
      <w:spacing w:afterLines="0" w:afterAutospacing="0"/>
      <w:ind w:left="0" w:leftChars="0"/>
    </w:pPr>
    <w:rPr>
      <w:rFonts w:eastAsia="仿宋"/>
      <w:sz w:val="32"/>
    </w:rPr>
  </w:style>
  <w:style w:type="paragraph" w:styleId="5">
    <w:name w:val="footer"/>
    <w:basedOn w:val="1"/>
    <w:qFormat/>
    <w:uiPriority w:val="99"/>
    <w:pPr>
      <w:tabs>
        <w:tab w:val="center" w:pos="4153"/>
        <w:tab w:val="right" w:pos="8306"/>
      </w:tabs>
      <w:snapToGrid w:val="0"/>
      <w:jc w:val="left"/>
    </w:pPr>
    <w:rPr>
      <w:rFonts w:eastAsia="宋体"/>
      <w:kern w:val="0"/>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eastAsia="宋体"/>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2023-08-22T09:09:00Z</dcterms:created>
  <dc:creator>RMT-05</dc:creator>
  <cp:lastModifiedBy>RMT-05</cp:lastModifiedBy>
  <dcterms:modified xsi:type="dcterms:W3CDTF">2023-08-22T09:09:28Z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BBD0CF7841F448F7BA5950902A6AD98B_11</vt:lpwstr>
  </property>
</Properties>
</file>