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附件8：</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400" w:lineRule="exact"/>
        <w:ind w:right="0" w:rightChars="0"/>
        <w:jc w:val="center"/>
        <w:textAlignment w:val="auto"/>
        <w:rPr>
          <w:rFonts w:hint="eastAsia" w:ascii="宋体" w:hAnsi="宋体" w:eastAsia="宋体" w:cs="宋体"/>
          <w:b/>
          <w:bCs/>
          <w:i w:val="0"/>
          <w:iCs w:val="0"/>
          <w:color w:val="000000"/>
          <w:w w:val="66"/>
          <w:kern w:val="0"/>
          <w:sz w:val="36"/>
          <w:szCs w:val="36"/>
          <w:u w:val="none"/>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对应《河南省政务服务事项基本目录</w:t>
      </w:r>
      <w:r>
        <w:rPr>
          <w:rFonts w:hint="eastAsia" w:ascii="宋体" w:hAnsi="宋体" w:eastAsia="宋体" w:cs="宋体"/>
          <w:b/>
          <w:bCs/>
          <w:i w:val="0"/>
          <w:iCs w:val="0"/>
          <w:caps w:val="0"/>
          <w:color w:val="auto"/>
          <w:spacing w:val="0"/>
          <w:w w:val="50"/>
          <w:kern w:val="0"/>
          <w:sz w:val="36"/>
          <w:szCs w:val="36"/>
          <w:shd w:val="clear" w:fill="FFFFFF"/>
          <w:lang w:val="en-US" w:eastAsia="zh-CN" w:bidi="ar"/>
        </w:rPr>
        <w:t>-</w:t>
      </w:r>
      <w:r>
        <w:rPr>
          <w:rFonts w:hint="eastAsia" w:ascii="宋体" w:hAnsi="宋体" w:eastAsia="宋体" w:cs="宋体"/>
          <w:b/>
          <w:bCs/>
          <w:i w:val="0"/>
          <w:iCs w:val="0"/>
          <w:caps w:val="0"/>
          <w:color w:val="auto"/>
          <w:spacing w:val="0"/>
          <w:kern w:val="0"/>
          <w:sz w:val="36"/>
          <w:szCs w:val="36"/>
          <w:shd w:val="clear" w:fill="FFFFFF"/>
          <w:lang w:val="en-US" w:eastAsia="zh-CN" w:bidi="ar"/>
        </w:rPr>
        <w:t>20230630》调整政务服务事项（共6项）</w:t>
      </w:r>
    </w:p>
    <w:tbl>
      <w:tblPr>
        <w:tblStyle w:val="6"/>
        <w:tblW w:w="15318"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918"/>
        <w:gridCol w:w="1773"/>
        <w:gridCol w:w="946"/>
        <w:gridCol w:w="6381"/>
        <w:gridCol w:w="1637"/>
        <w:gridCol w:w="1072"/>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5318"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一、调整政务服务业务办理事项（3项）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（主项）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基本目录事项类型</w:t>
            </w:r>
          </w:p>
        </w:tc>
        <w:tc>
          <w:tcPr>
            <w:tcW w:w="6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9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转让旧房及建筑物土地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增值税申报</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转让旧房及建筑物土地增值税申报</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行政征收</w:t>
            </w:r>
          </w:p>
        </w:tc>
        <w:tc>
          <w:tcPr>
            <w:tcW w:w="6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税收征收管理法》第二十五条第一款“纳税人必须依照法律、行政法规规定或者税务机关依照法律、行政法规的规定确定的申报期限、申报内容如实办理纳税申报，报送纳税申报表、财务会计报表以及税务机关根据实际需要要求纳税人报送的其他纳税资料。”</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中华人民共和国土地增值税暂行条例》第六条“计算增值额的扣除项目：（一）取得土地使用权所支付的金额；（二）开发土地的成本、费用；（三）新建房及配套设施的成本、费用，或者旧房及建筑物的评估价格；（四）与转让房地产有关的税金；（五）财政部规定的其他扣除项目。”</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中华人民共和国土地增值税暂行条例实施细则》第七条“条例第六条所列的计算增值额的扣除项目，具体为：（一）取得土地使用权所支付的金额，是指纳税人为取得土地使用权所支付的地价款和按国家统一规定交纳的有关费用。（二）开发土地和新建房及配套设施（以下简称房增开发）的成本，是指纳税人房地产开发项目实际发生的成本（以下简称房增开发成本），包括土地征用及拆迁补偿费、前期工程费、建筑安装工程费、基础设施费、公共配套设施费、开发间接费用。土地征用及拆迁补偿费，包括土地征用费、耕地占用税、劳动力安置费及有关地上、地下附着物拆迁补偿的净支出、安置动迁用房支出等。前期工程费，包括规划、设计、项目可行性研究和水文、地质、勘察、测绘、“三通一平”等支出。建筑安装工程费，是指以出包方式支付给承包单位的建筑安装工程费，以自营方式发生的建筑安装工程费。基础设施费，包括开发小区内道路、供水、供电、供气、排污、排洪、通讯、照明、环卫、绿化等工程发生的支出。公共配套设施费，包括不能有偿转让的开发小区内公共配套设施发生的支出。开发间接费用，是指直接组织、管理开发项目发生的费用，包括工资、职工福利费、折旧费、修理费、办公费、水电费、劳动保护费、周转房摊销等。</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三）开发土地和新建房及配套设施的费用（以下简称房地产开发费用），是指与房地产开发项目有关的销售费用、管理费用、财务费用。财务费用中的利息支出，凡能够按转让房地产项目计算分摊并提供金融机构证明的，允许据实扣除，但最高不能超过按商业银行同类同期贷款利率计算的金额。其他房地产开发费用，按本条（一）、（二）项规定计算的金额之和的5%以内计算扣除。</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凡不能按转让房地产项目计算分摊利息支出或不能提供金融机构证明的，房地产开发费用按本条（一）、（二）项规定计算的金额之和的10%以内计算扣除。上述计算扣除的具体比例，由各省、自治区、直辖市人民政府规定。（四）旧房及建筑物的评估价格，是指在转让已使用的房屋及建筑物时，由政府批准设立的房地产评估机构评定的重置成本价乘以成新度折扣率后的价格。评估价格须经当地税务机关确认。（五）与转让房地产有关的税金，是指在转让房地产时缴纳的营业税、城市维护建设税、印花税。因转让房地产交纳的教育费附加，也可视同税金予以扣除。（六）根据条例第六条（五）项规定，对从事房地产开发的纳税人可按本条（一）、（二）项规定计算的金额之和，加计20%的扣除。”</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其他情况土地增值税申报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互联网上网服务营业场所信息网络安全审核</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互联网上网服务营业场所信息网络安全审核</w:t>
            </w:r>
          </w:p>
        </w:tc>
        <w:tc>
          <w:tcPr>
            <w:tcW w:w="9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3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互联网上网服务营业场所管理条例》（国务院第363号令）第四条：县级以上人民政府文化行政部门负责互联网上网服务营业场所经营单位的设立审批，应负责对依法设立的互联网上网服务营业场所经营单位经营活动的监督管理；公安机关负责对互联网上网服务营业场所经营单位的信息网络安全、治安及消防安全的监督管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互联网上网服务营业场所中信息网络安全审批</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公安部门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修正基本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目录类型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9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63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互联网上网服务营业场所信息安全合格证补办</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公安部门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修正基本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目录类型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318" w:type="dxa"/>
            <w:gridSpan w:val="8"/>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32"/>
                <w:szCs w:val="3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二、取消政务服务业务办理项事项（1项）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高校毕业生等青年就业服务</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高等学校等毕业生接收手续办理</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高等学校等毕业生接收手续办理</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318" w:type="dxa"/>
            <w:gridSpan w:val="8"/>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w w:val="100"/>
                <w:kern w:val="0"/>
                <w:sz w:val="28"/>
                <w:szCs w:val="28"/>
                <w:u w:val="none"/>
                <w:lang w:val="en-US" w:eastAsia="zh-CN" w:bidi="ar"/>
              </w:rPr>
              <w:t>三、新增政务服务业务办理事项（2项）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房地产交易税费申报</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房地产交易税费申报</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行政征收</w:t>
            </w:r>
          </w:p>
        </w:tc>
        <w:tc>
          <w:tcPr>
            <w:tcW w:w="6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《中华人民共和国税收征收管理法》第二十五条第一款</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房地产交易税费申报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灵活就业人员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社会保险费申报</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灵活就业人员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社会保险费申报</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行政征收</w:t>
            </w:r>
          </w:p>
        </w:tc>
        <w:tc>
          <w:tcPr>
            <w:tcW w:w="6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《中华人民共和国社会保险法》第六十条第二款 无雇工的个体工商户、未在用人单位参加社会保险的非全日制从业人员以及其他灵活就业人员，可以直接向社会保险费征收机构缴纳社会保险费。</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灵活就业人员社会保险费申报</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w w:val="1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w w:val="1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w w:val="1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2587777"/>
    <w:rsid w:val="0B3319E5"/>
    <w:rsid w:val="0EDE6E95"/>
    <w:rsid w:val="0FDC39B2"/>
    <w:rsid w:val="176C7854"/>
    <w:rsid w:val="17BF82FD"/>
    <w:rsid w:val="23FB0790"/>
    <w:rsid w:val="2BAE522B"/>
    <w:rsid w:val="2FF124EE"/>
    <w:rsid w:val="37FD878D"/>
    <w:rsid w:val="3AEF1B59"/>
    <w:rsid w:val="3DF55668"/>
    <w:rsid w:val="3FED3E1D"/>
    <w:rsid w:val="3FFFEDE5"/>
    <w:rsid w:val="44DDD7E9"/>
    <w:rsid w:val="4AFC1BD1"/>
    <w:rsid w:val="539D45B7"/>
    <w:rsid w:val="57AFD756"/>
    <w:rsid w:val="5BCA78F6"/>
    <w:rsid w:val="5E790B61"/>
    <w:rsid w:val="5EFFBB12"/>
    <w:rsid w:val="5FBDA489"/>
    <w:rsid w:val="5FFA82A8"/>
    <w:rsid w:val="63660521"/>
    <w:rsid w:val="6A9BFA21"/>
    <w:rsid w:val="6F7FE9CB"/>
    <w:rsid w:val="6FA6D433"/>
    <w:rsid w:val="6FBBBD56"/>
    <w:rsid w:val="73FED62D"/>
    <w:rsid w:val="764B4C72"/>
    <w:rsid w:val="778925D9"/>
    <w:rsid w:val="77FFC045"/>
    <w:rsid w:val="787F58E6"/>
    <w:rsid w:val="79B3A97B"/>
    <w:rsid w:val="7AB90AFC"/>
    <w:rsid w:val="7AEF74D5"/>
    <w:rsid w:val="7BC02341"/>
    <w:rsid w:val="7CDFE3D6"/>
    <w:rsid w:val="7E7F4ED3"/>
    <w:rsid w:val="7EA34A05"/>
    <w:rsid w:val="7EBE436C"/>
    <w:rsid w:val="7ECEE524"/>
    <w:rsid w:val="7F435763"/>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6804</Words>
  <Characters>7011</Characters>
  <Lines>0</Lines>
  <Paragraphs>0</Paragraphs>
  <TotalTime>1</TotalTime>
  <ScaleCrop>false</ScaleCrop>
  <LinksUpToDate>false</LinksUpToDate>
  <CharactersWithSpaces>7041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86D16DE8FF93429E9DED7C5A02141028_13</vt:lpwstr>
  </property>
</Properties>
</file>