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325"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671"/>
        <w:gridCol w:w="2161"/>
        <w:gridCol w:w="894"/>
        <w:gridCol w:w="6455"/>
        <w:gridCol w:w="1602"/>
        <w:gridCol w:w="971"/>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325" w:type="dxa"/>
            <w:gridSpan w:val="8"/>
            <w:tcBorders>
              <w:top w:val="nil"/>
              <w:left w:val="nil"/>
              <w:bottom w:val="nil"/>
              <w:right w:val="nil"/>
            </w:tcBorders>
            <w:shd w:val="clear" w:color="auto" w:fill="auto"/>
            <w:noWrap/>
            <w:vAlign w:val="center"/>
          </w:tcPr>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580" w:lineRule="exact"/>
              <w:ind w:right="0" w:rightChars="0"/>
              <w:jc w:val="both"/>
              <w:textAlignment w:val="auto"/>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附件1：</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580" w:lineRule="exact"/>
              <w:ind w:right="0" w:rightChars="0"/>
              <w:jc w:val="center"/>
              <w:textAlignment w:val="auto"/>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aps w:val="0"/>
                <w:color w:val="auto"/>
                <w:spacing w:val="0"/>
                <w:w w:val="100"/>
                <w:kern w:val="0"/>
                <w:sz w:val="36"/>
                <w:szCs w:val="36"/>
                <w:shd w:val="clear" w:fill="FFFFFF"/>
                <w:lang w:val="en-US" w:eastAsia="zh-CN" w:bidi="ar"/>
              </w:rPr>
              <w:t>对应《河南省政务服务事项基本目录-20230118》调整政务服务事项（共3项）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32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一、取消政务服务业务办理项事项（2项）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序号</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基本目录事项名称（主项）</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基本目录事项名称           （子项）</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基本目录事项类型</w:t>
            </w:r>
          </w:p>
        </w:tc>
        <w:tc>
          <w:tcPr>
            <w:tcW w:w="6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设定依据</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业务办理项名称</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实施部门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70"/>
                <w:sz w:val="24"/>
                <w:szCs w:val="24"/>
                <w:u w:val="none"/>
              </w:rPr>
            </w:pPr>
            <w:r>
              <w:rPr>
                <w:rFonts w:hint="eastAsia" w:ascii="宋体" w:hAnsi="宋体" w:eastAsia="宋体" w:cs="宋体"/>
                <w:b/>
                <w:bCs/>
                <w:i w:val="0"/>
                <w:iCs w:val="0"/>
                <w:color w:val="000000"/>
                <w:w w:val="7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0"/>
                <w:szCs w:val="20"/>
                <w:u w:val="none"/>
              </w:rPr>
            </w:pPr>
            <w:r>
              <w:rPr>
                <w:rFonts w:hint="eastAsia" w:ascii="宋体" w:hAnsi="宋体" w:eastAsia="宋体" w:cs="宋体"/>
                <w:i w:val="0"/>
                <w:iCs w:val="0"/>
                <w:color w:val="auto"/>
                <w:w w:val="66"/>
                <w:kern w:val="0"/>
                <w:sz w:val="20"/>
                <w:szCs w:val="20"/>
                <w:u w:val="none"/>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养老保险服务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职工提前退休（退职）申请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公共服务</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default" w:ascii="宋体" w:hAnsi="宋体" w:eastAsia="宋体" w:cs="宋体"/>
                <w:i w:val="0"/>
                <w:iCs w:val="0"/>
                <w:color w:val="auto"/>
                <w:w w:val="66"/>
                <w:sz w:val="22"/>
                <w:szCs w:val="22"/>
                <w:u w:val="none"/>
                <w:lang w:val="en-US"/>
              </w:rPr>
            </w:pPr>
            <w:r>
              <w:rPr>
                <w:rFonts w:hint="eastAsia" w:ascii="宋体" w:hAnsi="宋体" w:eastAsia="宋体" w:cs="宋体"/>
                <w:i w:val="0"/>
                <w:iCs w:val="0"/>
                <w:color w:val="auto"/>
                <w:w w:val="66"/>
                <w:kern w:val="0"/>
                <w:sz w:val="22"/>
                <w:szCs w:val="22"/>
                <w:u w:val="none"/>
                <w:lang w:val="en-US" w:eastAsia="zh-CN" w:bidi="ar"/>
              </w:rPr>
              <w:t>调整业务办理层级从省、市、县（区）层级为省、市级层级</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55"/>
                <w:sz w:val="22"/>
                <w:szCs w:val="22"/>
                <w:u w:val="none"/>
              </w:rPr>
            </w:pPr>
            <w:r>
              <w:rPr>
                <w:rFonts w:hint="eastAsia" w:ascii="宋体" w:hAnsi="宋体" w:eastAsia="宋体" w:cs="宋体"/>
                <w:i w:val="0"/>
                <w:iCs w:val="0"/>
                <w:color w:val="auto"/>
                <w:w w:val="55"/>
                <w:kern w:val="0"/>
                <w:sz w:val="22"/>
                <w:szCs w:val="22"/>
                <w:u w:val="none"/>
                <w:lang w:val="en-US" w:eastAsia="zh-CN" w:bidi="ar"/>
              </w:rPr>
              <w:t>企业人员退休申请（已有社会化发放信息-提前退休）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人社部门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both"/>
              <w:textAlignment w:val="center"/>
              <w:rPr>
                <w:rFonts w:hint="eastAsia" w:ascii="宋体" w:hAnsi="宋体" w:eastAsia="宋体" w:cs="宋体"/>
                <w:i w:val="0"/>
                <w:iCs w:val="0"/>
                <w:color w:val="000000"/>
                <w:w w:val="66"/>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0"/>
                <w:szCs w:val="20"/>
                <w:u w:val="none"/>
              </w:rPr>
            </w:pPr>
            <w:r>
              <w:rPr>
                <w:rFonts w:hint="eastAsia" w:ascii="宋体" w:hAnsi="宋体" w:eastAsia="宋体" w:cs="宋体"/>
                <w:i w:val="0"/>
                <w:iCs w:val="0"/>
                <w:color w:val="auto"/>
                <w:w w:val="66"/>
                <w:kern w:val="0"/>
                <w:sz w:val="20"/>
                <w:szCs w:val="20"/>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养老保险服务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职工提前退休（退职）申请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公共服务</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调整业务办理层级从省、市、县（区）层级为省、市级层级</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55"/>
                <w:sz w:val="22"/>
                <w:szCs w:val="22"/>
                <w:u w:val="none"/>
              </w:rPr>
            </w:pPr>
            <w:r>
              <w:rPr>
                <w:rFonts w:hint="eastAsia" w:ascii="宋体" w:hAnsi="宋体" w:eastAsia="宋体" w:cs="宋体"/>
                <w:i w:val="0"/>
                <w:iCs w:val="0"/>
                <w:color w:val="auto"/>
                <w:w w:val="55"/>
                <w:kern w:val="0"/>
                <w:sz w:val="22"/>
                <w:szCs w:val="22"/>
                <w:u w:val="none"/>
                <w:lang w:val="en-US" w:eastAsia="zh-CN" w:bidi="ar"/>
              </w:rPr>
              <w:t>企业人员退休申请（无社会化发放信息-提前退休）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66"/>
                <w:sz w:val="22"/>
                <w:szCs w:val="22"/>
                <w:u w:val="none"/>
              </w:rPr>
            </w:pPr>
            <w:r>
              <w:rPr>
                <w:rFonts w:hint="eastAsia" w:ascii="宋体" w:hAnsi="宋体" w:eastAsia="宋体" w:cs="宋体"/>
                <w:i w:val="0"/>
                <w:iCs w:val="0"/>
                <w:color w:val="auto"/>
                <w:w w:val="66"/>
                <w:kern w:val="0"/>
                <w:sz w:val="22"/>
                <w:szCs w:val="22"/>
                <w:u w:val="none"/>
                <w:lang w:val="en-US" w:eastAsia="zh-CN" w:bidi="ar"/>
              </w:rPr>
              <w:t>人社部门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both"/>
              <w:textAlignment w:val="center"/>
              <w:rPr>
                <w:rFonts w:hint="eastAsia" w:ascii="宋体" w:hAnsi="宋体" w:eastAsia="宋体" w:cs="宋体"/>
                <w:i w:val="0"/>
                <w:iCs w:val="0"/>
                <w:color w:val="000000"/>
                <w:w w:val="66"/>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5325"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w w:val="80"/>
                <w:sz w:val="28"/>
                <w:szCs w:val="28"/>
                <w:u w:val="none"/>
              </w:rPr>
            </w:pPr>
            <w:r>
              <w:rPr>
                <w:rFonts w:hint="eastAsia" w:ascii="宋体" w:hAnsi="宋体" w:eastAsia="宋体" w:cs="宋体"/>
                <w:b/>
                <w:bCs/>
                <w:i w:val="0"/>
                <w:iCs w:val="0"/>
                <w:color w:val="000000"/>
                <w:kern w:val="0"/>
                <w:sz w:val="28"/>
                <w:szCs w:val="28"/>
                <w:u w:val="none"/>
                <w:lang w:val="en-US" w:eastAsia="zh-CN" w:bidi="ar"/>
              </w:rPr>
              <w:t>二、承接政务服务业务办理项事项（1项）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0"/>
                <w:szCs w:val="20"/>
                <w:u w:val="none"/>
              </w:rPr>
            </w:pPr>
            <w:r>
              <w:rPr>
                <w:rFonts w:hint="eastAsia" w:ascii="宋体" w:hAnsi="宋体" w:eastAsia="宋体" w:cs="宋体"/>
                <w:i w:val="0"/>
                <w:iCs w:val="0"/>
                <w:color w:val="000000"/>
                <w:w w:val="66"/>
                <w:kern w:val="0"/>
                <w:sz w:val="20"/>
                <w:szCs w:val="20"/>
                <w:u w:val="none"/>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土地开垦区内开发未确定使用权的国有土地从事生产审查</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土地开垦区内开发未确定使用权的国有土地从事生产审查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一、《中华人民共和国土地管理法》（1986年6月25日主席令第四十一号，2004年8月28日予以修改）第四十条：开发未确定使用权的国有荒山、荒地、荒滩从事种植业、林业、畜牧业、渔业生产的，经县级以上人民政府依法批准，可以确定给开发单位或者个人长期使用。</w:t>
            </w:r>
            <w:bookmarkStart w:id="0" w:name="_GoBack"/>
            <w:bookmarkEnd w:id="0"/>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二、《中华人民共和国土地管理法实施条例》（1998年12月27日国务院令第256号，2014年7月29日予以修改）第十七条：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三、《河南省实施《土地管理法》办法》（根据2009年11月27日河南省第十一届人民代表大会常务委员会第十二次会议《关于修改＜河南省实施土地管理法办法＞的决定》第二次修正）第三十三条开发未确定使用权的国有荒山、荒地、荒滩用于农、林、牧、渔业生产的，谁开发，谁使用。开发单位或个人应向县（市、区）人民政府土地行政主管部门提出申请，一次性开发二百公顷以下的，由县（市、区）人民政府批准，报省辖市人民政府土地行政主管部门备案；一次性开发二百公顷以上四百公顷以下的，由省辖市人民政府批准，报省人民政府土地行政主管部门备案；一次性开发四百公顷以上六百公顷以下的，须经省人民政府批准；一次性开发六百公顷以上的报国务院批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土地开垦区内开发未确定使用权的国有土地从事生产审查（一次性开发二百公顷以下的）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自然资源部门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napToGrid/>
              <w:spacing w:line="240" w:lineRule="exact"/>
              <w:jc w:val="both"/>
              <w:textAlignment w:val="center"/>
              <w:rPr>
                <w:rFonts w:hint="eastAsia" w:ascii="宋体" w:hAnsi="宋体" w:eastAsia="宋体" w:cs="宋体"/>
                <w:i w:val="0"/>
                <w:iCs w:val="0"/>
                <w:color w:val="000000"/>
                <w:w w:val="66"/>
                <w:sz w:val="20"/>
                <w:szCs w:val="20"/>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B3319E5"/>
    <w:rsid w:val="0EDE6E95"/>
    <w:rsid w:val="0FDC39B2"/>
    <w:rsid w:val="176C7854"/>
    <w:rsid w:val="17BF82FD"/>
    <w:rsid w:val="23FB0790"/>
    <w:rsid w:val="2BAE522B"/>
    <w:rsid w:val="37FD878D"/>
    <w:rsid w:val="3AEF1B59"/>
    <w:rsid w:val="3DF55668"/>
    <w:rsid w:val="3FED3E1D"/>
    <w:rsid w:val="3FFFEDE5"/>
    <w:rsid w:val="44DDD7E9"/>
    <w:rsid w:val="4AFC1BD1"/>
    <w:rsid w:val="57AFD756"/>
    <w:rsid w:val="5BCA78F6"/>
    <w:rsid w:val="5E790B61"/>
    <w:rsid w:val="5EFFBB12"/>
    <w:rsid w:val="5FBDA489"/>
    <w:rsid w:val="5FFA82A8"/>
    <w:rsid w:val="6A9BFA21"/>
    <w:rsid w:val="6F7FE9CB"/>
    <w:rsid w:val="6FA6D433"/>
    <w:rsid w:val="6FBBBD56"/>
    <w:rsid w:val="73FED62D"/>
    <w:rsid w:val="764B4C72"/>
    <w:rsid w:val="77FFC045"/>
    <w:rsid w:val="787F58E6"/>
    <w:rsid w:val="79B3A97B"/>
    <w:rsid w:val="7AB90AFC"/>
    <w:rsid w:val="7AEF74D5"/>
    <w:rsid w:val="7CDFE3D6"/>
    <w:rsid w:val="7E7F4ED3"/>
    <w:rsid w:val="7EA34A05"/>
    <w:rsid w:val="7EBE436C"/>
    <w:rsid w:val="7ECEE524"/>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69233</Words>
  <Characters>71709</Characters>
  <Lines>0</Lines>
  <Paragraphs>0</Paragraphs>
  <TotalTime>15</TotalTime>
  <ScaleCrop>false</ScaleCrop>
  <LinksUpToDate>false</LinksUpToDate>
  <CharactersWithSpaces>72378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3EC406A4290E4D3D8C62319BA2210742_13</vt:lpwstr>
  </property>
</Properties>
</file>