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28"/>
          <w:szCs w:val="28"/>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息县交通运输局</w:t>
      </w:r>
    </w:p>
    <w:p>
      <w:pPr>
        <w:jc w:val="center"/>
        <w:rPr>
          <w:rFonts w:ascii="黑体" w:hAnsi="黑体" w:eastAsia="黑体" w:cs="黑体"/>
          <w:sz w:val="52"/>
          <w:szCs w:val="52"/>
        </w:rPr>
      </w:pPr>
      <w:r>
        <w:rPr>
          <w:rFonts w:hint="eastAsia" w:ascii="黑体" w:hAnsi="黑体" w:eastAsia="黑体" w:cs="黑体"/>
          <w:sz w:val="52"/>
          <w:szCs w:val="52"/>
        </w:rPr>
        <w:t>2021年度部门决算公开</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r>
        <w:rPr>
          <w:rFonts w:ascii="黑体" w:hAnsi="黑体" w:eastAsia="黑体" w:cs="黑体"/>
          <w:sz w:val="32"/>
          <w:szCs w:val="32"/>
        </w:rPr>
        <w:t>202</w:t>
      </w:r>
      <w:r>
        <w:rPr>
          <w:rFonts w:hint="eastAsia" w:ascii="黑体" w:hAnsi="黑体" w:eastAsia="黑体" w:cs="黑体"/>
          <w:sz w:val="32"/>
          <w:szCs w:val="32"/>
        </w:rPr>
        <w:t>2</w:t>
      </w:r>
      <w:r>
        <w:rPr>
          <w:rFonts w:ascii="黑体" w:hAnsi="黑体" w:eastAsia="黑体" w:cs="黑体"/>
          <w:sz w:val="32"/>
          <w:szCs w:val="32"/>
        </w:rPr>
        <w:t>年9月</w:t>
      </w:r>
    </w:p>
    <w:p>
      <w:pPr>
        <w:jc w:val="center"/>
        <w:rPr>
          <w:rFonts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rPr>
          <w:rFonts w:ascii="黑体" w:hAnsi="黑体" w:eastAsia="黑体" w:cs="黑体"/>
          <w:sz w:val="32"/>
          <w:szCs w:val="32"/>
        </w:rPr>
      </w:pPr>
      <w:r>
        <w:rPr>
          <w:rFonts w:hint="eastAsia" w:ascii="黑体" w:hAnsi="黑体" w:eastAsia="黑体" w:cs="黑体"/>
          <w:sz w:val="32"/>
          <w:szCs w:val="32"/>
        </w:rPr>
        <w:t>第一部分　　息县交通运输（局）概况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ascii="黑体" w:hAnsi="黑体" w:eastAsia="黑体" w:cs="黑体"/>
          <w:sz w:val="32"/>
          <w:szCs w:val="32"/>
        </w:rPr>
      </w:pPr>
      <w:r>
        <w:rPr>
          <w:rFonts w:hint="eastAsia" w:ascii="黑体" w:hAnsi="黑体" w:eastAsia="黑体" w:cs="黑体"/>
          <w:sz w:val="32"/>
          <w:szCs w:val="32"/>
        </w:rPr>
        <w:t>第二部分　　2020年度部门决算表（Excel表格形式）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六、一般公共预算财政拨款基本支出决算表</w:t>
      </w:r>
    </w:p>
    <w:p>
      <w:pPr>
        <w:ind w:firstLine="640" w:firstLineChars="200"/>
        <w:rPr>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rPr>
          <w:rFonts w:ascii="黑体" w:hAnsi="黑体" w:eastAsia="黑体" w:cs="黑体"/>
          <w:sz w:val="32"/>
          <w:szCs w:val="32"/>
        </w:rPr>
      </w:pPr>
      <w:r>
        <w:rPr>
          <w:rFonts w:hint="eastAsia" w:ascii="黑体" w:hAnsi="黑体" w:eastAsia="黑体" w:cs="黑体"/>
          <w:sz w:val="32"/>
          <w:szCs w:val="32"/>
        </w:rPr>
        <w:t>第三部分　　2021年度部门决算情况说明</w:t>
      </w:r>
    </w:p>
    <w:p>
      <w:pPr>
        <w:ind w:firstLine="640" w:firstLineChars="200"/>
        <w:rPr>
          <w:sz w:val="32"/>
          <w:szCs w:val="32"/>
        </w:rPr>
      </w:pPr>
      <w:r>
        <w:rPr>
          <w:rFonts w:hint="eastAsia"/>
          <w:sz w:val="32"/>
          <w:szCs w:val="32"/>
        </w:rPr>
        <w:t>一、收入支出决算总体情况说明</w:t>
      </w:r>
    </w:p>
    <w:p>
      <w:pPr>
        <w:ind w:firstLine="640" w:firstLineChars="200"/>
        <w:rPr>
          <w:sz w:val="32"/>
          <w:szCs w:val="32"/>
        </w:rPr>
      </w:pPr>
      <w:r>
        <w:rPr>
          <w:rFonts w:hint="eastAsia"/>
          <w:sz w:val="32"/>
          <w:szCs w:val="32"/>
        </w:rPr>
        <w:t>二、收入决算情况说明</w:t>
      </w:r>
    </w:p>
    <w:p>
      <w:pPr>
        <w:ind w:firstLine="640" w:firstLineChars="200"/>
        <w:rPr>
          <w:sz w:val="32"/>
          <w:szCs w:val="32"/>
        </w:rPr>
      </w:pPr>
      <w:r>
        <w:rPr>
          <w:rFonts w:hint="eastAsia"/>
          <w:sz w:val="32"/>
          <w:szCs w:val="32"/>
        </w:rPr>
        <w:t>三、支出决算情况说明</w:t>
      </w:r>
    </w:p>
    <w:p>
      <w:pPr>
        <w:ind w:firstLine="640" w:firstLineChars="200"/>
        <w:rPr>
          <w:sz w:val="32"/>
          <w:szCs w:val="32"/>
        </w:rPr>
      </w:pPr>
      <w:r>
        <w:rPr>
          <w:rFonts w:hint="eastAsia"/>
          <w:sz w:val="32"/>
          <w:szCs w:val="32"/>
        </w:rPr>
        <w:t>四、财政拨款收入支出决算总体情况说明</w:t>
      </w:r>
    </w:p>
    <w:p>
      <w:pPr>
        <w:ind w:firstLine="640" w:firstLineChars="200"/>
        <w:rPr>
          <w:sz w:val="32"/>
          <w:szCs w:val="32"/>
        </w:rPr>
      </w:pPr>
      <w:r>
        <w:rPr>
          <w:rFonts w:hint="eastAsia"/>
          <w:sz w:val="32"/>
          <w:szCs w:val="32"/>
        </w:rPr>
        <w:t>五、一般公共预算财政拨款支出决算情况说明</w:t>
      </w:r>
    </w:p>
    <w:p>
      <w:pPr>
        <w:ind w:firstLine="640" w:firstLineChars="200"/>
        <w:rPr>
          <w:sz w:val="32"/>
          <w:szCs w:val="32"/>
        </w:rPr>
      </w:pPr>
      <w:r>
        <w:rPr>
          <w:rFonts w:hint="eastAsia"/>
          <w:sz w:val="32"/>
          <w:szCs w:val="32"/>
        </w:rPr>
        <w:t>六、一般公共预算财政拨款基本支出决算情况说明</w:t>
      </w:r>
    </w:p>
    <w:p>
      <w:pPr>
        <w:ind w:firstLine="640" w:firstLineChars="200"/>
        <w:rPr>
          <w:sz w:val="32"/>
          <w:szCs w:val="32"/>
        </w:rPr>
      </w:pPr>
      <w:r>
        <w:rPr>
          <w:rFonts w:hint="eastAsia"/>
          <w:sz w:val="32"/>
          <w:szCs w:val="32"/>
        </w:rPr>
        <w:t>七、一般公共预算财政拨款“三公”经费支出决算情况说明</w:t>
      </w:r>
    </w:p>
    <w:p>
      <w:pPr>
        <w:ind w:firstLine="640" w:firstLineChars="200"/>
        <w:rPr>
          <w:sz w:val="32"/>
          <w:szCs w:val="32"/>
        </w:rPr>
      </w:pPr>
      <w:r>
        <w:rPr>
          <w:rFonts w:hint="eastAsia"/>
          <w:sz w:val="32"/>
          <w:szCs w:val="32"/>
        </w:rPr>
        <w:t>八、政府性基金预算财政拨款支出决算情况说明</w:t>
      </w:r>
    </w:p>
    <w:p>
      <w:pPr>
        <w:ind w:firstLine="640" w:firstLineChars="200"/>
        <w:rPr>
          <w:sz w:val="32"/>
          <w:szCs w:val="32"/>
        </w:rPr>
      </w:pPr>
      <w:r>
        <w:rPr>
          <w:rFonts w:hint="eastAsia"/>
          <w:sz w:val="32"/>
          <w:szCs w:val="32"/>
        </w:rPr>
        <w:t>九、机关运行经费支出情况说明</w:t>
      </w:r>
    </w:p>
    <w:p>
      <w:pPr>
        <w:ind w:firstLine="640" w:firstLineChars="200"/>
        <w:rPr>
          <w:sz w:val="32"/>
          <w:szCs w:val="32"/>
        </w:rPr>
      </w:pPr>
      <w:r>
        <w:rPr>
          <w:rFonts w:hint="eastAsia"/>
          <w:sz w:val="32"/>
          <w:szCs w:val="32"/>
        </w:rPr>
        <w:t>十、政府采购支出情况说明</w:t>
      </w:r>
    </w:p>
    <w:p>
      <w:pPr>
        <w:ind w:firstLine="640" w:firstLineChars="200"/>
        <w:rPr>
          <w:sz w:val="32"/>
          <w:szCs w:val="32"/>
        </w:rPr>
      </w:pPr>
      <w:r>
        <w:rPr>
          <w:rFonts w:hint="eastAsia"/>
          <w:sz w:val="32"/>
          <w:szCs w:val="32"/>
        </w:rPr>
        <w:t>十一、国有资产占用情况说明</w:t>
      </w:r>
    </w:p>
    <w:p>
      <w:pPr>
        <w:ind w:firstLine="640" w:firstLineChars="200"/>
        <w:rPr>
          <w:sz w:val="32"/>
          <w:szCs w:val="32"/>
        </w:rPr>
      </w:pPr>
      <w:r>
        <w:rPr>
          <w:rFonts w:hint="eastAsia"/>
          <w:sz w:val="32"/>
          <w:szCs w:val="32"/>
        </w:rPr>
        <w:t>十二、预算绩效情况说明</w:t>
      </w:r>
    </w:p>
    <w:p>
      <w:pPr>
        <w:ind w:firstLine="640" w:firstLineChars="200"/>
        <w:rPr>
          <w:sz w:val="32"/>
          <w:szCs w:val="32"/>
        </w:rPr>
      </w:pPr>
    </w:p>
    <w:p>
      <w:pPr>
        <w:rPr>
          <w:rFonts w:ascii="黑体" w:hAnsi="黑体" w:eastAsia="黑体" w:cs="黑体"/>
          <w:sz w:val="32"/>
          <w:szCs w:val="32"/>
        </w:rPr>
      </w:pPr>
      <w:r>
        <w:rPr>
          <w:rFonts w:hint="eastAsia" w:ascii="黑体" w:hAnsi="黑体" w:eastAsia="黑体" w:cs="黑体"/>
          <w:sz w:val="32"/>
          <w:szCs w:val="32"/>
        </w:rPr>
        <w:t>第三部分　　名词解释</w:t>
      </w: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eastAsia="黑体"/>
          <w:color w:val="000000"/>
          <w:sz w:val="44"/>
          <w:szCs w:val="44"/>
        </w:rPr>
      </w:pPr>
      <w:r>
        <w:rPr>
          <w:rFonts w:hint="eastAsia" w:ascii="黑体" w:hAnsi="黑体" w:eastAsia="黑体" w:cs="黑体"/>
          <w:sz w:val="44"/>
          <w:szCs w:val="44"/>
        </w:rPr>
        <w:t>第一部分　　息县交通运输局概况</w:t>
      </w: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pStyle w:val="5"/>
        <w:shd w:val="clear" w:color="auto" w:fill="FFFFFF"/>
        <w:spacing w:before="0" w:beforeAutospacing="0" w:after="0" w:afterAutospacing="0" w:line="33" w:lineRule="atLeast"/>
        <w:ind w:firstLine="579" w:firstLineChars="181"/>
        <w:rPr>
          <w:rFonts w:ascii="仿宋" w:hAnsi="仿宋" w:eastAsia="仿宋"/>
          <w:color w:val="000000"/>
          <w:sz w:val="32"/>
          <w:szCs w:val="32"/>
        </w:rPr>
      </w:pPr>
      <w:r>
        <w:rPr>
          <w:rFonts w:hint="eastAsia" w:ascii="仿宋" w:hAnsi="仿宋" w:eastAsia="仿宋" w:cs="仿宋"/>
          <w:color w:val="000000"/>
          <w:sz w:val="32"/>
          <w:szCs w:val="32"/>
          <w:shd w:val="clear" w:color="auto" w:fill="FFFFFF"/>
        </w:rPr>
        <w:t>（一）推进全县综合交通运输体系建设，统筹规划公路、水路及邮政行业发展，建立与综合交通运输体系相适应的制度体制机制，优化交通运输主要通道和重要枢纽点布局，促进交通运输方式融合。</w:t>
      </w:r>
    </w:p>
    <w:p>
      <w:pPr>
        <w:pStyle w:val="5"/>
        <w:shd w:val="clear" w:color="auto" w:fill="FFFFFF"/>
        <w:spacing w:before="0" w:beforeAutospacing="0" w:after="0" w:afterAutospacing="0" w:line="33" w:lineRule="atLeast"/>
        <w:ind w:firstLine="579" w:firstLineChars="181"/>
        <w:rPr>
          <w:rFonts w:ascii="仿宋" w:hAnsi="仿宋" w:eastAsia="仿宋"/>
          <w:color w:val="000000"/>
          <w:sz w:val="32"/>
          <w:szCs w:val="32"/>
        </w:rPr>
      </w:pPr>
      <w:r>
        <w:rPr>
          <w:rFonts w:hint="eastAsia" w:ascii="仿宋" w:hAnsi="仿宋" w:eastAsia="仿宋" w:cs="仿宋"/>
          <w:sz w:val="32"/>
          <w:szCs w:val="32"/>
          <w:shd w:val="clear" w:color="auto" w:fill="FFFFFF"/>
        </w:rPr>
        <w:t>（二）组织拟定全县综合交通运输发展战略、规划、政策和规范性文件，指导、协调、监督全县公路、水路发展战略、规划、政策和规范性文件的拟订，指导综合交通运输枢纽规划和管理。负责交通运输行政执法检查和监督。参与拟订物流业发展规划并监督实施。指导全县公路、水路行业有关体制改革工作。</w:t>
      </w:r>
    </w:p>
    <w:p>
      <w:pPr>
        <w:spacing w:line="360" w:lineRule="auto"/>
        <w:ind w:firstLine="469" w:firstLineChars="146"/>
        <w:rPr>
          <w:rFonts w:ascii="仿宋" w:hAnsi="仿宋" w:eastAsia="仿宋"/>
          <w:b/>
          <w:sz w:val="32"/>
          <w:szCs w:val="32"/>
        </w:rPr>
      </w:pPr>
      <w:r>
        <w:rPr>
          <w:rFonts w:hint="eastAsia" w:ascii="仿宋" w:hAnsi="仿宋" w:eastAsia="仿宋" w:cs="仿宋"/>
          <w:b/>
          <w:sz w:val="32"/>
          <w:szCs w:val="32"/>
        </w:rPr>
        <w:t>承担</w:t>
      </w:r>
    </w:p>
    <w:p>
      <w:pPr>
        <w:pStyle w:val="5"/>
        <w:shd w:val="clear" w:color="auto" w:fill="FFFFFF"/>
        <w:spacing w:before="0" w:beforeAutospacing="0" w:after="0" w:afterAutospacing="0" w:line="33" w:lineRule="atLeast"/>
        <w:ind w:firstLine="420"/>
        <w:rPr>
          <w:rFonts w:ascii="仿宋" w:hAnsi="仿宋" w:eastAsia="仿宋"/>
          <w:color w:val="000000"/>
          <w:sz w:val="32"/>
          <w:szCs w:val="32"/>
        </w:rPr>
      </w:pPr>
      <w:r>
        <w:rPr>
          <w:rFonts w:hint="eastAsia" w:ascii="仿宋" w:hAnsi="仿宋" w:eastAsia="仿宋" w:cs="仿宋"/>
          <w:color w:val="000000"/>
          <w:sz w:val="32"/>
          <w:szCs w:val="32"/>
          <w:shd w:val="clear" w:color="auto" w:fill="FFFFFF"/>
        </w:rPr>
        <w:t>（一）承担道路、水路运输市场监管责任。监督实施全县道路、水路运输执行相关政策、技术标准和运营规范。指导全县城乡客运及有关设施规划和管理工作，指导出租车行业管理工作。</w:t>
      </w:r>
    </w:p>
    <w:p>
      <w:pPr>
        <w:pStyle w:val="5"/>
        <w:shd w:val="clear" w:color="auto" w:fill="FFFFFF"/>
        <w:spacing w:before="0" w:beforeAutospacing="0" w:after="0" w:afterAutospacing="0" w:line="33" w:lineRule="atLeast"/>
        <w:ind w:firstLine="420"/>
        <w:rPr>
          <w:rFonts w:ascii="仿宋" w:hAnsi="仿宋" w:eastAsia="仿宋"/>
          <w:color w:val="000000"/>
          <w:sz w:val="32"/>
          <w:szCs w:val="32"/>
        </w:rPr>
      </w:pPr>
      <w:r>
        <w:rPr>
          <w:rFonts w:hint="eastAsia" w:ascii="仿宋" w:hAnsi="仿宋" w:eastAsia="仿宋" w:cs="仿宋"/>
          <w:color w:val="000000"/>
          <w:sz w:val="32"/>
          <w:szCs w:val="32"/>
          <w:shd w:val="clear" w:color="auto" w:fill="FFFFFF"/>
        </w:rPr>
        <w:t>（二）承担水上交通安全监管责任。负责水上交通管制、船舶及相关水上设施检验、登记和防止污染、水上消防、救助打捞、通信导航、危险品运输监督管理等工作。负责船员管理有关工作。负责水上交通安全事故的应急处置，依法组织或参与事故调查处理工作。</w:t>
      </w:r>
    </w:p>
    <w:p>
      <w:pPr>
        <w:pStyle w:val="5"/>
        <w:shd w:val="clear" w:color="auto" w:fill="FFFFFF"/>
        <w:spacing w:before="0" w:beforeAutospacing="0" w:after="0" w:afterAutospacing="0" w:line="33" w:lineRule="atLeast"/>
        <w:ind w:firstLine="420"/>
        <w:rPr>
          <w:rFonts w:ascii="仿宋" w:hAnsi="仿宋" w:eastAsia="仿宋"/>
          <w:color w:val="000000"/>
          <w:sz w:val="32"/>
          <w:szCs w:val="32"/>
        </w:rPr>
      </w:pPr>
      <w:r>
        <w:rPr>
          <w:rFonts w:hint="eastAsia" w:ascii="仿宋" w:hAnsi="仿宋" w:eastAsia="仿宋" w:cs="仿宋"/>
          <w:color w:val="000000"/>
          <w:sz w:val="32"/>
          <w:szCs w:val="32"/>
          <w:shd w:val="clear" w:color="auto" w:fill="FFFFFF"/>
        </w:rPr>
        <w:t>（三）负责提出全县公路、水路固定资产投资规模和方向、县级财政性资金安排建议，按规定权限审批、核谁全县规划内和年度计划规模内固定资产投资项目。负责公路、桥梁、渡口、隧道的行业管理。</w:t>
      </w:r>
    </w:p>
    <w:p>
      <w:pPr>
        <w:pStyle w:val="5"/>
        <w:shd w:val="clear" w:color="auto" w:fill="FFFFFF"/>
        <w:spacing w:before="0" w:beforeAutospacing="0" w:after="0" w:afterAutospacing="0" w:line="33" w:lineRule="atLeast"/>
        <w:ind w:firstLine="420"/>
        <w:rPr>
          <w:rFonts w:ascii="仿宋" w:hAnsi="仿宋" w:eastAsia="仿宋"/>
          <w:color w:val="000000"/>
          <w:sz w:val="32"/>
          <w:szCs w:val="32"/>
          <w:shd w:val="clear" w:color="auto" w:fill="FFFFFF"/>
        </w:rPr>
      </w:pPr>
      <w:r>
        <w:rPr>
          <w:rFonts w:hint="eastAsia" w:ascii="仿宋" w:hAnsi="仿宋" w:eastAsia="仿宋" w:cs="仿宋"/>
          <w:color w:val="000000"/>
          <w:sz w:val="32"/>
          <w:szCs w:val="32"/>
          <w:shd w:val="clear" w:color="auto" w:fill="FFFFFF"/>
        </w:rPr>
        <w:t>（四）承担公路、水路建设市场责任。监督实施全县公路、水路工程建设执行相关政策、制度和技术标准。组织实施县重点公路、水路交通工程建设，负责公路、水路交通建设工程造价控制和工程质量、安全生产的监督管理，负责公路、水路重点基本建设项目的绩效监督和管理工作。指导交通运输基础设施管理和维护，承担有关重要设施的管理和维护。</w:t>
      </w:r>
    </w:p>
    <w:p>
      <w:pPr>
        <w:pStyle w:val="5"/>
        <w:shd w:val="clear" w:color="auto" w:fill="FFFFFF"/>
        <w:spacing w:before="0" w:beforeAutospacing="0" w:after="0" w:afterAutospacing="0" w:line="33" w:lineRule="atLeast"/>
        <w:ind w:firstLine="420"/>
        <w:rPr>
          <w:rFonts w:ascii="仿宋" w:hAnsi="仿宋" w:eastAsia="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指导</w:t>
      </w:r>
    </w:p>
    <w:p>
      <w:pPr>
        <w:pStyle w:val="5"/>
        <w:shd w:val="clear" w:color="auto" w:fill="FFFFFF"/>
        <w:spacing w:before="0" w:beforeAutospacing="0" w:after="0" w:afterAutospacing="0" w:line="33" w:lineRule="atLeast"/>
        <w:ind w:firstLine="420"/>
        <w:rPr>
          <w:rFonts w:ascii="仿宋" w:hAnsi="仿宋" w:eastAsia="仿宋"/>
          <w:color w:val="000000"/>
          <w:sz w:val="32"/>
          <w:szCs w:val="32"/>
        </w:rPr>
      </w:pPr>
      <w:r>
        <w:rPr>
          <w:rFonts w:hint="eastAsia" w:ascii="仿宋" w:hAnsi="仿宋" w:eastAsia="仿宋" w:cs="仿宋"/>
          <w:color w:val="000000"/>
          <w:sz w:val="32"/>
          <w:szCs w:val="32"/>
          <w:shd w:val="clear" w:color="auto" w:fill="FFFFFF"/>
        </w:rPr>
        <w:t>（一）指导全县公路、水路行业安全生产和应急管理工作。按规定组织协调全县重点物资和紧急客货运输，负责全县国省道路网运行监测和应急处置协调工作，承担国防交通战备和综合交通运输统计工作，监测分析交通运输运行情况，发布有关信息。</w:t>
      </w:r>
    </w:p>
    <w:p>
      <w:pPr>
        <w:pStyle w:val="5"/>
        <w:shd w:val="clear" w:color="auto" w:fill="FFFFFF"/>
        <w:spacing w:before="0" w:beforeAutospacing="0" w:after="0" w:afterAutospacing="0" w:line="33" w:lineRule="atLeast"/>
        <w:ind w:firstLine="420"/>
        <w:rPr>
          <w:rFonts w:ascii="仿宋" w:hAnsi="仿宋" w:eastAsia="仿宋"/>
          <w:color w:val="000000"/>
          <w:sz w:val="32"/>
          <w:szCs w:val="32"/>
        </w:rPr>
      </w:pPr>
      <w:r>
        <w:rPr>
          <w:rFonts w:hint="eastAsia" w:ascii="仿宋" w:hAnsi="仿宋" w:eastAsia="仿宋" w:cs="仿宋"/>
          <w:color w:val="000000"/>
          <w:sz w:val="32"/>
          <w:szCs w:val="32"/>
          <w:shd w:val="clear" w:color="auto" w:fill="FFFFFF"/>
        </w:rPr>
        <w:t>（二）制定全县交通运输行业科技发展规划并监督实施。指导全县交通运输信息化建设，监测分析运行情况。指导公路、水路行业环境保护和节能减排工作。</w:t>
      </w:r>
    </w:p>
    <w:p>
      <w:pPr>
        <w:pStyle w:val="5"/>
        <w:shd w:val="clear" w:color="auto" w:fill="FFFFFF"/>
        <w:spacing w:before="0" w:beforeAutospacing="0" w:after="0" w:afterAutospacing="0" w:line="33" w:lineRule="atLeast"/>
        <w:ind w:firstLine="420"/>
        <w:rPr>
          <w:rFonts w:ascii="仿宋" w:hAnsi="仿宋" w:eastAsia="仿宋"/>
          <w:color w:val="000000"/>
          <w:sz w:val="32"/>
          <w:szCs w:val="32"/>
        </w:rPr>
      </w:pPr>
      <w:r>
        <w:rPr>
          <w:rFonts w:hint="eastAsia" w:ascii="仿宋" w:hAnsi="仿宋" w:eastAsia="仿宋" w:cs="仿宋"/>
          <w:color w:val="000000"/>
          <w:sz w:val="32"/>
          <w:szCs w:val="32"/>
          <w:shd w:val="clear" w:color="auto" w:fill="FFFFFF"/>
        </w:rPr>
        <w:t>（三）负责对全县公路路政管理工作的指导和监督管理。</w:t>
      </w:r>
    </w:p>
    <w:p>
      <w:pPr>
        <w:pStyle w:val="5"/>
        <w:shd w:val="clear" w:color="auto" w:fill="FFFFFF"/>
        <w:spacing w:before="0" w:beforeAutospacing="0" w:after="0" w:afterAutospacing="0" w:line="33" w:lineRule="atLeast"/>
        <w:ind w:firstLine="420"/>
        <w:rPr>
          <w:rFonts w:ascii="仿宋" w:hAnsi="仿宋" w:eastAsia="仿宋"/>
          <w:color w:val="000000"/>
          <w:sz w:val="32"/>
          <w:szCs w:val="32"/>
        </w:rPr>
      </w:pPr>
      <w:r>
        <w:rPr>
          <w:rFonts w:hint="eastAsia" w:ascii="仿宋" w:hAnsi="仿宋" w:eastAsia="仿宋" w:cs="仿宋"/>
          <w:color w:val="000000"/>
          <w:sz w:val="32"/>
          <w:szCs w:val="32"/>
          <w:shd w:val="clear" w:color="auto" w:fill="FFFFFF"/>
        </w:rPr>
        <w:t>（四）指导交通运输行业开展对外交流与合作工作。</w:t>
      </w:r>
    </w:p>
    <w:p>
      <w:pPr>
        <w:pStyle w:val="5"/>
        <w:shd w:val="clear" w:color="auto" w:fill="FFFFFF"/>
        <w:spacing w:before="0" w:beforeAutospacing="0" w:after="0" w:afterAutospacing="0" w:line="33" w:lineRule="atLeast"/>
        <w:ind w:firstLine="420"/>
        <w:rPr>
          <w:rFonts w:ascii="仿宋" w:hAnsi="仿宋" w:eastAsia="仿宋"/>
          <w:color w:val="000000"/>
          <w:sz w:val="32"/>
          <w:szCs w:val="32"/>
        </w:rPr>
      </w:pPr>
      <w:r>
        <w:rPr>
          <w:rFonts w:hint="eastAsia" w:ascii="仿宋" w:hAnsi="仿宋" w:eastAsia="仿宋" w:cs="仿宋"/>
          <w:color w:val="000000"/>
          <w:sz w:val="32"/>
          <w:szCs w:val="32"/>
          <w:shd w:val="clear" w:color="auto" w:fill="FFFFFF"/>
        </w:rPr>
        <w:t>（五）组织实施经营性机动车营运安全标准，指导营运车辆综合性能检测管理，参与实施机动车报废车报废政策、标准工作。</w:t>
      </w:r>
    </w:p>
    <w:p>
      <w:pPr>
        <w:pStyle w:val="5"/>
        <w:shd w:val="clear" w:color="auto" w:fill="FFFFFF"/>
        <w:spacing w:before="0" w:beforeAutospacing="0" w:after="0" w:afterAutospacing="0" w:line="33" w:lineRule="atLeast"/>
        <w:ind w:firstLine="420"/>
        <w:rPr>
          <w:rFonts w:ascii="仿宋" w:hAnsi="仿宋" w:eastAsia="仿宋"/>
          <w:color w:val="000000"/>
          <w:sz w:val="32"/>
          <w:szCs w:val="32"/>
        </w:rPr>
      </w:pPr>
      <w:r>
        <w:rPr>
          <w:rFonts w:hint="eastAsia" w:ascii="仿宋" w:hAnsi="仿宋" w:eastAsia="仿宋" w:cs="仿宋"/>
          <w:color w:val="000000"/>
          <w:sz w:val="32"/>
          <w:szCs w:val="32"/>
          <w:shd w:val="clear" w:color="auto" w:fill="FFFFFF"/>
        </w:rPr>
        <w:t>（六）指导、监督实施公路、水路有关规费政策；负责交通运输预算资金的申请、拨付和监管。</w:t>
      </w:r>
    </w:p>
    <w:p>
      <w:pPr>
        <w:pStyle w:val="5"/>
        <w:shd w:val="clear" w:color="auto" w:fill="FFFFFF"/>
        <w:spacing w:before="0" w:beforeAutospacing="0" w:after="0" w:afterAutospacing="0" w:line="33" w:lineRule="atLeast"/>
        <w:ind w:firstLine="420"/>
        <w:rPr>
          <w:rFonts w:ascii="仿宋" w:hAnsi="仿宋" w:eastAsia="仿宋"/>
          <w:color w:val="000000"/>
          <w:sz w:val="32"/>
          <w:szCs w:val="32"/>
        </w:rPr>
      </w:pPr>
      <w:r>
        <w:rPr>
          <w:rFonts w:hint="eastAsia" w:ascii="仿宋" w:hAnsi="仿宋" w:eastAsia="仿宋" w:cs="仿宋"/>
          <w:color w:val="000000"/>
          <w:sz w:val="32"/>
          <w:szCs w:val="32"/>
          <w:shd w:val="clear" w:color="auto" w:fill="FFFFFF"/>
        </w:rPr>
        <w:t>（七）协调中央垂直管理的铁路、民航、邮政等单位涉及地方相关工作。</w:t>
      </w:r>
    </w:p>
    <w:p>
      <w:pPr>
        <w:pStyle w:val="5"/>
        <w:shd w:val="clear" w:color="auto" w:fill="FFFFFF"/>
        <w:spacing w:before="0" w:beforeAutospacing="0" w:after="0" w:afterAutospacing="0" w:line="33" w:lineRule="atLeast"/>
        <w:ind w:firstLine="420"/>
        <w:rPr>
          <w:rFonts w:ascii="仿宋" w:hAnsi="仿宋" w:eastAsia="仿宋"/>
          <w:color w:val="000000"/>
          <w:sz w:val="32"/>
          <w:szCs w:val="32"/>
        </w:rPr>
      </w:pPr>
      <w:r>
        <w:rPr>
          <w:rFonts w:hint="eastAsia" w:ascii="仿宋" w:hAnsi="仿宋" w:eastAsia="仿宋" w:cs="仿宋"/>
          <w:color w:val="000000"/>
          <w:sz w:val="32"/>
          <w:szCs w:val="32"/>
          <w:shd w:val="clear" w:color="auto" w:fill="FFFFFF"/>
        </w:rPr>
        <w:t>（八）推进全县综合交通运输行业综合执法的相关工作。</w:t>
      </w:r>
    </w:p>
    <w:p>
      <w:pPr>
        <w:pStyle w:val="5"/>
        <w:shd w:val="clear" w:color="auto" w:fill="FFFFFF"/>
        <w:spacing w:before="0" w:beforeAutospacing="0" w:after="0" w:afterAutospacing="0" w:line="33" w:lineRule="atLeast"/>
        <w:ind w:firstLine="420"/>
        <w:rPr>
          <w:rFonts w:ascii="仿宋_GB2312" w:eastAsia="仿宋_GB2312"/>
          <w:sz w:val="32"/>
          <w:szCs w:val="32"/>
        </w:rPr>
      </w:pPr>
      <w:r>
        <w:rPr>
          <w:rFonts w:hint="eastAsia" w:ascii="仿宋" w:hAnsi="仿宋" w:eastAsia="仿宋" w:cs="仿宋"/>
          <w:color w:val="000000"/>
          <w:sz w:val="32"/>
          <w:szCs w:val="32"/>
          <w:shd w:val="clear" w:color="auto" w:fill="FFFFFF"/>
        </w:rPr>
        <w:t>（九）承办县人民政府交办的其他事项。</w:t>
      </w: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ind w:firstLine="640" w:firstLineChars="200"/>
        <w:rPr>
          <w:rFonts w:ascii="仿宋" w:hAnsi="仿宋" w:eastAsia="仿宋" w:cs="??_GB2312"/>
          <w:sz w:val="32"/>
          <w:szCs w:val="32"/>
        </w:rPr>
      </w:pPr>
      <w:r>
        <w:rPr>
          <w:rFonts w:hint="eastAsia" w:ascii="仿宋" w:hAnsi="仿宋" w:eastAsia="仿宋" w:cs="仿宋_GB2312"/>
          <w:sz w:val="32"/>
          <w:szCs w:val="32"/>
        </w:rPr>
        <w:t>交通运输局内设机构5个，包括：</w:t>
      </w:r>
      <w:r>
        <w:rPr>
          <w:rFonts w:hint="eastAsia" w:ascii="仿宋" w:hAnsi="仿宋" w:eastAsia="仿宋"/>
          <w:sz w:val="32"/>
          <w:szCs w:val="32"/>
        </w:rPr>
        <w:t>交通运输局项目办、交通运输管理局、息县公路事业发展中心、交通执法所。</w:t>
      </w:r>
    </w:p>
    <w:p>
      <w:pPr>
        <w:ind w:firstLine="640" w:firstLineChars="200"/>
        <w:rPr>
          <w:rFonts w:ascii="仿宋" w:hAnsi="仿宋" w:eastAsia="仿宋" w:cs="??_GB2312"/>
          <w:sz w:val="32"/>
          <w:szCs w:val="32"/>
        </w:rPr>
      </w:pPr>
      <w:r>
        <w:rPr>
          <w:rFonts w:hint="eastAsia" w:ascii="仿宋" w:hAnsi="仿宋" w:eastAsia="仿宋"/>
          <w:sz w:val="32"/>
          <w:szCs w:val="32"/>
        </w:rPr>
        <w:t>从决算单位构成看，息县交通运输局部门决算包括：本级决算、</w:t>
      </w:r>
      <w:r>
        <w:rPr>
          <w:rFonts w:hint="eastAsia" w:ascii="仿宋" w:hAnsi="仿宋" w:eastAsia="仿宋" w:cs="仿宋_GB2312"/>
          <w:sz w:val="32"/>
          <w:szCs w:val="32"/>
        </w:rPr>
        <w:t>所属单位决算</w:t>
      </w:r>
      <w:r>
        <w:rPr>
          <w:rFonts w:hint="eastAsia" w:ascii="仿宋" w:hAnsi="仿宋" w:eastAsia="仿宋"/>
          <w:sz w:val="32"/>
          <w:szCs w:val="32"/>
        </w:rPr>
        <w:t>。另外，由息县交通运输局管理的交通运输局项目办、交通执法所部门决算纳入我部门汇总反映。</w:t>
      </w:r>
    </w:p>
    <w:p>
      <w:pPr>
        <w:ind w:firstLine="640" w:firstLineChars="200"/>
        <w:rPr>
          <w:rFonts w:ascii="仿宋" w:hAnsi="仿宋" w:eastAsia="仿宋" w:cs="??_GB2312"/>
          <w:sz w:val="32"/>
          <w:szCs w:val="32"/>
        </w:rPr>
      </w:pPr>
      <w:r>
        <w:rPr>
          <w:rFonts w:ascii="仿宋" w:hAnsi="仿宋" w:eastAsia="仿宋" w:cs="??_GB2312"/>
          <w:sz w:val="32"/>
          <w:szCs w:val="32"/>
        </w:rPr>
        <w:t>20</w:t>
      </w:r>
      <w:r>
        <w:rPr>
          <w:rFonts w:hint="eastAsia" w:ascii="仿宋" w:hAnsi="仿宋" w:eastAsia="仿宋" w:cs="??_GB2312"/>
          <w:sz w:val="32"/>
          <w:szCs w:val="32"/>
        </w:rPr>
        <w:t>21</w:t>
      </w:r>
      <w:r>
        <w:rPr>
          <w:rFonts w:hint="eastAsia" w:ascii="仿宋" w:hAnsi="仿宋" w:eastAsia="仿宋"/>
          <w:sz w:val="32"/>
          <w:szCs w:val="32"/>
        </w:rPr>
        <w:t>年度，息县交通运输局纳入本部门</w:t>
      </w:r>
      <w:r>
        <w:rPr>
          <w:rFonts w:ascii="仿宋" w:hAnsi="仿宋" w:eastAsia="仿宋" w:cs="??_GB2312"/>
          <w:sz w:val="32"/>
          <w:szCs w:val="32"/>
        </w:rPr>
        <w:t>20</w:t>
      </w:r>
      <w:r>
        <w:rPr>
          <w:rFonts w:hint="eastAsia" w:ascii="仿宋" w:hAnsi="仿宋" w:eastAsia="仿宋" w:cs="??_GB2312"/>
          <w:sz w:val="32"/>
          <w:szCs w:val="32"/>
        </w:rPr>
        <w:t>21</w:t>
      </w:r>
      <w:r>
        <w:rPr>
          <w:rFonts w:hint="eastAsia" w:ascii="仿宋" w:hAnsi="仿宋" w:eastAsia="仿宋"/>
          <w:sz w:val="32"/>
          <w:szCs w:val="32"/>
        </w:rPr>
        <w:t>年度部门决算编制范围的单位共</w:t>
      </w:r>
      <w:r>
        <w:rPr>
          <w:rFonts w:hint="eastAsia" w:ascii="仿宋" w:hAnsi="仿宋" w:eastAsia="仿宋"/>
          <w:sz w:val="32"/>
          <w:szCs w:val="32"/>
          <w:lang w:val="en-US" w:eastAsia="zh-CN"/>
        </w:rPr>
        <w:t>1</w:t>
      </w:r>
      <w:r>
        <w:rPr>
          <w:rFonts w:hint="eastAsia" w:ascii="仿宋" w:hAnsi="仿宋" w:eastAsia="仿宋"/>
          <w:sz w:val="32"/>
          <w:szCs w:val="32"/>
        </w:rPr>
        <w:t>个，其中二级预算单位</w:t>
      </w:r>
      <w:r>
        <w:rPr>
          <w:rFonts w:hint="eastAsia" w:ascii="仿宋" w:hAnsi="仿宋" w:eastAsia="仿宋" w:cs="??_GB2312"/>
          <w:sz w:val="32"/>
          <w:szCs w:val="32"/>
          <w:lang w:val="en-US" w:eastAsia="zh-CN"/>
        </w:rPr>
        <w:t>0</w:t>
      </w:r>
      <w:r>
        <w:rPr>
          <w:rFonts w:hint="eastAsia" w:ascii="仿宋" w:hAnsi="仿宋" w:eastAsia="仿宋"/>
          <w:sz w:val="32"/>
          <w:szCs w:val="32"/>
        </w:rPr>
        <w:t>个，具体是：</w:t>
      </w:r>
    </w:p>
    <w:p>
      <w:pPr>
        <w:spacing w:line="360" w:lineRule="auto"/>
        <w:ind w:firstLine="640" w:firstLineChars="200"/>
        <w:rPr>
          <w:rFonts w:ascii="仿宋" w:hAnsi="仿宋" w:eastAsia="仿宋" w:cs="??_GB2312"/>
          <w:sz w:val="32"/>
          <w:szCs w:val="32"/>
        </w:rPr>
      </w:pPr>
      <w:r>
        <w:rPr>
          <w:rFonts w:hint="eastAsia" w:ascii="仿宋" w:hAnsi="仿宋" w:eastAsia="仿宋"/>
          <w:sz w:val="32"/>
          <w:szCs w:val="32"/>
        </w:rPr>
        <w:t>1.息县交通运输局本级</w:t>
      </w:r>
    </w:p>
    <w:p>
      <w:pPr>
        <w:spacing w:line="360" w:lineRule="auto"/>
        <w:ind w:firstLine="640" w:firstLineChars="200"/>
        <w:rPr>
          <w:rFonts w:ascii="仿宋" w:hAnsi="仿宋" w:eastAsia="仿宋" w:cs="??_GB2312"/>
          <w:sz w:val="32"/>
          <w:szCs w:val="32"/>
        </w:rPr>
      </w:pPr>
    </w:p>
    <w:p>
      <w:pPr>
        <w:spacing w:line="360" w:lineRule="auto"/>
        <w:ind w:firstLine="640" w:firstLineChars="200"/>
        <w:rPr>
          <w:rFonts w:ascii="仿宋" w:hAnsi="仿宋" w:eastAsia="仿宋" w:cs="??_GB2312"/>
          <w:sz w:val="32"/>
          <w:szCs w:val="32"/>
        </w:rPr>
        <w:sectPr>
          <w:pgSz w:w="11906" w:h="16838"/>
          <w:pgMar w:top="1440" w:right="1800" w:bottom="1440" w:left="1800" w:header="720" w:footer="720" w:gutter="0"/>
          <w:cols w:space="720" w:num="1"/>
          <w:docGrid w:type="lines" w:linePitch="312" w:charSpace="0"/>
        </w:sect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rFonts w:ascii="黑体" w:hAnsi="黑体" w:eastAsia="黑体" w:cs="黑体"/>
          <w:sz w:val="44"/>
          <w:szCs w:val="44"/>
        </w:rPr>
      </w:pPr>
      <w:r>
        <w:rPr>
          <w:rFonts w:hint="eastAsia" w:ascii="黑体" w:hAnsi="黑体" w:eastAsia="黑体" w:cs="黑体"/>
          <w:sz w:val="44"/>
          <w:szCs w:val="44"/>
        </w:rPr>
        <w:t>息县交通运输局</w:t>
      </w:r>
    </w:p>
    <w:p>
      <w:pPr>
        <w:jc w:val="center"/>
        <w:outlineLvl w:val="0"/>
        <w:rPr>
          <w:rFonts w:ascii="黑体" w:hAnsi="黑体" w:eastAsia="黑体" w:cs="黑体"/>
          <w:sz w:val="48"/>
          <w:szCs w:val="48"/>
        </w:rPr>
      </w:pPr>
      <w:r>
        <w:rPr>
          <w:rFonts w:hint="eastAsia" w:ascii="黑体" w:hAnsi="黑体" w:eastAsia="黑体" w:cs="黑体"/>
          <w:sz w:val="48"/>
          <w:szCs w:val="48"/>
        </w:rPr>
        <w:t>2021年度部门决算表</w:t>
      </w: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tbl>
      <w:tblPr>
        <w:tblStyle w:val="6"/>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部门：息县交通运输局</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color w:val="000000"/>
                <w:sz w:val="20"/>
                <w:szCs w:val="20"/>
              </w:rPr>
            </w:pPr>
            <w:r>
              <w:rPr>
                <w:rFonts w:hint="eastAsia"/>
                <w:color w:val="000000"/>
                <w:sz w:val="20"/>
                <w:szCs w:val="20"/>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110,36.11</w:t>
            </w:r>
          </w:p>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一、社会保障和就业支出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37.91</w:t>
            </w:r>
          </w:p>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二、政府性基金</w:t>
            </w:r>
            <w:r>
              <w:rPr>
                <w:color w:val="000000"/>
                <w:sz w:val="20"/>
                <w:szCs w:val="20"/>
              </w:rPr>
              <w:t>预算财政拨款</w:t>
            </w:r>
            <w:r>
              <w:rPr>
                <w:rFonts w:hint="eastAsia"/>
                <w:color w:val="000000"/>
                <w:sz w:val="20"/>
                <w:szCs w:val="20"/>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二、卫生健康支出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11.22</w:t>
            </w:r>
          </w:p>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三、国有资本</w:t>
            </w:r>
            <w:r>
              <w:rPr>
                <w:color w:val="000000"/>
                <w:sz w:val="20"/>
                <w:szCs w:val="20"/>
              </w:rPr>
              <w:t>经营预算财政拨款</w:t>
            </w:r>
            <w:r>
              <w:rPr>
                <w:rFonts w:hint="eastAsia"/>
                <w:color w:val="000000"/>
                <w:sz w:val="20"/>
                <w:szCs w:val="20"/>
              </w:rPr>
              <w:t>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三、农林水支出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2746.86</w:t>
            </w:r>
          </w:p>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四、交通运输支出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8223.88</w:t>
            </w:r>
          </w:p>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五、住房保障支出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color w:val="000000"/>
                <w:sz w:val="20"/>
                <w:szCs w:val="20"/>
              </w:rPr>
            </w:pPr>
            <w:r>
              <w:rPr>
                <w:rFonts w:hint="eastAsia"/>
                <w:color w:val="000000"/>
                <w:sz w:val="20"/>
                <w:szCs w:val="20"/>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11036.11</w:t>
            </w:r>
          </w:p>
          <w:p>
            <w:pPr>
              <w:jc w:val="right"/>
              <w:rPr>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11036.11</w:t>
            </w:r>
          </w:p>
          <w:p>
            <w:pPr>
              <w:rPr>
                <w:b/>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使用非</w:t>
            </w:r>
            <w:r>
              <w:rPr>
                <w:color w:val="000000"/>
                <w:sz w:val="20"/>
                <w:szCs w:val="20"/>
              </w:rPr>
              <w:t>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rPr>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rPr>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11036.11</w:t>
            </w:r>
          </w:p>
          <w:p>
            <w:pPr>
              <w:jc w:val="right"/>
              <w:rPr>
                <w:color w:val="000000"/>
                <w:sz w:val="20"/>
                <w:szCs w:val="20"/>
              </w:rPr>
            </w:pP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11036.11</w:t>
            </w:r>
          </w:p>
          <w:p>
            <w:pPr>
              <w:rPr>
                <w:b/>
                <w:color w:val="000000"/>
                <w:sz w:val="20"/>
                <w:szCs w:val="20"/>
              </w:rPr>
            </w:pP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注：本表反映部门本年度的总收支和年末结转结余情况。本表金额转换为万元时，因四舍五入可能存在尾差。</w:t>
            </w:r>
          </w:p>
        </w:tc>
      </w:tr>
    </w:tbl>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tbl>
      <w:tblPr>
        <w:tblStyle w:val="6"/>
        <w:tblW w:w="0" w:type="auto"/>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300"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部门：息县</w:t>
            </w:r>
          </w:p>
        </w:tc>
        <w:tc>
          <w:tcPr>
            <w:tcW w:w="59" w:type="dxa"/>
            <w:tcBorders>
              <w:top w:val="nil"/>
              <w:left w:val="nil"/>
              <w:bottom w:val="nil"/>
              <w:right w:val="nil"/>
            </w:tcBorders>
            <w:shd w:val="clear" w:color="auto" w:fill="FFFFFF"/>
            <w:noWrap/>
            <w:tcMar>
              <w:top w:w="15" w:type="dxa"/>
              <w:left w:w="15" w:type="dxa"/>
              <w:right w:w="15" w:type="dxa"/>
            </w:tcMar>
            <w:vAlign w:val="center"/>
          </w:tcPr>
          <w:p>
            <w:pPr>
              <w:jc w:val="center"/>
              <w:rPr>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r>
              <w:rPr>
                <w:rFonts w:hint="eastAsia"/>
                <w:color w:val="000000"/>
                <w:sz w:val="20"/>
                <w:szCs w:val="20"/>
              </w:rPr>
              <w:t>交通运输局</w:t>
            </w: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功能分类</w:t>
            </w:r>
          </w:p>
          <w:p>
            <w:pPr>
              <w:jc w:val="center"/>
              <w:textAlignment w:val="center"/>
              <w:rPr>
                <w:color w:val="000000"/>
                <w:sz w:val="20"/>
                <w:szCs w:val="20"/>
              </w:rPr>
            </w:pPr>
            <w:r>
              <w:rPr>
                <w:rFonts w:hint="eastAsia"/>
                <w:color w:val="000000"/>
                <w:sz w:val="20"/>
                <w:szCs w:val="20"/>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7</w:t>
            </w:r>
          </w:p>
        </w:tc>
      </w:tr>
      <w:tr>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r>
              <w:rPr>
                <w:rFonts w:hint="eastAsia"/>
                <w:color w:val="000000"/>
                <w:sz w:val="20"/>
                <w:szCs w:val="20"/>
              </w:rPr>
              <w:t>11036.11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r>
              <w:rPr>
                <w:rFonts w:hint="eastAsia"/>
                <w:color w:val="000000"/>
                <w:sz w:val="20"/>
                <w:szCs w:val="20"/>
              </w:rPr>
              <w:t>11036.11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208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社会保障和就业支出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20805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行政事业单位养老支出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华文中宋" w:hAnsi="华文中宋" w:eastAsia="华文中宋" w:cs="华文中宋"/>
                <w:color w:val="000000"/>
                <w:sz w:val="20"/>
                <w:szCs w:val="20"/>
              </w:rPr>
            </w:pPr>
            <w:r>
              <w:rPr>
                <w:rFonts w:hint="eastAsia"/>
                <w:color w:val="000000"/>
                <w:sz w:val="20"/>
                <w:szCs w:val="20"/>
              </w:rPr>
              <w:t>37.91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2080505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机关事业单位基本养老保险缴费支出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卫生健康支出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11.22</w:t>
            </w:r>
          </w:p>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11.22</w:t>
            </w:r>
          </w:p>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21011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行政事业单位医疗</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11.22</w:t>
            </w:r>
          </w:p>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11.22</w:t>
            </w:r>
          </w:p>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2101101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18"/>
                <w:szCs w:val="18"/>
              </w:rPr>
            </w:pPr>
            <w:r>
              <w:rPr>
                <w:rFonts w:hint="eastAsia" w:cs="Arial"/>
                <w:color w:val="000000"/>
                <w:sz w:val="18"/>
                <w:szCs w:val="18"/>
              </w:rPr>
              <w:t>行政单位医疗</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11.22</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11.22</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213</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农林水支出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2746.86</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2746.86</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21301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农业农村</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210.27</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210.27</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2130199</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其他农业农村支出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210.27</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210.27</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21305</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扶贫</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2536.6</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2536.6</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2130504</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农村基础设施建设</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2536.6</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2536.6</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交通运输支出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8223.88</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8223.88</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公路水路运输</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5202.08</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5202.08</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2140101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行政运行</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426.56</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426.56</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2140199</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其他公路水路运输支出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4775.52</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4775.52</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21404</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成品油价格改革对交通运输的补贴</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1405.99</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1405.99</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2140499</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成品油价格改革补贴其他支出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1405.99</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1405.99</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21406</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车辆购置税支出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241.1</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241.1</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2140601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车辆购置税用于公路等基础设施建设支出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241.1</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241.1</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21499</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其他交通运输支出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1374.72</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1374.72</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2149901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公共交通运营补助</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1374.72</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1374.72</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221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住房保障支出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22102</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住房改革支出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2210201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住房公积金</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pPr>
    </w:p>
    <w:tbl>
      <w:tblPr>
        <w:tblStyle w:val="6"/>
        <w:tblW w:w="0" w:type="auto"/>
        <w:tblInd w:w="0" w:type="dxa"/>
        <w:tblLayout w:type="fixed"/>
        <w:tblCellMar>
          <w:top w:w="0" w:type="dxa"/>
          <w:left w:w="0" w:type="dxa"/>
          <w:bottom w:w="0" w:type="dxa"/>
          <w:right w:w="0" w:type="dxa"/>
        </w:tblCellMar>
      </w:tblPr>
      <w:tblGrid>
        <w:gridCol w:w="1120"/>
        <w:gridCol w:w="63"/>
        <w:gridCol w:w="27"/>
        <w:gridCol w:w="1349"/>
        <w:gridCol w:w="858"/>
        <w:gridCol w:w="916"/>
        <w:gridCol w:w="130"/>
        <w:gridCol w:w="251"/>
        <w:gridCol w:w="1210"/>
        <w:gridCol w:w="211"/>
        <w:gridCol w:w="232"/>
        <w:gridCol w:w="1569"/>
        <w:gridCol w:w="335"/>
        <w:gridCol w:w="249"/>
        <w:gridCol w:w="993"/>
        <w:gridCol w:w="225"/>
        <w:gridCol w:w="342"/>
        <w:gridCol w:w="95"/>
        <w:gridCol w:w="1180"/>
        <w:gridCol w:w="184"/>
        <w:gridCol w:w="433"/>
        <w:gridCol w:w="107"/>
        <w:gridCol w:w="836"/>
        <w:gridCol w:w="1058"/>
        <w:gridCol w:w="15"/>
      </w:tblGrid>
      <w:tr>
        <w:tblPrEx>
          <w:tblCellMar>
            <w:top w:w="0" w:type="dxa"/>
            <w:left w:w="0" w:type="dxa"/>
            <w:bottom w:w="0" w:type="dxa"/>
            <w:right w:w="0" w:type="dxa"/>
          </w:tblCellMar>
        </w:tblPrEx>
        <w:trPr>
          <w:trHeight w:val="435" w:hRule="atLeast"/>
        </w:trPr>
        <w:tc>
          <w:tcPr>
            <w:tcW w:w="13988" w:type="dxa"/>
            <w:gridSpan w:val="25"/>
            <w:tcBorders>
              <w:top w:val="nil"/>
              <w:left w:val="nil"/>
              <w:bottom w:val="nil"/>
              <w:right w:val="nil"/>
            </w:tcBorders>
            <w:noWrap/>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774"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802" w:type="dxa"/>
            <w:gridSpan w:val="4"/>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802" w:type="dxa"/>
            <w:gridSpan w:val="4"/>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801" w:type="dxa"/>
            <w:gridSpan w:val="4"/>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2449" w:type="dxa"/>
            <w:gridSpan w:val="5"/>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公开03表</w:t>
            </w:r>
          </w:p>
        </w:tc>
      </w:tr>
      <w:tr>
        <w:tblPrEx>
          <w:tblCellMar>
            <w:top w:w="0" w:type="dxa"/>
            <w:left w:w="0" w:type="dxa"/>
            <w:bottom w:w="0" w:type="dxa"/>
            <w:right w:w="0" w:type="dxa"/>
          </w:tblCellMar>
        </w:tblPrEx>
        <w:trPr>
          <w:trHeight w:val="300"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部门：息县</w:t>
            </w: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349"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r>
              <w:rPr>
                <w:rFonts w:hint="eastAsia"/>
                <w:color w:val="000000"/>
                <w:sz w:val="20"/>
                <w:szCs w:val="20"/>
              </w:rPr>
              <w:t>交通运输局</w:t>
            </w:r>
          </w:p>
        </w:tc>
        <w:tc>
          <w:tcPr>
            <w:tcW w:w="1774"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802" w:type="dxa"/>
            <w:gridSpan w:val="4"/>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color w:val="000000"/>
                <w:sz w:val="20"/>
                <w:szCs w:val="20"/>
              </w:rPr>
            </w:pPr>
          </w:p>
        </w:tc>
        <w:tc>
          <w:tcPr>
            <w:tcW w:w="1802" w:type="dxa"/>
            <w:gridSpan w:val="4"/>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801" w:type="dxa"/>
            <w:gridSpan w:val="4"/>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2449" w:type="dxa"/>
            <w:gridSpan w:val="5"/>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1904" w:type="dxa"/>
            <w:gridSpan w:val="3"/>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本年支出合计</w:t>
            </w:r>
          </w:p>
        </w:tc>
        <w:tc>
          <w:tcPr>
            <w:tcW w:w="1904"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项目支出</w:t>
            </w:r>
          </w:p>
        </w:tc>
        <w:tc>
          <w:tcPr>
            <w:tcW w:w="1904" w:type="dxa"/>
            <w:gridSpan w:val="5"/>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上缴上级支出</w:t>
            </w:r>
          </w:p>
        </w:tc>
        <w:tc>
          <w:tcPr>
            <w:tcW w:w="1904" w:type="dxa"/>
            <w:gridSpan w:val="4"/>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经营支出</w:t>
            </w:r>
          </w:p>
        </w:tc>
        <w:tc>
          <w:tcPr>
            <w:tcW w:w="1909" w:type="dxa"/>
            <w:gridSpan w:val="3"/>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功能分类</w:t>
            </w:r>
          </w:p>
          <w:p>
            <w:pPr>
              <w:jc w:val="center"/>
              <w:textAlignment w:val="center"/>
              <w:rPr>
                <w:color w:val="000000"/>
                <w:sz w:val="20"/>
                <w:szCs w:val="20"/>
              </w:rPr>
            </w:pPr>
            <w:r>
              <w:rPr>
                <w:rFonts w:hint="eastAsia"/>
                <w:color w:val="000000"/>
                <w:sz w:val="20"/>
                <w:szCs w:val="20"/>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1904"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9" w:type="dxa"/>
            <w:gridSpan w:val="3"/>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3"/>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5"/>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4"/>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9" w:type="dxa"/>
            <w:gridSpan w:val="3"/>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栏次</w:t>
            </w: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904"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5</w:t>
            </w:r>
          </w:p>
        </w:tc>
        <w:tc>
          <w:tcPr>
            <w:tcW w:w="1909" w:type="dxa"/>
            <w:gridSpan w:val="3"/>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6</w:t>
            </w:r>
          </w:p>
        </w:tc>
      </w:tr>
      <w:tr>
        <w:tblPrEx>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190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11036.11</w:t>
            </w:r>
          </w:p>
          <w:p>
            <w:pPr>
              <w:jc w:val="right"/>
              <w:rPr>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491.93</w:t>
            </w:r>
          </w:p>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10544.18</w:t>
            </w:r>
          </w:p>
          <w:p>
            <w:pPr>
              <w:jc w:val="right"/>
              <w:rPr>
                <w:color w:val="000000"/>
                <w:sz w:val="20"/>
                <w:szCs w:val="20"/>
              </w:rPr>
            </w:pP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208</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社会保障和就业支出</w:t>
            </w:r>
          </w:p>
        </w:tc>
        <w:tc>
          <w:tcPr>
            <w:tcW w:w="190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olor w:val="000000"/>
                <w:sz w:val="20"/>
                <w:szCs w:val="20"/>
              </w:rPr>
              <w:t>37.91</w:t>
            </w:r>
          </w:p>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20805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行政事业单位养老支出</w:t>
            </w:r>
          </w:p>
        </w:tc>
        <w:tc>
          <w:tcPr>
            <w:tcW w:w="190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华文中宋" w:hAnsi="华文中宋" w:eastAsia="华文中宋" w:cs="华文中宋"/>
                <w:color w:val="000000"/>
                <w:sz w:val="20"/>
                <w:szCs w:val="20"/>
              </w:rPr>
            </w:pPr>
            <w:r>
              <w:rPr>
                <w:rFonts w:hint="eastAsia"/>
                <w:color w:val="000000"/>
                <w:sz w:val="20"/>
                <w:szCs w:val="20"/>
              </w:rPr>
              <w:t>37.91</w:t>
            </w: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2080505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机关事业单位基本养老保险缴费支出</w:t>
            </w:r>
          </w:p>
        </w:tc>
        <w:tc>
          <w:tcPr>
            <w:tcW w:w="190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210</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卫生健康支出</w:t>
            </w:r>
          </w:p>
        </w:tc>
        <w:tc>
          <w:tcPr>
            <w:tcW w:w="190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11.23</w:t>
            </w:r>
          </w:p>
          <w:p>
            <w:pPr>
              <w:jc w:val="right"/>
              <w:rPr>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11.23</w:t>
            </w:r>
          </w:p>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21011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行政事业单位医疗</w:t>
            </w:r>
          </w:p>
        </w:tc>
        <w:tc>
          <w:tcPr>
            <w:tcW w:w="190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11.23</w:t>
            </w:r>
          </w:p>
          <w:p>
            <w:pPr>
              <w:jc w:val="right"/>
              <w:rPr>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11.23</w:t>
            </w:r>
          </w:p>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2101101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18"/>
                <w:szCs w:val="18"/>
              </w:rPr>
            </w:pPr>
            <w:r>
              <w:rPr>
                <w:rFonts w:hint="eastAsia" w:cs="Arial"/>
                <w:color w:val="000000"/>
                <w:sz w:val="18"/>
                <w:szCs w:val="18"/>
              </w:rPr>
              <w:t>行政单位医疗</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11.23</w:t>
            </w:r>
          </w:p>
          <w:p>
            <w:pPr>
              <w:jc w:val="right"/>
              <w:rPr>
                <w:rFonts w:cs="Arial"/>
                <w:color w:val="000000"/>
                <w:sz w:val="22"/>
                <w:szCs w:val="22"/>
              </w:rPr>
            </w:pP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11.23</w:t>
            </w:r>
          </w:p>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213</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农林水支出</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2746.86</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2746.86</w:t>
            </w:r>
          </w:p>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21301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农业农村</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210.27</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210.27</w:t>
            </w:r>
          </w:p>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2130199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其他农业农村支出</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210.27</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210.27</w:t>
            </w:r>
          </w:p>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21305</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扶贫</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2536.6</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2536.6</w:t>
            </w:r>
          </w:p>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2130504</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农村基础设施建设</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2536.6</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2536.6</w:t>
            </w:r>
          </w:p>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交通运输支出</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8223.88</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426.56</w:t>
            </w:r>
          </w:p>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7797.32</w:t>
            </w:r>
          </w:p>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公路水路运输</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5202.08</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426.56</w:t>
            </w:r>
          </w:p>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4775.52</w:t>
            </w:r>
          </w:p>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2140101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行政运行</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426.56</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426.56</w:t>
            </w:r>
          </w:p>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2140199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其他公路水路运输支出</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4775.52</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4775.52</w:t>
            </w:r>
          </w:p>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21404</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成品油价格改革对交通运输的补贴</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1405.99</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r>
              <w:rPr>
                <w:rFonts w:hint="eastAsia" w:cs="Arial"/>
                <w:color w:val="000000"/>
                <w:sz w:val="22"/>
                <w:szCs w:val="22"/>
              </w:rPr>
              <w:t>1405.99</w:t>
            </w: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2140499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成品油价格改革补贴其他支出</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r>
              <w:rPr>
                <w:rFonts w:hint="eastAsia" w:cs="Arial"/>
                <w:color w:val="000000"/>
                <w:sz w:val="22"/>
                <w:szCs w:val="22"/>
              </w:rPr>
              <w:t>1405.99</w:t>
            </w: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1405.99</w:t>
            </w:r>
          </w:p>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21406</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车辆购置税支出</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241.1</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241.1</w:t>
            </w:r>
          </w:p>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2140601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车辆购置税用于公路等基础设施建设支出</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241.1</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241.1</w:t>
            </w:r>
          </w:p>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21499</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其他交通运输支出</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1374.72</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1374.72</w:t>
            </w:r>
          </w:p>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2149901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公共交通运营补助</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1374.72</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1374.72</w:t>
            </w:r>
          </w:p>
          <w:p>
            <w:pPr>
              <w:jc w:val="right"/>
              <w:rPr>
                <w:rFonts w:cs="Arial"/>
                <w:color w:val="000000"/>
                <w:sz w:val="22"/>
                <w:szCs w:val="22"/>
              </w:rPr>
            </w:pPr>
          </w:p>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221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住房保障支出</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rFonts w:cs="Arial"/>
                <w:color w:val="000000"/>
                <w:sz w:val="22"/>
                <w:szCs w:val="22"/>
              </w:rPr>
            </w:pP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22102</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住房改革支出</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rFonts w:cs="Arial"/>
                <w:color w:val="000000"/>
                <w:sz w:val="22"/>
                <w:szCs w:val="22"/>
              </w:rPr>
            </w:pP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2210201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住房公积金</w:t>
            </w: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rPr>
                <w:color w:val="000000"/>
                <w:sz w:val="20"/>
                <w:szCs w:val="20"/>
              </w:rPr>
            </w:pP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rPr>
                <w:color w:val="000000"/>
                <w:sz w:val="20"/>
                <w:szCs w:val="20"/>
              </w:rPr>
            </w:pPr>
          </w:p>
        </w:tc>
        <w:tc>
          <w:tcPr>
            <w:tcW w:w="1904"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4" w:type="dxa"/>
            <w:gridSpan w:val="4"/>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color w:val="000000"/>
                <w:sz w:val="20"/>
                <w:szCs w:val="20"/>
              </w:rPr>
            </w:pPr>
          </w:p>
        </w:tc>
        <w:tc>
          <w:tcPr>
            <w:tcW w:w="1909" w:type="dxa"/>
            <w:gridSpan w:val="3"/>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630" w:hRule="atLeast"/>
        </w:trPr>
        <w:tc>
          <w:tcPr>
            <w:tcW w:w="13988" w:type="dxa"/>
            <w:gridSpan w:val="25"/>
            <w:tcBorders>
              <w:top w:val="single" w:color="000000" w:sz="8" w:space="0"/>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注：本表反映部门本年度各项支出情况。本表金额转换为万元时，因四舍五入可能存在尾差。</w:t>
            </w:r>
          </w:p>
        </w:tc>
      </w:tr>
      <w:tr>
        <w:tblPrEx>
          <w:tblCellMar>
            <w:top w:w="0" w:type="dxa"/>
            <w:left w:w="0" w:type="dxa"/>
            <w:bottom w:w="0" w:type="dxa"/>
            <w:right w:w="0" w:type="dxa"/>
          </w:tblCellMar>
        </w:tblPrEx>
        <w:trPr>
          <w:gridAfter w:val="1"/>
          <w:wAfter w:w="15" w:type="dxa"/>
          <w:trHeight w:val="360" w:hRule="atLeast"/>
        </w:trPr>
        <w:tc>
          <w:tcPr>
            <w:tcW w:w="12915" w:type="dxa"/>
            <w:gridSpan w:val="23"/>
            <w:tcBorders>
              <w:top w:val="nil"/>
              <w:left w:val="nil"/>
              <w:bottom w:val="nil"/>
              <w:right w:val="nil"/>
            </w:tcBorders>
            <w:noWrap/>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财政拨款收入支出决算总表</w:t>
            </w:r>
          </w:p>
        </w:tc>
        <w:tc>
          <w:tcPr>
            <w:tcW w:w="1058" w:type="dxa"/>
            <w:tcBorders>
              <w:top w:val="nil"/>
              <w:left w:val="nil"/>
              <w:bottom w:val="nil"/>
              <w:right w:val="nil"/>
            </w:tcBorders>
          </w:tcPr>
          <w:p>
            <w:pPr>
              <w:jc w:val="center"/>
              <w:textAlignment w:val="center"/>
              <w:rPr>
                <w:rFonts w:ascii="华文中宋" w:hAnsi="华文中宋" w:eastAsia="华文中宋" w:cs="华文中宋"/>
                <w:color w:val="000000"/>
                <w:sz w:val="32"/>
                <w:szCs w:val="32"/>
              </w:rPr>
            </w:pPr>
          </w:p>
        </w:tc>
      </w:tr>
      <w:tr>
        <w:tblPrEx>
          <w:tblCellMar>
            <w:top w:w="0" w:type="dxa"/>
            <w:left w:w="0" w:type="dxa"/>
            <w:bottom w:w="0" w:type="dxa"/>
            <w:right w:w="0" w:type="dxa"/>
          </w:tblCellMar>
        </w:tblPrEx>
        <w:trPr>
          <w:gridAfter w:val="1"/>
          <w:wAfter w:w="15" w:type="dxa"/>
          <w:trHeight w:val="199" w:hRule="atLeast"/>
        </w:trPr>
        <w:tc>
          <w:tcPr>
            <w:tcW w:w="3417" w:type="dxa"/>
            <w:gridSpan w:val="5"/>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297" w:type="dxa"/>
            <w:gridSpan w:val="3"/>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2596" w:type="dxa"/>
            <w:gridSpan w:val="5"/>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567"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892" w:type="dxa"/>
            <w:gridSpan w:val="4"/>
            <w:tcBorders>
              <w:top w:val="nil"/>
              <w:left w:val="nil"/>
              <w:bottom w:val="nil"/>
              <w:right w:val="nil"/>
            </w:tcBorders>
            <w:shd w:val="clear" w:color="auto" w:fill="FFFFFF"/>
            <w:noWrap/>
            <w:tcMar>
              <w:top w:w="15" w:type="dxa"/>
              <w:left w:w="15" w:type="dxa"/>
              <w:right w:w="15" w:type="dxa"/>
            </w:tcMar>
            <w:vAlign w:val="center"/>
          </w:tcPr>
          <w:p>
            <w:pPr>
              <w:wordWrap w:val="0"/>
              <w:jc w:val="right"/>
              <w:rPr>
                <w:color w:val="000000"/>
                <w:sz w:val="20"/>
                <w:szCs w:val="20"/>
              </w:rPr>
            </w:pPr>
          </w:p>
        </w:tc>
        <w:tc>
          <w:tcPr>
            <w:tcW w:w="943" w:type="dxa"/>
            <w:gridSpan w:val="2"/>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p>
        </w:tc>
        <w:tc>
          <w:tcPr>
            <w:tcW w:w="1058" w:type="dxa"/>
            <w:tcBorders>
              <w:top w:val="nil"/>
              <w:left w:val="nil"/>
              <w:bottom w:val="nil"/>
              <w:right w:val="nil"/>
            </w:tcBorders>
            <w:shd w:val="clear" w:color="auto" w:fill="FFFFFF"/>
            <w:vAlign w:val="center"/>
          </w:tcPr>
          <w:p>
            <w:pPr>
              <w:jc w:val="right"/>
              <w:textAlignment w:val="center"/>
              <w:rPr>
                <w:color w:val="000000"/>
                <w:sz w:val="20"/>
                <w:szCs w:val="20"/>
              </w:rPr>
            </w:pPr>
            <w:r>
              <w:rPr>
                <w:rFonts w:hint="eastAsia"/>
                <w:color w:val="000000"/>
                <w:sz w:val="20"/>
                <w:szCs w:val="20"/>
              </w:rPr>
              <w:t>公开04表</w:t>
            </w:r>
          </w:p>
        </w:tc>
      </w:tr>
      <w:tr>
        <w:tblPrEx>
          <w:tblCellMar>
            <w:top w:w="0" w:type="dxa"/>
            <w:left w:w="0" w:type="dxa"/>
            <w:bottom w:w="0" w:type="dxa"/>
            <w:right w:w="0" w:type="dxa"/>
          </w:tblCellMar>
        </w:tblPrEx>
        <w:trPr>
          <w:gridAfter w:val="1"/>
          <w:wAfter w:w="15" w:type="dxa"/>
          <w:trHeight w:val="300" w:hRule="atLeast"/>
        </w:trPr>
        <w:tc>
          <w:tcPr>
            <w:tcW w:w="3417" w:type="dxa"/>
            <w:gridSpan w:val="5"/>
            <w:tcBorders>
              <w:top w:val="nil"/>
              <w:left w:val="nil"/>
              <w:bottom w:val="nil"/>
              <w:right w:val="nil"/>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部门：息县交通运输局</w:t>
            </w:r>
          </w:p>
        </w:tc>
        <w:tc>
          <w:tcPr>
            <w:tcW w:w="1297" w:type="dxa"/>
            <w:gridSpan w:val="3"/>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2596" w:type="dxa"/>
            <w:gridSpan w:val="5"/>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567" w:type="dxa"/>
            <w:gridSpan w:val="2"/>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1892" w:type="dxa"/>
            <w:gridSpan w:val="4"/>
            <w:tcBorders>
              <w:top w:val="nil"/>
              <w:left w:val="nil"/>
              <w:bottom w:val="nil"/>
              <w:right w:val="nil"/>
            </w:tcBorders>
            <w:shd w:val="clear" w:color="auto" w:fill="FFFFFF"/>
            <w:noWrap/>
            <w:tcMar>
              <w:top w:w="15" w:type="dxa"/>
              <w:left w:w="15" w:type="dxa"/>
              <w:right w:w="15" w:type="dxa"/>
            </w:tcMar>
            <w:vAlign w:val="center"/>
          </w:tcPr>
          <w:p>
            <w:pPr>
              <w:jc w:val="right"/>
              <w:rPr>
                <w:color w:val="000000"/>
                <w:sz w:val="20"/>
                <w:szCs w:val="20"/>
              </w:rPr>
            </w:pPr>
          </w:p>
        </w:tc>
        <w:tc>
          <w:tcPr>
            <w:tcW w:w="943" w:type="dxa"/>
            <w:gridSpan w:val="2"/>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p>
        </w:tc>
        <w:tc>
          <w:tcPr>
            <w:tcW w:w="1058" w:type="dxa"/>
            <w:tcBorders>
              <w:top w:val="nil"/>
              <w:left w:val="nil"/>
              <w:bottom w:val="nil"/>
              <w:right w:val="nil"/>
            </w:tcBorders>
            <w:shd w:val="clear" w:color="auto" w:fill="FFFFFF"/>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5" w:type="dxa"/>
          <w:trHeight w:val="402" w:hRule="atLeast"/>
        </w:trPr>
        <w:tc>
          <w:tcPr>
            <w:tcW w:w="5924" w:type="dxa"/>
            <w:gridSpan w:val="9"/>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收入</w:t>
            </w:r>
          </w:p>
        </w:tc>
        <w:tc>
          <w:tcPr>
            <w:tcW w:w="8049" w:type="dxa"/>
            <w:gridSpan w:val="15"/>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支出</w:t>
            </w:r>
          </w:p>
        </w:tc>
      </w:tr>
      <w:tr>
        <w:tblPrEx>
          <w:tblCellMar>
            <w:top w:w="0" w:type="dxa"/>
            <w:left w:w="0" w:type="dxa"/>
            <w:bottom w:w="0" w:type="dxa"/>
            <w:right w:w="0" w:type="dxa"/>
          </w:tblCellMar>
        </w:tblPrEx>
        <w:trPr>
          <w:gridAfter w:val="1"/>
          <w:wAfter w:w="15" w:type="dxa"/>
          <w:trHeight w:val="630" w:hRule="atLeast"/>
        </w:trPr>
        <w:tc>
          <w:tcPr>
            <w:tcW w:w="341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金额</w:t>
            </w:r>
          </w:p>
        </w:tc>
        <w:tc>
          <w:tcPr>
            <w:tcW w:w="2596"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行次</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一般公共预算财政拨款</w:t>
            </w:r>
          </w:p>
        </w:tc>
        <w:tc>
          <w:tcPr>
            <w:tcW w:w="1560" w:type="dxa"/>
            <w:gridSpan w:val="4"/>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政府性基金预算财政拨款</w:t>
            </w:r>
          </w:p>
        </w:tc>
        <w:tc>
          <w:tcPr>
            <w:tcW w:w="1058" w:type="dxa"/>
            <w:tcBorders>
              <w:top w:val="single" w:color="000000" w:sz="4" w:space="0"/>
              <w:left w:val="single" w:color="000000" w:sz="4" w:space="0"/>
              <w:bottom w:val="single" w:color="000000" w:sz="4" w:space="0"/>
              <w:right w:val="single" w:color="000000" w:sz="8" w:space="0"/>
            </w:tcBorders>
          </w:tcPr>
          <w:p>
            <w:pPr>
              <w:jc w:val="center"/>
              <w:textAlignment w:val="center"/>
              <w:rPr>
                <w:color w:val="000000"/>
                <w:sz w:val="20"/>
                <w:szCs w:val="20"/>
              </w:rPr>
            </w:pPr>
            <w:r>
              <w:rPr>
                <w:rFonts w:hint="eastAsia"/>
                <w:color w:val="000000"/>
                <w:sz w:val="20"/>
                <w:szCs w:val="20"/>
              </w:rPr>
              <w:t>国有资本经营预算财政拨款</w:t>
            </w: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    次</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2596"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    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sz w:val="20"/>
                <w:szCs w:val="20"/>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560" w:type="dxa"/>
            <w:gridSpan w:val="4"/>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c>
          <w:tcPr>
            <w:tcW w:w="1058" w:type="dxa"/>
            <w:tcBorders>
              <w:top w:val="single" w:color="000000" w:sz="4" w:space="0"/>
              <w:left w:val="single" w:color="000000" w:sz="4" w:space="0"/>
              <w:bottom w:val="single" w:color="000000" w:sz="4" w:space="0"/>
              <w:right w:val="single" w:color="000000" w:sz="8" w:space="0"/>
            </w:tcBorders>
            <w:shd w:val="clear" w:color="auto" w:fill="FFFFFF"/>
          </w:tcPr>
          <w:p>
            <w:pPr>
              <w:jc w:val="center"/>
              <w:textAlignment w:val="center"/>
              <w:rPr>
                <w:color w:val="000000"/>
                <w:sz w:val="20"/>
                <w:szCs w:val="20"/>
              </w:rPr>
            </w:pPr>
            <w:r>
              <w:rPr>
                <w:color w:val="000000"/>
                <w:sz w:val="20"/>
                <w:szCs w:val="20"/>
              </w:rPr>
              <w:t>5</w:t>
            </w: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color w:val="000000"/>
                <w:sz w:val="20"/>
                <w:szCs w:val="20"/>
              </w:rPr>
            </w:pPr>
            <w:r>
              <w:rPr>
                <w:rFonts w:hint="eastAsia"/>
                <w:color w:val="000000"/>
                <w:sz w:val="20"/>
                <w:szCs w:val="20"/>
              </w:rPr>
              <w:t>一、一般公共预算财政拨款</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11036.11</w:t>
            </w:r>
          </w:p>
          <w:p>
            <w:pPr>
              <w:jc w:val="right"/>
              <w:rPr>
                <w:color w:val="000000"/>
                <w:sz w:val="20"/>
                <w:szCs w:val="20"/>
              </w:rPr>
            </w:pPr>
          </w:p>
        </w:tc>
        <w:tc>
          <w:tcPr>
            <w:tcW w:w="2596"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一、社会保障和就业支出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15</w:t>
            </w:r>
          </w:p>
        </w:tc>
        <w:tc>
          <w:tcPr>
            <w:tcW w:w="5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r>
              <w:rPr>
                <w:rFonts w:hint="eastAsia"/>
                <w:color w:val="000000"/>
                <w:sz w:val="20"/>
                <w:szCs w:val="20"/>
              </w:rPr>
              <w:t>379077042</w:t>
            </w:r>
          </w:p>
        </w:tc>
        <w:tc>
          <w:tcPr>
            <w:tcW w:w="127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37.91</w:t>
            </w:r>
          </w:p>
          <w:p>
            <w:pPr>
              <w:jc w:val="center"/>
              <w:rPr>
                <w:color w:val="000000"/>
                <w:sz w:val="20"/>
                <w:szCs w:val="20"/>
              </w:rPr>
            </w:pP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二、政府性基金预算财政拨款</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2596"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二、卫生健康支出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16</w:t>
            </w:r>
          </w:p>
        </w:tc>
        <w:tc>
          <w:tcPr>
            <w:tcW w:w="5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r>
              <w:rPr>
                <w:rFonts w:hint="eastAsia"/>
                <w:color w:val="000000"/>
                <w:sz w:val="20"/>
                <w:szCs w:val="20"/>
              </w:rPr>
              <w:t>112276</w:t>
            </w:r>
          </w:p>
        </w:tc>
        <w:tc>
          <w:tcPr>
            <w:tcW w:w="127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r>
              <w:rPr>
                <w:rFonts w:hint="eastAsia"/>
                <w:color w:val="000000"/>
                <w:sz w:val="20"/>
                <w:szCs w:val="20"/>
              </w:rPr>
              <w:t>11.23</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color w:val="000000"/>
                <w:sz w:val="20"/>
                <w:szCs w:val="20"/>
              </w:rPr>
            </w:pPr>
            <w:r>
              <w:rPr>
                <w:rFonts w:hint="eastAsia"/>
                <w:color w:val="000000"/>
                <w:sz w:val="20"/>
                <w:szCs w:val="20"/>
              </w:rPr>
              <w:t>三、国有资本经营预算财政拨款</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2596"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三、农林水支出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17</w:t>
            </w:r>
          </w:p>
        </w:tc>
        <w:tc>
          <w:tcPr>
            <w:tcW w:w="5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r>
              <w:rPr>
                <w:rFonts w:hint="eastAsia"/>
                <w:color w:val="000000"/>
                <w:sz w:val="20"/>
                <w:szCs w:val="20"/>
              </w:rPr>
              <w:t>27468644.93</w:t>
            </w:r>
          </w:p>
        </w:tc>
        <w:tc>
          <w:tcPr>
            <w:tcW w:w="127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r>
              <w:rPr>
                <w:rFonts w:hint="eastAsia"/>
                <w:color w:val="000000"/>
                <w:sz w:val="20"/>
                <w:szCs w:val="20"/>
              </w:rPr>
              <w:t>2746.86</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color w:val="000000"/>
                <w:sz w:val="20"/>
                <w:szCs w:val="20"/>
              </w:rPr>
            </w:pP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2596"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四、交通运输支出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18</w:t>
            </w:r>
          </w:p>
        </w:tc>
        <w:tc>
          <w:tcPr>
            <w:tcW w:w="5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r>
              <w:rPr>
                <w:rFonts w:hint="eastAsia"/>
                <w:color w:val="000000"/>
                <w:sz w:val="20"/>
                <w:szCs w:val="20"/>
              </w:rPr>
              <w:t>82238806.7</w:t>
            </w:r>
          </w:p>
        </w:tc>
        <w:tc>
          <w:tcPr>
            <w:tcW w:w="127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r>
              <w:rPr>
                <w:rFonts w:hint="eastAsia"/>
                <w:color w:val="000000"/>
                <w:sz w:val="20"/>
                <w:szCs w:val="20"/>
              </w:rPr>
              <w:t>8223.88</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color w:val="000000"/>
                <w:sz w:val="20"/>
                <w:szCs w:val="20"/>
              </w:rPr>
            </w:pP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2596"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五、住房保障支出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19</w:t>
            </w:r>
          </w:p>
        </w:tc>
        <w:tc>
          <w:tcPr>
            <w:tcW w:w="5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r>
              <w:rPr>
                <w:rFonts w:hint="eastAsia"/>
                <w:color w:val="000000"/>
                <w:sz w:val="20"/>
                <w:szCs w:val="20"/>
              </w:rPr>
              <w:t>162326</w:t>
            </w:r>
          </w:p>
        </w:tc>
        <w:tc>
          <w:tcPr>
            <w:tcW w:w="127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r>
              <w:rPr>
                <w:rFonts w:hint="eastAsia"/>
                <w:color w:val="000000"/>
                <w:sz w:val="20"/>
                <w:szCs w:val="20"/>
              </w:rPr>
              <w:t>16.23</w:t>
            </w: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color w:val="000000"/>
                <w:sz w:val="20"/>
                <w:szCs w:val="20"/>
              </w:rPr>
            </w:pP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2596"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六、科学技术支出</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20</w:t>
            </w:r>
          </w:p>
        </w:tc>
        <w:tc>
          <w:tcPr>
            <w:tcW w:w="5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p>
        </w:tc>
        <w:tc>
          <w:tcPr>
            <w:tcW w:w="127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rPr>
                <w:color w:val="000000"/>
                <w:sz w:val="20"/>
                <w:szCs w:val="20"/>
              </w:rPr>
            </w:pP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259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color w:val="000000"/>
                <w:sz w:val="20"/>
                <w:szCs w:val="20"/>
              </w:rPr>
            </w:pPr>
            <w:r>
              <w:rPr>
                <w:rFonts w:hint="eastAsia"/>
                <w:color w:val="000000"/>
                <w:sz w:val="20"/>
                <w:szCs w:val="20"/>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21</w:t>
            </w:r>
          </w:p>
        </w:tc>
        <w:tc>
          <w:tcPr>
            <w:tcW w:w="56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p>
        </w:tc>
        <w:tc>
          <w:tcPr>
            <w:tcW w:w="1275"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p>
        </w:tc>
        <w:tc>
          <w:tcPr>
            <w:tcW w:w="1560" w:type="dxa"/>
            <w:gridSpan w:val="4"/>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color w:val="000000"/>
                <w:sz w:val="20"/>
                <w:szCs w:val="20"/>
              </w:rPr>
            </w:pPr>
          </w:p>
        </w:tc>
        <w:tc>
          <w:tcPr>
            <w:tcW w:w="1058" w:type="dxa"/>
            <w:tcBorders>
              <w:top w:val="single" w:color="000000" w:sz="4" w:space="0"/>
              <w:left w:val="single" w:color="000000" w:sz="4" w:space="0"/>
              <w:bottom w:val="single" w:color="000000" w:sz="4" w:space="0"/>
              <w:right w:val="single" w:color="000000" w:sz="8" w:space="0"/>
            </w:tcBorders>
          </w:tcPr>
          <w:p>
            <w:pPr>
              <w:jc w:val="right"/>
              <w:rPr>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rPr>
                <w:color w:val="000000"/>
                <w:sz w:val="20"/>
                <w:szCs w:val="20"/>
              </w:rPr>
            </w:pP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color w:val="000000"/>
                <w:sz w:val="20"/>
                <w:szCs w:val="20"/>
              </w:rPr>
            </w:pPr>
          </w:p>
        </w:tc>
        <w:tc>
          <w:tcPr>
            <w:tcW w:w="2596" w:type="dxa"/>
            <w:gridSpan w:val="5"/>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22</w:t>
            </w:r>
          </w:p>
        </w:tc>
        <w:tc>
          <w:tcPr>
            <w:tcW w:w="567"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sz w:val="20"/>
                <w:szCs w:val="20"/>
              </w:rPr>
            </w:pPr>
          </w:p>
        </w:tc>
        <w:tc>
          <w:tcPr>
            <w:tcW w:w="1560" w:type="dxa"/>
            <w:gridSpan w:val="4"/>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color w:val="000000"/>
                <w:sz w:val="20"/>
                <w:szCs w:val="20"/>
              </w:rPr>
            </w:pPr>
          </w:p>
        </w:tc>
        <w:tc>
          <w:tcPr>
            <w:tcW w:w="1058" w:type="dxa"/>
            <w:tcBorders>
              <w:top w:val="single" w:color="000000" w:sz="4" w:space="0"/>
              <w:left w:val="nil"/>
              <w:bottom w:val="single" w:color="000000" w:sz="4" w:space="0"/>
              <w:right w:val="single" w:color="000000" w:sz="8" w:space="0"/>
            </w:tcBorders>
          </w:tcPr>
          <w:p>
            <w:pPr>
              <w:jc w:val="center"/>
              <w:rPr>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本年收入合计</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11036.11</w:t>
            </w:r>
          </w:p>
          <w:p>
            <w:pPr>
              <w:jc w:val="right"/>
              <w:rPr>
                <w:color w:val="000000"/>
                <w:sz w:val="20"/>
                <w:szCs w:val="20"/>
              </w:rPr>
            </w:pPr>
          </w:p>
        </w:tc>
        <w:tc>
          <w:tcPr>
            <w:tcW w:w="2596" w:type="dxa"/>
            <w:gridSpan w:val="5"/>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本年支出合计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23</w:t>
            </w:r>
          </w:p>
        </w:tc>
        <w:tc>
          <w:tcPr>
            <w:tcW w:w="567"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11036.11</w:t>
            </w:r>
          </w:p>
          <w:p>
            <w:pPr>
              <w:jc w:val="center"/>
              <w:rPr>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11036.11</w:t>
            </w:r>
          </w:p>
          <w:p>
            <w:pPr>
              <w:jc w:val="center"/>
              <w:rPr>
                <w:color w:val="000000"/>
                <w:sz w:val="20"/>
                <w:szCs w:val="20"/>
              </w:rPr>
            </w:pPr>
          </w:p>
        </w:tc>
        <w:tc>
          <w:tcPr>
            <w:tcW w:w="1560" w:type="dxa"/>
            <w:gridSpan w:val="4"/>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b/>
                <w:color w:val="000000"/>
                <w:sz w:val="20"/>
                <w:szCs w:val="20"/>
              </w:rPr>
            </w:pPr>
          </w:p>
        </w:tc>
        <w:tc>
          <w:tcPr>
            <w:tcW w:w="1058" w:type="dxa"/>
            <w:tcBorders>
              <w:top w:val="single" w:color="000000" w:sz="4" w:space="0"/>
              <w:left w:val="nil"/>
              <w:bottom w:val="single" w:color="000000" w:sz="4" w:space="0"/>
              <w:right w:val="single" w:color="000000" w:sz="8" w:space="0"/>
            </w:tcBorders>
          </w:tcPr>
          <w:p>
            <w:pPr>
              <w:rPr>
                <w:b/>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年初财政拨款结转和结余</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2596" w:type="dxa"/>
            <w:gridSpan w:val="5"/>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年末财政拨款结转和结余</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24</w:t>
            </w:r>
          </w:p>
        </w:tc>
        <w:tc>
          <w:tcPr>
            <w:tcW w:w="567"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sz w:val="20"/>
                <w:szCs w:val="20"/>
              </w:rPr>
            </w:pPr>
          </w:p>
        </w:tc>
        <w:tc>
          <w:tcPr>
            <w:tcW w:w="1560" w:type="dxa"/>
            <w:gridSpan w:val="4"/>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c>
          <w:tcPr>
            <w:tcW w:w="1058" w:type="dxa"/>
            <w:tcBorders>
              <w:top w:val="single" w:color="000000" w:sz="4" w:space="0"/>
              <w:left w:val="nil"/>
              <w:bottom w:val="single" w:color="000000" w:sz="4" w:space="0"/>
              <w:right w:val="single" w:color="000000" w:sz="8" w:space="0"/>
            </w:tcBorders>
          </w:tcPr>
          <w:p>
            <w:pPr>
              <w:rPr>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 xml:space="preserve">      一般公共预算财政拨款</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2596" w:type="dxa"/>
            <w:gridSpan w:val="5"/>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25</w:t>
            </w:r>
          </w:p>
        </w:tc>
        <w:tc>
          <w:tcPr>
            <w:tcW w:w="567" w:type="dxa"/>
            <w:gridSpan w:val="2"/>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sz w:val="20"/>
                <w:szCs w:val="20"/>
              </w:rPr>
            </w:pPr>
          </w:p>
        </w:tc>
        <w:tc>
          <w:tcPr>
            <w:tcW w:w="1560" w:type="dxa"/>
            <w:gridSpan w:val="4"/>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c>
          <w:tcPr>
            <w:tcW w:w="1058" w:type="dxa"/>
            <w:tcBorders>
              <w:top w:val="single" w:color="000000" w:sz="4" w:space="0"/>
              <w:left w:val="nil"/>
              <w:bottom w:val="single" w:color="000000" w:sz="4" w:space="0"/>
              <w:right w:val="single" w:color="000000" w:sz="8" w:space="0"/>
            </w:tcBorders>
          </w:tcPr>
          <w:p>
            <w:pPr>
              <w:rPr>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 xml:space="preserve">        政府性基金预算财政拨款</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2596" w:type="dxa"/>
            <w:gridSpan w:val="5"/>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rPr>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26</w:t>
            </w:r>
          </w:p>
        </w:tc>
        <w:tc>
          <w:tcPr>
            <w:tcW w:w="567" w:type="dxa"/>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sz w:val="20"/>
                <w:szCs w:val="20"/>
              </w:rPr>
            </w:pPr>
          </w:p>
        </w:tc>
        <w:tc>
          <w:tcPr>
            <w:tcW w:w="1560" w:type="dxa"/>
            <w:gridSpan w:val="4"/>
            <w:tcBorders>
              <w:top w:val="single" w:color="000000" w:sz="4" w:space="0"/>
              <w:left w:val="nil"/>
              <w:bottom w:val="nil"/>
              <w:right w:val="single" w:color="000000" w:sz="8" w:space="0"/>
            </w:tcBorders>
            <w:noWrap/>
            <w:tcMar>
              <w:top w:w="15" w:type="dxa"/>
              <w:left w:w="15" w:type="dxa"/>
              <w:right w:w="15" w:type="dxa"/>
            </w:tcMar>
            <w:vAlign w:val="center"/>
          </w:tcPr>
          <w:p>
            <w:pPr>
              <w:rPr>
                <w:color w:val="000000"/>
                <w:sz w:val="20"/>
                <w:szCs w:val="20"/>
              </w:rPr>
            </w:pPr>
          </w:p>
        </w:tc>
        <w:tc>
          <w:tcPr>
            <w:tcW w:w="1058" w:type="dxa"/>
            <w:tcBorders>
              <w:top w:val="single" w:color="000000" w:sz="4" w:space="0"/>
              <w:left w:val="nil"/>
              <w:bottom w:val="nil"/>
              <w:right w:val="single" w:color="000000" w:sz="8" w:space="0"/>
            </w:tcBorders>
          </w:tcPr>
          <w:p>
            <w:pPr>
              <w:rPr>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color w:val="000000"/>
                <w:sz w:val="20"/>
                <w:szCs w:val="20"/>
              </w:rPr>
            </w:pPr>
            <w:r>
              <w:rPr>
                <w:rFonts w:hint="eastAsia"/>
                <w:color w:val="000000"/>
                <w:sz w:val="20"/>
                <w:szCs w:val="20"/>
              </w:rPr>
              <w:t xml:space="preserve">       国有资本经营预算财政拨款</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color w:val="000000"/>
                <w:sz w:val="20"/>
                <w:szCs w:val="20"/>
              </w:rPr>
            </w:pPr>
          </w:p>
        </w:tc>
        <w:tc>
          <w:tcPr>
            <w:tcW w:w="2596" w:type="dxa"/>
            <w:gridSpan w:val="5"/>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rPr>
                <w:color w:val="00000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27</w:t>
            </w:r>
          </w:p>
        </w:tc>
        <w:tc>
          <w:tcPr>
            <w:tcW w:w="567" w:type="dxa"/>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sz w:val="20"/>
                <w:szCs w:val="20"/>
              </w:rPr>
            </w:pPr>
          </w:p>
        </w:tc>
        <w:tc>
          <w:tcPr>
            <w:tcW w:w="1560" w:type="dxa"/>
            <w:gridSpan w:val="4"/>
            <w:tcBorders>
              <w:top w:val="single" w:color="000000" w:sz="4" w:space="0"/>
              <w:left w:val="nil"/>
              <w:bottom w:val="nil"/>
              <w:right w:val="single" w:color="000000" w:sz="8" w:space="0"/>
            </w:tcBorders>
            <w:noWrap/>
            <w:tcMar>
              <w:top w:w="15" w:type="dxa"/>
              <w:left w:w="15" w:type="dxa"/>
              <w:right w:w="15" w:type="dxa"/>
            </w:tcMar>
            <w:vAlign w:val="center"/>
          </w:tcPr>
          <w:p>
            <w:pPr>
              <w:rPr>
                <w:color w:val="000000"/>
                <w:sz w:val="20"/>
                <w:szCs w:val="20"/>
              </w:rPr>
            </w:pPr>
          </w:p>
        </w:tc>
        <w:tc>
          <w:tcPr>
            <w:tcW w:w="1058" w:type="dxa"/>
            <w:tcBorders>
              <w:top w:val="single" w:color="000000" w:sz="4" w:space="0"/>
              <w:left w:val="nil"/>
              <w:bottom w:val="nil"/>
              <w:right w:val="single" w:color="000000" w:sz="8" w:space="0"/>
            </w:tcBorders>
          </w:tcPr>
          <w:p>
            <w:pPr>
              <w:rPr>
                <w:color w:val="000000"/>
                <w:sz w:val="20"/>
                <w:szCs w:val="20"/>
              </w:rPr>
            </w:pPr>
          </w:p>
        </w:tc>
      </w:tr>
      <w:tr>
        <w:tblPrEx>
          <w:tblCellMar>
            <w:top w:w="0" w:type="dxa"/>
            <w:left w:w="0" w:type="dxa"/>
            <w:bottom w:w="0" w:type="dxa"/>
            <w:right w:w="0" w:type="dxa"/>
          </w:tblCellMar>
        </w:tblPrEx>
        <w:trPr>
          <w:gridAfter w:val="1"/>
          <w:wAfter w:w="15" w:type="dxa"/>
          <w:trHeight w:val="402" w:hRule="atLeast"/>
        </w:trPr>
        <w:tc>
          <w:tcPr>
            <w:tcW w:w="3417" w:type="dxa"/>
            <w:gridSpan w:val="5"/>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总计</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11036.11</w:t>
            </w:r>
          </w:p>
          <w:p>
            <w:pPr>
              <w:jc w:val="right"/>
              <w:rPr>
                <w:color w:val="000000"/>
                <w:sz w:val="20"/>
                <w:szCs w:val="20"/>
              </w:rPr>
            </w:pPr>
          </w:p>
        </w:tc>
        <w:tc>
          <w:tcPr>
            <w:tcW w:w="2596" w:type="dxa"/>
            <w:gridSpan w:val="5"/>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总计</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28</w:t>
            </w:r>
          </w:p>
        </w:tc>
        <w:tc>
          <w:tcPr>
            <w:tcW w:w="567" w:type="dxa"/>
            <w:gridSpan w:val="2"/>
            <w:tcBorders>
              <w:top w:val="single" w:color="000000" w:sz="4" w:space="0"/>
              <w:left w:val="nil"/>
              <w:bottom w:val="nil"/>
              <w:right w:val="nil"/>
            </w:tcBorders>
            <w:shd w:val="clear" w:color="auto" w:fill="FFFFFF"/>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110,361,131.05</w:t>
            </w:r>
          </w:p>
          <w:p>
            <w:pPr>
              <w:jc w:val="center"/>
              <w:rPr>
                <w:color w:val="000000"/>
                <w:sz w:val="20"/>
                <w:szCs w:val="20"/>
              </w:rPr>
            </w:pPr>
          </w:p>
        </w:tc>
        <w:tc>
          <w:tcPr>
            <w:tcW w:w="1275"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11036.11</w:t>
            </w:r>
          </w:p>
          <w:p>
            <w:pPr>
              <w:jc w:val="center"/>
              <w:rPr>
                <w:color w:val="000000"/>
                <w:sz w:val="20"/>
                <w:szCs w:val="20"/>
              </w:rPr>
            </w:pPr>
          </w:p>
        </w:tc>
        <w:tc>
          <w:tcPr>
            <w:tcW w:w="1560" w:type="dxa"/>
            <w:gridSpan w:val="4"/>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b/>
                <w:color w:val="000000"/>
                <w:sz w:val="20"/>
                <w:szCs w:val="20"/>
              </w:rPr>
            </w:pPr>
          </w:p>
        </w:tc>
        <w:tc>
          <w:tcPr>
            <w:tcW w:w="1058" w:type="dxa"/>
            <w:tcBorders>
              <w:top w:val="single" w:color="000000" w:sz="4" w:space="0"/>
              <w:left w:val="nil"/>
              <w:bottom w:val="single" w:color="000000" w:sz="8" w:space="0"/>
              <w:right w:val="single" w:color="000000" w:sz="8" w:space="0"/>
            </w:tcBorders>
          </w:tcPr>
          <w:p>
            <w:pPr>
              <w:rPr>
                <w:b/>
                <w:color w:val="000000"/>
                <w:sz w:val="20"/>
                <w:szCs w:val="20"/>
              </w:rPr>
            </w:pPr>
          </w:p>
        </w:tc>
      </w:tr>
      <w:tr>
        <w:tblPrEx>
          <w:tblCellMar>
            <w:top w:w="0" w:type="dxa"/>
            <w:left w:w="0" w:type="dxa"/>
            <w:bottom w:w="0" w:type="dxa"/>
            <w:right w:w="0" w:type="dxa"/>
          </w:tblCellMar>
        </w:tblPrEx>
        <w:trPr>
          <w:gridAfter w:val="1"/>
          <w:wAfter w:w="15" w:type="dxa"/>
          <w:trHeight w:val="585" w:hRule="atLeast"/>
        </w:trPr>
        <w:tc>
          <w:tcPr>
            <w:tcW w:w="12915" w:type="dxa"/>
            <w:gridSpan w:val="23"/>
            <w:tcBorders>
              <w:top w:val="single" w:color="000000" w:sz="8" w:space="0"/>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color="000000" w:sz="8" w:space="0"/>
              <w:left w:val="nil"/>
              <w:bottom w:val="nil"/>
              <w:right w:val="nil"/>
            </w:tcBorders>
          </w:tcPr>
          <w:p>
            <w:pPr>
              <w:textAlignment w:val="center"/>
              <w:rPr>
                <w:color w:val="000000"/>
                <w:sz w:val="20"/>
                <w:szCs w:val="20"/>
              </w:rPr>
            </w:pPr>
          </w:p>
        </w:tc>
      </w:tr>
    </w:tbl>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tbl>
      <w:tblPr>
        <w:tblStyle w:val="6"/>
        <w:tblW w:w="15364" w:type="dxa"/>
        <w:tblInd w:w="0" w:type="dxa"/>
        <w:tblLayout w:type="fixed"/>
        <w:tblCellMar>
          <w:top w:w="0" w:type="dxa"/>
          <w:left w:w="0" w:type="dxa"/>
          <w:bottom w:w="0" w:type="dxa"/>
          <w:right w:w="0" w:type="dxa"/>
        </w:tblCellMar>
      </w:tblPr>
      <w:tblGrid>
        <w:gridCol w:w="726"/>
        <w:gridCol w:w="282"/>
        <w:gridCol w:w="406"/>
        <w:gridCol w:w="2225"/>
        <w:gridCol w:w="3449"/>
        <w:gridCol w:w="3449"/>
        <w:gridCol w:w="3451"/>
        <w:gridCol w:w="1376"/>
      </w:tblGrid>
      <w:tr>
        <w:tblPrEx>
          <w:tblCellMar>
            <w:top w:w="0" w:type="dxa"/>
            <w:left w:w="0" w:type="dxa"/>
            <w:bottom w:w="0" w:type="dxa"/>
            <w:right w:w="0" w:type="dxa"/>
          </w:tblCellMar>
        </w:tblPrEx>
        <w:trPr>
          <w:gridAfter w:val="1"/>
          <w:wAfter w:w="1376" w:type="dxa"/>
          <w:trHeight w:val="600" w:hRule="atLeast"/>
        </w:trPr>
        <w:tc>
          <w:tcPr>
            <w:tcW w:w="13988" w:type="dxa"/>
            <w:gridSpan w:val="7"/>
            <w:tcBorders>
              <w:top w:val="nil"/>
              <w:left w:val="nil"/>
              <w:bottom w:val="nil"/>
              <w:right w:val="nil"/>
            </w:tcBorders>
            <w:shd w:val="clear" w:color="auto" w:fill="FFFFFF"/>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一般公共预算财政拨款支出决算表</w:t>
            </w:r>
          </w:p>
        </w:tc>
      </w:tr>
      <w:tr>
        <w:tblPrEx>
          <w:tblCellMar>
            <w:top w:w="0" w:type="dxa"/>
            <w:left w:w="0" w:type="dxa"/>
            <w:bottom w:w="0" w:type="dxa"/>
            <w:right w:w="0" w:type="dxa"/>
          </w:tblCellMar>
        </w:tblPrEx>
        <w:trPr>
          <w:gridAfter w:val="1"/>
          <w:wAfter w:w="1376" w:type="dxa"/>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688" w:type="dxa"/>
            <w:gridSpan w:val="2"/>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w:t>
            </w:r>
            <w:r>
              <w:rPr>
                <w:rStyle w:val="14"/>
                <w:rFonts w:hint="default"/>
              </w:rPr>
              <w:t>5表</w:t>
            </w:r>
          </w:p>
        </w:tc>
      </w:tr>
      <w:tr>
        <w:tblPrEx>
          <w:tblCellMar>
            <w:top w:w="0" w:type="dxa"/>
            <w:left w:w="0" w:type="dxa"/>
            <w:bottom w:w="0" w:type="dxa"/>
            <w:right w:w="0" w:type="dxa"/>
          </w:tblCellMar>
        </w:tblPrEx>
        <w:trPr>
          <w:gridAfter w:val="1"/>
          <w:wAfter w:w="1376" w:type="dxa"/>
          <w:trHeight w:val="300" w:hRule="atLeast"/>
        </w:trPr>
        <w:tc>
          <w:tcPr>
            <w:tcW w:w="1008" w:type="dxa"/>
            <w:gridSpan w:val="2"/>
            <w:tcBorders>
              <w:top w:val="nil"/>
              <w:left w:val="nil"/>
              <w:bottom w:val="nil"/>
              <w:right w:val="nil"/>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部门：</w:t>
            </w:r>
          </w:p>
        </w:tc>
        <w:tc>
          <w:tcPr>
            <w:tcW w:w="406"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r>
              <w:rPr>
                <w:rFonts w:hint="eastAsia"/>
                <w:color w:val="000000"/>
                <w:sz w:val="20"/>
                <w:szCs w:val="20"/>
              </w:rPr>
              <w:t>息县交通运输局</w:t>
            </w:r>
          </w:p>
        </w:tc>
        <w:tc>
          <w:tcPr>
            <w:tcW w:w="3449"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376" w:type="dxa"/>
          <w:trHeight w:val="405" w:hRule="atLeast"/>
        </w:trPr>
        <w:tc>
          <w:tcPr>
            <w:tcW w:w="3639" w:type="dxa"/>
            <w:gridSpan w:val="4"/>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 xml:space="preserve">项 </w:t>
            </w:r>
            <w:r>
              <w:rPr>
                <w:rStyle w:val="13"/>
                <w:rFonts w:hint="default"/>
                <w:sz w:val="20"/>
                <w:szCs w:val="20"/>
              </w:rPr>
              <w:t>目</w:t>
            </w:r>
          </w:p>
        </w:tc>
        <w:tc>
          <w:tcPr>
            <w:tcW w:w="10349"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本年支出</w:t>
            </w:r>
          </w:p>
        </w:tc>
      </w:tr>
      <w:tr>
        <w:tblPrEx>
          <w:tblCellMar>
            <w:top w:w="0" w:type="dxa"/>
            <w:left w:w="0" w:type="dxa"/>
            <w:bottom w:w="0" w:type="dxa"/>
            <w:right w:w="0" w:type="dxa"/>
          </w:tblCellMar>
        </w:tblPrEx>
        <w:trPr>
          <w:gridAfter w:val="1"/>
          <w:wAfter w:w="1376" w:type="dxa"/>
          <w:trHeight w:val="495" w:hRule="atLeast"/>
        </w:trPr>
        <w:tc>
          <w:tcPr>
            <w:tcW w:w="1414" w:type="dxa"/>
            <w:gridSpan w:val="3"/>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功能分类</w:t>
            </w:r>
          </w:p>
          <w:p>
            <w:pPr>
              <w:jc w:val="center"/>
              <w:textAlignment w:val="center"/>
              <w:rPr>
                <w:color w:val="000000"/>
                <w:sz w:val="20"/>
                <w:szCs w:val="20"/>
              </w:rPr>
            </w:pPr>
            <w:r>
              <w:rPr>
                <w:rFonts w:hint="eastAsia"/>
                <w:color w:val="000000"/>
                <w:sz w:val="20"/>
                <w:szCs w:val="20"/>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项目支出</w:t>
            </w:r>
          </w:p>
        </w:tc>
      </w:tr>
      <w:tr>
        <w:tblPrEx>
          <w:tblCellMar>
            <w:top w:w="0" w:type="dxa"/>
            <w:left w:w="0" w:type="dxa"/>
            <w:bottom w:w="0" w:type="dxa"/>
            <w:right w:w="0" w:type="dxa"/>
          </w:tblCellMar>
        </w:tblPrEx>
        <w:trPr>
          <w:gridAfter w:val="1"/>
          <w:wAfter w:w="1376" w:type="dxa"/>
          <w:trHeight w:val="360" w:hRule="atLeast"/>
        </w:trPr>
        <w:tc>
          <w:tcPr>
            <w:tcW w:w="1414" w:type="dxa"/>
            <w:gridSpan w:val="3"/>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3639" w:type="dxa"/>
            <w:gridSpan w:val="4"/>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r>
      <w:tr>
        <w:tblPrEx>
          <w:tblCellMar>
            <w:top w:w="0" w:type="dxa"/>
            <w:left w:w="0" w:type="dxa"/>
            <w:bottom w:w="0" w:type="dxa"/>
            <w:right w:w="0" w:type="dxa"/>
          </w:tblCellMar>
        </w:tblPrEx>
        <w:trPr>
          <w:gridAfter w:val="1"/>
          <w:wAfter w:w="1376" w:type="dxa"/>
          <w:trHeight w:val="450" w:hRule="atLeast"/>
        </w:trPr>
        <w:tc>
          <w:tcPr>
            <w:tcW w:w="3639" w:type="dxa"/>
            <w:gridSpan w:val="4"/>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11036.11</w:t>
            </w:r>
          </w:p>
          <w:p>
            <w:pPr>
              <w:jc w:val="right"/>
              <w:rPr>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491.93</w:t>
            </w:r>
          </w:p>
          <w:p>
            <w:pPr>
              <w:jc w:val="right"/>
              <w:rPr>
                <w:color w:val="000000"/>
                <w:sz w:val="20"/>
                <w:szCs w:val="20"/>
              </w:rPr>
            </w:pP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10544.18</w:t>
            </w:r>
          </w:p>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208</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社会保障和就业支出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20805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行政事业单位养老支出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华文中宋" w:hAnsi="华文中宋" w:eastAsia="华文中宋" w:cs="华文中宋"/>
                <w:color w:val="000000"/>
                <w:sz w:val="20"/>
                <w:szCs w:val="20"/>
              </w:rPr>
            </w:pPr>
            <w:r>
              <w:rPr>
                <w:rFonts w:hint="eastAsia"/>
                <w:color w:val="000000"/>
                <w:sz w:val="20"/>
                <w:szCs w:val="20"/>
              </w:rPr>
              <w:t>37.91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2080505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37.91</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210</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卫生健康支出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11.23</w:t>
            </w:r>
          </w:p>
          <w:p>
            <w:pPr>
              <w:jc w:val="right"/>
              <w:rPr>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11.23</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21011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行政事业单位医疗</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11.23</w:t>
            </w:r>
          </w:p>
          <w:p>
            <w:pPr>
              <w:jc w:val="right"/>
              <w:rPr>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11.23</w:t>
            </w:r>
          </w:p>
          <w:p>
            <w:pPr>
              <w:jc w:val="right"/>
              <w:rPr>
                <w:color w:val="000000"/>
                <w:sz w:val="20"/>
                <w:szCs w:val="20"/>
              </w:rPr>
            </w:pP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2101101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18"/>
                <w:szCs w:val="18"/>
              </w:rPr>
            </w:pPr>
            <w:r>
              <w:rPr>
                <w:rFonts w:hint="eastAsia" w:cs="Arial"/>
                <w:color w:val="000000"/>
                <w:sz w:val="18"/>
                <w:szCs w:val="18"/>
              </w:rPr>
              <w:t>行政单位医疗</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11.23</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11.23</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213</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农林水支出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2746.86</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2746.86</w:t>
            </w:r>
          </w:p>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21301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农业农村</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210.27</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210.27</w:t>
            </w: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2130199</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其他农业农村支出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210.27</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210.27</w:t>
            </w: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21305</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扶贫</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2536.6</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2536.6</w:t>
            </w: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2130504</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农村基础设施建设</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2536.6</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2536.6</w:t>
            </w: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214</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交通运输支出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8223.88</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426.56</w:t>
            </w:r>
          </w:p>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7797.32</w:t>
            </w:r>
          </w:p>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21401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公路水路运输</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5202.08</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426.56</w:t>
            </w:r>
          </w:p>
          <w:p>
            <w:pPr>
              <w:jc w:val="right"/>
              <w:rPr>
                <w:rFonts w:cs="Arial"/>
                <w:color w:val="000000"/>
                <w:sz w:val="22"/>
                <w:szCs w:val="22"/>
              </w:rPr>
            </w:pPr>
          </w:p>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4775.52</w:t>
            </w:r>
          </w:p>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2140101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行政运行</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426.56</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426.56</w:t>
            </w:r>
          </w:p>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2140199</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其他公路水路运输支出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4775.52</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4775.52</w:t>
            </w: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21404</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成品油价格改革对交通运输的补贴</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1405.99</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1405.99</w:t>
            </w:r>
          </w:p>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2140499</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成品油价格改革补贴其他支出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1405.99</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1405.99</w:t>
            </w:r>
          </w:p>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21406</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车辆购置税支出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241.1</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241.1</w:t>
            </w:r>
          </w:p>
          <w:p>
            <w:pPr>
              <w:jc w:val="right"/>
              <w:rPr>
                <w:rFonts w:cs="Arial"/>
                <w:color w:val="000000"/>
                <w:sz w:val="22"/>
                <w:szCs w:val="22"/>
              </w:rPr>
            </w:pPr>
          </w:p>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2140601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车辆购置税用于公路等基础设施建设支出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241.1</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241.1</w:t>
            </w:r>
          </w:p>
          <w:p>
            <w:pPr>
              <w:jc w:val="right"/>
              <w:rPr>
                <w:rFonts w:cs="Arial"/>
                <w:color w:val="000000"/>
                <w:sz w:val="22"/>
                <w:szCs w:val="22"/>
              </w:rPr>
            </w:pPr>
          </w:p>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21499</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其他交通运输支出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1374.72</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1374.72</w:t>
            </w:r>
          </w:p>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2149901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公共交通运营补助</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1374.72</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1374.72</w:t>
            </w: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221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住房保障支出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16.23</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22102</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住房改革支出</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rFonts w:cs="Arial"/>
                <w:color w:val="000000"/>
                <w:sz w:val="22"/>
                <w:szCs w:val="22"/>
              </w:rPr>
            </w:pPr>
            <w:r>
              <w:rPr>
                <w:rFonts w:hint="eastAsia" w:cs="Arial"/>
                <w:color w:val="000000"/>
                <w:sz w:val="22"/>
                <w:szCs w:val="22"/>
              </w:rPr>
              <w:t>16.23</w:t>
            </w:r>
          </w:p>
          <w:p>
            <w:pPr>
              <w:jc w:val="right"/>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16.23</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gridAfter w:val="1"/>
          <w:wAfter w:w="1376" w:type="dxa"/>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2210201</w:t>
            </w: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rFonts w:cs="Arial"/>
                <w:color w:val="000000"/>
                <w:sz w:val="22"/>
                <w:szCs w:val="22"/>
              </w:rPr>
            </w:pPr>
            <w:r>
              <w:rPr>
                <w:rFonts w:hint="eastAsia" w:cs="Arial"/>
                <w:color w:val="000000"/>
                <w:sz w:val="22"/>
                <w:szCs w:val="22"/>
              </w:rPr>
              <w:t xml:space="preserve">  住房公积金</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16.23</w:t>
            </w: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r>
              <w:rPr>
                <w:rFonts w:hint="eastAsia" w:cs="Arial"/>
                <w:color w:val="000000"/>
                <w:sz w:val="22"/>
                <w:szCs w:val="22"/>
              </w:rPr>
              <w:t>16.23</w:t>
            </w: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645" w:hRule="atLeast"/>
        </w:trPr>
        <w:tc>
          <w:tcPr>
            <w:tcW w:w="13988" w:type="dxa"/>
            <w:gridSpan w:val="7"/>
            <w:tcBorders>
              <w:top w:val="nil"/>
              <w:left w:val="nil"/>
              <w:bottom w:val="nil"/>
              <w:right w:val="nil"/>
            </w:tcBorders>
            <w:tcMar>
              <w:top w:w="15" w:type="dxa"/>
              <w:left w:w="15" w:type="dxa"/>
              <w:right w:w="15" w:type="dxa"/>
            </w:tcMar>
            <w:vAlign w:val="center"/>
          </w:tcPr>
          <w:p>
            <w:pPr>
              <w:rPr>
                <w:color w:val="000000"/>
                <w:sz w:val="20"/>
                <w:szCs w:val="20"/>
              </w:rPr>
            </w:pPr>
          </w:p>
        </w:tc>
        <w:tc>
          <w:tcPr>
            <w:tcW w:w="1376" w:type="dxa"/>
            <w:vAlign w:val="center"/>
          </w:tcPr>
          <w:p>
            <w:pPr>
              <w:rPr>
                <w:rFonts w:cs="Arial"/>
                <w:color w:val="000000"/>
                <w:sz w:val="22"/>
                <w:szCs w:val="22"/>
              </w:rPr>
            </w:pPr>
          </w:p>
        </w:tc>
      </w:tr>
    </w:tbl>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tbl>
      <w:tblPr>
        <w:tblStyle w:val="6"/>
        <w:tblW w:w="0" w:type="auto"/>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一般公共预算财政拨款基本支出决算明细表</w:t>
            </w:r>
          </w:p>
        </w:tc>
      </w:tr>
      <w:tr>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2785"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2066"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3575"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公开06表</w:t>
            </w:r>
          </w:p>
        </w:tc>
      </w:tr>
      <w:tr>
        <w:tblPrEx>
          <w:tblCellMar>
            <w:top w:w="0" w:type="dxa"/>
            <w:left w:w="0" w:type="dxa"/>
            <w:bottom w:w="0" w:type="dxa"/>
            <w:right w:w="0" w:type="dxa"/>
          </w:tblCellMar>
        </w:tblPrEx>
        <w:trPr>
          <w:trHeight w:val="300" w:hRule="atLeast"/>
        </w:trPr>
        <w:tc>
          <w:tcPr>
            <w:tcW w:w="1008" w:type="dxa"/>
            <w:tcBorders>
              <w:top w:val="nil"/>
              <w:left w:val="nil"/>
              <w:bottom w:val="nil"/>
              <w:right w:val="nil"/>
            </w:tcBorders>
            <w:noWrap/>
            <w:tcMar>
              <w:top w:w="15" w:type="dxa"/>
              <w:left w:w="15" w:type="dxa"/>
              <w:right w:w="15" w:type="dxa"/>
            </w:tcMar>
            <w:vAlign w:val="center"/>
          </w:tcPr>
          <w:p>
            <w:pPr>
              <w:textAlignment w:val="center"/>
              <w:rPr>
                <w:rFonts w:ascii="Arial" w:hAnsi="Arial" w:cs="Arial"/>
                <w:color w:val="000000"/>
                <w:sz w:val="20"/>
                <w:szCs w:val="20"/>
              </w:rPr>
            </w:pPr>
            <w:r>
              <w:rPr>
                <w:rFonts w:hint="eastAsia"/>
                <w:color w:val="000000"/>
                <w:sz w:val="20"/>
                <w:szCs w:val="20"/>
              </w:rPr>
              <w:t>部门</w:t>
            </w:r>
            <w:r>
              <w:rPr>
                <w:rFonts w:ascii="Arial" w:hAnsi="Arial" w:cs="Arial"/>
                <w:color w:val="000000"/>
                <w:sz w:val="20"/>
                <w:szCs w:val="20"/>
              </w:rPr>
              <w:t>：</w:t>
            </w:r>
          </w:p>
        </w:tc>
        <w:tc>
          <w:tcPr>
            <w:tcW w:w="278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hint="eastAsia" w:ascii="Arial" w:hAnsi="Arial" w:cs="Arial"/>
                <w:color w:val="000000"/>
                <w:sz w:val="20"/>
                <w:szCs w:val="20"/>
              </w:rPr>
              <w:t>息县交通运输局</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经济分类科目编码</w:t>
            </w:r>
          </w:p>
        </w:tc>
        <w:tc>
          <w:tcPr>
            <w:tcW w:w="278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938"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决算数</w:t>
            </w: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306.84</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163.54</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182.74</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42.29</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17.54</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7.7</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0.66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23</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6.3</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1.5</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10.57</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0.2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40.65</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21.22</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1.27</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51.6</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21.54</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17.93</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0.73</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0.48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0.19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2.78</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0.6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7.6</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0.17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2.6</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40.38</w:t>
            </w:r>
          </w:p>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color w:val="000000"/>
                <w:sz w:val="20"/>
                <w:szCs w:val="20"/>
              </w:rPr>
            </w:pPr>
            <w:r>
              <w:rPr>
                <w:rFonts w:hint="eastAsia"/>
                <w:color w:val="000000"/>
                <w:sz w:val="20"/>
                <w:szCs w:val="20"/>
              </w:rPr>
              <w:t>328.39</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cs="Arial"/>
                <w:color w:val="000000"/>
                <w:sz w:val="22"/>
                <w:szCs w:val="22"/>
              </w:rPr>
            </w:pPr>
            <w:r>
              <w:rPr>
                <w:rFonts w:hint="eastAsia" w:cs="Arial"/>
                <w:color w:val="000000"/>
                <w:sz w:val="22"/>
                <w:szCs w:val="22"/>
              </w:rPr>
              <w:t>1,63.54</w:t>
            </w:r>
          </w:p>
          <w:p>
            <w:pPr>
              <w:rPr>
                <w:color w:val="000000"/>
                <w:sz w:val="20"/>
                <w:szCs w:val="20"/>
              </w:rPr>
            </w:pP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注：本表反映部门本年度一般公共预算财政拨款基本支出明细情况。本表金额转换为万元时，因四舍五入可能存在尾差。</w:t>
            </w:r>
          </w:p>
        </w:tc>
      </w:tr>
    </w:tbl>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tbl>
      <w:tblPr>
        <w:tblStyle w:val="6"/>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部门：息县</w:t>
            </w:r>
          </w:p>
        </w:tc>
        <w:tc>
          <w:tcPr>
            <w:tcW w:w="1149" w:type="dxa"/>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r>
              <w:rPr>
                <w:rFonts w:hint="eastAsia"/>
                <w:color w:val="000000"/>
                <w:sz w:val="20"/>
                <w:szCs w:val="20"/>
              </w:rPr>
              <w:t>交通运输局</w:t>
            </w: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公务用车</w:t>
            </w:r>
          </w:p>
          <w:p>
            <w:pPr>
              <w:jc w:val="center"/>
              <w:textAlignment w:val="center"/>
              <w:rPr>
                <w:color w:val="000000"/>
                <w:sz w:val="20"/>
                <w:szCs w:val="20"/>
              </w:rPr>
            </w:pPr>
            <w:r>
              <w:rPr>
                <w:rFonts w:hint="eastAsia"/>
                <w:color w:val="00000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公务用车</w:t>
            </w:r>
          </w:p>
          <w:p>
            <w:pPr>
              <w:jc w:val="center"/>
              <w:textAlignment w:val="center"/>
              <w:rPr>
                <w:color w:val="000000"/>
                <w:sz w:val="20"/>
                <w:szCs w:val="20"/>
              </w:rPr>
            </w:pPr>
            <w:r>
              <w:rPr>
                <w:rFonts w:hint="eastAsia"/>
                <w:color w:val="000000"/>
                <w:sz w:val="20"/>
                <w:szCs w:val="20"/>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公务用车</w:t>
            </w:r>
          </w:p>
          <w:p>
            <w:pPr>
              <w:jc w:val="center"/>
              <w:textAlignment w:val="center"/>
              <w:rPr>
                <w:color w:val="000000"/>
                <w:sz w:val="20"/>
                <w:szCs w:val="20"/>
              </w:rPr>
            </w:pPr>
            <w:r>
              <w:rPr>
                <w:rFonts w:hint="eastAsia"/>
                <w:color w:val="00000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公务用车</w:t>
            </w:r>
          </w:p>
          <w:p>
            <w:pPr>
              <w:jc w:val="center"/>
              <w:textAlignment w:val="center"/>
              <w:rPr>
                <w:color w:val="000000"/>
                <w:sz w:val="20"/>
                <w:szCs w:val="20"/>
              </w:rPr>
            </w:pPr>
            <w:r>
              <w:rPr>
                <w:rFonts w:hint="eastAsia"/>
                <w:color w:val="00000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color w:val="000000"/>
                <w:sz w:val="20"/>
                <w:szCs w:val="20"/>
              </w:rPr>
            </w:pPr>
            <w:r>
              <w:rPr>
                <w:rFonts w:hint="eastAsia"/>
                <w:color w:val="000000"/>
                <w:sz w:val="20"/>
                <w:szCs w:val="20"/>
              </w:rPr>
              <w:t>0.81</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color w:val="000000"/>
                <w:sz w:val="20"/>
                <w:szCs w:val="20"/>
              </w:rPr>
            </w:pPr>
            <w:r>
              <w:rPr>
                <w:rFonts w:hint="eastAsia"/>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color w:val="000000"/>
                <w:sz w:val="20"/>
                <w:szCs w:val="20"/>
              </w:rPr>
            </w:pPr>
            <w:r>
              <w:rPr>
                <w:rFonts w:hint="eastAsia"/>
                <w:color w:val="000000"/>
                <w:sz w:val="20"/>
                <w:szCs w:val="20"/>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color w:val="000000"/>
                <w:sz w:val="20"/>
                <w:szCs w:val="20"/>
              </w:rPr>
            </w:pPr>
            <w:r>
              <w:rPr>
                <w:rFonts w:hint="eastAsia"/>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color w:val="000000"/>
                <w:sz w:val="20"/>
                <w:szCs w:val="20"/>
              </w:rPr>
            </w:pPr>
            <w:r>
              <w:rPr>
                <w:rFonts w:hint="eastAsia"/>
                <w:color w:val="000000"/>
                <w:sz w:val="20"/>
                <w:szCs w:val="20"/>
              </w:rPr>
              <w:t>0.81</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color w:val="000000"/>
                <w:sz w:val="20"/>
                <w:szCs w:val="20"/>
              </w:rPr>
            </w:pPr>
            <w:r>
              <w:rPr>
                <w:rFonts w:hint="eastAsia"/>
                <w:color w:val="000000"/>
                <w:sz w:val="20"/>
                <w:szCs w:val="20"/>
              </w:rPr>
              <w:t>0.73</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color w:val="000000"/>
                <w:sz w:val="20"/>
                <w:szCs w:val="20"/>
              </w:rPr>
            </w:pPr>
            <w:r>
              <w:rPr>
                <w:rFonts w:hint="eastAsia"/>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color w:val="000000"/>
                <w:sz w:val="20"/>
                <w:szCs w:val="20"/>
              </w:rPr>
            </w:pPr>
            <w:r>
              <w:rPr>
                <w:rFonts w:hint="eastAsia"/>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rPr>
                <w:color w:val="000000"/>
                <w:sz w:val="20"/>
                <w:szCs w:val="20"/>
              </w:rPr>
            </w:pPr>
            <w:r>
              <w:rPr>
                <w:rFonts w:hint="eastAsia"/>
                <w:color w:val="000000"/>
                <w:sz w:val="20"/>
                <w:szCs w:val="20"/>
              </w:rPr>
              <w:t>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jc w:val="center"/>
              <w:rPr>
                <w:color w:val="000000"/>
                <w:sz w:val="20"/>
                <w:szCs w:val="20"/>
              </w:rPr>
            </w:pPr>
            <w:r>
              <w:rPr>
                <w:rFonts w:hint="eastAsia"/>
                <w:color w:val="000000"/>
                <w:sz w:val="20"/>
                <w:szCs w:val="20"/>
              </w:rPr>
              <w:t>0</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center"/>
              <w:rPr>
                <w:color w:val="000000"/>
                <w:sz w:val="20"/>
                <w:szCs w:val="20"/>
              </w:rPr>
            </w:pPr>
            <w:r>
              <w:rPr>
                <w:rFonts w:hint="eastAsia"/>
                <w:color w:val="000000"/>
                <w:sz w:val="20"/>
                <w:szCs w:val="20"/>
              </w:rPr>
              <w:t>0.73</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注：本表反映部门本年度“三公”经费支出预决算情况。其中，</w:t>
            </w:r>
            <w:r>
              <w:rPr>
                <w:rStyle w:val="15"/>
                <w:rFonts w:hint="default"/>
                <w:sz w:val="20"/>
                <w:szCs w:val="20"/>
              </w:rPr>
              <w:t>预算数为“三公”经费年初预算数，决算数是包括当年一般公共预算财政拨款和以前年度结转资金安排的实际支出。</w:t>
            </w:r>
            <w:r>
              <w:rPr>
                <w:rFonts w:hint="eastAsia"/>
                <w:color w:val="000000"/>
                <w:sz w:val="20"/>
                <w:szCs w:val="20"/>
              </w:rPr>
              <w:t>本表金额转换为万元时，因四舍五入可能存在尾差。</w:t>
            </w:r>
          </w:p>
        </w:tc>
      </w:tr>
    </w:tbl>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tbl>
      <w:tblPr>
        <w:tblStyle w:val="6"/>
        <w:tblW w:w="14018" w:type="dxa"/>
        <w:tblInd w:w="0" w:type="dxa"/>
        <w:tblLayout w:type="fixed"/>
        <w:tblCellMar>
          <w:top w:w="0" w:type="dxa"/>
          <w:left w:w="0" w:type="dxa"/>
          <w:bottom w:w="0" w:type="dxa"/>
          <w:right w:w="0" w:type="dxa"/>
        </w:tblCellMar>
      </w:tblPr>
      <w:tblGrid>
        <w:gridCol w:w="612"/>
        <w:gridCol w:w="516"/>
        <w:gridCol w:w="20"/>
        <w:gridCol w:w="30"/>
        <w:gridCol w:w="1246"/>
        <w:gridCol w:w="30"/>
        <w:gridCol w:w="1896"/>
        <w:gridCol w:w="30"/>
        <w:gridCol w:w="1896"/>
        <w:gridCol w:w="30"/>
        <w:gridCol w:w="1896"/>
        <w:gridCol w:w="30"/>
        <w:gridCol w:w="1897"/>
        <w:gridCol w:w="30"/>
        <w:gridCol w:w="1896"/>
        <w:gridCol w:w="30"/>
        <w:gridCol w:w="1903"/>
        <w:gridCol w:w="30"/>
      </w:tblGrid>
      <w:tr>
        <w:tblPrEx>
          <w:tblCellMar>
            <w:top w:w="0" w:type="dxa"/>
            <w:left w:w="0" w:type="dxa"/>
            <w:bottom w:w="0" w:type="dxa"/>
            <w:right w:w="0" w:type="dxa"/>
          </w:tblCellMar>
        </w:tblPrEx>
        <w:trPr>
          <w:gridAfter w:val="1"/>
          <w:wAfter w:w="30" w:type="dxa"/>
          <w:trHeight w:val="600" w:hRule="atLeast"/>
        </w:trPr>
        <w:tc>
          <w:tcPr>
            <w:tcW w:w="13988" w:type="dxa"/>
            <w:gridSpan w:val="17"/>
            <w:tcBorders>
              <w:top w:val="nil"/>
              <w:left w:val="nil"/>
              <w:bottom w:val="nil"/>
              <w:right w:val="nil"/>
            </w:tcBorders>
            <w:shd w:val="clear" w:color="auto" w:fill="FFFFFF"/>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政府性基金预算财政拨款收入支出决算表</w:t>
            </w:r>
          </w:p>
        </w:tc>
      </w:tr>
      <w:tr>
        <w:tblPrEx>
          <w:tblCellMar>
            <w:top w:w="0" w:type="dxa"/>
            <w:left w:w="0" w:type="dxa"/>
            <w:bottom w:w="0" w:type="dxa"/>
            <w:right w:w="0" w:type="dxa"/>
          </w:tblCellMar>
        </w:tblPrEx>
        <w:trPr>
          <w:gridAfter w:val="1"/>
          <w:wAfter w:w="30" w:type="dxa"/>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536" w:type="dxa"/>
            <w:gridSpan w:val="2"/>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1276" w:type="dxa"/>
            <w:gridSpan w:val="2"/>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927"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公开08表</w:t>
            </w:r>
          </w:p>
        </w:tc>
      </w:tr>
      <w:tr>
        <w:tblPrEx>
          <w:tblCellMar>
            <w:top w:w="0" w:type="dxa"/>
            <w:left w:w="0" w:type="dxa"/>
            <w:bottom w:w="0" w:type="dxa"/>
            <w:right w:w="0" w:type="dxa"/>
          </w:tblCellMar>
        </w:tblPrEx>
        <w:trPr>
          <w:trHeight w:val="300" w:hRule="atLeast"/>
        </w:trPr>
        <w:tc>
          <w:tcPr>
            <w:tcW w:w="1128" w:type="dxa"/>
            <w:gridSpan w:val="2"/>
            <w:tcBorders>
              <w:top w:val="nil"/>
              <w:left w:val="nil"/>
              <w:bottom w:val="nil"/>
              <w:right w:val="nil"/>
            </w:tcBorders>
            <w:shd w:val="clear" w:color="auto" w:fill="FFFFFF"/>
            <w:noWrap/>
            <w:tcMar>
              <w:top w:w="15" w:type="dxa"/>
              <w:left w:w="15" w:type="dxa"/>
              <w:right w:w="15" w:type="dxa"/>
            </w:tcMar>
            <w:vAlign w:val="center"/>
          </w:tcPr>
          <w:p>
            <w:pPr>
              <w:textAlignment w:val="center"/>
              <w:rPr>
                <w:color w:val="000000"/>
                <w:sz w:val="20"/>
                <w:szCs w:val="20"/>
              </w:rPr>
            </w:pPr>
            <w:r>
              <w:rPr>
                <w:rFonts w:hint="eastAsia"/>
                <w:color w:val="000000"/>
                <w:sz w:val="20"/>
                <w:szCs w:val="20"/>
              </w:rPr>
              <w:t>部门：</w:t>
            </w:r>
          </w:p>
        </w:tc>
        <w:tc>
          <w:tcPr>
            <w:tcW w:w="50"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276"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r>
              <w:rPr>
                <w:rFonts w:hint="eastAsia"/>
                <w:color w:val="000000"/>
                <w:sz w:val="20"/>
                <w:szCs w:val="20"/>
              </w:rPr>
              <w:t>息县交通运输</w:t>
            </w:r>
          </w:p>
        </w:tc>
        <w:tc>
          <w:tcPr>
            <w:tcW w:w="1926"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r>
              <w:rPr>
                <w:rFonts w:hint="eastAsia"/>
                <w:color w:val="000000"/>
                <w:sz w:val="20"/>
                <w:szCs w:val="20"/>
              </w:rPr>
              <w:t>局</w:t>
            </w:r>
          </w:p>
        </w:tc>
        <w:tc>
          <w:tcPr>
            <w:tcW w:w="1926"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926"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927"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30" w:type="dxa"/>
          <w:trHeight w:val="405" w:hRule="atLeast"/>
        </w:trPr>
        <w:tc>
          <w:tcPr>
            <w:tcW w:w="2424" w:type="dxa"/>
            <w:gridSpan w:val="5"/>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1926" w:type="dxa"/>
            <w:gridSpan w:val="2"/>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本年收入</w:t>
            </w:r>
          </w:p>
        </w:tc>
        <w:tc>
          <w:tcPr>
            <w:tcW w:w="5779" w:type="dxa"/>
            <w:gridSpan w:val="6"/>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年末结转和结余</w:t>
            </w:r>
          </w:p>
        </w:tc>
      </w:tr>
      <w:tr>
        <w:tblPrEx>
          <w:tblCellMar>
            <w:top w:w="0" w:type="dxa"/>
            <w:left w:w="0" w:type="dxa"/>
            <w:bottom w:w="0" w:type="dxa"/>
            <w:right w:w="0" w:type="dxa"/>
          </w:tblCellMar>
        </w:tblPrEx>
        <w:trPr>
          <w:gridAfter w:val="1"/>
          <w:wAfter w:w="30" w:type="dxa"/>
          <w:trHeight w:val="540" w:hRule="atLeast"/>
        </w:trPr>
        <w:tc>
          <w:tcPr>
            <w:tcW w:w="1148" w:type="dxa"/>
            <w:gridSpan w:val="3"/>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功能分类</w:t>
            </w:r>
          </w:p>
          <w:p>
            <w:pPr>
              <w:jc w:val="center"/>
              <w:textAlignment w:val="center"/>
              <w:rPr>
                <w:color w:val="000000"/>
                <w:sz w:val="20"/>
                <w:szCs w:val="20"/>
              </w:rPr>
            </w:pPr>
            <w:r>
              <w:rPr>
                <w:rFonts w:hint="eastAsia"/>
                <w:color w:val="000000"/>
                <w:sz w:val="20"/>
                <w:szCs w:val="20"/>
              </w:rPr>
              <w:t>科目编码</w:t>
            </w:r>
          </w:p>
        </w:tc>
        <w:tc>
          <w:tcPr>
            <w:tcW w:w="127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1926" w:type="dxa"/>
            <w:gridSpan w:val="2"/>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小计</w:t>
            </w:r>
          </w:p>
        </w:tc>
        <w:tc>
          <w:tcPr>
            <w:tcW w:w="1927"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基本支出</w:t>
            </w:r>
          </w:p>
        </w:tc>
        <w:tc>
          <w:tcPr>
            <w:tcW w:w="1926" w:type="dxa"/>
            <w:gridSpan w:val="2"/>
            <w:vMerge w:val="restart"/>
            <w:tcBorders>
              <w:top w:val="nil"/>
              <w:left w:val="single" w:color="000000" w:sz="4" w:space="0"/>
              <w:bottom w:val="single" w:color="000000" w:sz="4" w:space="0"/>
              <w:right w:val="nil"/>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gridAfter w:val="1"/>
          <w:wAfter w:w="30" w:type="dxa"/>
          <w:trHeight w:val="36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2"/>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2"/>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color w:val="000000"/>
                <w:sz w:val="20"/>
                <w:szCs w:val="20"/>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2424" w:type="dxa"/>
            <w:gridSpan w:val="5"/>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栏次</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5</w:t>
            </w: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6</w:t>
            </w:r>
          </w:p>
        </w:tc>
      </w:tr>
      <w:tr>
        <w:tblPrEx>
          <w:tblCellMar>
            <w:top w:w="0" w:type="dxa"/>
            <w:left w:w="0" w:type="dxa"/>
            <w:bottom w:w="0" w:type="dxa"/>
            <w:right w:w="0" w:type="dxa"/>
          </w:tblCellMar>
        </w:tblPrEx>
        <w:trPr>
          <w:gridAfter w:val="1"/>
          <w:wAfter w:w="30" w:type="dxa"/>
          <w:trHeight w:val="450" w:hRule="atLeast"/>
        </w:trPr>
        <w:tc>
          <w:tcPr>
            <w:tcW w:w="2424" w:type="dxa"/>
            <w:gridSpan w:val="5"/>
            <w:tcBorders>
              <w:top w:val="nil"/>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r>
              <w:rPr>
                <w:rFonts w:hint="eastAsia"/>
                <w:color w:val="000000"/>
                <w:sz w:val="20"/>
                <w:szCs w:val="20"/>
              </w:rPr>
              <w:t>0</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r>
              <w:rPr>
                <w:rFonts w:hint="eastAsia"/>
                <w:color w:val="000000"/>
                <w:sz w:val="20"/>
                <w:szCs w:val="20"/>
              </w:rPr>
              <w:t>0</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r>
              <w:rPr>
                <w:rFonts w:hint="eastAsia"/>
                <w:color w:val="000000"/>
                <w:sz w:val="20"/>
                <w:szCs w:val="20"/>
              </w:rPr>
              <w:t>0</w:t>
            </w: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r>
              <w:rPr>
                <w:rFonts w:hint="eastAsia"/>
                <w:color w:val="000000"/>
                <w:sz w:val="20"/>
                <w:szCs w:val="20"/>
              </w:rPr>
              <w:t>0</w:t>
            </w: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color w:val="000000"/>
                <w:sz w:val="20"/>
                <w:szCs w:val="20"/>
              </w:rPr>
            </w:pPr>
            <w:r>
              <w:rPr>
                <w:rFonts w:hint="eastAsia"/>
                <w:color w:val="000000"/>
                <w:sz w:val="20"/>
                <w:szCs w:val="20"/>
              </w:rPr>
              <w:t>0</w:t>
            </w: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r>
              <w:rPr>
                <w:rFonts w:hint="eastAsia"/>
                <w:color w:val="000000"/>
                <w:sz w:val="20"/>
                <w:szCs w:val="20"/>
              </w:rPr>
              <w:t>0</w:t>
            </w: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color w:val="000000"/>
                <w:sz w:val="20"/>
                <w:szCs w:val="20"/>
              </w:rPr>
            </w:pPr>
          </w:p>
        </w:tc>
        <w:tc>
          <w:tcPr>
            <w:tcW w:w="1933" w:type="dxa"/>
            <w:gridSpan w:val="2"/>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color w:val="000000"/>
                <w:sz w:val="20"/>
                <w:szCs w:val="20"/>
              </w:rPr>
            </w:pP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color w:val="000000"/>
                <w:sz w:val="20"/>
                <w:szCs w:val="20"/>
              </w:rPr>
            </w:pPr>
          </w:p>
        </w:tc>
        <w:tc>
          <w:tcPr>
            <w:tcW w:w="1933" w:type="dxa"/>
            <w:gridSpan w:val="2"/>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gridAfter w:val="1"/>
          <w:wAfter w:w="30" w:type="dxa"/>
          <w:trHeight w:val="645" w:hRule="atLeast"/>
        </w:trPr>
        <w:tc>
          <w:tcPr>
            <w:tcW w:w="13988" w:type="dxa"/>
            <w:gridSpan w:val="17"/>
            <w:tcBorders>
              <w:top w:val="single" w:color="000000" w:sz="8" w:space="0"/>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注：本表反映部门本年度政府性基金预算财政拨款收入、支出及结转和结余情况。</w:t>
            </w:r>
          </w:p>
          <w:p>
            <w:pPr>
              <w:textAlignment w:val="center"/>
              <w:rPr>
                <w:color w:val="000000"/>
                <w:sz w:val="22"/>
              </w:rPr>
            </w:pPr>
            <w:r>
              <w:rPr>
                <w:rFonts w:hint="eastAsia"/>
                <w:color w:val="000000"/>
                <w:sz w:val="22"/>
              </w:rPr>
              <w:t>说明：我部门没有政府性基金收入，也没有使用政府性基金安排的支出，故本表无数据。</w:t>
            </w:r>
          </w:p>
          <w:p>
            <w:pPr>
              <w:textAlignment w:val="center"/>
              <w:rPr>
                <w:color w:val="000000"/>
                <w:sz w:val="20"/>
                <w:szCs w:val="20"/>
              </w:rPr>
            </w:pPr>
          </w:p>
          <w:p>
            <w:pPr>
              <w:jc w:val="center"/>
              <w:textAlignment w:val="center"/>
              <w:rPr>
                <w:color w:val="000000"/>
                <w:sz w:val="20"/>
                <w:szCs w:val="20"/>
              </w:rPr>
            </w:pPr>
          </w:p>
        </w:tc>
      </w:tr>
    </w:tbl>
    <w:p>
      <w:pPr>
        <w:jc w:val="both"/>
        <w:rPr>
          <w:rFonts w:ascii="黑体" w:hAnsi="黑体" w:eastAsia="黑体" w:cs="黑体"/>
          <w:sz w:val="44"/>
          <w:szCs w:val="44"/>
        </w:rPr>
        <w:sectPr>
          <w:pgSz w:w="16840" w:h="11907" w:orient="landscape"/>
          <w:pgMar w:top="1800" w:right="1440" w:bottom="1800" w:left="1440" w:header="851" w:footer="992" w:gutter="0"/>
          <w:cols w:space="425" w:num="1"/>
          <w:docGrid w:type="lines" w:linePitch="326" w:charSpace="0"/>
        </w:sect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第</w:t>
      </w:r>
      <w:r>
        <w:rPr>
          <w:rFonts w:hint="eastAsia" w:ascii="黑体" w:hAnsi="黑体" w:eastAsia="黑体" w:cs="黑体"/>
          <w:sz w:val="44"/>
          <w:szCs w:val="44"/>
          <w:lang w:val="en-US" w:eastAsia="zh-CN"/>
        </w:rPr>
        <w:t>三</w:t>
      </w:r>
      <w:r>
        <w:rPr>
          <w:rFonts w:hint="eastAsia" w:ascii="黑体" w:hAnsi="黑体" w:eastAsia="黑体" w:cs="黑体"/>
          <w:sz w:val="44"/>
          <w:szCs w:val="44"/>
        </w:rPr>
        <w:t>部分</w:t>
      </w:r>
    </w:p>
    <w:p>
      <w:pPr>
        <w:jc w:val="center"/>
        <w:rPr>
          <w:rFonts w:ascii="黑体" w:hAnsi="黑体" w:eastAsia="黑体" w:cs="黑体"/>
          <w:sz w:val="44"/>
          <w:szCs w:val="44"/>
        </w:rPr>
      </w:pPr>
      <w:r>
        <w:rPr>
          <w:rFonts w:hint="eastAsia" w:ascii="黑体" w:hAnsi="黑体" w:eastAsia="黑体" w:cs="黑体"/>
          <w:sz w:val="44"/>
          <w:szCs w:val="44"/>
        </w:rPr>
        <w:t>息县交通运输局</w:t>
      </w:r>
    </w:p>
    <w:p>
      <w:pPr>
        <w:jc w:val="center"/>
        <w:rPr>
          <w:sz w:val="32"/>
          <w:szCs w:val="32"/>
        </w:rPr>
      </w:pPr>
      <w:r>
        <w:rPr>
          <w:rFonts w:hint="eastAsia" w:ascii="黑体" w:hAnsi="黑体" w:eastAsia="黑体" w:cs="黑体"/>
          <w:sz w:val="44"/>
          <w:szCs w:val="44"/>
        </w:rPr>
        <w:t>2021年度部门决算情况说明</w:t>
      </w:r>
    </w:p>
    <w:p>
      <w:pPr>
        <w:pStyle w:val="5"/>
        <w:shd w:val="clear" w:color="auto" w:fill="FFFFFF"/>
        <w:ind w:firstLine="640" w:firstLineChars="200"/>
        <w:rPr>
          <w:rFonts w:ascii="仿宋_GB2312" w:eastAsia="仿宋_GB2312"/>
          <w:sz w:val="32"/>
          <w:szCs w:val="32"/>
        </w:rPr>
      </w:pPr>
    </w:p>
    <w:p>
      <w:pPr>
        <w:pStyle w:val="5"/>
        <w:shd w:val="clear" w:color="auto" w:fill="FFFFFF"/>
        <w:ind w:firstLine="640" w:firstLineChars="200"/>
        <w:rPr>
          <w:rFonts w:ascii="仿宋_GB2312" w:eastAsia="仿宋_GB2312"/>
          <w:sz w:val="32"/>
          <w:szCs w:val="32"/>
        </w:rPr>
      </w:pPr>
    </w:p>
    <w:p>
      <w:pPr>
        <w:pStyle w:val="5"/>
        <w:shd w:val="clear" w:color="auto" w:fill="FFFFFF"/>
        <w:ind w:firstLine="640" w:firstLineChars="200"/>
        <w:rPr>
          <w:rFonts w:ascii="仿宋_GB2312" w:eastAsia="仿宋_GB2312"/>
          <w:sz w:val="32"/>
          <w:szCs w:val="32"/>
        </w:rPr>
      </w:pPr>
    </w:p>
    <w:p>
      <w:pPr>
        <w:pStyle w:val="5"/>
        <w:shd w:val="clear" w:color="auto" w:fill="FFFFFF"/>
        <w:ind w:firstLine="640" w:firstLineChars="200"/>
        <w:rPr>
          <w:rFonts w:ascii="仿宋_GB2312" w:eastAsia="仿宋_GB2312"/>
          <w:sz w:val="32"/>
          <w:szCs w:val="32"/>
        </w:rPr>
      </w:pPr>
    </w:p>
    <w:p>
      <w:pPr>
        <w:pStyle w:val="5"/>
        <w:shd w:val="clear" w:color="auto" w:fill="FFFFFF"/>
        <w:ind w:firstLine="640" w:firstLineChars="200"/>
        <w:rPr>
          <w:rFonts w:ascii="仿宋_GB2312" w:eastAsia="仿宋_GB2312"/>
          <w:sz w:val="32"/>
          <w:szCs w:val="32"/>
        </w:rPr>
      </w:pPr>
    </w:p>
    <w:p>
      <w:pPr>
        <w:pStyle w:val="5"/>
        <w:shd w:val="clear" w:color="auto" w:fill="FFFFFF"/>
        <w:ind w:firstLine="640" w:firstLineChars="200"/>
        <w:rPr>
          <w:rFonts w:ascii="仿宋_GB2312" w:eastAsia="仿宋_GB2312"/>
          <w:sz w:val="32"/>
          <w:szCs w:val="32"/>
        </w:rPr>
      </w:pPr>
    </w:p>
    <w:p>
      <w:pPr>
        <w:pStyle w:val="5"/>
        <w:shd w:val="clear" w:color="auto" w:fill="FFFFFF"/>
        <w:ind w:firstLine="640" w:firstLineChars="200"/>
        <w:rPr>
          <w:rFonts w:ascii="仿宋_GB2312" w:eastAsia="仿宋_GB2312"/>
          <w:sz w:val="32"/>
          <w:szCs w:val="32"/>
        </w:rPr>
      </w:pPr>
    </w:p>
    <w:p>
      <w:pPr>
        <w:pStyle w:val="5"/>
        <w:shd w:val="clear" w:color="auto" w:fill="FFFFFF"/>
        <w:ind w:firstLine="640" w:firstLineChars="200"/>
        <w:rPr>
          <w:rFonts w:ascii="仿宋_GB2312" w:eastAsia="仿宋_GB2312"/>
          <w:sz w:val="32"/>
          <w:szCs w:val="32"/>
        </w:rPr>
      </w:pPr>
    </w:p>
    <w:p>
      <w:pPr>
        <w:pStyle w:val="5"/>
        <w:shd w:val="clear" w:color="auto" w:fill="FFFFFF"/>
        <w:ind w:firstLine="640" w:firstLineChars="200"/>
        <w:rPr>
          <w:rFonts w:ascii="仿宋_GB2312" w:eastAsia="仿宋_GB2312"/>
          <w:sz w:val="32"/>
          <w:szCs w:val="32"/>
        </w:rPr>
      </w:pPr>
    </w:p>
    <w:p>
      <w:pPr>
        <w:pStyle w:val="5"/>
        <w:shd w:val="clear" w:color="auto" w:fill="FFFFFF"/>
        <w:ind w:firstLine="640" w:firstLineChars="200"/>
        <w:rPr>
          <w:rFonts w:hint="eastAsia" w:ascii="仿宋_GB2312" w:eastAsia="仿宋_GB2312"/>
          <w:sz w:val="32"/>
          <w:szCs w:val="32"/>
        </w:rPr>
      </w:pPr>
    </w:p>
    <w:p>
      <w:pPr>
        <w:pStyle w:val="5"/>
        <w:shd w:val="clear" w:color="auto" w:fill="FFFFFF"/>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pPr>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年度收、支总计均为</w:t>
      </w:r>
      <w:r>
        <w:rPr>
          <w:rFonts w:hint="eastAsia" w:ascii="仿宋" w:hAnsi="仿宋" w:eastAsia="仿宋" w:cs="Arial"/>
          <w:color w:val="000000"/>
          <w:sz w:val="32"/>
          <w:szCs w:val="32"/>
        </w:rPr>
        <w:t>11036.11</w:t>
      </w:r>
      <w:r>
        <w:rPr>
          <w:rFonts w:ascii="仿宋" w:hAnsi="仿宋" w:eastAsia="仿宋"/>
          <w:sz w:val="32"/>
          <w:szCs w:val="32"/>
        </w:rPr>
        <w:t>万元。与上年度相比，收、支总计各减少</w:t>
      </w:r>
      <w:r>
        <w:rPr>
          <w:rFonts w:hint="eastAsia" w:ascii="仿宋" w:hAnsi="仿宋" w:eastAsia="仿宋"/>
          <w:sz w:val="32"/>
          <w:szCs w:val="32"/>
        </w:rPr>
        <w:t>23723.33</w:t>
      </w:r>
      <w:r>
        <w:rPr>
          <w:rFonts w:ascii="仿宋" w:hAnsi="仿宋" w:eastAsia="仿宋"/>
          <w:sz w:val="32"/>
          <w:szCs w:val="32"/>
        </w:rPr>
        <w:t>万元，下降</w:t>
      </w:r>
      <w:r>
        <w:rPr>
          <w:rFonts w:hint="eastAsia" w:ascii="仿宋" w:hAnsi="仿宋" w:eastAsia="仿宋"/>
          <w:sz w:val="32"/>
          <w:szCs w:val="32"/>
        </w:rPr>
        <w:t>68.3</w:t>
      </w:r>
      <w:r>
        <w:rPr>
          <w:rFonts w:ascii="仿宋" w:hAnsi="仿宋" w:eastAsia="仿宋"/>
          <w:sz w:val="32"/>
          <w:szCs w:val="32"/>
        </w:rPr>
        <w:t>%。主要原因</w:t>
      </w:r>
      <w:r>
        <w:rPr>
          <w:rFonts w:hint="eastAsia" w:ascii="仿宋" w:hAnsi="仿宋" w:eastAsia="仿宋"/>
          <w:sz w:val="32"/>
          <w:szCs w:val="32"/>
        </w:rPr>
        <w:t>是因为疫情各方面支出均有所压减</w:t>
      </w:r>
      <w:r>
        <w:rPr>
          <w:rFonts w:ascii="仿宋" w:hAnsi="仿宋" w:eastAsia="仿宋"/>
          <w:sz w:val="32"/>
          <w:szCs w:val="32"/>
        </w:rPr>
        <w:t>。</w:t>
      </w:r>
    </w:p>
    <w:p>
      <w:pPr>
        <w:ind w:firstLine="640" w:firstLineChars="200"/>
        <w:rPr>
          <w:rFonts w:cs="Arial"/>
          <w:color w:val="000000"/>
          <w:sz w:val="22"/>
          <w:szCs w:val="22"/>
        </w:rPr>
      </w:pPr>
      <w:r>
        <w:rPr>
          <w:rFonts w:hint="eastAsia" w:ascii="仿宋_GB2312" w:eastAsia="仿宋_GB2312"/>
          <w:sz w:val="32"/>
          <w:szCs w:val="32"/>
        </w:rPr>
        <w:t>二、收入决算情况说明</w:t>
      </w:r>
    </w:p>
    <w:p>
      <w:pPr>
        <w:ind w:firstLine="800" w:firstLineChars="250"/>
        <w:rPr>
          <w:rFonts w:ascii="仿宋" w:hAnsi="仿宋" w:eastAsia="仿宋"/>
          <w:sz w:val="32"/>
          <w:szCs w:val="32"/>
        </w:rPr>
      </w:pPr>
      <w:r>
        <w:rPr>
          <w:rFonts w:ascii="仿宋" w:hAnsi="仿宋" w:eastAsia="仿宋"/>
          <w:sz w:val="32"/>
          <w:szCs w:val="32"/>
        </w:rPr>
        <w:t>2021年度收入合计</w:t>
      </w:r>
      <w:r>
        <w:rPr>
          <w:rFonts w:hint="eastAsia" w:ascii="仿宋" w:hAnsi="仿宋" w:eastAsia="仿宋"/>
          <w:sz w:val="32"/>
          <w:szCs w:val="32"/>
        </w:rPr>
        <w:t>11036.11</w:t>
      </w:r>
      <w:r>
        <w:rPr>
          <w:rFonts w:ascii="仿宋" w:hAnsi="仿宋" w:eastAsia="仿宋"/>
          <w:sz w:val="32"/>
          <w:szCs w:val="32"/>
        </w:rPr>
        <w:t>万元，其中：财政拨款收入</w:t>
      </w:r>
      <w:r>
        <w:rPr>
          <w:rFonts w:hint="eastAsia" w:ascii="仿宋" w:hAnsi="仿宋" w:eastAsia="仿宋"/>
          <w:sz w:val="32"/>
          <w:szCs w:val="32"/>
        </w:rPr>
        <w:t>11036.11</w:t>
      </w:r>
      <w:r>
        <w:rPr>
          <w:rFonts w:ascii="仿宋" w:hAnsi="仿宋" w:eastAsia="仿宋"/>
          <w:sz w:val="32"/>
          <w:szCs w:val="32"/>
        </w:rPr>
        <w:t>万元，占100.00%；上级补助收入 0.00万元，占0.00%；事业收入0.00万元，占 0.00%；经营收入0.00万元，占0.00%；附属单位上缴收入 0.00万元，占0.00%；其他收入0.00万元，占 0.00%。</w:t>
      </w:r>
    </w:p>
    <w:p>
      <w:pPr>
        <w:ind w:firstLine="800" w:firstLineChars="250"/>
        <w:rPr>
          <w:rFonts w:ascii="仿宋_GB2312" w:eastAsia="仿宋_GB2312"/>
          <w:sz w:val="32"/>
          <w:szCs w:val="32"/>
        </w:rPr>
      </w:pPr>
      <w:r>
        <w:rPr>
          <w:rFonts w:hint="eastAsia" w:ascii="仿宋_GB2312" w:eastAsia="仿宋_GB2312"/>
          <w:sz w:val="32"/>
          <w:szCs w:val="32"/>
        </w:rPr>
        <w:t>三、支出决算情况说明</w:t>
      </w:r>
    </w:p>
    <w:p>
      <w:pPr>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年度支出合计</w:t>
      </w:r>
      <w:r>
        <w:rPr>
          <w:rFonts w:hint="eastAsia" w:ascii="仿宋" w:hAnsi="仿宋" w:eastAsia="仿宋"/>
          <w:sz w:val="32"/>
          <w:szCs w:val="32"/>
        </w:rPr>
        <w:t>11036.11</w:t>
      </w:r>
      <w:r>
        <w:rPr>
          <w:rFonts w:ascii="仿宋" w:hAnsi="仿宋" w:eastAsia="仿宋"/>
          <w:sz w:val="32"/>
          <w:szCs w:val="32"/>
        </w:rPr>
        <w:t>万元，其中：基本支</w:t>
      </w:r>
      <w:r>
        <w:rPr>
          <w:rFonts w:hint="eastAsia" w:ascii="仿宋" w:hAnsi="仿宋" w:eastAsia="仿宋"/>
          <w:sz w:val="32"/>
          <w:szCs w:val="32"/>
        </w:rPr>
        <w:t>出</w:t>
      </w:r>
      <w:r>
        <w:rPr>
          <w:rFonts w:hint="eastAsia" w:ascii="仿宋" w:hAnsi="仿宋" w:eastAsia="仿宋" w:cs="Arial"/>
          <w:color w:val="000000"/>
          <w:sz w:val="32"/>
          <w:szCs w:val="32"/>
        </w:rPr>
        <w:t>491.93</w:t>
      </w:r>
      <w:r>
        <w:rPr>
          <w:rFonts w:ascii="仿宋" w:hAnsi="仿宋" w:eastAsia="仿宋"/>
          <w:sz w:val="32"/>
          <w:szCs w:val="32"/>
        </w:rPr>
        <w:t>万元，占</w:t>
      </w:r>
      <w:r>
        <w:rPr>
          <w:rFonts w:hint="eastAsia" w:ascii="仿宋" w:hAnsi="仿宋" w:eastAsia="仿宋"/>
          <w:sz w:val="32"/>
          <w:szCs w:val="32"/>
        </w:rPr>
        <w:t>4.5</w:t>
      </w:r>
      <w:r>
        <w:rPr>
          <w:rFonts w:ascii="仿宋" w:hAnsi="仿宋" w:eastAsia="仿宋"/>
          <w:sz w:val="32"/>
          <w:szCs w:val="32"/>
        </w:rPr>
        <w:t xml:space="preserve">%；项目支出 </w:t>
      </w:r>
      <w:r>
        <w:rPr>
          <w:rFonts w:hint="eastAsia" w:ascii="仿宋" w:hAnsi="仿宋" w:eastAsia="仿宋"/>
          <w:sz w:val="32"/>
          <w:szCs w:val="32"/>
        </w:rPr>
        <w:t>10544.18</w:t>
      </w:r>
      <w:r>
        <w:rPr>
          <w:rFonts w:ascii="仿宋" w:hAnsi="仿宋" w:eastAsia="仿宋"/>
          <w:sz w:val="32"/>
          <w:szCs w:val="32"/>
        </w:rPr>
        <w:t>万元，占</w:t>
      </w:r>
      <w:r>
        <w:rPr>
          <w:rFonts w:hint="eastAsia" w:ascii="仿宋" w:hAnsi="仿宋" w:eastAsia="仿宋"/>
          <w:sz w:val="32"/>
          <w:szCs w:val="32"/>
        </w:rPr>
        <w:t>95.5</w:t>
      </w:r>
      <w:r>
        <w:rPr>
          <w:rFonts w:ascii="仿宋" w:hAnsi="仿宋" w:eastAsia="仿宋"/>
          <w:sz w:val="32"/>
          <w:szCs w:val="32"/>
        </w:rPr>
        <w:t>%；上缴上级支出0.00万元，占 0.00%；经营支出0.00万元，占0.00%；对附属单位补助支出 0.00万元，占0.00%。</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四、财政拨款收入支出决算总体情况说明</w:t>
      </w:r>
    </w:p>
    <w:p>
      <w:pPr>
        <w:pStyle w:val="5"/>
        <w:shd w:val="clear" w:color="auto" w:fill="FFFFFF"/>
        <w:spacing w:before="0" w:beforeAutospacing="0" w:after="0" w:afterAutospacing="0"/>
        <w:ind w:left="161" w:leftChars="67" w:firstLine="480" w:firstLineChars="15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年度财政拨款收、支总计均为</w:t>
      </w:r>
      <w:r>
        <w:rPr>
          <w:rFonts w:hint="eastAsia" w:ascii="仿宋" w:hAnsi="仿宋" w:eastAsia="仿宋"/>
          <w:sz w:val="32"/>
          <w:szCs w:val="32"/>
        </w:rPr>
        <w:t>11036.11</w:t>
      </w:r>
      <w:r>
        <w:rPr>
          <w:rFonts w:ascii="仿宋" w:hAnsi="仿宋" w:eastAsia="仿宋"/>
          <w:sz w:val="32"/>
          <w:szCs w:val="32"/>
        </w:rPr>
        <w:t>万元。与上年度相比，财政拨款收、支总计各减少</w:t>
      </w:r>
      <w:r>
        <w:rPr>
          <w:rFonts w:hint="eastAsia" w:ascii="仿宋" w:hAnsi="仿宋" w:eastAsia="仿宋"/>
          <w:sz w:val="32"/>
          <w:szCs w:val="32"/>
        </w:rPr>
        <w:t>23723.33</w:t>
      </w:r>
      <w:r>
        <w:rPr>
          <w:rFonts w:ascii="仿宋" w:hAnsi="仿宋" w:eastAsia="仿宋"/>
          <w:sz w:val="32"/>
          <w:szCs w:val="32"/>
        </w:rPr>
        <w:t>万元，下降</w:t>
      </w:r>
      <w:r>
        <w:rPr>
          <w:rFonts w:hint="eastAsia" w:ascii="仿宋" w:hAnsi="仿宋" w:eastAsia="仿宋"/>
          <w:sz w:val="32"/>
          <w:szCs w:val="32"/>
        </w:rPr>
        <w:t>68.3</w:t>
      </w:r>
      <w:r>
        <w:rPr>
          <w:rFonts w:ascii="仿宋" w:hAnsi="仿宋" w:eastAsia="仿宋"/>
          <w:sz w:val="32"/>
          <w:szCs w:val="32"/>
        </w:rPr>
        <w:t>%。主要原因</w:t>
      </w:r>
      <w:r>
        <w:rPr>
          <w:rFonts w:hint="eastAsia" w:ascii="仿宋" w:hAnsi="仿宋" w:eastAsia="仿宋"/>
          <w:sz w:val="32"/>
          <w:szCs w:val="32"/>
        </w:rPr>
        <w:t>是因为疫情各方面支出均有所压减</w:t>
      </w:r>
      <w:r>
        <w:rPr>
          <w:rFonts w:ascii="仿宋" w:hAnsi="仿宋" w:eastAsia="仿宋"/>
          <w:sz w:val="32"/>
          <w:szCs w:val="32"/>
        </w:rPr>
        <w:t>。</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五、一般公共预算财政拨款支出决算情况说明</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pStyle w:val="5"/>
        <w:shd w:val="clear" w:color="auto" w:fill="FFFFFF"/>
        <w:spacing w:before="0" w:beforeAutospacing="0" w:after="0" w:afterAutospacing="0"/>
        <w:ind w:left="161" w:leftChars="67" w:firstLine="480" w:firstLineChars="15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 xml:space="preserve">年度一般公共预算财政拨款支出 </w:t>
      </w:r>
      <w:r>
        <w:rPr>
          <w:rFonts w:hint="eastAsia" w:ascii="仿宋" w:hAnsi="仿宋" w:eastAsia="仿宋"/>
          <w:sz w:val="32"/>
          <w:szCs w:val="32"/>
        </w:rPr>
        <w:t>11036.11</w:t>
      </w:r>
      <w:r>
        <w:rPr>
          <w:rFonts w:ascii="仿宋" w:hAnsi="仿宋" w:eastAsia="仿宋"/>
          <w:sz w:val="32"/>
          <w:szCs w:val="32"/>
        </w:rPr>
        <w:t>万元，占支出合计的100.00%。与上年度相比，一般公共预算财政拨款支出减少</w:t>
      </w:r>
      <w:r>
        <w:rPr>
          <w:rFonts w:hint="eastAsia" w:ascii="仿宋" w:hAnsi="仿宋" w:eastAsia="仿宋"/>
          <w:sz w:val="32"/>
          <w:szCs w:val="32"/>
        </w:rPr>
        <w:t>23723.33</w:t>
      </w:r>
      <w:r>
        <w:rPr>
          <w:rFonts w:ascii="仿宋" w:hAnsi="仿宋" w:eastAsia="仿宋"/>
          <w:sz w:val="32"/>
          <w:szCs w:val="32"/>
        </w:rPr>
        <w:t>万元，下降</w:t>
      </w:r>
      <w:r>
        <w:rPr>
          <w:rFonts w:hint="eastAsia" w:ascii="仿宋" w:hAnsi="仿宋" w:eastAsia="仿宋"/>
          <w:sz w:val="32"/>
          <w:szCs w:val="32"/>
        </w:rPr>
        <w:t>68.3</w:t>
      </w:r>
      <w:r>
        <w:rPr>
          <w:rFonts w:ascii="仿宋" w:hAnsi="仿宋" w:eastAsia="仿宋"/>
          <w:sz w:val="32"/>
          <w:szCs w:val="32"/>
        </w:rPr>
        <w:t>%。主要原因</w:t>
      </w:r>
      <w:r>
        <w:rPr>
          <w:rFonts w:hint="eastAsia" w:ascii="仿宋" w:hAnsi="仿宋" w:eastAsia="仿宋"/>
          <w:sz w:val="32"/>
          <w:szCs w:val="32"/>
        </w:rPr>
        <w:t>是因为疫情各方面支出均有所压减</w:t>
      </w:r>
      <w:r>
        <w:rPr>
          <w:rFonts w:ascii="仿宋" w:hAnsi="仿宋" w:eastAsia="仿宋"/>
          <w:sz w:val="32"/>
          <w:szCs w:val="32"/>
        </w:rPr>
        <w:t>。</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pStyle w:val="5"/>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2021年度一般公共预算财政拨款支出11036.11万元，主要用于以下方面：社会保障和就业支出37.91万元；卫生健康支出11.22万元；农林水支出2746.86万元；交通运输支出8223.88万元；住房保障支出16.23万元。</w:t>
      </w:r>
    </w:p>
    <w:p>
      <w:pPr>
        <w:pStyle w:val="5"/>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pStyle w:val="5"/>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2021年度一般公共预算财政拨款支出年初预算为5791.17万元，支出决算为 11036.11万元，完成年初预算的190.6%。其中：</w:t>
      </w:r>
    </w:p>
    <w:p>
      <w:pPr>
        <w:spacing w:line="360" w:lineRule="auto"/>
        <w:ind w:firstLine="643" w:firstLineChars="200"/>
        <w:rPr>
          <w:rFonts w:ascii="仿宋" w:hAnsi="仿宋" w:eastAsia="仿宋"/>
          <w:sz w:val="32"/>
          <w:szCs w:val="32"/>
        </w:rPr>
      </w:pPr>
      <w:r>
        <w:rPr>
          <w:rFonts w:hint="eastAsia" w:ascii="仿宋" w:hAnsi="仿宋" w:eastAsia="仿宋"/>
          <w:b/>
          <w:bCs/>
          <w:sz w:val="32"/>
          <w:szCs w:val="32"/>
        </w:rPr>
        <w:t>1、</w:t>
      </w:r>
      <w:r>
        <w:rPr>
          <w:rFonts w:ascii="仿宋" w:hAnsi="仿宋" w:eastAsia="仿宋"/>
          <w:b/>
          <w:bCs/>
          <w:sz w:val="32"/>
          <w:szCs w:val="32"/>
        </w:rPr>
        <w:t>社会保障和就业（类）</w:t>
      </w:r>
      <w:r>
        <w:rPr>
          <w:rFonts w:hint="eastAsia" w:ascii="仿宋" w:hAnsi="仿宋" w:eastAsia="仿宋"/>
          <w:b/>
          <w:bCs/>
          <w:sz w:val="32"/>
          <w:szCs w:val="32"/>
        </w:rPr>
        <w:t>行政单位离退休</w:t>
      </w:r>
      <w:r>
        <w:rPr>
          <w:rFonts w:ascii="仿宋" w:hAnsi="仿宋" w:eastAsia="仿宋"/>
          <w:b/>
          <w:bCs/>
          <w:sz w:val="32"/>
          <w:szCs w:val="32"/>
        </w:rPr>
        <w:t>（款）</w:t>
      </w:r>
      <w:r>
        <w:rPr>
          <w:rFonts w:hint="eastAsia" w:ascii="仿宋" w:hAnsi="仿宋" w:eastAsia="仿宋"/>
          <w:b/>
          <w:bCs/>
          <w:sz w:val="32"/>
          <w:szCs w:val="32"/>
        </w:rPr>
        <w:t>机关事业单位基本养老保险缴费支出</w:t>
      </w:r>
      <w:r>
        <w:rPr>
          <w:rFonts w:ascii="仿宋" w:hAnsi="仿宋" w:eastAsia="仿宋"/>
          <w:b/>
          <w:bCs/>
          <w:sz w:val="32"/>
          <w:szCs w:val="32"/>
        </w:rPr>
        <w:t>（项）。</w:t>
      </w:r>
      <w:r>
        <w:rPr>
          <w:rFonts w:ascii="仿宋" w:hAnsi="仿宋" w:eastAsia="仿宋"/>
          <w:sz w:val="32"/>
          <w:szCs w:val="32"/>
        </w:rPr>
        <w:t>年初预算为</w:t>
      </w:r>
      <w:r>
        <w:rPr>
          <w:rFonts w:hint="eastAsia" w:ascii="仿宋" w:hAnsi="仿宋" w:eastAsia="仿宋" w:cs="??_GB2312"/>
          <w:sz w:val="32"/>
          <w:szCs w:val="32"/>
        </w:rPr>
        <w:t>88.53</w:t>
      </w:r>
      <w:r>
        <w:rPr>
          <w:rFonts w:ascii="仿宋" w:hAnsi="仿宋" w:eastAsia="仿宋"/>
          <w:sz w:val="32"/>
          <w:szCs w:val="32"/>
        </w:rPr>
        <w:t>万元，支出决算为</w:t>
      </w:r>
      <w:r>
        <w:rPr>
          <w:rFonts w:hint="eastAsia" w:ascii="仿宋" w:hAnsi="仿宋" w:eastAsia="仿宋"/>
          <w:sz w:val="32"/>
          <w:szCs w:val="32"/>
        </w:rPr>
        <w:t>37.9</w:t>
      </w:r>
      <w:r>
        <w:rPr>
          <w:rFonts w:ascii="仿宋" w:hAnsi="仿宋" w:eastAsia="仿宋"/>
          <w:sz w:val="32"/>
          <w:szCs w:val="32"/>
        </w:rPr>
        <w:t>万元，完成年初预算的</w:t>
      </w:r>
      <w:r>
        <w:rPr>
          <w:rFonts w:hint="eastAsia" w:ascii="仿宋" w:hAnsi="仿宋" w:eastAsia="仿宋" w:cs="??_GB2312"/>
          <w:sz w:val="32"/>
          <w:szCs w:val="32"/>
        </w:rPr>
        <w:t>42.81</w:t>
      </w:r>
      <w:r>
        <w:rPr>
          <w:rFonts w:ascii="仿宋" w:hAnsi="仿宋" w:eastAsia="仿宋" w:cs="??_GB2312"/>
          <w:sz w:val="32"/>
          <w:szCs w:val="32"/>
        </w:rPr>
        <w:t>%</w:t>
      </w:r>
      <w:r>
        <w:rPr>
          <w:rFonts w:hint="eastAsia" w:ascii="仿宋" w:hAnsi="仿宋" w:eastAsia="仿宋" w:cs="??_GB2312"/>
          <w:sz w:val="32"/>
          <w:szCs w:val="32"/>
        </w:rPr>
        <w:t>，</w:t>
      </w:r>
      <w:r>
        <w:rPr>
          <w:rFonts w:hint="eastAsia" w:ascii="仿宋" w:hAnsi="仿宋" w:eastAsia="仿宋"/>
          <w:sz w:val="32"/>
          <w:szCs w:val="32"/>
        </w:rPr>
        <w:t>预算数大于决算数是因为执法所预算在交通局，但支出是在本单位支出。</w:t>
      </w:r>
    </w:p>
    <w:p>
      <w:pPr>
        <w:spacing w:line="360" w:lineRule="auto"/>
        <w:ind w:firstLine="643" w:firstLineChars="200"/>
        <w:rPr>
          <w:rFonts w:ascii="??_GB2312"/>
          <w:sz w:val="32"/>
          <w:szCs w:val="32"/>
        </w:rPr>
      </w:pPr>
      <w:r>
        <w:rPr>
          <w:rFonts w:hint="eastAsia" w:ascii="??_GB2312" w:cs="??_GB2312" w:eastAsiaTheme="minorEastAsia"/>
          <w:b/>
          <w:bCs/>
          <w:sz w:val="32"/>
          <w:szCs w:val="32"/>
        </w:rPr>
        <w:t>2</w:t>
      </w:r>
      <w:r>
        <w:rPr>
          <w:rFonts w:ascii="??_GB2312" w:eastAsia="Times New Roman" w:cs="??_GB2312"/>
          <w:b/>
          <w:bCs/>
          <w:sz w:val="32"/>
          <w:szCs w:val="32"/>
        </w:rPr>
        <w:t>.</w:t>
      </w:r>
      <w:r>
        <w:rPr>
          <w:rFonts w:ascii="仿宋" w:hAnsi="仿宋" w:eastAsia="仿宋"/>
          <w:b/>
          <w:bCs/>
          <w:sz w:val="32"/>
          <w:szCs w:val="32"/>
        </w:rPr>
        <w:t>医疗卫生与计划生育（类）医疗保障（款）行政单位医疗（项）。</w:t>
      </w:r>
      <w:r>
        <w:rPr>
          <w:rFonts w:ascii="仿宋" w:hAnsi="仿宋" w:eastAsia="仿宋"/>
          <w:sz w:val="32"/>
          <w:szCs w:val="32"/>
        </w:rPr>
        <w:t>年初预算为</w:t>
      </w:r>
      <w:r>
        <w:rPr>
          <w:rFonts w:hint="eastAsia" w:ascii="仿宋" w:hAnsi="仿宋" w:eastAsia="仿宋" w:cs="??_GB2312"/>
          <w:sz w:val="32"/>
          <w:szCs w:val="32"/>
        </w:rPr>
        <w:t>44.92</w:t>
      </w:r>
      <w:r>
        <w:rPr>
          <w:rFonts w:ascii="仿宋" w:hAnsi="仿宋" w:eastAsia="仿宋"/>
          <w:sz w:val="32"/>
          <w:szCs w:val="32"/>
        </w:rPr>
        <w:t>万元，支出决算为</w:t>
      </w:r>
      <w:r>
        <w:rPr>
          <w:rFonts w:hint="eastAsia" w:ascii="仿宋" w:hAnsi="仿宋" w:eastAsia="仿宋" w:cs="??_GB2312"/>
          <w:sz w:val="32"/>
          <w:szCs w:val="32"/>
        </w:rPr>
        <w:t>11.22</w:t>
      </w:r>
      <w:r>
        <w:rPr>
          <w:rFonts w:ascii="仿宋" w:hAnsi="仿宋" w:eastAsia="仿宋"/>
          <w:sz w:val="32"/>
          <w:szCs w:val="32"/>
        </w:rPr>
        <w:t>万元，完成年初预算的</w:t>
      </w:r>
      <w:r>
        <w:rPr>
          <w:rFonts w:hint="eastAsia" w:ascii="仿宋" w:hAnsi="仿宋" w:eastAsia="仿宋" w:cs="??_GB2312"/>
          <w:sz w:val="32"/>
          <w:szCs w:val="32"/>
        </w:rPr>
        <w:t>24.98</w:t>
      </w:r>
      <w:r>
        <w:rPr>
          <w:rFonts w:ascii="仿宋" w:hAnsi="仿宋" w:eastAsia="仿宋" w:cs="??_GB2312"/>
          <w:sz w:val="32"/>
          <w:szCs w:val="32"/>
        </w:rPr>
        <w:t>%</w:t>
      </w:r>
      <w:r>
        <w:rPr>
          <w:rFonts w:ascii="仿宋" w:hAnsi="仿宋" w:eastAsia="仿宋"/>
          <w:sz w:val="32"/>
          <w:szCs w:val="32"/>
        </w:rPr>
        <w:t>，</w:t>
      </w:r>
      <w:r>
        <w:rPr>
          <w:rFonts w:hint="eastAsia" w:ascii="仿宋_GB2312" w:eastAsia="仿宋_GB2312"/>
          <w:sz w:val="32"/>
          <w:szCs w:val="32"/>
        </w:rPr>
        <w:t>决算数与年初预算数存在差异的主要原因是：</w:t>
      </w:r>
      <w:r>
        <w:rPr>
          <w:rFonts w:hint="eastAsia" w:ascii="仿宋" w:hAnsi="仿宋" w:eastAsia="仿宋"/>
          <w:sz w:val="32"/>
          <w:szCs w:val="32"/>
        </w:rPr>
        <w:t>因为执法所预算在交通局，但支出是在本单位支出。</w:t>
      </w:r>
    </w:p>
    <w:p>
      <w:pPr>
        <w:spacing w:line="360" w:lineRule="auto"/>
        <w:ind w:firstLine="643" w:firstLineChars="200"/>
        <w:rPr>
          <w:rFonts w:ascii="仿宋" w:hAnsi="仿宋" w:eastAsia="仿宋"/>
          <w:sz w:val="32"/>
          <w:szCs w:val="32"/>
        </w:rPr>
      </w:pPr>
      <w:r>
        <w:rPr>
          <w:rFonts w:hint="eastAsia" w:ascii="??_GB2312" w:cs="??_GB2312" w:eastAsiaTheme="minorEastAsia"/>
          <w:b/>
          <w:bCs/>
          <w:sz w:val="32"/>
          <w:szCs w:val="32"/>
        </w:rPr>
        <w:t>3</w:t>
      </w:r>
      <w:r>
        <w:rPr>
          <w:rFonts w:ascii="??_GB2312" w:eastAsia="Times New Roman" w:cs="??_GB2312"/>
          <w:b/>
          <w:bCs/>
          <w:sz w:val="32"/>
          <w:szCs w:val="32"/>
        </w:rPr>
        <w:t>.</w:t>
      </w:r>
      <w:r>
        <w:rPr>
          <w:rFonts w:ascii="仿宋" w:hAnsi="仿宋" w:eastAsia="仿宋"/>
          <w:b/>
          <w:bCs/>
          <w:sz w:val="32"/>
          <w:szCs w:val="32"/>
        </w:rPr>
        <w:t>交通运输支出</w:t>
      </w:r>
      <w:r>
        <w:rPr>
          <w:rFonts w:hint="eastAsia" w:ascii="仿宋" w:hAnsi="仿宋" w:eastAsia="仿宋"/>
          <w:b/>
          <w:bCs/>
          <w:sz w:val="32"/>
          <w:szCs w:val="32"/>
        </w:rPr>
        <w:t>(类)公路水路运输（款）行政运行（项）</w:t>
      </w:r>
      <w:r>
        <w:rPr>
          <w:rFonts w:ascii="仿宋" w:hAnsi="仿宋" w:eastAsia="仿宋"/>
          <w:sz w:val="32"/>
          <w:szCs w:val="32"/>
        </w:rPr>
        <w:t>年初预算为</w:t>
      </w:r>
      <w:r>
        <w:rPr>
          <w:rFonts w:hint="eastAsia" w:ascii="仿宋" w:hAnsi="仿宋" w:eastAsia="仿宋" w:cs="??_GB2312"/>
          <w:sz w:val="32"/>
          <w:szCs w:val="32"/>
        </w:rPr>
        <w:t>687.6</w:t>
      </w:r>
      <w:r>
        <w:rPr>
          <w:rFonts w:ascii="仿宋" w:hAnsi="仿宋" w:eastAsia="仿宋"/>
          <w:sz w:val="32"/>
          <w:szCs w:val="32"/>
        </w:rPr>
        <w:t>万元，支出决算为</w:t>
      </w:r>
      <w:r>
        <w:rPr>
          <w:rFonts w:hint="eastAsia" w:ascii="仿宋" w:hAnsi="仿宋" w:eastAsia="仿宋"/>
          <w:sz w:val="32"/>
          <w:szCs w:val="32"/>
        </w:rPr>
        <w:t>426.56</w:t>
      </w:r>
      <w:r>
        <w:rPr>
          <w:rFonts w:ascii="仿宋" w:hAnsi="仿宋" w:eastAsia="仿宋"/>
          <w:sz w:val="32"/>
          <w:szCs w:val="32"/>
        </w:rPr>
        <w:t>万元，完成年初预算的</w:t>
      </w:r>
      <w:r>
        <w:rPr>
          <w:rFonts w:hint="eastAsia" w:ascii="仿宋" w:hAnsi="仿宋" w:eastAsia="仿宋" w:cs="??_GB2312"/>
          <w:sz w:val="32"/>
          <w:szCs w:val="32"/>
        </w:rPr>
        <w:t>62</w:t>
      </w:r>
      <w:r>
        <w:rPr>
          <w:rFonts w:ascii="仿宋" w:hAnsi="仿宋" w:eastAsia="仿宋" w:cs="??_GB2312"/>
          <w:sz w:val="32"/>
          <w:szCs w:val="32"/>
        </w:rPr>
        <w:t>%</w:t>
      </w:r>
      <w:r>
        <w:rPr>
          <w:rFonts w:ascii="仿宋" w:hAnsi="仿宋" w:eastAsia="仿宋"/>
          <w:sz w:val="32"/>
          <w:szCs w:val="32"/>
        </w:rPr>
        <w:t>。</w:t>
      </w:r>
      <w:r>
        <w:rPr>
          <w:rFonts w:hint="eastAsia" w:ascii="仿宋" w:hAnsi="仿宋" w:eastAsia="仿宋"/>
          <w:sz w:val="32"/>
          <w:szCs w:val="32"/>
        </w:rPr>
        <w:t>决算数与年初预算数存在差异的主要原因是：部分工资和社保在12月31日前没有支付。</w:t>
      </w:r>
    </w:p>
    <w:p>
      <w:pPr>
        <w:spacing w:line="360" w:lineRule="auto"/>
        <w:ind w:firstLine="643" w:firstLineChars="200"/>
        <w:rPr>
          <w:rFonts w:ascii="仿宋" w:hAnsi="仿宋" w:eastAsia="仿宋"/>
          <w:sz w:val="32"/>
          <w:szCs w:val="32"/>
        </w:rPr>
      </w:pPr>
      <w:r>
        <w:rPr>
          <w:rFonts w:hint="eastAsia" w:ascii="??_GB2312" w:cs="??_GB2312" w:eastAsiaTheme="minorEastAsia"/>
          <w:b/>
          <w:bCs/>
          <w:sz w:val="32"/>
          <w:szCs w:val="32"/>
        </w:rPr>
        <w:t>4.</w:t>
      </w:r>
      <w:r>
        <w:rPr>
          <w:rFonts w:ascii="仿宋" w:hAnsi="仿宋" w:eastAsia="仿宋"/>
          <w:b/>
          <w:bCs/>
          <w:sz w:val="32"/>
          <w:szCs w:val="32"/>
        </w:rPr>
        <w:t>交通运输支出</w:t>
      </w:r>
      <w:r>
        <w:rPr>
          <w:rFonts w:hint="eastAsia" w:ascii="仿宋" w:hAnsi="仿宋" w:eastAsia="仿宋"/>
          <w:b/>
          <w:bCs/>
          <w:sz w:val="32"/>
          <w:szCs w:val="32"/>
        </w:rPr>
        <w:t>(类)公路水路运输（款）其他公路水路运输支出（项）</w:t>
      </w:r>
      <w:r>
        <w:rPr>
          <w:rFonts w:ascii="仿宋" w:hAnsi="仿宋" w:eastAsia="仿宋"/>
          <w:sz w:val="32"/>
          <w:szCs w:val="32"/>
        </w:rPr>
        <w:t>年初预算为</w:t>
      </w:r>
      <w:r>
        <w:rPr>
          <w:rFonts w:hint="eastAsia" w:ascii="仿宋" w:hAnsi="仿宋" w:eastAsia="仿宋" w:cs="??_GB2312"/>
          <w:sz w:val="32"/>
          <w:szCs w:val="32"/>
        </w:rPr>
        <w:t>5556.5</w:t>
      </w:r>
      <w:r>
        <w:rPr>
          <w:rFonts w:ascii="仿宋" w:hAnsi="仿宋" w:eastAsia="仿宋"/>
          <w:sz w:val="32"/>
          <w:szCs w:val="32"/>
        </w:rPr>
        <w:t>万元，支出决算为</w:t>
      </w:r>
      <w:r>
        <w:rPr>
          <w:rFonts w:hint="eastAsia" w:ascii="仿宋" w:hAnsi="仿宋" w:eastAsia="仿宋"/>
          <w:sz w:val="32"/>
          <w:szCs w:val="32"/>
        </w:rPr>
        <w:t>4775.5</w:t>
      </w:r>
      <w:r>
        <w:rPr>
          <w:rFonts w:ascii="仿宋" w:hAnsi="仿宋" w:eastAsia="仿宋"/>
          <w:sz w:val="32"/>
          <w:szCs w:val="32"/>
        </w:rPr>
        <w:t>万元，完成年初预算的</w:t>
      </w:r>
      <w:r>
        <w:rPr>
          <w:rFonts w:hint="eastAsia" w:ascii="仿宋" w:hAnsi="仿宋" w:eastAsia="仿宋" w:cs="??_GB2312"/>
          <w:sz w:val="32"/>
          <w:szCs w:val="32"/>
        </w:rPr>
        <w:t>85.94</w:t>
      </w:r>
      <w:r>
        <w:rPr>
          <w:rFonts w:ascii="仿宋" w:hAnsi="仿宋" w:eastAsia="仿宋" w:cs="??_GB2312"/>
          <w:sz w:val="32"/>
          <w:szCs w:val="32"/>
        </w:rPr>
        <w:t>%</w:t>
      </w:r>
      <w:r>
        <w:rPr>
          <w:rFonts w:ascii="仿宋" w:hAnsi="仿宋" w:eastAsia="仿宋"/>
          <w:sz w:val="32"/>
          <w:szCs w:val="32"/>
        </w:rPr>
        <w:t>。</w:t>
      </w:r>
      <w:r>
        <w:rPr>
          <w:rFonts w:hint="eastAsia" w:ascii="仿宋_GB2312" w:eastAsia="仿宋_GB2312"/>
          <w:sz w:val="32"/>
          <w:szCs w:val="32"/>
        </w:rPr>
        <w:t>决算数与年初预算数存在差异的主要原因是：</w:t>
      </w:r>
      <w:r>
        <w:rPr>
          <w:rFonts w:hint="eastAsia" w:ascii="仿宋" w:hAnsi="仿宋" w:eastAsia="仿宋"/>
          <w:sz w:val="32"/>
          <w:szCs w:val="32"/>
        </w:rPr>
        <w:t>部分资金在年底没有完善报账手续，没有及时拨付出去，在2022年会按资金项目继续拨付。</w:t>
      </w:r>
    </w:p>
    <w:p>
      <w:pPr>
        <w:spacing w:line="360" w:lineRule="auto"/>
        <w:ind w:firstLine="643" w:firstLineChars="200"/>
        <w:rPr>
          <w:rFonts w:ascii="仿宋" w:hAnsi="仿宋" w:eastAsia="仿宋"/>
          <w:sz w:val="32"/>
          <w:szCs w:val="32"/>
        </w:rPr>
      </w:pPr>
      <w:r>
        <w:rPr>
          <w:rFonts w:hint="eastAsia" w:ascii="仿宋" w:hAnsi="仿宋" w:eastAsia="仿宋"/>
          <w:b/>
          <w:bCs/>
          <w:sz w:val="32"/>
          <w:szCs w:val="32"/>
        </w:rPr>
        <w:t>5、</w:t>
      </w:r>
      <w:r>
        <w:rPr>
          <w:rFonts w:ascii="仿宋" w:hAnsi="仿宋" w:eastAsia="仿宋"/>
          <w:b/>
          <w:bCs/>
          <w:sz w:val="32"/>
          <w:szCs w:val="32"/>
        </w:rPr>
        <w:t>交通运输支出</w:t>
      </w:r>
      <w:r>
        <w:rPr>
          <w:rFonts w:hint="eastAsia" w:ascii="仿宋" w:hAnsi="仿宋" w:eastAsia="仿宋"/>
          <w:b/>
          <w:bCs/>
          <w:sz w:val="32"/>
          <w:szCs w:val="32"/>
        </w:rPr>
        <w:t>（类）车辆购置税支出（款）车辆购置税用于公路等基础设施建设支出（项）</w:t>
      </w:r>
      <w:r>
        <w:rPr>
          <w:rFonts w:ascii="仿宋" w:hAnsi="仿宋" w:eastAsia="仿宋"/>
          <w:sz w:val="32"/>
          <w:szCs w:val="32"/>
        </w:rPr>
        <w:t>年初预算为</w:t>
      </w:r>
      <w:r>
        <w:rPr>
          <w:rFonts w:hint="eastAsia" w:ascii="仿宋" w:hAnsi="仿宋" w:eastAsia="仿宋" w:cs="??_GB2312"/>
          <w:sz w:val="32"/>
          <w:szCs w:val="32"/>
        </w:rPr>
        <w:t>0</w:t>
      </w:r>
      <w:r>
        <w:rPr>
          <w:rFonts w:ascii="仿宋" w:hAnsi="仿宋" w:eastAsia="仿宋"/>
          <w:sz w:val="32"/>
          <w:szCs w:val="32"/>
        </w:rPr>
        <w:t>万元，支出决算为</w:t>
      </w:r>
      <w:r>
        <w:rPr>
          <w:rFonts w:hint="eastAsia" w:ascii="仿宋" w:hAnsi="仿宋" w:eastAsia="仿宋"/>
          <w:sz w:val="32"/>
          <w:szCs w:val="32"/>
        </w:rPr>
        <w:t>241.1</w:t>
      </w:r>
      <w:r>
        <w:rPr>
          <w:rFonts w:ascii="仿宋" w:hAnsi="仿宋" w:eastAsia="仿宋"/>
          <w:sz w:val="32"/>
          <w:szCs w:val="32"/>
        </w:rPr>
        <w:t>万元，</w:t>
      </w:r>
      <w:r>
        <w:rPr>
          <w:rFonts w:hint="eastAsia" w:ascii="仿宋" w:hAnsi="仿宋" w:eastAsia="仿宋"/>
          <w:sz w:val="32"/>
          <w:szCs w:val="32"/>
        </w:rPr>
        <w:t>超额完成预算</w:t>
      </w:r>
      <w:r>
        <w:rPr>
          <w:rFonts w:ascii="仿宋" w:hAnsi="仿宋" w:eastAsia="仿宋"/>
          <w:sz w:val="32"/>
          <w:szCs w:val="32"/>
        </w:rPr>
        <w:t>。</w:t>
      </w:r>
      <w:r>
        <w:rPr>
          <w:rFonts w:hint="eastAsia" w:ascii="仿宋_GB2312" w:eastAsia="仿宋_GB2312"/>
          <w:sz w:val="32"/>
          <w:szCs w:val="32"/>
        </w:rPr>
        <w:t>决算数与年初预算数存在差异的主要原因是：</w:t>
      </w:r>
      <w:r>
        <w:rPr>
          <w:rFonts w:hint="eastAsia" w:ascii="仿宋" w:hAnsi="仿宋" w:eastAsia="仿宋"/>
          <w:sz w:val="32"/>
          <w:szCs w:val="32"/>
        </w:rPr>
        <w:t>项目资金在年初没有预算.</w:t>
      </w:r>
    </w:p>
    <w:p>
      <w:pPr>
        <w:spacing w:line="360" w:lineRule="auto"/>
        <w:ind w:firstLine="472" w:firstLineChars="147"/>
        <w:rPr>
          <w:rFonts w:ascii="仿宋" w:hAnsi="仿宋" w:eastAsia="仿宋"/>
          <w:sz w:val="32"/>
          <w:szCs w:val="32"/>
        </w:rPr>
      </w:pPr>
      <w:r>
        <w:rPr>
          <w:rFonts w:hint="eastAsia" w:ascii="仿宋" w:hAnsi="仿宋" w:eastAsia="仿宋"/>
          <w:b/>
          <w:bCs/>
          <w:sz w:val="32"/>
          <w:szCs w:val="32"/>
        </w:rPr>
        <w:t>6、</w:t>
      </w:r>
      <w:r>
        <w:rPr>
          <w:rFonts w:ascii="仿宋" w:hAnsi="仿宋" w:eastAsia="仿宋"/>
          <w:b/>
          <w:bCs/>
          <w:sz w:val="32"/>
          <w:szCs w:val="32"/>
        </w:rPr>
        <w:t>交通运输支出</w:t>
      </w:r>
      <w:r>
        <w:rPr>
          <w:rFonts w:hint="eastAsia" w:ascii="仿宋" w:hAnsi="仿宋" w:eastAsia="仿宋"/>
          <w:b/>
          <w:bCs/>
          <w:sz w:val="32"/>
          <w:szCs w:val="32"/>
        </w:rPr>
        <w:t>（类）其他交通运输支出（款）公共交通运营补助（项）</w:t>
      </w:r>
      <w:r>
        <w:rPr>
          <w:rFonts w:ascii="仿宋" w:hAnsi="仿宋" w:eastAsia="仿宋"/>
          <w:sz w:val="32"/>
          <w:szCs w:val="32"/>
        </w:rPr>
        <w:t>年初预算为</w:t>
      </w:r>
      <w:r>
        <w:rPr>
          <w:rFonts w:hint="eastAsia" w:ascii="仿宋" w:hAnsi="仿宋" w:eastAsia="仿宋" w:cs="??_GB2312"/>
          <w:sz w:val="32"/>
          <w:szCs w:val="32"/>
        </w:rPr>
        <w:t>0</w:t>
      </w:r>
      <w:r>
        <w:rPr>
          <w:rFonts w:ascii="仿宋" w:hAnsi="仿宋" w:eastAsia="仿宋"/>
          <w:sz w:val="32"/>
          <w:szCs w:val="32"/>
        </w:rPr>
        <w:t>万元，支出决算为</w:t>
      </w:r>
      <w:r>
        <w:rPr>
          <w:rFonts w:hint="eastAsia" w:ascii="仿宋" w:hAnsi="仿宋" w:eastAsia="仿宋"/>
          <w:sz w:val="32"/>
          <w:szCs w:val="32"/>
        </w:rPr>
        <w:t>1374.72</w:t>
      </w:r>
      <w:r>
        <w:rPr>
          <w:rFonts w:ascii="仿宋" w:hAnsi="仿宋" w:eastAsia="仿宋"/>
          <w:sz w:val="32"/>
          <w:szCs w:val="32"/>
        </w:rPr>
        <w:t>万元，</w:t>
      </w:r>
      <w:r>
        <w:rPr>
          <w:rFonts w:hint="eastAsia" w:ascii="仿宋" w:hAnsi="仿宋" w:eastAsia="仿宋"/>
          <w:sz w:val="32"/>
          <w:szCs w:val="32"/>
        </w:rPr>
        <w:t>超额完成预算</w:t>
      </w:r>
      <w:r>
        <w:rPr>
          <w:rFonts w:ascii="仿宋" w:hAnsi="仿宋" w:eastAsia="仿宋"/>
          <w:sz w:val="32"/>
          <w:szCs w:val="32"/>
        </w:rPr>
        <w:t>。</w:t>
      </w:r>
      <w:r>
        <w:rPr>
          <w:rFonts w:hint="eastAsia" w:ascii="仿宋_GB2312" w:eastAsia="仿宋_GB2312"/>
          <w:sz w:val="32"/>
          <w:szCs w:val="32"/>
        </w:rPr>
        <w:t>决算数与年初预算数存在差异的主要原因是：</w:t>
      </w:r>
      <w:r>
        <w:rPr>
          <w:rFonts w:hint="eastAsia" w:ascii="仿宋" w:hAnsi="仿宋" w:eastAsia="仿宋"/>
          <w:sz w:val="32"/>
          <w:szCs w:val="32"/>
        </w:rPr>
        <w:t>项目资金在年初没有预算.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b/>
          <w:bCs/>
          <w:sz w:val="32"/>
          <w:szCs w:val="32"/>
        </w:rPr>
        <w:t>交通运输支出</w:t>
      </w:r>
      <w:r>
        <w:rPr>
          <w:rFonts w:hint="eastAsia" w:ascii="仿宋" w:hAnsi="仿宋" w:eastAsia="仿宋"/>
          <w:b/>
          <w:bCs/>
          <w:sz w:val="32"/>
          <w:szCs w:val="32"/>
        </w:rPr>
        <w:t>（类）成品油价格改革对交通运输的补贴（款）成品油价格改革补贴其他支出（项）</w:t>
      </w:r>
      <w:r>
        <w:rPr>
          <w:rFonts w:ascii="仿宋" w:hAnsi="仿宋" w:eastAsia="仿宋"/>
          <w:sz w:val="32"/>
          <w:szCs w:val="32"/>
        </w:rPr>
        <w:t>年初预算为</w:t>
      </w:r>
      <w:r>
        <w:rPr>
          <w:rFonts w:hint="eastAsia" w:ascii="仿宋" w:hAnsi="仿宋" w:eastAsia="仿宋" w:cs="??_GB2312"/>
          <w:sz w:val="32"/>
          <w:szCs w:val="32"/>
        </w:rPr>
        <w:t>0</w:t>
      </w:r>
      <w:r>
        <w:rPr>
          <w:rFonts w:ascii="仿宋" w:hAnsi="仿宋" w:eastAsia="仿宋"/>
          <w:sz w:val="32"/>
          <w:szCs w:val="32"/>
        </w:rPr>
        <w:t>万元，支出决算为</w:t>
      </w:r>
      <w:r>
        <w:rPr>
          <w:rFonts w:hint="eastAsia" w:ascii="仿宋" w:hAnsi="仿宋" w:eastAsia="仿宋"/>
          <w:sz w:val="32"/>
          <w:szCs w:val="32"/>
        </w:rPr>
        <w:t>1405.99</w:t>
      </w:r>
      <w:r>
        <w:rPr>
          <w:rFonts w:ascii="仿宋" w:hAnsi="仿宋" w:eastAsia="仿宋"/>
          <w:sz w:val="32"/>
          <w:szCs w:val="32"/>
        </w:rPr>
        <w:t>万元，</w:t>
      </w:r>
      <w:r>
        <w:rPr>
          <w:rFonts w:hint="eastAsia" w:ascii="仿宋" w:hAnsi="仿宋" w:eastAsia="仿宋"/>
          <w:sz w:val="32"/>
          <w:szCs w:val="32"/>
        </w:rPr>
        <w:t>超额完成预算</w:t>
      </w:r>
      <w:r>
        <w:rPr>
          <w:rFonts w:ascii="仿宋" w:hAnsi="仿宋" w:eastAsia="仿宋"/>
          <w:sz w:val="32"/>
          <w:szCs w:val="32"/>
        </w:rPr>
        <w:t>。</w:t>
      </w:r>
      <w:r>
        <w:rPr>
          <w:rFonts w:hint="eastAsia" w:ascii="仿宋_GB2312" w:eastAsia="仿宋_GB2312"/>
          <w:sz w:val="32"/>
          <w:szCs w:val="32"/>
        </w:rPr>
        <w:t>决算数与年初预算数存在差异的主要原因是：</w:t>
      </w:r>
      <w:r>
        <w:rPr>
          <w:rFonts w:hint="eastAsia" w:ascii="仿宋" w:hAnsi="仿宋" w:eastAsia="仿宋"/>
          <w:sz w:val="32"/>
          <w:szCs w:val="32"/>
        </w:rPr>
        <w:t>项目资金在年初没有预算.</w:t>
      </w:r>
    </w:p>
    <w:p>
      <w:pPr>
        <w:spacing w:line="360" w:lineRule="auto"/>
        <w:ind w:firstLine="643" w:firstLineChars="200"/>
        <w:rPr>
          <w:rFonts w:ascii="仿宋" w:hAnsi="仿宋" w:eastAsia="仿宋"/>
          <w:sz w:val="32"/>
          <w:szCs w:val="32"/>
        </w:rPr>
      </w:pPr>
      <w:r>
        <w:rPr>
          <w:rFonts w:hint="eastAsia" w:ascii="仿宋" w:hAnsi="仿宋" w:eastAsia="仿宋" w:cs="??_GB2312"/>
          <w:b/>
          <w:bCs/>
          <w:sz w:val="32"/>
          <w:szCs w:val="32"/>
        </w:rPr>
        <w:t>8.</w:t>
      </w:r>
      <w:r>
        <w:rPr>
          <w:rFonts w:ascii="仿宋" w:hAnsi="仿宋" w:eastAsia="仿宋"/>
          <w:b/>
          <w:bCs/>
          <w:sz w:val="32"/>
          <w:szCs w:val="32"/>
        </w:rPr>
        <w:t xml:space="preserve"> 农林水支出</w:t>
      </w:r>
      <w:r>
        <w:rPr>
          <w:rFonts w:hint="eastAsia" w:ascii="仿宋" w:hAnsi="仿宋" w:eastAsia="仿宋"/>
          <w:b/>
          <w:bCs/>
          <w:sz w:val="32"/>
          <w:szCs w:val="32"/>
        </w:rPr>
        <w:t>（类）扶贫（款）农村基础设施建设（项）</w:t>
      </w:r>
      <w:r>
        <w:rPr>
          <w:rFonts w:ascii="仿宋" w:hAnsi="仿宋" w:eastAsia="仿宋"/>
          <w:b/>
          <w:bCs/>
          <w:sz w:val="32"/>
          <w:szCs w:val="32"/>
        </w:rPr>
        <w:t>。</w:t>
      </w:r>
      <w:r>
        <w:rPr>
          <w:rFonts w:ascii="仿宋" w:hAnsi="仿宋" w:eastAsia="仿宋"/>
          <w:sz w:val="32"/>
          <w:szCs w:val="32"/>
        </w:rPr>
        <w:t>年初预算为</w:t>
      </w:r>
      <w:r>
        <w:rPr>
          <w:rFonts w:ascii="仿宋" w:hAnsi="仿宋" w:eastAsia="仿宋" w:cs="??_GB2312"/>
          <w:sz w:val="32"/>
          <w:szCs w:val="32"/>
        </w:rPr>
        <w:t>0</w:t>
      </w:r>
      <w:r>
        <w:rPr>
          <w:rFonts w:ascii="仿宋" w:hAnsi="仿宋" w:eastAsia="仿宋"/>
          <w:sz w:val="32"/>
          <w:szCs w:val="32"/>
        </w:rPr>
        <w:t>万元，支出决算为</w:t>
      </w:r>
      <w:r>
        <w:rPr>
          <w:rFonts w:hint="eastAsia" w:ascii="仿宋" w:hAnsi="仿宋" w:eastAsia="仿宋"/>
          <w:sz w:val="32"/>
          <w:szCs w:val="32"/>
        </w:rPr>
        <w:t>2536.6</w:t>
      </w:r>
      <w:r>
        <w:rPr>
          <w:rFonts w:ascii="仿宋" w:hAnsi="仿宋" w:eastAsia="仿宋"/>
          <w:sz w:val="32"/>
          <w:szCs w:val="32"/>
        </w:rPr>
        <w:t>万元，</w:t>
      </w:r>
      <w:r>
        <w:rPr>
          <w:rFonts w:hint="eastAsia" w:ascii="仿宋" w:hAnsi="仿宋" w:eastAsia="仿宋"/>
          <w:sz w:val="32"/>
          <w:szCs w:val="32"/>
        </w:rPr>
        <w:t>超额完成预算，</w:t>
      </w:r>
      <w:r>
        <w:rPr>
          <w:rFonts w:hint="eastAsia" w:ascii="仿宋_GB2312" w:eastAsia="仿宋_GB2312"/>
          <w:sz w:val="32"/>
          <w:szCs w:val="32"/>
        </w:rPr>
        <w:t>决算数与年初预算数存在差异的主要原因是：</w:t>
      </w:r>
      <w:r>
        <w:rPr>
          <w:rFonts w:ascii="仿宋" w:hAnsi="仿宋" w:eastAsia="仿宋"/>
          <w:sz w:val="32"/>
          <w:szCs w:val="32"/>
        </w:rPr>
        <w:t>工程项目资金年初没有预算</w:t>
      </w:r>
      <w:r>
        <w:rPr>
          <w:rFonts w:hint="eastAsia" w:ascii="仿宋" w:hAnsi="仿宋" w:eastAsia="仿宋"/>
          <w:sz w:val="32"/>
          <w:szCs w:val="32"/>
        </w:rPr>
        <w:t>，当年实际有支出。</w:t>
      </w:r>
    </w:p>
    <w:p>
      <w:pPr>
        <w:spacing w:line="360" w:lineRule="auto"/>
        <w:ind w:firstLine="643" w:firstLineChars="200"/>
        <w:rPr>
          <w:rFonts w:ascii="仿宋" w:hAnsi="仿宋" w:eastAsia="仿宋"/>
          <w:sz w:val="32"/>
          <w:szCs w:val="32"/>
        </w:rPr>
      </w:pPr>
      <w:r>
        <w:rPr>
          <w:rFonts w:hint="eastAsia" w:ascii="仿宋" w:hAnsi="仿宋" w:eastAsia="仿宋" w:cs="??_GB2312"/>
          <w:b/>
          <w:bCs/>
          <w:sz w:val="32"/>
          <w:szCs w:val="32"/>
        </w:rPr>
        <w:t>9.</w:t>
      </w:r>
      <w:r>
        <w:rPr>
          <w:rFonts w:ascii="仿宋" w:hAnsi="仿宋" w:eastAsia="仿宋"/>
          <w:b/>
          <w:bCs/>
          <w:sz w:val="32"/>
          <w:szCs w:val="32"/>
        </w:rPr>
        <w:t>农林水支出</w:t>
      </w:r>
      <w:r>
        <w:rPr>
          <w:rFonts w:hint="eastAsia" w:ascii="仿宋" w:hAnsi="仿宋" w:eastAsia="仿宋"/>
          <w:b/>
          <w:bCs/>
          <w:sz w:val="32"/>
          <w:szCs w:val="32"/>
        </w:rPr>
        <w:t>（类）农业农村（款）其他农业农村支出（项）</w:t>
      </w:r>
      <w:r>
        <w:rPr>
          <w:rFonts w:ascii="仿宋" w:hAnsi="仿宋" w:eastAsia="仿宋"/>
          <w:b/>
          <w:bCs/>
          <w:sz w:val="32"/>
          <w:szCs w:val="32"/>
        </w:rPr>
        <w:t>。</w:t>
      </w:r>
      <w:r>
        <w:rPr>
          <w:rFonts w:ascii="仿宋" w:hAnsi="仿宋" w:eastAsia="仿宋"/>
          <w:sz w:val="32"/>
          <w:szCs w:val="32"/>
        </w:rPr>
        <w:t>年初预算为</w:t>
      </w:r>
      <w:r>
        <w:rPr>
          <w:rFonts w:ascii="仿宋" w:hAnsi="仿宋" w:eastAsia="仿宋" w:cs="??_GB2312"/>
          <w:sz w:val="32"/>
          <w:szCs w:val="32"/>
        </w:rPr>
        <w:t>0</w:t>
      </w:r>
      <w:r>
        <w:rPr>
          <w:rFonts w:ascii="仿宋" w:hAnsi="仿宋" w:eastAsia="仿宋"/>
          <w:sz w:val="32"/>
          <w:szCs w:val="32"/>
        </w:rPr>
        <w:t>万元，支出决算为</w:t>
      </w:r>
      <w:r>
        <w:rPr>
          <w:rFonts w:hint="eastAsia" w:ascii="仿宋" w:hAnsi="仿宋" w:eastAsia="仿宋"/>
          <w:sz w:val="32"/>
          <w:szCs w:val="32"/>
        </w:rPr>
        <w:t>210.27</w:t>
      </w:r>
      <w:r>
        <w:rPr>
          <w:rFonts w:ascii="仿宋" w:hAnsi="仿宋" w:eastAsia="仿宋"/>
          <w:sz w:val="32"/>
          <w:szCs w:val="32"/>
        </w:rPr>
        <w:t>万元，</w:t>
      </w:r>
      <w:r>
        <w:rPr>
          <w:rFonts w:hint="eastAsia" w:ascii="仿宋" w:hAnsi="仿宋" w:eastAsia="仿宋"/>
          <w:sz w:val="32"/>
          <w:szCs w:val="32"/>
        </w:rPr>
        <w:t>超额完成预算，</w:t>
      </w:r>
      <w:r>
        <w:rPr>
          <w:rFonts w:hint="eastAsia" w:ascii="仿宋_GB2312" w:eastAsia="仿宋_GB2312"/>
          <w:sz w:val="32"/>
          <w:szCs w:val="32"/>
        </w:rPr>
        <w:t>决算数与年初预算数存在差异的主要原因是：</w:t>
      </w:r>
      <w:r>
        <w:rPr>
          <w:rFonts w:ascii="仿宋" w:hAnsi="仿宋" w:eastAsia="仿宋"/>
          <w:sz w:val="32"/>
          <w:szCs w:val="32"/>
        </w:rPr>
        <w:t>工程项目资金年初没有预算</w:t>
      </w:r>
      <w:r>
        <w:rPr>
          <w:rFonts w:hint="eastAsia" w:ascii="仿宋" w:hAnsi="仿宋" w:eastAsia="仿宋"/>
          <w:sz w:val="32"/>
          <w:szCs w:val="32"/>
        </w:rPr>
        <w:t>，当年实际有支出。</w:t>
      </w:r>
    </w:p>
    <w:p>
      <w:pPr>
        <w:spacing w:line="360" w:lineRule="auto"/>
        <w:ind w:firstLine="482" w:firstLineChars="150"/>
        <w:rPr>
          <w:rFonts w:ascii="仿宋" w:hAnsi="仿宋" w:eastAsia="仿宋"/>
          <w:sz w:val="32"/>
          <w:szCs w:val="32"/>
        </w:rPr>
      </w:pPr>
      <w:r>
        <w:rPr>
          <w:rFonts w:hint="eastAsia" w:ascii="仿宋" w:hAnsi="仿宋" w:eastAsia="仿宋" w:cs="??_GB2312"/>
          <w:b/>
          <w:bCs/>
          <w:sz w:val="32"/>
          <w:szCs w:val="32"/>
        </w:rPr>
        <w:t>10.</w:t>
      </w:r>
      <w:r>
        <w:rPr>
          <w:rFonts w:ascii="仿宋" w:hAnsi="仿宋" w:eastAsia="仿宋"/>
          <w:b/>
          <w:bCs/>
          <w:sz w:val="32"/>
          <w:szCs w:val="32"/>
        </w:rPr>
        <w:t>房保障支出</w:t>
      </w:r>
      <w:r>
        <w:rPr>
          <w:rFonts w:hint="eastAsia" w:ascii="仿宋" w:hAnsi="仿宋" w:eastAsia="仿宋"/>
          <w:b/>
          <w:bCs/>
          <w:sz w:val="32"/>
          <w:szCs w:val="32"/>
        </w:rPr>
        <w:t>（类）住房改革支出（款）住房公积金（项）</w:t>
      </w:r>
      <w:r>
        <w:rPr>
          <w:rFonts w:ascii="仿宋" w:hAnsi="仿宋" w:eastAsia="仿宋"/>
          <w:b/>
          <w:bCs/>
          <w:sz w:val="32"/>
          <w:szCs w:val="32"/>
        </w:rPr>
        <w:t>。</w:t>
      </w:r>
      <w:r>
        <w:rPr>
          <w:rFonts w:ascii="仿宋" w:hAnsi="仿宋" w:eastAsia="仿宋"/>
          <w:sz w:val="32"/>
          <w:szCs w:val="32"/>
        </w:rPr>
        <w:t>年初预算为</w:t>
      </w:r>
      <w:r>
        <w:rPr>
          <w:rFonts w:hint="eastAsia" w:ascii="仿宋" w:hAnsi="仿宋" w:eastAsia="仿宋" w:cs="??_GB2312"/>
          <w:sz w:val="32"/>
          <w:szCs w:val="32"/>
        </w:rPr>
        <w:t>64.94</w:t>
      </w:r>
      <w:r>
        <w:rPr>
          <w:rFonts w:ascii="仿宋" w:hAnsi="仿宋" w:eastAsia="仿宋"/>
          <w:sz w:val="32"/>
          <w:szCs w:val="32"/>
        </w:rPr>
        <w:t>万元，支出决算为</w:t>
      </w:r>
      <w:r>
        <w:rPr>
          <w:rFonts w:hint="eastAsia" w:ascii="仿宋" w:hAnsi="仿宋" w:eastAsia="仿宋" w:cs="??_GB2312"/>
          <w:sz w:val="32"/>
          <w:szCs w:val="32"/>
        </w:rPr>
        <w:t>16.23</w:t>
      </w:r>
      <w:r>
        <w:rPr>
          <w:rFonts w:ascii="仿宋" w:hAnsi="仿宋" w:eastAsia="仿宋"/>
          <w:sz w:val="32"/>
          <w:szCs w:val="32"/>
        </w:rPr>
        <w:t>万元，完成年初预算的</w:t>
      </w:r>
      <w:r>
        <w:rPr>
          <w:rFonts w:hint="eastAsia" w:ascii="仿宋" w:hAnsi="仿宋" w:eastAsia="仿宋" w:cs="??_GB2312"/>
          <w:sz w:val="32"/>
          <w:szCs w:val="32"/>
        </w:rPr>
        <w:t>24.65</w:t>
      </w:r>
      <w:r>
        <w:rPr>
          <w:rFonts w:ascii="仿宋" w:hAnsi="仿宋" w:eastAsia="仿宋" w:cs="??_GB2312"/>
          <w:sz w:val="32"/>
          <w:szCs w:val="32"/>
        </w:rPr>
        <w:t>%</w:t>
      </w:r>
      <w:r>
        <w:rPr>
          <w:rFonts w:ascii="仿宋" w:hAnsi="仿宋" w:eastAsia="仿宋"/>
          <w:sz w:val="32"/>
          <w:szCs w:val="32"/>
        </w:rPr>
        <w:t>，</w:t>
      </w:r>
      <w:r>
        <w:rPr>
          <w:rFonts w:hint="eastAsia" w:ascii="仿宋_GB2312" w:eastAsia="仿宋_GB2312"/>
          <w:sz w:val="32"/>
          <w:szCs w:val="32"/>
        </w:rPr>
        <w:t>决算数与年初预算数存在差异的主要原因是：</w:t>
      </w:r>
      <w:r>
        <w:rPr>
          <w:rFonts w:hint="eastAsia" w:ascii="仿宋" w:hAnsi="仿宋" w:eastAsia="仿宋"/>
          <w:sz w:val="32"/>
          <w:szCs w:val="32"/>
        </w:rPr>
        <w:t>因为执法所预算在交通局，但支出是在本单位支出。</w:t>
      </w:r>
    </w:p>
    <w:p>
      <w:pPr>
        <w:pStyle w:val="5"/>
        <w:shd w:val="clear" w:color="auto" w:fill="FFFFFF"/>
        <w:spacing w:before="0" w:beforeAutospacing="0" w:after="0" w:afterAutospacing="0"/>
        <w:ind w:firstLine="480" w:firstLineChars="150"/>
        <w:rPr>
          <w:rFonts w:ascii="仿宋_GB2312" w:eastAsia="仿宋_GB2312"/>
          <w:sz w:val="32"/>
          <w:szCs w:val="32"/>
        </w:rPr>
      </w:pPr>
      <w:r>
        <w:rPr>
          <w:rFonts w:hint="eastAsia" w:ascii="仿宋_GB2312" w:eastAsia="仿宋_GB2312"/>
          <w:sz w:val="32"/>
          <w:szCs w:val="32"/>
        </w:rPr>
        <w:t>六、一般公共预算财政拨款基本支出决算情况说明</w:t>
      </w:r>
    </w:p>
    <w:p>
      <w:pPr>
        <w:pStyle w:val="5"/>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2020 年度一般公共预算财政拨款基本支出491.93万元。其中：人员经费328.39万元，主要包括：基本工资、津贴补贴、伙食补助费、绩效工资、机关事业单位基本养老保险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他对个人和家庭的补助支出……；公用经费163.54万元，主要包括：办公费、印刷费、咨询费、手续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pPr>
        <w:pStyle w:val="5"/>
        <w:shd w:val="clear" w:color="auto" w:fill="FFFFFF"/>
        <w:spacing w:before="0" w:beforeAutospacing="0" w:after="0" w:afterAutospacing="0"/>
        <w:ind w:left="161" w:leftChars="67"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pStyle w:val="5"/>
        <w:shd w:val="clear" w:color="auto" w:fill="FFFFFF"/>
        <w:spacing w:before="0" w:beforeAutospacing="0" w:after="0" w:afterAutospacing="0"/>
        <w:ind w:left="161" w:leftChars="67" w:firstLine="640" w:firstLineChars="200"/>
        <w:rPr>
          <w:rFonts w:ascii="仿宋_GB2312" w:eastAsia="仿宋_GB2312"/>
          <w:sz w:val="32"/>
          <w:szCs w:val="32"/>
        </w:rPr>
      </w:pPr>
      <w:r>
        <w:rPr>
          <w:rFonts w:hint="eastAsia" w:ascii="仿宋_GB2312" w:eastAsia="仿宋_GB2312"/>
          <w:sz w:val="32"/>
          <w:szCs w:val="32"/>
        </w:rPr>
        <w:t>（一）“三公”经费财政拨款支出决算总体情况说明。</w:t>
      </w:r>
    </w:p>
    <w:p>
      <w:pPr>
        <w:pStyle w:val="5"/>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2021年度“三公”经费财政拨款支出预算为0.81万元，支出决算为0.73万元，完成预算的90%。2021年度“三公”经费支出决算数与预算数存在差异的主要原因是因为疫情，压缩经费支出。</w:t>
      </w:r>
    </w:p>
    <w:p>
      <w:pPr>
        <w:pStyle w:val="5"/>
        <w:shd w:val="clear" w:color="auto" w:fill="FFFFFF"/>
        <w:spacing w:before="0" w:beforeAutospacing="0" w:after="0" w:afterAutospacing="0"/>
        <w:ind w:left="161" w:leftChars="67" w:firstLine="640" w:firstLineChars="200"/>
        <w:rPr>
          <w:rFonts w:ascii="仿宋_GB2312" w:eastAsia="仿宋_GB2312"/>
          <w:sz w:val="32"/>
          <w:szCs w:val="32"/>
        </w:rPr>
      </w:pPr>
      <w:r>
        <w:rPr>
          <w:rFonts w:hint="eastAsia" w:ascii="仿宋_GB2312" w:eastAsia="仿宋_GB2312"/>
          <w:sz w:val="32"/>
          <w:szCs w:val="32"/>
        </w:rPr>
        <w:t>（二）“三公”经费财政拨款支出决算具体情况说明。</w:t>
      </w:r>
    </w:p>
    <w:p>
      <w:pPr>
        <w:pStyle w:val="5"/>
        <w:shd w:val="clear" w:color="auto" w:fill="FFFFFF"/>
        <w:spacing w:before="0" w:beforeAutospacing="0" w:after="0" w:afterAutospacing="0"/>
        <w:ind w:left="161" w:leftChars="67" w:firstLine="640" w:firstLineChars="200"/>
        <w:rPr>
          <w:rFonts w:ascii="仿宋" w:hAnsi="仿宋" w:eastAsia="仿宋"/>
          <w:sz w:val="32"/>
          <w:szCs w:val="32"/>
        </w:rPr>
      </w:pPr>
      <w:r>
        <w:rPr>
          <w:rFonts w:hint="eastAsia" w:ascii="仿宋" w:hAnsi="仿宋" w:eastAsia="仿宋"/>
          <w:sz w:val="32"/>
          <w:szCs w:val="32"/>
        </w:rPr>
        <w:t>2021年度“三公”经费财政拨款支出决算中，因公出国（境）费支出决算0.00万元，完成预算的 0.00%，占0.00%；公务用车购置及运行费支出决算0万元，完成预算的0.00%，占0.00%；公务接待费支出决算0.73万元，完成预算的 90%，占100%；具体情况如下：</w:t>
      </w:r>
    </w:p>
    <w:p>
      <w:pPr>
        <w:pStyle w:val="5"/>
        <w:shd w:val="clear" w:color="auto" w:fill="FFFFFF"/>
        <w:spacing w:before="0" w:beforeAutospacing="0" w:after="0" w:afterAutospacing="0"/>
        <w:ind w:left="161" w:leftChars="67" w:firstLine="640" w:firstLineChars="200"/>
        <w:rPr>
          <w:rFonts w:ascii="仿宋" w:hAnsi="仿宋" w:eastAsia="仿宋"/>
          <w:sz w:val="32"/>
          <w:szCs w:val="32"/>
        </w:rPr>
      </w:pPr>
      <w:r>
        <w:rPr>
          <w:rFonts w:hint="eastAsia" w:ascii="仿宋" w:hAnsi="仿宋" w:eastAsia="仿宋"/>
          <w:sz w:val="32"/>
          <w:szCs w:val="32"/>
        </w:rPr>
        <w:t>1．因公出国（境）费年初预算为 0.00万元，支出决算为0.00 万元，完成年初预算的0.00%。</w:t>
      </w:r>
    </w:p>
    <w:p>
      <w:pPr>
        <w:pStyle w:val="5"/>
        <w:shd w:val="clear" w:color="auto" w:fill="FFFFFF"/>
        <w:spacing w:before="0" w:beforeAutospacing="0" w:after="0" w:afterAutospacing="0"/>
        <w:ind w:left="161" w:leftChars="67" w:firstLine="640" w:firstLineChars="200"/>
        <w:rPr>
          <w:rFonts w:ascii="仿宋" w:hAnsi="仿宋" w:eastAsia="仿宋"/>
          <w:sz w:val="32"/>
          <w:szCs w:val="32"/>
        </w:rPr>
      </w:pPr>
      <w:r>
        <w:rPr>
          <w:rFonts w:hint="eastAsia" w:ascii="仿宋" w:hAnsi="仿宋" w:eastAsia="仿宋"/>
          <w:sz w:val="32"/>
          <w:szCs w:val="32"/>
        </w:rPr>
        <w:t>因公出国（境）团组数0个，因公出国（境）人次数0人。</w:t>
      </w:r>
      <w:r>
        <w:rPr>
          <w:rFonts w:hint="eastAsia" w:ascii="仿宋_GB2312" w:eastAsia="仿宋_GB2312"/>
          <w:sz w:val="32"/>
          <w:szCs w:val="32"/>
        </w:rPr>
        <w:t>开支内容包括：无。</w:t>
      </w:r>
    </w:p>
    <w:p>
      <w:pPr>
        <w:pStyle w:val="5"/>
        <w:shd w:val="clear" w:color="auto" w:fill="FFFFFF"/>
        <w:spacing w:before="0" w:beforeAutospacing="0" w:after="0" w:afterAutospacing="0"/>
        <w:ind w:left="161" w:leftChars="67" w:firstLine="640" w:firstLineChars="200"/>
        <w:rPr>
          <w:rFonts w:ascii="仿宋" w:hAnsi="仿宋" w:eastAsia="仿宋"/>
          <w:sz w:val="32"/>
          <w:szCs w:val="32"/>
        </w:rPr>
      </w:pPr>
      <w:r>
        <w:rPr>
          <w:rFonts w:hint="eastAsia" w:ascii="仿宋" w:hAnsi="仿宋" w:eastAsia="仿宋"/>
          <w:sz w:val="32"/>
          <w:szCs w:val="32"/>
        </w:rPr>
        <w:t>2． 公务用车购置及运行费年初预算为0万元，支出决算为 0.00万元，完成年初预算的0.00%。</w:t>
      </w:r>
    </w:p>
    <w:p>
      <w:pPr>
        <w:pStyle w:val="5"/>
        <w:shd w:val="clear" w:color="auto" w:fill="FFFFFF"/>
        <w:spacing w:before="0" w:beforeAutospacing="0" w:after="0" w:afterAutospacing="0"/>
        <w:ind w:left="161" w:leftChars="67" w:firstLine="640" w:firstLineChars="200"/>
        <w:rPr>
          <w:rFonts w:ascii="仿宋" w:hAnsi="仿宋" w:eastAsia="仿宋"/>
          <w:sz w:val="32"/>
          <w:szCs w:val="32"/>
        </w:rPr>
      </w:pPr>
      <w:r>
        <w:rPr>
          <w:rFonts w:hint="eastAsia" w:ascii="仿宋" w:hAnsi="仿宋" w:eastAsia="仿宋"/>
          <w:sz w:val="32"/>
          <w:szCs w:val="32"/>
        </w:rPr>
        <w:t>公务用车购置支出0.00万元，购置车辆0台。</w:t>
      </w:r>
    </w:p>
    <w:p>
      <w:pPr>
        <w:pStyle w:val="5"/>
        <w:shd w:val="clear" w:color="auto" w:fill="FFFFFF"/>
        <w:spacing w:before="0" w:beforeAutospacing="0" w:after="0" w:afterAutospacing="0"/>
        <w:ind w:left="161" w:leftChars="67" w:firstLine="640" w:firstLineChars="200"/>
        <w:rPr>
          <w:rFonts w:hint="eastAsia" w:ascii="仿宋" w:hAnsi="仿宋" w:eastAsia="仿宋"/>
          <w:sz w:val="32"/>
          <w:szCs w:val="32"/>
        </w:rPr>
      </w:pPr>
      <w:r>
        <w:rPr>
          <w:rFonts w:hint="eastAsia" w:ascii="仿宋" w:hAnsi="仿宋" w:eastAsia="仿宋"/>
          <w:sz w:val="32"/>
          <w:szCs w:val="32"/>
        </w:rPr>
        <w:t>公务用车运行支出0.00万元。2021年期末，交通局本级开支财政拨款的公务用车保有量为0辆。</w:t>
      </w:r>
    </w:p>
    <w:p>
      <w:pPr>
        <w:pStyle w:val="5"/>
        <w:shd w:val="clear" w:color="auto" w:fill="FFFFFF"/>
        <w:spacing w:before="0" w:beforeAutospacing="0" w:after="0" w:afterAutospacing="0"/>
        <w:ind w:left="161" w:leftChars="67" w:firstLine="640" w:firstLineChars="200"/>
        <w:rPr>
          <w:rFonts w:ascii="仿宋" w:hAnsi="仿宋" w:eastAsia="仿宋"/>
          <w:sz w:val="32"/>
          <w:szCs w:val="32"/>
        </w:rPr>
      </w:pPr>
      <w:r>
        <w:rPr>
          <w:rFonts w:hint="eastAsia" w:ascii="仿宋_GB2312" w:eastAsia="仿宋_GB2312"/>
          <w:sz w:val="32"/>
          <w:szCs w:val="32"/>
        </w:rPr>
        <w:t xml:space="preserve">3. </w:t>
      </w:r>
      <w:r>
        <w:rPr>
          <w:rFonts w:hint="eastAsia" w:ascii="仿宋" w:hAnsi="仿宋" w:eastAsia="仿宋"/>
          <w:sz w:val="32"/>
          <w:szCs w:val="32"/>
        </w:rPr>
        <w:t>公务接待费年初预算为0.81万元，支出决算为0.73万元，完成年初预算的90%。决算数与年初预算数存在差异的主要：原因是因为疫情压缩招待费费用。</w:t>
      </w:r>
    </w:p>
    <w:p>
      <w:pPr>
        <w:pStyle w:val="5"/>
        <w:shd w:val="clear" w:color="auto" w:fill="FFFFFF"/>
        <w:spacing w:before="0" w:beforeAutospacing="0" w:after="0" w:afterAutospacing="0"/>
        <w:ind w:left="161" w:leftChars="67" w:firstLine="640" w:firstLineChars="200"/>
        <w:rPr>
          <w:rFonts w:ascii="仿宋" w:hAnsi="仿宋" w:eastAsia="仿宋"/>
          <w:sz w:val="32"/>
          <w:szCs w:val="32"/>
        </w:rPr>
      </w:pPr>
      <w:r>
        <w:rPr>
          <w:rFonts w:hint="eastAsia" w:ascii="仿宋" w:hAnsi="仿宋" w:eastAsia="仿宋"/>
          <w:sz w:val="32"/>
          <w:szCs w:val="32"/>
        </w:rPr>
        <w:t>其中：外宾接待支出0万元。2021年共接待国（境）外来访团组0个、来访外宾0人次（不包括陪同人员）。</w:t>
      </w:r>
    </w:p>
    <w:p>
      <w:pPr>
        <w:pStyle w:val="5"/>
        <w:shd w:val="clear" w:color="auto" w:fill="FFFFFF"/>
        <w:spacing w:before="0" w:beforeAutospacing="0" w:after="0" w:afterAutospacing="0"/>
        <w:ind w:left="161" w:leftChars="67" w:firstLine="640" w:firstLineChars="200"/>
        <w:rPr>
          <w:rFonts w:hint="eastAsia" w:ascii="仿宋" w:hAnsi="仿宋" w:eastAsia="仿宋"/>
          <w:sz w:val="32"/>
          <w:szCs w:val="32"/>
        </w:rPr>
      </w:pPr>
      <w:r>
        <w:rPr>
          <w:rFonts w:hint="eastAsia" w:ascii="仿宋" w:hAnsi="仿宋" w:eastAsia="仿宋"/>
          <w:sz w:val="32"/>
          <w:szCs w:val="32"/>
        </w:rPr>
        <w:t>其他国内公务接待支出</w:t>
      </w:r>
      <w:r>
        <w:rPr>
          <w:rFonts w:hint="eastAsia" w:ascii="仿宋" w:hAnsi="仿宋" w:eastAsia="仿宋"/>
          <w:sz w:val="32"/>
          <w:szCs w:val="32"/>
          <w:lang w:val="en-US" w:eastAsia="zh-CN"/>
        </w:rPr>
        <w:t>0.73</w:t>
      </w:r>
      <w:r>
        <w:rPr>
          <w:rFonts w:hint="eastAsia" w:ascii="仿宋" w:hAnsi="仿宋" w:eastAsia="仿宋"/>
          <w:sz w:val="32"/>
          <w:szCs w:val="32"/>
        </w:rPr>
        <w:t>万元。2021年共接待国内来访团组</w:t>
      </w:r>
      <w:r>
        <w:rPr>
          <w:rFonts w:hint="eastAsia" w:ascii="仿宋" w:hAnsi="仿宋" w:eastAsia="仿宋"/>
          <w:sz w:val="32"/>
          <w:szCs w:val="32"/>
          <w:lang w:val="en-US" w:eastAsia="zh-CN"/>
        </w:rPr>
        <w:t>5</w:t>
      </w:r>
      <w:r>
        <w:rPr>
          <w:rFonts w:hint="eastAsia" w:ascii="仿宋" w:hAnsi="仿宋" w:eastAsia="仿宋"/>
          <w:sz w:val="32"/>
          <w:szCs w:val="32"/>
        </w:rPr>
        <w:t>个、来宾</w:t>
      </w:r>
      <w:r>
        <w:rPr>
          <w:rFonts w:hint="eastAsia" w:ascii="仿宋" w:hAnsi="仿宋" w:eastAsia="仿宋"/>
          <w:sz w:val="32"/>
          <w:szCs w:val="32"/>
          <w:lang w:val="en-US" w:eastAsia="zh-CN"/>
        </w:rPr>
        <w:t>48</w:t>
      </w:r>
      <w:r>
        <w:rPr>
          <w:rFonts w:hint="eastAsia" w:ascii="仿宋" w:hAnsi="仿宋" w:eastAsia="仿宋"/>
          <w:sz w:val="32"/>
          <w:szCs w:val="32"/>
        </w:rPr>
        <w:t>人次（不包括陪同人员）。</w:t>
      </w:r>
    </w:p>
    <w:p>
      <w:pPr>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八、政府性基金预算财政拨款支出决算情况说明</w:t>
      </w:r>
    </w:p>
    <w:p>
      <w:pPr>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年度政府性基金预算财政拨款支出年初预算为0.00万元，支出决算为0.00万元，完成年初预算的0%。主要用于：无，其中项目年末结转和结余资金数额：无，主要原因：无。</w:t>
      </w:r>
    </w:p>
    <w:p>
      <w:pPr>
        <w:pStyle w:val="5"/>
        <w:shd w:val="clear" w:color="auto" w:fill="FFFFFF"/>
        <w:spacing w:before="0" w:beforeAutospacing="0" w:after="0" w:afterAutospacing="0"/>
        <w:ind w:left="161" w:leftChars="67" w:firstLine="480" w:firstLineChars="150"/>
        <w:rPr>
          <w:rFonts w:ascii="黑体" w:hAnsi="黑体" w:eastAsia="黑体"/>
          <w:sz w:val="32"/>
          <w:szCs w:val="32"/>
        </w:rPr>
      </w:pPr>
      <w:r>
        <w:rPr>
          <w:rFonts w:hint="eastAsia" w:ascii="黑体" w:hAnsi="黑体" w:eastAsia="黑体"/>
          <w:sz w:val="32"/>
          <w:szCs w:val="32"/>
        </w:rPr>
        <w:t>九、机关运行经费支出情况说明</w:t>
      </w:r>
    </w:p>
    <w:p>
      <w:pPr>
        <w:spacing w:line="590" w:lineRule="exact"/>
        <w:ind w:firstLine="640" w:firstLineChars="200"/>
        <w:rPr>
          <w:rFonts w:ascii="仿宋" w:hAnsi="仿宋" w:eastAsia="仿宋" w:cs="??_GB2312"/>
          <w:sz w:val="32"/>
          <w:szCs w:val="32"/>
        </w:rPr>
      </w:pPr>
      <w:r>
        <w:rPr>
          <w:rFonts w:hint="eastAsia" w:ascii="仿宋" w:hAnsi="仿宋" w:eastAsia="仿宋"/>
          <w:sz w:val="32"/>
          <w:szCs w:val="32"/>
        </w:rPr>
        <w:t>2021年度机关运行经费初预算为53.4万元，支出决算为163.54万元，完成年初预算的306.25%。决算数与年初预算数存在差异的主要原因是机关活动增加。</w:t>
      </w:r>
    </w:p>
    <w:p>
      <w:pPr>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十、政府采购支出情况说明</w:t>
      </w:r>
    </w:p>
    <w:p>
      <w:pPr>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5"/>
        <w:shd w:val="clear" w:color="auto" w:fill="FFFFFF"/>
        <w:spacing w:before="0" w:beforeAutospacing="0" w:after="0" w:afterAutospacing="0"/>
        <w:ind w:left="161" w:leftChars="67" w:firstLine="480" w:firstLineChars="150"/>
        <w:rPr>
          <w:rFonts w:ascii="黑体" w:hAnsi="黑体" w:eastAsia="黑体"/>
          <w:sz w:val="32"/>
          <w:szCs w:val="32"/>
        </w:rPr>
      </w:pPr>
      <w:r>
        <w:rPr>
          <w:rFonts w:hint="eastAsia" w:ascii="黑体" w:hAnsi="黑体" w:eastAsia="黑体"/>
          <w:sz w:val="32"/>
          <w:szCs w:val="32"/>
        </w:rPr>
        <w:t>十一、国有资产占用情况说明</w:t>
      </w:r>
    </w:p>
    <w:p>
      <w:pPr>
        <w:pStyle w:val="5"/>
        <w:shd w:val="clear" w:color="auto" w:fill="FFFFFF"/>
        <w:spacing w:before="0" w:beforeAutospacing="0" w:after="0" w:afterAutospacing="0"/>
        <w:ind w:firstLine="640" w:firstLineChars="200"/>
        <w:rPr>
          <w:rFonts w:ascii="仿宋" w:hAnsi="仿宋" w:eastAsia="仿宋"/>
          <w:sz w:val="32"/>
          <w:szCs w:val="32"/>
        </w:rPr>
      </w:pPr>
      <w:r>
        <w:rPr>
          <w:rFonts w:hint="eastAsia" w:ascii="仿宋" w:hAnsi="仿宋" w:eastAsia="仿宋"/>
          <w:sz w:val="32"/>
          <w:szCs w:val="32"/>
        </w:rPr>
        <w:t>2021年期末，交通运输局本级共有车辆0辆，其中：省级领导干部用车0辆、主要领导干部用车 0辆、机要通信用车0辆、应急保障车0辆、执法执勤用车 0辆、特种专业技术用车0辆、离退休干部用车0辆、其他用车0辆；单位价值50万元以上通用设备2台（套），单位价值100万元以上专用设备 0台（套）。</w:t>
      </w:r>
    </w:p>
    <w:p>
      <w:pPr>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十二、预算绩效情况说明</w:t>
      </w:r>
    </w:p>
    <w:p>
      <w:pPr>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val="0"/>
        <w:spacing w:line="56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我单位共开展了两个项目（1，2020-2021中央和省级自然灾害救灾资金；2，2021年节能与新能源公交车补助资金）的绩效自评工作，接到上级通知后，及时对该项目的资金使用情况进行了收集整理，并由专人填报绩效自评表及绩效自评报告。</w:t>
      </w:r>
    </w:p>
    <w:p>
      <w:pPr>
        <w:spacing w:line="590" w:lineRule="exact"/>
        <w:ind w:firstLine="321" w:firstLineChars="1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1，2021年下达的普通公路建设“百县通村”资金1460万元用于</w:t>
      </w:r>
      <w:r>
        <w:rPr>
          <w:rFonts w:hint="eastAsia" w:ascii="仿宋" w:hAnsi="仿宋" w:eastAsia="仿宋"/>
          <w:sz w:val="28"/>
          <w:szCs w:val="28"/>
        </w:rPr>
        <w:t>主要用于当年或者以前年度完成全县20户以上自然村通硬化路项目</w:t>
      </w:r>
      <w:r>
        <w:rPr>
          <w:rFonts w:hint="eastAsia" w:ascii="仿宋_GB2312" w:hAnsi="仿宋_GB2312" w:eastAsia="仿宋_GB2312" w:cs="仿宋_GB2312"/>
          <w:sz w:val="32"/>
          <w:szCs w:val="32"/>
        </w:rPr>
        <w:t>。项目资金执行率95%，项目支出单位自评分数100分，绩效自评结果：优。</w:t>
      </w:r>
    </w:p>
    <w:p>
      <w:pPr>
        <w:widowControl w:val="0"/>
        <w:spacing w:line="56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2，上级下达我县2021年节能与新能源公交车补助资金350万元，主要用于符合要求的节能与新能源公交车的节能与新能源公交车运营补助。项目资金执行率100%，项目支出单位自评分数93.7分，绩效自评结果：优。</w:t>
      </w:r>
    </w:p>
    <w:p>
      <w:pPr>
        <w:spacing w:line="590" w:lineRule="exact"/>
        <w:ind w:firstLine="321" w:firstLineChars="100"/>
        <w:outlineLvl w:val="2"/>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（三）重点项目绩效评价结果</w:t>
      </w:r>
    </w:p>
    <w:p>
      <w:pPr>
        <w:keepNext w:val="0"/>
        <w:keepLines w:val="0"/>
        <w:pageBreakBefore w:val="0"/>
        <w:widowControl/>
        <w:numPr>
          <w:ilvl w:val="0"/>
          <w:numId w:val="0"/>
        </w:numPr>
        <w:wordWrap/>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rPr>
      </w:pPr>
      <w:bookmarkStart w:id="0" w:name="_GoBack"/>
      <w:bookmarkEnd w:id="0"/>
      <w:r>
        <w:rPr>
          <w:rFonts w:hint="eastAsia" w:ascii="仿宋_GB2312" w:hAnsi="仿宋_GB2312" w:eastAsia="仿宋_GB2312" w:cs="仿宋_GB2312"/>
          <w:kern w:val="0"/>
          <w:sz w:val="32"/>
          <w:szCs w:val="32"/>
          <w:shd w:val="clear" w:color="auto" w:fill="FFFFFF"/>
          <w:lang w:val="en-US" w:eastAsia="zh-CN"/>
        </w:rPr>
        <w:t>2021年息县交通运输局纳入重点绩效评价（部门评价或财政评价）0个，评价金额0万元。</w:t>
      </w:r>
    </w:p>
    <w:p>
      <w:pPr>
        <w:widowControl w:val="0"/>
        <w:spacing w:line="560" w:lineRule="exact"/>
        <w:ind w:firstLine="640" w:firstLineChars="200"/>
        <w:jc w:val="both"/>
        <w:rPr>
          <w:rFonts w:ascii="仿宋_GB2312" w:hAnsi="仿宋_GB2312" w:eastAsia="仿宋_GB2312" w:cs="仿宋_GB2312"/>
          <w:sz w:val="32"/>
          <w:szCs w:val="32"/>
        </w:rPr>
        <w:sectPr>
          <w:pgSz w:w="11906" w:h="16838"/>
          <w:pgMar w:top="1440" w:right="1800" w:bottom="1440" w:left="1800" w:header="720" w:footer="720" w:gutter="0"/>
          <w:pgNumType w:fmt="numberInDash"/>
          <w:cols w:space="720" w:num="1"/>
          <w:docGrid w:type="lines" w:linePitch="312" w:charSpace="0"/>
        </w:sect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w:t>
      </w:r>
      <w:r>
        <w:rPr>
          <w:rFonts w:hint="eastAsia" w:ascii="黑体" w:hAnsi="黑体" w:eastAsia="黑体" w:cs="黑体"/>
          <w:sz w:val="48"/>
          <w:szCs w:val="48"/>
          <w:lang w:val="en-US" w:eastAsia="zh-CN"/>
        </w:rPr>
        <w:t>四</w:t>
      </w:r>
      <w:r>
        <w:rPr>
          <w:rFonts w:hint="eastAsia" w:ascii="黑体" w:hAnsi="黑体" w:eastAsia="黑体" w:cs="黑体"/>
          <w:sz w:val="48"/>
          <w:szCs w:val="48"/>
        </w:rPr>
        <w:t>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rPr>
          <w:rFonts w:ascii="仿宋_GB2312" w:hAnsi="仿宋_GB2312" w:eastAsia="仿宋_GB2312" w:cs="仿宋_GB2312"/>
          <w:sz w:val="32"/>
          <w:szCs w:val="32"/>
        </w:rPr>
        <w:sectPr>
          <w:pgSz w:w="11907" w:h="16840"/>
          <w:pgMar w:top="1440" w:right="1800" w:bottom="1440" w:left="1800" w:header="851" w:footer="992" w:gutter="0"/>
          <w:cols w:space="425" w:num="1"/>
          <w:docGrid w:type="lines" w:linePitch="326" w:charSpace="0"/>
        </w:sectPr>
      </w:pPr>
    </w:p>
    <w:p/>
    <w:sectPr>
      <w:pgSz w:w="16840" w:h="11907"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wZDQyOWM2MDE4Zjk5MTllY2ZlYjQ0Y2EzZTAxYjQifQ=="/>
  </w:docVars>
  <w:rsids>
    <w:rsidRoot w:val="00380C49"/>
    <w:rsid w:val="00036999"/>
    <w:rsid w:val="0005518E"/>
    <w:rsid w:val="00063A1C"/>
    <w:rsid w:val="00096D9F"/>
    <w:rsid w:val="000B7C8F"/>
    <w:rsid w:val="000D3621"/>
    <w:rsid w:val="00105587"/>
    <w:rsid w:val="001B1E93"/>
    <w:rsid w:val="001C7E92"/>
    <w:rsid w:val="001E0EB9"/>
    <w:rsid w:val="001F65AD"/>
    <w:rsid w:val="00285A90"/>
    <w:rsid w:val="002E64CE"/>
    <w:rsid w:val="0033026D"/>
    <w:rsid w:val="00380C49"/>
    <w:rsid w:val="0038499B"/>
    <w:rsid w:val="00396FA6"/>
    <w:rsid w:val="003A1E97"/>
    <w:rsid w:val="003B70EE"/>
    <w:rsid w:val="003F3270"/>
    <w:rsid w:val="00404A1F"/>
    <w:rsid w:val="004264B0"/>
    <w:rsid w:val="00435514"/>
    <w:rsid w:val="00440605"/>
    <w:rsid w:val="00446E4B"/>
    <w:rsid w:val="00463B25"/>
    <w:rsid w:val="004C77BC"/>
    <w:rsid w:val="004D5FE3"/>
    <w:rsid w:val="004E5087"/>
    <w:rsid w:val="00523875"/>
    <w:rsid w:val="00546AA2"/>
    <w:rsid w:val="0055410F"/>
    <w:rsid w:val="00582974"/>
    <w:rsid w:val="005F40DE"/>
    <w:rsid w:val="00610597"/>
    <w:rsid w:val="0061376C"/>
    <w:rsid w:val="00667803"/>
    <w:rsid w:val="006728AA"/>
    <w:rsid w:val="006C602E"/>
    <w:rsid w:val="006F11AC"/>
    <w:rsid w:val="006F2E45"/>
    <w:rsid w:val="007169BE"/>
    <w:rsid w:val="00790479"/>
    <w:rsid w:val="007D3AF9"/>
    <w:rsid w:val="008C6FA5"/>
    <w:rsid w:val="008D5869"/>
    <w:rsid w:val="008E4C70"/>
    <w:rsid w:val="008F0429"/>
    <w:rsid w:val="008F7642"/>
    <w:rsid w:val="009008AB"/>
    <w:rsid w:val="009B7C25"/>
    <w:rsid w:val="009C0287"/>
    <w:rsid w:val="00A342E3"/>
    <w:rsid w:val="00B07176"/>
    <w:rsid w:val="00B30B3E"/>
    <w:rsid w:val="00BC3381"/>
    <w:rsid w:val="00BF088B"/>
    <w:rsid w:val="00C173B6"/>
    <w:rsid w:val="00C20EA3"/>
    <w:rsid w:val="00C40EA0"/>
    <w:rsid w:val="00C53051"/>
    <w:rsid w:val="00C73F3D"/>
    <w:rsid w:val="00C8274A"/>
    <w:rsid w:val="00CA1E5C"/>
    <w:rsid w:val="00CB1114"/>
    <w:rsid w:val="00CC61D7"/>
    <w:rsid w:val="00CE118F"/>
    <w:rsid w:val="00CF7A38"/>
    <w:rsid w:val="00D45C75"/>
    <w:rsid w:val="00D47F34"/>
    <w:rsid w:val="00D60397"/>
    <w:rsid w:val="00E32759"/>
    <w:rsid w:val="00E429E6"/>
    <w:rsid w:val="00E614D6"/>
    <w:rsid w:val="00E70AC1"/>
    <w:rsid w:val="00E91CCC"/>
    <w:rsid w:val="00E97E36"/>
    <w:rsid w:val="00EA6159"/>
    <w:rsid w:val="00EB000B"/>
    <w:rsid w:val="00EB4000"/>
    <w:rsid w:val="00F21801"/>
    <w:rsid w:val="00F34E73"/>
    <w:rsid w:val="00F35891"/>
    <w:rsid w:val="00F937D9"/>
    <w:rsid w:val="00FD03C9"/>
    <w:rsid w:val="00FF6EC3"/>
    <w:rsid w:val="06E710CA"/>
    <w:rsid w:val="13BB36C2"/>
    <w:rsid w:val="177B4260"/>
    <w:rsid w:val="1A0062D3"/>
    <w:rsid w:val="1DC00253"/>
    <w:rsid w:val="22F90C34"/>
    <w:rsid w:val="26015997"/>
    <w:rsid w:val="280B44BC"/>
    <w:rsid w:val="2F8E38D0"/>
    <w:rsid w:val="304F36B8"/>
    <w:rsid w:val="3B974891"/>
    <w:rsid w:val="404B7A92"/>
    <w:rsid w:val="472B5F13"/>
    <w:rsid w:val="496D46F6"/>
    <w:rsid w:val="4AD86A2D"/>
    <w:rsid w:val="4DE646BF"/>
    <w:rsid w:val="4F7B372A"/>
    <w:rsid w:val="5511700B"/>
    <w:rsid w:val="5AE605F2"/>
    <w:rsid w:val="621912AD"/>
    <w:rsid w:val="654709A9"/>
    <w:rsid w:val="6B3D1532"/>
    <w:rsid w:val="6BD34BC2"/>
    <w:rsid w:val="6BF30DC0"/>
    <w:rsid w:val="6D01333C"/>
    <w:rsid w:val="6DD85B4D"/>
    <w:rsid w:val="76236746"/>
    <w:rsid w:val="796F0569"/>
    <w:rsid w:val="7A602D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pPr>
  </w:style>
  <w:style w:type="character" w:customStyle="1" w:styleId="8">
    <w:name w:val="页眉 Char"/>
    <w:basedOn w:val="7"/>
    <w:link w:val="4"/>
    <w:semiHidden/>
    <w:qFormat/>
    <w:uiPriority w:val="99"/>
    <w:rPr>
      <w:rFonts w:ascii="宋体" w:hAnsi="宋体" w:eastAsia="宋体" w:cs="宋体"/>
      <w:kern w:val="0"/>
      <w:sz w:val="18"/>
      <w:szCs w:val="18"/>
    </w:rPr>
  </w:style>
  <w:style w:type="character" w:customStyle="1" w:styleId="9">
    <w:name w:val="页脚 Char"/>
    <w:basedOn w:val="7"/>
    <w:link w:val="3"/>
    <w:semiHidden/>
    <w:qFormat/>
    <w:uiPriority w:val="99"/>
    <w:rPr>
      <w:rFonts w:ascii="宋体" w:hAnsi="宋体" w:eastAsia="宋体" w:cs="宋体"/>
      <w:kern w:val="0"/>
      <w:sz w:val="18"/>
      <w:szCs w:val="18"/>
    </w:rPr>
  </w:style>
  <w:style w:type="character" w:customStyle="1" w:styleId="10">
    <w:name w:val="批注框文本 Char"/>
    <w:basedOn w:val="7"/>
    <w:link w:val="2"/>
    <w:semiHidden/>
    <w:qFormat/>
    <w:uiPriority w:val="99"/>
    <w:rPr>
      <w:rFonts w:ascii="宋体" w:hAnsi="宋体" w:eastAsia="宋体" w:cs="宋体"/>
      <w:sz w:val="18"/>
      <w:szCs w:val="18"/>
    </w:rPr>
  </w:style>
  <w:style w:type="paragraph" w:styleId="11">
    <w:name w:val="List Paragraph"/>
    <w:basedOn w:val="1"/>
    <w:unhideWhenUsed/>
    <w:qFormat/>
    <w:uiPriority w:val="99"/>
    <w:pPr>
      <w:ind w:firstLine="420" w:firstLineChars="200"/>
    </w:pPr>
  </w:style>
  <w:style w:type="character" w:customStyle="1" w:styleId="12">
    <w:name w:val="font01"/>
    <w:qFormat/>
    <w:uiPriority w:val="0"/>
    <w:rPr>
      <w:rFonts w:hint="eastAsia" w:ascii="宋体" w:hAnsi="宋体" w:eastAsia="宋体" w:cs="宋体"/>
      <w:color w:val="000000"/>
      <w:sz w:val="22"/>
      <w:szCs w:val="22"/>
      <w:u w:val="none"/>
    </w:rPr>
  </w:style>
  <w:style w:type="character" w:customStyle="1" w:styleId="13">
    <w:name w:val="font51"/>
    <w:qFormat/>
    <w:uiPriority w:val="0"/>
    <w:rPr>
      <w:rFonts w:hint="eastAsia" w:ascii="宋体" w:hAnsi="宋体" w:eastAsia="宋体" w:cs="宋体"/>
      <w:color w:val="000000"/>
      <w:sz w:val="24"/>
      <w:szCs w:val="24"/>
      <w:u w:val="none"/>
    </w:rPr>
  </w:style>
  <w:style w:type="character" w:customStyle="1" w:styleId="14">
    <w:name w:val="font11"/>
    <w:qFormat/>
    <w:uiPriority w:val="0"/>
    <w:rPr>
      <w:rFonts w:hint="eastAsia" w:ascii="宋体" w:hAnsi="宋体" w:eastAsia="宋体" w:cs="宋体"/>
      <w:color w:val="000000"/>
      <w:sz w:val="20"/>
      <w:szCs w:val="20"/>
      <w:u w:val="none"/>
    </w:rPr>
  </w:style>
  <w:style w:type="character" w:customStyle="1" w:styleId="15">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C6865-7053-4CC7-8100-2853EF94271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2073</Words>
  <Characters>11817</Characters>
  <Lines>98</Lines>
  <Paragraphs>27</Paragraphs>
  <TotalTime>1</TotalTime>
  <ScaleCrop>false</ScaleCrop>
  <LinksUpToDate>false</LinksUpToDate>
  <CharactersWithSpaces>13863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付呱呱</cp:lastModifiedBy>
  <dcterms:modified xsi:type="dcterms:W3CDTF">2023-09-26T00:45:54Z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65C7C2DA3D9941EDB91F5A77EF5F74F0</vt:lpwstr>
  </property>
</Properties>
</file>